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80" w:rightFromText="180" w:vertAnchor="text" w:tblpY="-42"/>
        <w:tblW w:w="15163" w:type="dxa"/>
        <w:tblLook w:val="04A0" w:firstRow="1" w:lastRow="0" w:firstColumn="1" w:lastColumn="0" w:noHBand="0" w:noVBand="1"/>
      </w:tblPr>
      <w:tblGrid>
        <w:gridCol w:w="1147"/>
        <w:gridCol w:w="6786"/>
        <w:gridCol w:w="7230"/>
      </w:tblGrid>
      <w:tr w:rsidR="00AD3349" w:rsidRPr="00203E7D" w14:paraId="67C66155" w14:textId="77777777" w:rsidTr="004A11E8">
        <w:tc>
          <w:tcPr>
            <w:tcW w:w="15163" w:type="dxa"/>
            <w:gridSpan w:val="3"/>
            <w:shd w:val="clear" w:color="auto" w:fill="BFBFBF" w:themeFill="background1" w:themeFillShade="BF"/>
          </w:tcPr>
          <w:p w14:paraId="501F9C92" w14:textId="1E1FBC62" w:rsidR="0065051C" w:rsidRPr="00814D07" w:rsidRDefault="00234DE0" w:rsidP="001464D0">
            <w:pPr>
              <w:jc w:val="center"/>
              <w:rPr>
                <w:rFonts w:cstheme="minorHAnsi"/>
                <w:b/>
                <w:sz w:val="18"/>
                <w:szCs w:val="18"/>
              </w:rPr>
            </w:pPr>
            <w:r>
              <w:rPr>
                <w:b/>
                <w:sz w:val="18"/>
                <w:szCs w:val="18"/>
              </w:rPr>
              <w:t xml:space="preserve">Article 13 - Liste d'indicateurs illustratifs sur l'accès à la justice pour les </w:t>
            </w:r>
            <w:r w:rsidR="00AF3591">
              <w:rPr>
                <w:b/>
                <w:sz w:val="18"/>
                <w:szCs w:val="18"/>
              </w:rPr>
              <w:t>personnes handicapées</w:t>
            </w:r>
          </w:p>
        </w:tc>
      </w:tr>
      <w:tr w:rsidR="00AD3349" w:rsidRPr="00203E7D" w14:paraId="1113D4A1" w14:textId="77777777" w:rsidTr="004A11E8">
        <w:tc>
          <w:tcPr>
            <w:tcW w:w="15163" w:type="dxa"/>
            <w:gridSpan w:val="3"/>
            <w:shd w:val="clear" w:color="auto" w:fill="auto"/>
          </w:tcPr>
          <w:p w14:paraId="4090E0FB" w14:textId="5B16C545" w:rsidR="0065051C" w:rsidRPr="00364DDC" w:rsidRDefault="001464D0" w:rsidP="004F538D">
            <w:pPr>
              <w:jc w:val="center"/>
              <w:rPr>
                <w:rFonts w:cstheme="minorHAnsi"/>
                <w:b/>
                <w:sz w:val="18"/>
                <w:szCs w:val="18"/>
              </w:rPr>
            </w:pPr>
            <w:r>
              <w:rPr>
                <w:b/>
                <w:sz w:val="18"/>
                <w:szCs w:val="18"/>
              </w:rPr>
              <w:t>Droit d'accès à la justice</w:t>
            </w:r>
            <w:r w:rsidR="00FD5BD4">
              <w:rPr>
                <w:b/>
                <w:sz w:val="18"/>
                <w:szCs w:val="18"/>
              </w:rPr>
              <w:t>*</w:t>
            </w:r>
          </w:p>
        </w:tc>
      </w:tr>
      <w:tr w:rsidR="00470A68" w:rsidRPr="00203E7D" w14:paraId="10FDE2E4" w14:textId="77777777" w:rsidTr="00470A68">
        <w:tc>
          <w:tcPr>
            <w:tcW w:w="1147" w:type="dxa"/>
            <w:shd w:val="clear" w:color="auto" w:fill="auto"/>
          </w:tcPr>
          <w:p w14:paraId="40D0D6FD" w14:textId="77777777" w:rsidR="00470A68" w:rsidRPr="00364DDC" w:rsidRDefault="00470A68" w:rsidP="004F538D">
            <w:pPr>
              <w:jc w:val="center"/>
              <w:rPr>
                <w:rFonts w:cstheme="minorHAnsi"/>
                <w:b/>
                <w:sz w:val="18"/>
                <w:szCs w:val="18"/>
              </w:rPr>
            </w:pPr>
            <w:r>
              <w:rPr>
                <w:b/>
                <w:sz w:val="18"/>
                <w:szCs w:val="18"/>
              </w:rPr>
              <w:t>Attributs/</w:t>
            </w:r>
          </w:p>
          <w:p w14:paraId="26D49216" w14:textId="77777777" w:rsidR="00470A68" w:rsidRPr="00364DDC" w:rsidRDefault="00470A68" w:rsidP="004F538D">
            <w:pPr>
              <w:jc w:val="center"/>
              <w:rPr>
                <w:rFonts w:cstheme="minorHAnsi"/>
                <w:b/>
                <w:sz w:val="18"/>
                <w:szCs w:val="18"/>
              </w:rPr>
            </w:pPr>
            <w:r>
              <w:rPr>
                <w:b/>
                <w:sz w:val="18"/>
                <w:szCs w:val="18"/>
              </w:rPr>
              <w:t>Indicateurs</w:t>
            </w:r>
          </w:p>
        </w:tc>
        <w:tc>
          <w:tcPr>
            <w:tcW w:w="6786" w:type="dxa"/>
            <w:shd w:val="clear" w:color="auto" w:fill="auto"/>
          </w:tcPr>
          <w:p w14:paraId="43F5183B" w14:textId="2BB0A33B" w:rsidR="00470A68" w:rsidRPr="00364DDC" w:rsidRDefault="00470A68" w:rsidP="004F538D">
            <w:pPr>
              <w:jc w:val="center"/>
              <w:rPr>
                <w:rFonts w:cstheme="minorHAnsi"/>
                <w:b/>
                <w:sz w:val="18"/>
                <w:szCs w:val="18"/>
              </w:rPr>
            </w:pPr>
            <w:r>
              <w:rPr>
                <w:b/>
                <w:sz w:val="18"/>
                <w:szCs w:val="18"/>
              </w:rPr>
              <w:t>Égalité d'accès et égalité devant le système judiciaire</w:t>
            </w:r>
          </w:p>
        </w:tc>
        <w:tc>
          <w:tcPr>
            <w:tcW w:w="7230" w:type="dxa"/>
            <w:shd w:val="clear" w:color="auto" w:fill="auto"/>
          </w:tcPr>
          <w:p w14:paraId="5DEE108D" w14:textId="428AC0C3" w:rsidR="00470A68" w:rsidRPr="00364DDC" w:rsidRDefault="00470A68" w:rsidP="00D91568">
            <w:pPr>
              <w:jc w:val="center"/>
              <w:rPr>
                <w:rFonts w:cstheme="minorHAnsi"/>
                <w:b/>
                <w:sz w:val="18"/>
                <w:szCs w:val="18"/>
              </w:rPr>
            </w:pPr>
            <w:r>
              <w:rPr>
                <w:b/>
                <w:sz w:val="18"/>
                <w:szCs w:val="18"/>
              </w:rPr>
              <w:t xml:space="preserve">Participation des </w:t>
            </w:r>
            <w:r w:rsidR="00AF3591">
              <w:rPr>
                <w:b/>
                <w:sz w:val="18"/>
                <w:szCs w:val="18"/>
              </w:rPr>
              <w:t>personnes handicapées</w:t>
            </w:r>
            <w:r>
              <w:rPr>
                <w:b/>
                <w:sz w:val="18"/>
                <w:szCs w:val="18"/>
              </w:rPr>
              <w:t xml:space="preserve"> au système judiciaire</w:t>
            </w:r>
          </w:p>
        </w:tc>
      </w:tr>
      <w:tr w:rsidR="00FC43B6" w:rsidRPr="00203E7D" w14:paraId="4ECE9922" w14:textId="77777777" w:rsidTr="003B24BA">
        <w:trPr>
          <w:trHeight w:val="1062"/>
        </w:trPr>
        <w:tc>
          <w:tcPr>
            <w:tcW w:w="1147" w:type="dxa"/>
            <w:shd w:val="clear" w:color="auto" w:fill="auto"/>
          </w:tcPr>
          <w:p w14:paraId="76F60D5B" w14:textId="77777777" w:rsidR="00FC43B6" w:rsidRPr="00364DDC" w:rsidRDefault="00FC43B6" w:rsidP="004F538D">
            <w:pPr>
              <w:pStyle w:val="Paragraphedeliste"/>
              <w:ind w:left="0"/>
              <w:rPr>
                <w:rFonts w:cstheme="minorHAnsi"/>
                <w:b/>
                <w:sz w:val="18"/>
                <w:szCs w:val="18"/>
              </w:rPr>
            </w:pPr>
            <w:r>
              <w:rPr>
                <w:b/>
                <w:sz w:val="18"/>
                <w:szCs w:val="18"/>
              </w:rPr>
              <w:t>Structure</w:t>
            </w:r>
          </w:p>
        </w:tc>
        <w:tc>
          <w:tcPr>
            <w:tcW w:w="14016" w:type="dxa"/>
            <w:gridSpan w:val="2"/>
            <w:shd w:val="clear" w:color="auto" w:fill="auto"/>
          </w:tcPr>
          <w:p w14:paraId="66D0F193" w14:textId="6011C56A" w:rsidR="00FC43B6" w:rsidRPr="00364DDC" w:rsidRDefault="00FC43B6" w:rsidP="00183BD1">
            <w:pPr>
              <w:jc w:val="both"/>
              <w:rPr>
                <w:rFonts w:cstheme="minorHAnsi"/>
                <w:sz w:val="18"/>
                <w:szCs w:val="18"/>
              </w:rPr>
            </w:pPr>
            <w:r>
              <w:rPr>
                <w:sz w:val="18"/>
                <w:szCs w:val="18"/>
              </w:rPr>
              <w:t xml:space="preserve">13.1 Législation promulguée concernant le système de justice qui inclut les </w:t>
            </w:r>
            <w:r w:rsidR="00AF3591">
              <w:rPr>
                <w:sz w:val="18"/>
                <w:szCs w:val="18"/>
              </w:rPr>
              <w:t>personnes handicapées</w:t>
            </w:r>
            <w:r>
              <w:rPr>
                <w:sz w:val="18"/>
                <w:szCs w:val="18"/>
              </w:rPr>
              <w:t>, concernant sa structure/organisation/administration et ses procédures, et dans les secteurs civil et pénal.</w:t>
            </w:r>
            <w:r w:rsidRPr="00364DDC">
              <w:rPr>
                <w:rStyle w:val="Appeldenotedefin"/>
                <w:rFonts w:cstheme="minorHAnsi"/>
                <w:sz w:val="18"/>
                <w:szCs w:val="18"/>
              </w:rPr>
              <w:endnoteReference w:id="1"/>
            </w:r>
          </w:p>
          <w:p w14:paraId="7320EE0B" w14:textId="57DC89FB" w:rsidR="00FC43B6" w:rsidRPr="00364DDC" w:rsidRDefault="00FC43B6" w:rsidP="00183BD1">
            <w:pPr>
              <w:jc w:val="both"/>
              <w:rPr>
                <w:rFonts w:cstheme="minorHAnsi"/>
                <w:sz w:val="18"/>
                <w:szCs w:val="18"/>
              </w:rPr>
            </w:pPr>
            <w:r>
              <w:rPr>
                <w:sz w:val="18"/>
                <w:szCs w:val="18"/>
              </w:rPr>
              <w:t>13.2 Aucune disposition de la constitution, de la législation ou des règlements qui restreint l'accès à la justice ou restreint la participation au système judiciaire sur la base du handicap.</w:t>
            </w:r>
            <w:r w:rsidRPr="00364DDC">
              <w:rPr>
                <w:rStyle w:val="Appeldenotedefin"/>
                <w:rFonts w:cstheme="minorHAnsi"/>
                <w:sz w:val="18"/>
                <w:szCs w:val="18"/>
              </w:rPr>
              <w:endnoteReference w:id="2"/>
            </w:r>
          </w:p>
          <w:p w14:paraId="3AD9C104" w14:textId="5F87B65D" w:rsidR="00FC43B6" w:rsidRPr="00364DDC" w:rsidRDefault="00FC43B6" w:rsidP="009F6D8C">
            <w:pPr>
              <w:jc w:val="both"/>
              <w:rPr>
                <w:rFonts w:cstheme="minorHAnsi"/>
                <w:sz w:val="18"/>
                <w:szCs w:val="18"/>
              </w:rPr>
            </w:pPr>
            <w:r>
              <w:rPr>
                <w:sz w:val="18"/>
                <w:szCs w:val="18"/>
              </w:rPr>
              <w:t xml:space="preserve">13.3 Adoption d'une législation pénale matérielle et procédurale garantissant des garanties matérielles et procédurales aux </w:t>
            </w:r>
            <w:r w:rsidR="00AF3591">
              <w:rPr>
                <w:sz w:val="18"/>
                <w:szCs w:val="18"/>
              </w:rPr>
              <w:t>personnes handicapées</w:t>
            </w:r>
            <w:r>
              <w:rPr>
                <w:sz w:val="18"/>
                <w:szCs w:val="18"/>
              </w:rPr>
              <w:t xml:space="preserve"> sur un pied d'égalité avec les autres et interdisant le détournement des poursuites pour cause de </w:t>
            </w:r>
            <w:r w:rsidR="00A75BB5">
              <w:rPr>
                <w:sz w:val="18"/>
                <w:szCs w:val="18"/>
              </w:rPr>
              <w:t>incapacité</w:t>
            </w:r>
            <w:r>
              <w:rPr>
                <w:sz w:val="18"/>
                <w:szCs w:val="18"/>
              </w:rPr>
              <w:t xml:space="preserve">, notamment pour les </w:t>
            </w:r>
            <w:r w:rsidR="00AF3591">
              <w:rPr>
                <w:sz w:val="18"/>
                <w:szCs w:val="18"/>
              </w:rPr>
              <w:t>personnes handicapées</w:t>
            </w:r>
            <w:r>
              <w:rPr>
                <w:sz w:val="18"/>
                <w:szCs w:val="18"/>
              </w:rPr>
              <w:t xml:space="preserve"> </w:t>
            </w:r>
            <w:r w:rsidR="00AF3591">
              <w:rPr>
                <w:sz w:val="18"/>
                <w:szCs w:val="18"/>
              </w:rPr>
              <w:t xml:space="preserve">intellectuelles </w:t>
            </w:r>
            <w:r>
              <w:rPr>
                <w:sz w:val="18"/>
                <w:szCs w:val="18"/>
              </w:rPr>
              <w:t xml:space="preserve">et les </w:t>
            </w:r>
            <w:r w:rsidR="00AF3591">
              <w:rPr>
                <w:sz w:val="18"/>
                <w:szCs w:val="18"/>
              </w:rPr>
              <w:t>personnes handicapées</w:t>
            </w:r>
            <w:r>
              <w:rPr>
                <w:sz w:val="18"/>
                <w:szCs w:val="18"/>
              </w:rPr>
              <w:t xml:space="preserve"> psychosocial</w:t>
            </w:r>
            <w:r w:rsidR="00AF3591">
              <w:rPr>
                <w:sz w:val="18"/>
                <w:szCs w:val="18"/>
              </w:rPr>
              <w:t>es</w:t>
            </w:r>
            <w:r>
              <w:rPr>
                <w:sz w:val="18"/>
                <w:szCs w:val="18"/>
              </w:rPr>
              <w:t>.</w:t>
            </w:r>
            <w:r w:rsidRPr="00364DDC">
              <w:rPr>
                <w:rStyle w:val="Appeldenotedefin"/>
                <w:rFonts w:cstheme="minorHAnsi"/>
                <w:sz w:val="18"/>
                <w:szCs w:val="18"/>
              </w:rPr>
              <w:endnoteReference w:id="3"/>
            </w:r>
            <w:r>
              <w:rPr>
                <w:sz w:val="18"/>
                <w:szCs w:val="18"/>
              </w:rPr>
              <w:t xml:space="preserve"> </w:t>
            </w:r>
          </w:p>
        </w:tc>
      </w:tr>
      <w:tr w:rsidR="00470A68" w:rsidRPr="00203E7D" w14:paraId="47D1B907" w14:textId="77777777" w:rsidTr="00A66A34">
        <w:trPr>
          <w:trHeight w:val="1998"/>
        </w:trPr>
        <w:tc>
          <w:tcPr>
            <w:tcW w:w="1147" w:type="dxa"/>
            <w:vMerge w:val="restart"/>
          </w:tcPr>
          <w:p w14:paraId="01AB7567" w14:textId="77777777" w:rsidR="00470A68" w:rsidRPr="00364DDC" w:rsidRDefault="00470A68" w:rsidP="004F538D">
            <w:pPr>
              <w:rPr>
                <w:rFonts w:cstheme="minorHAnsi"/>
                <w:b/>
                <w:sz w:val="18"/>
                <w:szCs w:val="18"/>
              </w:rPr>
            </w:pPr>
            <w:r>
              <w:rPr>
                <w:b/>
                <w:sz w:val="18"/>
                <w:szCs w:val="18"/>
              </w:rPr>
              <w:t>Processus</w:t>
            </w:r>
          </w:p>
          <w:p w14:paraId="29C3A1CC" w14:textId="77777777" w:rsidR="00470A68" w:rsidRPr="00364DDC" w:rsidRDefault="00470A68" w:rsidP="004F538D">
            <w:pPr>
              <w:rPr>
                <w:rFonts w:cstheme="minorHAnsi"/>
                <w:sz w:val="18"/>
                <w:szCs w:val="18"/>
              </w:rPr>
            </w:pPr>
          </w:p>
        </w:tc>
        <w:tc>
          <w:tcPr>
            <w:tcW w:w="6786" w:type="dxa"/>
          </w:tcPr>
          <w:p w14:paraId="6C03864B" w14:textId="746BEBE4" w:rsidR="00B31C98" w:rsidRDefault="00797584" w:rsidP="00183BD1">
            <w:pPr>
              <w:jc w:val="both"/>
              <w:rPr>
                <w:rFonts w:cstheme="minorHAnsi"/>
                <w:sz w:val="18"/>
                <w:szCs w:val="18"/>
              </w:rPr>
            </w:pPr>
            <w:r>
              <w:rPr>
                <w:sz w:val="18"/>
                <w:szCs w:val="18"/>
              </w:rPr>
              <w:t xml:space="preserve">13.4 Mesures adoptées pour garantir l'accès à l'aide juridique gratuite aux </w:t>
            </w:r>
            <w:r w:rsidR="00AF3591">
              <w:rPr>
                <w:sz w:val="18"/>
                <w:szCs w:val="18"/>
              </w:rPr>
              <w:t>personnes handicapées</w:t>
            </w:r>
            <w:r>
              <w:rPr>
                <w:sz w:val="18"/>
                <w:szCs w:val="18"/>
              </w:rPr>
              <w:t xml:space="preserve"> dans toutes les procédures judiciaires.</w:t>
            </w:r>
            <w:r w:rsidRPr="00364DDC">
              <w:rPr>
                <w:rStyle w:val="Appeldenotedefin"/>
                <w:rFonts w:cstheme="minorHAnsi"/>
                <w:sz w:val="18"/>
                <w:szCs w:val="18"/>
              </w:rPr>
              <w:endnoteReference w:id="4"/>
            </w:r>
          </w:p>
          <w:p w14:paraId="5FECFB81" w14:textId="6B458F6C" w:rsidR="00492D7F" w:rsidRDefault="00492D7F" w:rsidP="00183BD1">
            <w:pPr>
              <w:jc w:val="both"/>
              <w:rPr>
                <w:rFonts w:cstheme="minorHAnsi"/>
                <w:sz w:val="18"/>
                <w:szCs w:val="18"/>
              </w:rPr>
            </w:pPr>
            <w:r>
              <w:rPr>
                <w:sz w:val="18"/>
                <w:szCs w:val="18"/>
              </w:rPr>
              <w:t xml:space="preserve">13.5 Proportion de demandes d'assistance juridique et d'interprètes gratuits adressées par des </w:t>
            </w:r>
            <w:r w:rsidR="00AF3591">
              <w:rPr>
                <w:sz w:val="18"/>
                <w:szCs w:val="18"/>
              </w:rPr>
              <w:t>personnes handicapées</w:t>
            </w:r>
            <w:r>
              <w:rPr>
                <w:sz w:val="18"/>
                <w:szCs w:val="18"/>
              </w:rPr>
              <w:t xml:space="preserve"> accordées (procédures pénales et civiles) chaque année</w:t>
            </w:r>
          </w:p>
          <w:p w14:paraId="5D6491DF" w14:textId="688F5B50" w:rsidR="000C25AB" w:rsidRDefault="000C25AB" w:rsidP="008B19D3">
            <w:pPr>
              <w:jc w:val="both"/>
              <w:rPr>
                <w:rFonts w:cstheme="minorHAnsi"/>
                <w:sz w:val="18"/>
                <w:szCs w:val="18"/>
              </w:rPr>
            </w:pPr>
            <w:r>
              <w:rPr>
                <w:sz w:val="18"/>
                <w:szCs w:val="18"/>
              </w:rPr>
              <w:t>13.6 Mesures adoptées pour assurer la fourniture d'aménagements procéduraux et adaptés au sexe et à l'âge.</w:t>
            </w:r>
            <w:r w:rsidRPr="00364DDC">
              <w:rPr>
                <w:rStyle w:val="Appeldenotedefin"/>
                <w:rFonts w:cstheme="minorHAnsi"/>
                <w:sz w:val="18"/>
                <w:szCs w:val="18"/>
              </w:rPr>
              <w:endnoteReference w:id="5"/>
            </w:r>
          </w:p>
          <w:p w14:paraId="2A04EB7B" w14:textId="77777777" w:rsidR="004B7622" w:rsidRDefault="007B111F" w:rsidP="008B19D3">
            <w:pPr>
              <w:jc w:val="both"/>
              <w:rPr>
                <w:rFonts w:cstheme="minorHAnsi"/>
                <w:sz w:val="18"/>
                <w:szCs w:val="18"/>
              </w:rPr>
            </w:pPr>
            <w:r>
              <w:rPr>
                <w:sz w:val="18"/>
                <w:szCs w:val="18"/>
              </w:rPr>
              <w:t>13.7 Proportion de cas où le temps accordé aux personnes arrêtées avant de recevoir un avis d'accusation (au sens juridique et dans la langue qu'elles comprennent) a dépassé la limite légale ou obligatoire, ventilés par handicap.</w:t>
            </w:r>
          </w:p>
          <w:p w14:paraId="5122DD7C" w14:textId="669C1D57" w:rsidR="000A07E5" w:rsidRPr="000A07E5" w:rsidRDefault="000A07E5" w:rsidP="000A07E5">
            <w:pPr>
              <w:jc w:val="both"/>
              <w:rPr>
                <w:rFonts w:cstheme="minorHAnsi"/>
                <w:sz w:val="18"/>
                <w:szCs w:val="18"/>
              </w:rPr>
            </w:pPr>
            <w:r>
              <w:rPr>
                <w:sz w:val="18"/>
                <w:szCs w:val="18"/>
              </w:rPr>
              <w:t xml:space="preserve">13.8 Nombre et proportion d'installations judiciaires, de centres d'aide juridique, de commissariats de police, etc., accessibles aux </w:t>
            </w:r>
            <w:r w:rsidR="00AF3591">
              <w:rPr>
                <w:sz w:val="18"/>
                <w:szCs w:val="18"/>
              </w:rPr>
              <w:t>personnes handicapées</w:t>
            </w:r>
            <w:r>
              <w:rPr>
                <w:sz w:val="18"/>
                <w:szCs w:val="18"/>
              </w:rPr>
              <w:t>, ventilés par zone géographique.</w:t>
            </w:r>
          </w:p>
        </w:tc>
        <w:tc>
          <w:tcPr>
            <w:tcW w:w="7230" w:type="dxa"/>
          </w:tcPr>
          <w:p w14:paraId="6E128A3C" w14:textId="0E1E7D3B" w:rsidR="007B3E9E" w:rsidRPr="00364DDC" w:rsidRDefault="007B3E9E" w:rsidP="007B3E9E">
            <w:pPr>
              <w:jc w:val="both"/>
              <w:rPr>
                <w:rFonts w:cstheme="minorHAnsi"/>
                <w:sz w:val="18"/>
                <w:szCs w:val="18"/>
              </w:rPr>
            </w:pPr>
            <w:r>
              <w:rPr>
                <w:sz w:val="18"/>
                <w:szCs w:val="18"/>
              </w:rPr>
              <w:t xml:space="preserve">13.9 Adoption de mesures spécifiques pour promouvoir l'inclusion des </w:t>
            </w:r>
            <w:r w:rsidR="00AF3591">
              <w:rPr>
                <w:sz w:val="18"/>
                <w:szCs w:val="18"/>
              </w:rPr>
              <w:t>personnes handicapées</w:t>
            </w:r>
            <w:r>
              <w:rPr>
                <w:sz w:val="18"/>
                <w:szCs w:val="18"/>
              </w:rPr>
              <w:t xml:space="preserve"> dans le système judiciaire et les institutions connexes, en tant que juges, procureurs, police, personnel, etc.</w:t>
            </w:r>
          </w:p>
          <w:p w14:paraId="5BF7ADC1" w14:textId="42B7061E" w:rsidR="00470A68" w:rsidRPr="00364DDC" w:rsidRDefault="007B3E9E" w:rsidP="003C4316">
            <w:pPr>
              <w:jc w:val="both"/>
              <w:rPr>
                <w:rFonts w:cstheme="minorHAnsi"/>
                <w:sz w:val="18"/>
                <w:szCs w:val="18"/>
              </w:rPr>
            </w:pPr>
            <w:r>
              <w:rPr>
                <w:sz w:val="18"/>
                <w:szCs w:val="18"/>
              </w:rPr>
              <w:t xml:space="preserve">13.10 Nombre de demandes d'aménagements raisonnables et proportion de celles fournies aux </w:t>
            </w:r>
            <w:r w:rsidR="00AF3591">
              <w:rPr>
                <w:sz w:val="18"/>
                <w:szCs w:val="18"/>
              </w:rPr>
              <w:t>personnes handicapées</w:t>
            </w:r>
            <w:r>
              <w:rPr>
                <w:sz w:val="18"/>
                <w:szCs w:val="18"/>
              </w:rPr>
              <w:t xml:space="preserve"> dans les processus de recrutement et/ou pour exercer des fonctions en tant qu'employé du secteur de la justice (judiciaire, forces de l'ordre, services juridiques de l'État, etc.).</w:t>
            </w:r>
          </w:p>
        </w:tc>
      </w:tr>
      <w:tr w:rsidR="00470A68" w:rsidRPr="00203E7D" w14:paraId="63797F4E" w14:textId="77777777" w:rsidTr="00B3309B">
        <w:trPr>
          <w:trHeight w:val="2487"/>
        </w:trPr>
        <w:tc>
          <w:tcPr>
            <w:tcW w:w="1147" w:type="dxa"/>
            <w:vMerge/>
          </w:tcPr>
          <w:p w14:paraId="3B568985" w14:textId="77777777" w:rsidR="00470A68" w:rsidRPr="00364DDC" w:rsidRDefault="00470A68" w:rsidP="004F538D">
            <w:pPr>
              <w:rPr>
                <w:rFonts w:cstheme="minorHAnsi"/>
                <w:b/>
                <w:sz w:val="18"/>
                <w:szCs w:val="18"/>
              </w:rPr>
            </w:pPr>
          </w:p>
        </w:tc>
        <w:tc>
          <w:tcPr>
            <w:tcW w:w="14016" w:type="dxa"/>
            <w:gridSpan w:val="2"/>
          </w:tcPr>
          <w:p w14:paraId="08A38869" w14:textId="27469B3E" w:rsidR="008A0D34" w:rsidRPr="00364DDC" w:rsidRDefault="00B31C98" w:rsidP="00183BD1">
            <w:pPr>
              <w:jc w:val="both"/>
              <w:rPr>
                <w:rFonts w:cstheme="minorHAnsi"/>
                <w:sz w:val="18"/>
                <w:szCs w:val="18"/>
              </w:rPr>
            </w:pPr>
            <w:r>
              <w:rPr>
                <w:sz w:val="18"/>
                <w:szCs w:val="18"/>
              </w:rPr>
              <w:t>13.11 Normes d'accessibilité adoptées et appliquées à l'environnement bâti, aux transports et aux systèmes d'information et de communication liés au système judiciaire.</w:t>
            </w:r>
            <w:r w:rsidR="00B37FD5" w:rsidRPr="00364DDC">
              <w:rPr>
                <w:rStyle w:val="Appeldenotedefin"/>
                <w:rFonts w:cstheme="minorHAnsi"/>
                <w:sz w:val="18"/>
                <w:szCs w:val="18"/>
              </w:rPr>
              <w:endnoteReference w:id="6"/>
            </w:r>
          </w:p>
          <w:p w14:paraId="0F4EB9DF" w14:textId="027283E5" w:rsidR="00B37FD5" w:rsidRPr="00364DDC" w:rsidRDefault="00B37FD5" w:rsidP="00183BD1">
            <w:pPr>
              <w:jc w:val="both"/>
              <w:rPr>
                <w:rFonts w:cstheme="minorHAnsi"/>
                <w:sz w:val="18"/>
                <w:szCs w:val="18"/>
              </w:rPr>
            </w:pPr>
            <w:r>
              <w:rPr>
                <w:sz w:val="18"/>
                <w:szCs w:val="18"/>
              </w:rPr>
              <w:t xml:space="preserve">13.12 Nombre de demandes d'aménagements procéduraux et adaptés au genre et à l'âge et proportion de celles adressées aux </w:t>
            </w:r>
            <w:r w:rsidR="00AF3591">
              <w:rPr>
                <w:sz w:val="18"/>
                <w:szCs w:val="18"/>
              </w:rPr>
              <w:t>personnes handicapées</w:t>
            </w:r>
            <w:r>
              <w:rPr>
                <w:sz w:val="18"/>
                <w:szCs w:val="18"/>
              </w:rPr>
              <w:t xml:space="preserve"> pour permettre leur participation aux procédures judiciaires, ventilées par sexe, âge, handicap, domaine du droit/type de procédure (civile, pénale, etc.) et le rôle de la personne concernée (demandeur, défendeur, témoin, juré, etc.). </w:t>
            </w:r>
          </w:p>
          <w:p w14:paraId="311084B4" w14:textId="4820B497" w:rsidR="00B31C98" w:rsidRPr="00364DDC" w:rsidRDefault="00B31C98" w:rsidP="00183BD1">
            <w:pPr>
              <w:jc w:val="both"/>
              <w:rPr>
                <w:rFonts w:cstheme="minorHAnsi"/>
                <w:sz w:val="18"/>
                <w:szCs w:val="18"/>
              </w:rPr>
            </w:pPr>
            <w:r>
              <w:rPr>
                <w:sz w:val="18"/>
                <w:szCs w:val="18"/>
              </w:rPr>
              <w:t xml:space="preserve">13.13 Campagne et activités de sensibilisation aux droits des </w:t>
            </w:r>
            <w:r w:rsidR="00AF3591">
              <w:rPr>
                <w:sz w:val="18"/>
                <w:szCs w:val="18"/>
              </w:rPr>
              <w:t>personnes handicapées</w:t>
            </w:r>
            <w:r>
              <w:rPr>
                <w:sz w:val="18"/>
                <w:szCs w:val="18"/>
              </w:rPr>
              <w:t xml:space="preserve"> à l'accès à la justice, y compris l'accès à l'aide juridique, à l'aide aux victimes, aux recours et réparations disponibles et efficaces, ciblant les </w:t>
            </w:r>
            <w:r w:rsidR="00AF3591">
              <w:rPr>
                <w:sz w:val="18"/>
                <w:szCs w:val="18"/>
              </w:rPr>
              <w:t>personnes handicapées</w:t>
            </w:r>
            <w:r w:rsidR="00C240B7" w:rsidRPr="00364DDC">
              <w:rPr>
                <w:rStyle w:val="Appeldenotedefin"/>
                <w:rFonts w:cstheme="minorHAnsi"/>
                <w:sz w:val="18"/>
                <w:szCs w:val="18"/>
              </w:rPr>
              <w:endnoteReference w:id="7"/>
            </w:r>
            <w:r>
              <w:rPr>
                <w:sz w:val="18"/>
                <w:szCs w:val="18"/>
              </w:rPr>
              <w:t xml:space="preserve"> et d'autres, tels que les proches de </w:t>
            </w:r>
            <w:r w:rsidR="00AF3591">
              <w:rPr>
                <w:sz w:val="18"/>
                <w:szCs w:val="18"/>
              </w:rPr>
              <w:t>personnes handicapées</w:t>
            </w:r>
            <w:r>
              <w:rPr>
                <w:sz w:val="18"/>
                <w:szCs w:val="18"/>
              </w:rPr>
              <w:t>, les fonctionnaires et le grand public.</w:t>
            </w:r>
          </w:p>
          <w:p w14:paraId="258CD608" w14:textId="58DD4CAA" w:rsidR="00DD4746" w:rsidRPr="00593662" w:rsidRDefault="00DD4746" w:rsidP="00183BD1">
            <w:pPr>
              <w:jc w:val="both"/>
              <w:rPr>
                <w:rFonts w:cstheme="minorHAnsi"/>
                <w:sz w:val="18"/>
                <w:szCs w:val="18"/>
              </w:rPr>
            </w:pPr>
            <w:r>
              <w:rPr>
                <w:sz w:val="18"/>
                <w:szCs w:val="18"/>
              </w:rPr>
              <w:t>13.14 Nombre et proportion de magistrats, de juristes et de responsables de l'application des lois formés sur la CDPH, notamment sur l'approche du handicap fondée sur les droits de l'homme,</w:t>
            </w:r>
            <w:r w:rsidR="00D725A0">
              <w:rPr>
                <w:sz w:val="18"/>
                <w:szCs w:val="18"/>
              </w:rPr>
              <w:t xml:space="preserve"> l</w:t>
            </w:r>
            <w:r w:rsidR="00D725A0" w:rsidRPr="00D725A0">
              <w:rPr>
                <w:sz w:val="18"/>
                <w:szCs w:val="18"/>
              </w:rPr>
              <w:t>a capacité juridique universelle de toutes les personnes handicapée</w:t>
            </w:r>
            <w:r w:rsidR="00D725A0">
              <w:rPr>
                <w:sz w:val="18"/>
                <w:szCs w:val="18"/>
              </w:rPr>
              <w:t xml:space="preserve">s, </w:t>
            </w:r>
            <w:r w:rsidR="001D7469" w:rsidRPr="001D7469">
              <w:rPr>
                <w:sz w:val="18"/>
                <w:szCs w:val="18"/>
              </w:rPr>
              <w:t>la lutte contre les préjudices et stéréotypes néfastes liés au genre et au handicap</w:t>
            </w:r>
            <w:r w:rsidR="001D7469">
              <w:rPr>
                <w:sz w:val="18"/>
                <w:szCs w:val="18"/>
              </w:rPr>
              <w:t>,</w:t>
            </w:r>
            <w:r>
              <w:rPr>
                <w:sz w:val="18"/>
                <w:szCs w:val="18"/>
              </w:rPr>
              <w:t xml:space="preserve"> l'obligation d'assurer des aménagements procéduraux et la communication avec les </w:t>
            </w:r>
            <w:r w:rsidR="00AF3591">
              <w:rPr>
                <w:sz w:val="18"/>
                <w:szCs w:val="18"/>
              </w:rPr>
              <w:t>personnes handicapées</w:t>
            </w:r>
            <w:r>
              <w:rPr>
                <w:sz w:val="18"/>
                <w:szCs w:val="18"/>
              </w:rPr>
              <w:t>, notamment sur les moyens et modes de communication alternatifs.</w:t>
            </w:r>
          </w:p>
          <w:p w14:paraId="0A291152" w14:textId="60E71E84" w:rsidR="006E10B8" w:rsidRPr="00364DDC" w:rsidRDefault="008C4208" w:rsidP="00183BD1">
            <w:pPr>
              <w:jc w:val="both"/>
              <w:rPr>
                <w:rFonts w:cstheme="minorHAnsi"/>
                <w:color w:val="000000"/>
                <w:sz w:val="18"/>
                <w:szCs w:val="18"/>
              </w:rPr>
            </w:pPr>
            <w:r>
              <w:rPr>
                <w:sz w:val="18"/>
                <w:szCs w:val="18"/>
              </w:rPr>
              <w:t xml:space="preserve">13.15 Processus de consultation entrepris pour garantir la participation active des </w:t>
            </w:r>
            <w:r w:rsidR="00AF3591">
              <w:rPr>
                <w:sz w:val="18"/>
                <w:szCs w:val="18"/>
              </w:rPr>
              <w:t>personnes handicapées</w:t>
            </w:r>
            <w:r>
              <w:rPr>
                <w:sz w:val="18"/>
                <w:szCs w:val="18"/>
              </w:rPr>
              <w:t>, y compris par l</w:t>
            </w:r>
            <w:r w:rsidR="00A75BB5">
              <w:rPr>
                <w:sz w:val="18"/>
                <w:szCs w:val="18"/>
              </w:rPr>
              <w:t xml:space="preserve">’intermédiaire </w:t>
            </w:r>
            <w:r>
              <w:rPr>
                <w:sz w:val="18"/>
                <w:szCs w:val="18"/>
              </w:rPr>
              <w:t>de</w:t>
            </w:r>
            <w:r w:rsidR="00A75BB5">
              <w:rPr>
                <w:sz w:val="18"/>
                <w:szCs w:val="18"/>
              </w:rPr>
              <w:t>s</w:t>
            </w:r>
            <w:r>
              <w:rPr>
                <w:sz w:val="18"/>
                <w:szCs w:val="18"/>
              </w:rPr>
              <w:t xml:space="preserve"> organisations</w:t>
            </w:r>
            <w:r w:rsidR="00A75BB5">
              <w:rPr>
                <w:sz w:val="18"/>
                <w:szCs w:val="18"/>
              </w:rPr>
              <w:t xml:space="preserve"> qui les </w:t>
            </w:r>
            <w:r>
              <w:rPr>
                <w:sz w:val="18"/>
                <w:szCs w:val="18"/>
              </w:rPr>
              <w:t>représent</w:t>
            </w:r>
            <w:r w:rsidR="00A75BB5">
              <w:rPr>
                <w:sz w:val="18"/>
                <w:szCs w:val="18"/>
              </w:rPr>
              <w:t>ent</w:t>
            </w:r>
            <w:r>
              <w:rPr>
                <w:sz w:val="18"/>
                <w:szCs w:val="18"/>
              </w:rPr>
              <w:t xml:space="preserve">, à la conception, à la mise en œuvre et au suivi des lois, règlements, politiques et programmes </w:t>
            </w:r>
            <w:r>
              <w:rPr>
                <w:color w:val="000000"/>
                <w:sz w:val="18"/>
                <w:szCs w:val="18"/>
              </w:rPr>
              <w:t xml:space="preserve">relatifs au droit d'accès à la justice des </w:t>
            </w:r>
            <w:r w:rsidR="00AF3591">
              <w:rPr>
                <w:color w:val="000000"/>
                <w:sz w:val="18"/>
                <w:szCs w:val="18"/>
              </w:rPr>
              <w:t>personnes handicapées</w:t>
            </w:r>
            <w:r>
              <w:rPr>
                <w:color w:val="000000"/>
                <w:sz w:val="18"/>
                <w:szCs w:val="18"/>
              </w:rPr>
              <w:t>.</w:t>
            </w:r>
            <w:r w:rsidR="00470A68" w:rsidRPr="00364DDC">
              <w:rPr>
                <w:rStyle w:val="Appeldenotedefin"/>
                <w:rFonts w:cstheme="minorHAnsi"/>
                <w:sz w:val="18"/>
                <w:szCs w:val="18"/>
              </w:rPr>
              <w:endnoteReference w:id="8"/>
            </w:r>
          </w:p>
          <w:p w14:paraId="5E079204" w14:textId="3158147C" w:rsidR="00470A68" w:rsidRPr="00364DDC" w:rsidDel="00110663" w:rsidRDefault="008C4208" w:rsidP="00593662">
            <w:pPr>
              <w:jc w:val="both"/>
              <w:rPr>
                <w:rFonts w:cstheme="minorHAnsi"/>
                <w:color w:val="000000"/>
                <w:sz w:val="18"/>
                <w:szCs w:val="18"/>
              </w:rPr>
            </w:pPr>
            <w:r>
              <w:rPr>
                <w:color w:val="000000"/>
                <w:sz w:val="18"/>
                <w:szCs w:val="18"/>
              </w:rPr>
              <w:t xml:space="preserve">13.16 Budget alloué et dépensé pour des mesures visant à promouvoir l'accès à la justice pour les </w:t>
            </w:r>
            <w:r w:rsidR="00AF3591">
              <w:rPr>
                <w:color w:val="000000"/>
                <w:sz w:val="18"/>
                <w:szCs w:val="18"/>
              </w:rPr>
              <w:t>personnes handicapées</w:t>
            </w:r>
            <w:r>
              <w:rPr>
                <w:color w:val="000000"/>
                <w:sz w:val="18"/>
                <w:szCs w:val="18"/>
              </w:rPr>
              <w:t xml:space="preserve"> et leur participation au système judiciaire, y compris explicitement sur : a) l'aide juridique aux </w:t>
            </w:r>
            <w:r w:rsidR="00AF3591">
              <w:rPr>
                <w:color w:val="000000"/>
                <w:sz w:val="18"/>
                <w:szCs w:val="18"/>
              </w:rPr>
              <w:t>personnes handicapées</w:t>
            </w:r>
            <w:r>
              <w:rPr>
                <w:color w:val="000000"/>
                <w:sz w:val="18"/>
                <w:szCs w:val="18"/>
              </w:rPr>
              <w:t xml:space="preserve"> ; b) la formation des juges, procureurs, etc. ; et c) la fourniture d'aménagements procéduraux aux </w:t>
            </w:r>
            <w:r w:rsidR="00AF3591">
              <w:rPr>
                <w:color w:val="000000"/>
                <w:sz w:val="18"/>
                <w:szCs w:val="18"/>
              </w:rPr>
              <w:t>personnes handicapées</w:t>
            </w:r>
            <w:r>
              <w:rPr>
                <w:color w:val="000000"/>
                <w:sz w:val="18"/>
                <w:szCs w:val="18"/>
              </w:rPr>
              <w:t xml:space="preserve">. </w:t>
            </w:r>
          </w:p>
        </w:tc>
      </w:tr>
      <w:tr w:rsidR="00470A68" w:rsidRPr="00203E7D" w14:paraId="4B91F32E" w14:textId="77777777" w:rsidTr="00D34FEE">
        <w:tc>
          <w:tcPr>
            <w:tcW w:w="1147" w:type="dxa"/>
          </w:tcPr>
          <w:p w14:paraId="73C4FE8D" w14:textId="1CC54195" w:rsidR="00470A68" w:rsidRPr="00364DDC" w:rsidRDefault="00470A68" w:rsidP="004F538D">
            <w:pPr>
              <w:rPr>
                <w:rFonts w:cstheme="minorHAnsi"/>
                <w:b/>
                <w:sz w:val="18"/>
                <w:szCs w:val="18"/>
              </w:rPr>
            </w:pPr>
            <w:r>
              <w:rPr>
                <w:b/>
                <w:sz w:val="18"/>
                <w:szCs w:val="18"/>
              </w:rPr>
              <w:t>Résultats</w:t>
            </w:r>
          </w:p>
        </w:tc>
        <w:tc>
          <w:tcPr>
            <w:tcW w:w="6786" w:type="dxa"/>
          </w:tcPr>
          <w:p w14:paraId="232C0AC9" w14:textId="0E4D6B52" w:rsidR="00492D7F" w:rsidRPr="00492D7F" w:rsidRDefault="000A07E5" w:rsidP="00492D7F">
            <w:pPr>
              <w:autoSpaceDE w:val="0"/>
              <w:autoSpaceDN w:val="0"/>
              <w:adjustRightInd w:val="0"/>
              <w:jc w:val="both"/>
              <w:rPr>
                <w:rFonts w:cstheme="minorHAnsi"/>
                <w:sz w:val="18"/>
                <w:szCs w:val="18"/>
              </w:rPr>
            </w:pPr>
            <w:r>
              <w:rPr>
                <w:sz w:val="18"/>
                <w:szCs w:val="18"/>
              </w:rPr>
              <w:t>13.17 Proportion de personnes présentes au tribunal qui jugent les services et le tribunal hautement accessibles dans leur propre langue, y compris la langue des signes (enquête auprès du tribunal)</w:t>
            </w:r>
          </w:p>
          <w:p w14:paraId="3D3D1202" w14:textId="1B169B5C" w:rsidR="004934A4" w:rsidRPr="00B3309B" w:rsidRDefault="00A66A34" w:rsidP="00183BD1">
            <w:pPr>
              <w:autoSpaceDE w:val="0"/>
              <w:autoSpaceDN w:val="0"/>
              <w:adjustRightInd w:val="0"/>
              <w:jc w:val="both"/>
              <w:rPr>
                <w:rFonts w:cstheme="minorHAnsi"/>
                <w:sz w:val="18"/>
                <w:szCs w:val="18"/>
              </w:rPr>
            </w:pPr>
            <w:r>
              <w:rPr>
                <w:sz w:val="18"/>
                <w:szCs w:val="18"/>
              </w:rPr>
              <w:t xml:space="preserve">13.18 Nombre de plaintes déposées auprès du système judiciaire par des </w:t>
            </w:r>
            <w:r w:rsidR="00AF3591">
              <w:rPr>
                <w:sz w:val="18"/>
                <w:szCs w:val="18"/>
              </w:rPr>
              <w:t>personnes handicapées</w:t>
            </w:r>
            <w:r>
              <w:rPr>
                <w:sz w:val="18"/>
                <w:szCs w:val="18"/>
              </w:rPr>
              <w:t>, qui ont fait l'objet d'une enquête et d'une décision ; proportion de celles jugées en faveur du plaignant ; et proportion de ces dernières qui ont été respectées par le gouvernement et/ou le détenteur d'obligations ; à chaque fois ventilée par type de mécanisme, domaine juridique/type de procédure (civile, pénale, etc.), droits substantiels en jeu et recours accordés.</w:t>
            </w:r>
          </w:p>
          <w:p w14:paraId="559BAB7B" w14:textId="4D52E8BF" w:rsidR="00EB4202" w:rsidRPr="00B3309B" w:rsidRDefault="00A66A34" w:rsidP="00183BD1">
            <w:pPr>
              <w:autoSpaceDE w:val="0"/>
              <w:autoSpaceDN w:val="0"/>
              <w:adjustRightInd w:val="0"/>
              <w:jc w:val="both"/>
              <w:rPr>
                <w:rFonts w:cstheme="minorHAnsi"/>
                <w:sz w:val="18"/>
                <w:szCs w:val="18"/>
              </w:rPr>
            </w:pPr>
            <w:r>
              <w:rPr>
                <w:sz w:val="18"/>
                <w:szCs w:val="18"/>
              </w:rPr>
              <w:t xml:space="preserve">13.19 Proportion de crimes contre les </w:t>
            </w:r>
            <w:r w:rsidR="00AF3591">
              <w:rPr>
                <w:sz w:val="18"/>
                <w:szCs w:val="18"/>
              </w:rPr>
              <w:t>personnes handicapées</w:t>
            </w:r>
            <w:r>
              <w:rPr>
                <w:sz w:val="18"/>
                <w:szCs w:val="18"/>
              </w:rPr>
              <w:t xml:space="preserve"> portés devant les autorités judiciaires sur le nombre total de crimes, ventilés par sexe, âge et handicap de la victime.</w:t>
            </w:r>
          </w:p>
          <w:p w14:paraId="19FAF889" w14:textId="00B7B671" w:rsidR="001515E5" w:rsidRPr="00B3309B" w:rsidRDefault="00A66A34" w:rsidP="00183BD1">
            <w:pPr>
              <w:autoSpaceDE w:val="0"/>
              <w:autoSpaceDN w:val="0"/>
              <w:adjustRightInd w:val="0"/>
              <w:jc w:val="both"/>
              <w:rPr>
                <w:rFonts w:cstheme="minorHAnsi"/>
                <w:sz w:val="18"/>
                <w:szCs w:val="18"/>
              </w:rPr>
            </w:pPr>
            <w:r>
              <w:rPr>
                <w:sz w:val="18"/>
                <w:szCs w:val="18"/>
              </w:rPr>
              <w:t xml:space="preserve">13.20 Nombre et proportion de </w:t>
            </w:r>
            <w:r w:rsidR="00AF3591">
              <w:rPr>
                <w:sz w:val="18"/>
                <w:szCs w:val="18"/>
              </w:rPr>
              <w:t>personnes handicapées</w:t>
            </w:r>
            <w:r>
              <w:rPr>
                <w:sz w:val="18"/>
                <w:szCs w:val="18"/>
              </w:rPr>
              <w:t xml:space="preserve"> qui ont accès aux services d'aide aux victimes, par rapport aux autres, ventilées par sexe, âge, handicap et type de service.</w:t>
            </w:r>
          </w:p>
          <w:p w14:paraId="67664DB9" w14:textId="1F3E40A9" w:rsidR="001515E5" w:rsidRPr="00B3309B" w:rsidRDefault="00A66A34" w:rsidP="009F6D8C">
            <w:pPr>
              <w:autoSpaceDE w:val="0"/>
              <w:autoSpaceDN w:val="0"/>
              <w:adjustRightInd w:val="0"/>
              <w:jc w:val="both"/>
              <w:rPr>
                <w:rFonts w:cstheme="minorHAnsi"/>
                <w:sz w:val="18"/>
                <w:szCs w:val="18"/>
              </w:rPr>
            </w:pPr>
            <w:r>
              <w:rPr>
                <w:sz w:val="18"/>
                <w:szCs w:val="18"/>
              </w:rPr>
              <w:t xml:space="preserve">13.21 </w:t>
            </w:r>
            <w:r w:rsidR="00A75BB5" w:rsidRPr="00A75BB5">
              <w:rPr>
                <w:sz w:val="18"/>
                <w:szCs w:val="18"/>
              </w:rPr>
              <w:t>Proportion de la population carcérale en instance de jugement</w:t>
            </w:r>
            <w:r w:rsidR="00A75BB5">
              <w:rPr>
                <w:sz w:val="18"/>
                <w:szCs w:val="18"/>
              </w:rPr>
              <w:t xml:space="preserve"> </w:t>
            </w:r>
            <w:r>
              <w:rPr>
                <w:sz w:val="18"/>
                <w:szCs w:val="18"/>
              </w:rPr>
              <w:t>(indicateur ODD 16.3.2), ventilés par sexe, âge et handicap.</w:t>
            </w:r>
            <w:r w:rsidR="00A75BB5">
              <w:rPr>
                <w:sz w:val="18"/>
                <w:szCs w:val="18"/>
              </w:rPr>
              <w:t xml:space="preserve"> </w:t>
            </w:r>
            <w:r w:rsidR="00A75BB5">
              <w:t xml:space="preserve"> </w:t>
            </w:r>
          </w:p>
        </w:tc>
        <w:tc>
          <w:tcPr>
            <w:tcW w:w="7230" w:type="dxa"/>
          </w:tcPr>
          <w:p w14:paraId="643AE45F" w14:textId="546D8528" w:rsidR="00470A68" w:rsidRPr="00B3309B" w:rsidRDefault="00DD4746" w:rsidP="00183BD1">
            <w:pPr>
              <w:jc w:val="both"/>
              <w:rPr>
                <w:rFonts w:cstheme="minorHAnsi"/>
                <w:sz w:val="18"/>
                <w:szCs w:val="18"/>
              </w:rPr>
            </w:pPr>
            <w:r>
              <w:rPr>
                <w:sz w:val="18"/>
                <w:szCs w:val="18"/>
              </w:rPr>
              <w:t xml:space="preserve">13.22 Nombre et proportion de </w:t>
            </w:r>
            <w:r w:rsidR="00AF3591">
              <w:rPr>
                <w:sz w:val="18"/>
                <w:szCs w:val="18"/>
              </w:rPr>
              <w:t>personnes handicapées</w:t>
            </w:r>
            <w:r>
              <w:rPr>
                <w:sz w:val="18"/>
                <w:szCs w:val="18"/>
              </w:rPr>
              <w:t xml:space="preserve"> occupant des postes de juges, de procureurs, etc., au sein du système judiciaire et des institutions apparentées, ventilées par sexe, âge, handicap, position et secteur du système judiciaire/de justice. </w:t>
            </w:r>
          </w:p>
          <w:p w14:paraId="4272C89C" w14:textId="089A400A" w:rsidR="00470A68" w:rsidRPr="00B3309B" w:rsidRDefault="00A66A34" w:rsidP="00183BD1">
            <w:pPr>
              <w:jc w:val="both"/>
              <w:rPr>
                <w:rFonts w:cstheme="minorHAnsi"/>
                <w:sz w:val="18"/>
                <w:szCs w:val="18"/>
              </w:rPr>
            </w:pPr>
            <w:r>
              <w:rPr>
                <w:sz w:val="18"/>
                <w:szCs w:val="18"/>
              </w:rPr>
              <w:t xml:space="preserve">13.23 Nombre et proportion de </w:t>
            </w:r>
            <w:r w:rsidR="00AF3591">
              <w:rPr>
                <w:sz w:val="18"/>
                <w:szCs w:val="18"/>
              </w:rPr>
              <w:t>personnes handicapées</w:t>
            </w:r>
            <w:r>
              <w:rPr>
                <w:sz w:val="18"/>
                <w:szCs w:val="18"/>
              </w:rPr>
              <w:t xml:space="preserve"> qui participent aux procédures judiciaires, au sein du système judiciaire et des institutions connexes en tant que participants indirects (témoins, témoins experts, jurés, etc.) ventilées par sexe, âge, handicap, type de rôle et secteur de la justice/du système judiciaire.</w:t>
            </w:r>
          </w:p>
          <w:p w14:paraId="2A9259F6" w14:textId="604BFA40" w:rsidR="00470A68" w:rsidRPr="00B3309B" w:rsidRDefault="00470A68" w:rsidP="00183BD1">
            <w:pPr>
              <w:jc w:val="both"/>
              <w:rPr>
                <w:rFonts w:cstheme="minorHAnsi"/>
                <w:sz w:val="18"/>
                <w:szCs w:val="18"/>
              </w:rPr>
            </w:pPr>
          </w:p>
        </w:tc>
      </w:tr>
    </w:tbl>
    <w:p w14:paraId="78AF1730" w14:textId="3A4881D3" w:rsidR="00851BBF" w:rsidRDefault="00851BBF" w:rsidP="00B0552A">
      <w:pPr>
        <w:spacing w:after="120"/>
        <w:rPr>
          <w:rFonts w:cstheme="minorHAnsi"/>
          <w:sz w:val="20"/>
          <w:szCs w:val="20"/>
        </w:rPr>
      </w:pPr>
    </w:p>
    <w:p w14:paraId="0AA95771" w14:textId="77777777" w:rsidR="00851BBF" w:rsidRDefault="00851BBF">
      <w:pPr>
        <w:rPr>
          <w:rFonts w:cstheme="minorHAnsi"/>
          <w:sz w:val="20"/>
          <w:szCs w:val="20"/>
        </w:rPr>
      </w:pPr>
      <w:r>
        <w:rPr>
          <w:rFonts w:cstheme="minorHAnsi"/>
          <w:sz w:val="20"/>
          <w:szCs w:val="20"/>
        </w:rPr>
        <w:br w:type="page"/>
      </w:r>
    </w:p>
    <w:sectPr w:rsidR="00851BBF"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F23AB" w14:textId="77777777" w:rsidR="007077C0" w:rsidRDefault="007077C0" w:rsidP="00CA591E"/>
  </w:endnote>
  <w:endnote w:type="continuationSeparator" w:id="0">
    <w:p w14:paraId="2B80B96C" w14:textId="77777777" w:rsidR="007077C0" w:rsidRDefault="007077C0" w:rsidP="00CA591E">
      <w:r>
        <w:continuationSeparator/>
      </w:r>
    </w:p>
  </w:endnote>
  <w:endnote w:id="1">
    <w:p w14:paraId="36E4C6B9" w14:textId="4F4E3929" w:rsidR="00FD5BD4" w:rsidRDefault="00FD5BD4">
      <w:pPr>
        <w:pStyle w:val="Notedefin"/>
      </w:pPr>
      <w:r>
        <w:t>*</w:t>
      </w:r>
      <w:r w:rsidRPr="00FD5BD4">
        <w:rPr>
          <w:sz w:val="24"/>
          <w:szCs w:val="24"/>
        </w:rPr>
        <w:t xml:space="preserve"> </w:t>
      </w:r>
      <w:r w:rsidRPr="00FD5BD4">
        <w:t xml:space="preserve">Pour plus d’informations, veuillez voir les </w:t>
      </w:r>
      <w:hyperlink r:id="rId1" w:history="1">
        <w:r w:rsidRPr="00FD5BD4">
          <w:rPr>
            <w:rStyle w:val="Lienhypertexte"/>
          </w:rPr>
          <w:t>Principes et lignes directrices internationaux sur l’accès à la justice des personnes handicapées</w:t>
        </w:r>
      </w:hyperlink>
      <w:r w:rsidRPr="00FD5BD4">
        <w:t>, élaborés d’une initiative menée par la Rapporteuse spéciale sur les droits des personnes handicapées.</w:t>
      </w:r>
    </w:p>
    <w:p w14:paraId="634F1BE8" w14:textId="139ADB89" w:rsidR="00FC43B6" w:rsidRPr="000C3B24" w:rsidRDefault="00FC43B6">
      <w:pPr>
        <w:pStyle w:val="Notedefin"/>
        <w:rPr>
          <w:sz w:val="18"/>
          <w:szCs w:val="18"/>
        </w:rPr>
      </w:pPr>
      <w:r>
        <w:rPr>
          <w:rStyle w:val="Appeldenotedefin"/>
        </w:rPr>
        <w:endnoteRef/>
      </w:r>
      <w:r>
        <w:t xml:space="preserve"> </w:t>
      </w:r>
      <w:r>
        <w:rPr>
          <w:sz w:val="18"/>
          <w:szCs w:val="18"/>
        </w:rPr>
        <w:t xml:space="preserve">Cette législation doit comprendre : </w:t>
      </w:r>
    </w:p>
    <w:p w14:paraId="02E0D8C4" w14:textId="6E7DDB74" w:rsidR="00FC43B6" w:rsidRPr="000C3B24" w:rsidRDefault="00581C2B" w:rsidP="00CD1C65">
      <w:pPr>
        <w:pStyle w:val="Notedefin"/>
        <w:numPr>
          <w:ilvl w:val="0"/>
          <w:numId w:val="17"/>
        </w:numPr>
        <w:rPr>
          <w:sz w:val="18"/>
          <w:szCs w:val="18"/>
        </w:rPr>
      </w:pPr>
      <w:r>
        <w:rPr>
          <w:sz w:val="18"/>
          <w:szCs w:val="18"/>
        </w:rPr>
        <w:t>L</w:t>
      </w:r>
      <w:r w:rsidR="00FC43B6">
        <w:rPr>
          <w:sz w:val="18"/>
          <w:szCs w:val="18"/>
        </w:rPr>
        <w:t xml:space="preserve">a fourniture d'aménagements procéduraux, adaptés au sexe et à l'âge aux </w:t>
      </w:r>
      <w:r w:rsidR="00AF3591">
        <w:rPr>
          <w:sz w:val="18"/>
          <w:szCs w:val="18"/>
        </w:rPr>
        <w:t>personnes handicapées</w:t>
      </w:r>
      <w:r w:rsidR="00FC43B6">
        <w:rPr>
          <w:sz w:val="18"/>
          <w:szCs w:val="18"/>
        </w:rPr>
        <w:t xml:space="preserve"> dans toutes les procédures judiciaires pour garantir leur accès à la justice sur la base de l'égalité avec les autres.</w:t>
      </w:r>
    </w:p>
    <w:p w14:paraId="2159B823" w14:textId="6D58D2D8" w:rsidR="00FC43B6" w:rsidRPr="000C3B24" w:rsidRDefault="00581C2B" w:rsidP="00CD1C65">
      <w:pPr>
        <w:pStyle w:val="Notedefin"/>
        <w:numPr>
          <w:ilvl w:val="0"/>
          <w:numId w:val="17"/>
        </w:numPr>
        <w:rPr>
          <w:sz w:val="18"/>
          <w:szCs w:val="18"/>
        </w:rPr>
      </w:pPr>
      <w:r>
        <w:rPr>
          <w:sz w:val="18"/>
          <w:szCs w:val="18"/>
        </w:rPr>
        <w:t>D</w:t>
      </w:r>
      <w:r w:rsidR="000063F9">
        <w:rPr>
          <w:sz w:val="18"/>
          <w:szCs w:val="18"/>
        </w:rPr>
        <w:t xml:space="preserve">es dispositions visant à garantir que les </w:t>
      </w:r>
      <w:r w:rsidR="00AF3591">
        <w:rPr>
          <w:sz w:val="18"/>
          <w:szCs w:val="18"/>
        </w:rPr>
        <w:t>personnes handicapées</w:t>
      </w:r>
      <w:r w:rsidR="000063F9">
        <w:rPr>
          <w:sz w:val="18"/>
          <w:szCs w:val="18"/>
        </w:rPr>
        <w:t xml:space="preserve"> exercent leur droit à la capacité juridique, y compris en prévoyant une prise de décision assistée (article 12 de la CDPH).</w:t>
      </w:r>
    </w:p>
    <w:p w14:paraId="33B07B1F" w14:textId="3477F4C1" w:rsidR="006E39EB" w:rsidRPr="009D73C2" w:rsidRDefault="00581C2B" w:rsidP="00CD1C65">
      <w:pPr>
        <w:pStyle w:val="Notedefin"/>
        <w:numPr>
          <w:ilvl w:val="0"/>
          <w:numId w:val="17"/>
        </w:numPr>
        <w:rPr>
          <w:sz w:val="18"/>
          <w:szCs w:val="18"/>
        </w:rPr>
      </w:pPr>
      <w:r>
        <w:rPr>
          <w:sz w:val="18"/>
          <w:szCs w:val="18"/>
        </w:rPr>
        <w:t>C</w:t>
      </w:r>
      <w:r w:rsidR="000063F9">
        <w:rPr>
          <w:sz w:val="18"/>
          <w:szCs w:val="18"/>
        </w:rPr>
        <w:t xml:space="preserve">onformément à l'article 5 (indicateurs 5.1 et 5.6) de la CDPH, des dispositions permettant la présentation d'allégations de discrimination multiple et croisée pour divers motifs, ainsi que des dispositions visant à renforcer l'accès à la justice des </w:t>
      </w:r>
      <w:r w:rsidR="00AF3591">
        <w:rPr>
          <w:sz w:val="18"/>
          <w:szCs w:val="18"/>
        </w:rPr>
        <w:t>personnes handicapées</w:t>
      </w:r>
      <w:r w:rsidR="000063F9">
        <w:rPr>
          <w:sz w:val="18"/>
          <w:szCs w:val="18"/>
        </w:rPr>
        <w:t xml:space="preserve"> à plus haut risque de marginalisation, telles que les femmes handicap</w:t>
      </w:r>
      <w:r w:rsidR="00AF3591">
        <w:rPr>
          <w:sz w:val="18"/>
          <w:szCs w:val="18"/>
        </w:rPr>
        <w:t>ées</w:t>
      </w:r>
      <w:r w:rsidR="000063F9">
        <w:rPr>
          <w:sz w:val="18"/>
          <w:szCs w:val="18"/>
        </w:rPr>
        <w:t>, les enfants handicap</w:t>
      </w:r>
      <w:r w:rsidR="00AF3591">
        <w:rPr>
          <w:sz w:val="18"/>
          <w:szCs w:val="18"/>
        </w:rPr>
        <w:t>és</w:t>
      </w:r>
      <w:r w:rsidR="000063F9">
        <w:rPr>
          <w:sz w:val="18"/>
          <w:szCs w:val="18"/>
        </w:rPr>
        <w:t xml:space="preserve"> et les </w:t>
      </w:r>
      <w:r w:rsidR="00AF3591">
        <w:rPr>
          <w:sz w:val="18"/>
          <w:szCs w:val="18"/>
        </w:rPr>
        <w:t xml:space="preserve">personnes </w:t>
      </w:r>
      <w:r w:rsidR="000063F9">
        <w:rPr>
          <w:sz w:val="18"/>
          <w:szCs w:val="18"/>
        </w:rPr>
        <w:t>autochtones handicap</w:t>
      </w:r>
      <w:r w:rsidR="00AF3591">
        <w:rPr>
          <w:sz w:val="18"/>
          <w:szCs w:val="18"/>
        </w:rPr>
        <w:t>és</w:t>
      </w:r>
      <w:r w:rsidR="000063F9">
        <w:rPr>
          <w:sz w:val="18"/>
          <w:szCs w:val="18"/>
        </w:rPr>
        <w:t xml:space="preserve">. </w:t>
      </w:r>
    </w:p>
    <w:p w14:paraId="4BD4B1C9" w14:textId="4D129C86" w:rsidR="006E39EB" w:rsidRDefault="00581C2B" w:rsidP="00CD1C65">
      <w:pPr>
        <w:pStyle w:val="Notedefin"/>
        <w:numPr>
          <w:ilvl w:val="0"/>
          <w:numId w:val="17"/>
        </w:numPr>
        <w:rPr>
          <w:sz w:val="18"/>
          <w:szCs w:val="18"/>
        </w:rPr>
      </w:pPr>
      <w:r>
        <w:rPr>
          <w:sz w:val="18"/>
          <w:szCs w:val="18"/>
        </w:rPr>
        <w:t>D</w:t>
      </w:r>
      <w:r w:rsidR="000063F9">
        <w:rPr>
          <w:sz w:val="18"/>
          <w:szCs w:val="18"/>
        </w:rPr>
        <w:t>es dispositions garantissant des recours et des sanctions adéquats, proportionnés et efficaces.</w:t>
      </w:r>
      <w:r>
        <w:rPr>
          <w:sz w:val="18"/>
          <w:szCs w:val="18"/>
        </w:rPr>
        <w:t xml:space="preserve"> </w:t>
      </w:r>
    </w:p>
    <w:p w14:paraId="2A37DBD4" w14:textId="7B3078D3" w:rsidR="006C21B3" w:rsidRPr="006C21B3" w:rsidRDefault="00581C2B" w:rsidP="006C21B3">
      <w:pPr>
        <w:pStyle w:val="Notedefin"/>
        <w:numPr>
          <w:ilvl w:val="0"/>
          <w:numId w:val="17"/>
        </w:numPr>
        <w:rPr>
          <w:sz w:val="18"/>
          <w:szCs w:val="18"/>
        </w:rPr>
      </w:pPr>
      <w:r>
        <w:rPr>
          <w:sz w:val="18"/>
          <w:szCs w:val="18"/>
        </w:rPr>
        <w:t>L</w:t>
      </w:r>
      <w:r w:rsidR="006C21B3">
        <w:rPr>
          <w:sz w:val="18"/>
          <w:szCs w:val="18"/>
        </w:rPr>
        <w:t xml:space="preserve">a fourniture d'aménagements et d'un soutien raisonnables aux </w:t>
      </w:r>
      <w:r w:rsidR="00AF3591">
        <w:rPr>
          <w:sz w:val="18"/>
          <w:szCs w:val="18"/>
        </w:rPr>
        <w:t>personnes handicapées</w:t>
      </w:r>
      <w:r w:rsidR="006C21B3">
        <w:rPr>
          <w:sz w:val="18"/>
          <w:szCs w:val="18"/>
        </w:rPr>
        <w:t xml:space="preserve"> pour qu'elles puissent participer et travailler aux procédures judiciaires et au sein du système judiciaire sur la base de l'égalité avec les autres. </w:t>
      </w:r>
    </w:p>
  </w:endnote>
  <w:endnote w:id="2">
    <w:p w14:paraId="3FF11BC0" w14:textId="2283F806" w:rsidR="00FC43B6" w:rsidRPr="009D73C2" w:rsidRDefault="00FC43B6" w:rsidP="00183BD1">
      <w:pPr>
        <w:jc w:val="both"/>
        <w:rPr>
          <w:rFonts w:cstheme="minorHAnsi"/>
          <w:sz w:val="18"/>
          <w:szCs w:val="18"/>
        </w:rPr>
      </w:pPr>
      <w:r>
        <w:rPr>
          <w:rStyle w:val="Appeldenotedefin"/>
          <w:sz w:val="18"/>
          <w:szCs w:val="18"/>
        </w:rPr>
        <w:endnoteRef/>
      </w:r>
      <w:r>
        <w:t xml:space="preserve"> </w:t>
      </w:r>
      <w:proofErr w:type="gramStart"/>
      <w:r>
        <w:rPr>
          <w:sz w:val="18"/>
          <w:szCs w:val="18"/>
        </w:rPr>
        <w:t>Cela comprend ni</w:t>
      </w:r>
      <w:proofErr w:type="gramEnd"/>
      <w:r>
        <w:rPr>
          <w:sz w:val="18"/>
          <w:szCs w:val="18"/>
        </w:rPr>
        <w:t xml:space="preserve"> refus ni restriction dans la loi d'accéder à la justice ou de participer au système judiciaire sur la base d'un handicap, tels que :</w:t>
      </w:r>
    </w:p>
    <w:p w14:paraId="1FC27CC1" w14:textId="797366B4" w:rsidR="00FC43B6" w:rsidRPr="009D73C2" w:rsidRDefault="00FC43B6" w:rsidP="00183BD1">
      <w:pPr>
        <w:pStyle w:val="Paragraphedeliste"/>
        <w:numPr>
          <w:ilvl w:val="0"/>
          <w:numId w:val="5"/>
        </w:numPr>
        <w:jc w:val="both"/>
        <w:rPr>
          <w:rFonts w:cstheme="minorHAnsi"/>
          <w:sz w:val="18"/>
          <w:szCs w:val="18"/>
        </w:rPr>
      </w:pPr>
      <w:r>
        <w:rPr>
          <w:sz w:val="18"/>
          <w:szCs w:val="18"/>
        </w:rPr>
        <w:t>Refus de légalité sur la base d'un handicap (y compris par privation formelle ou restriction de la capacité juridique) en contradiction avec l'article 12 de la CDPH.</w:t>
      </w:r>
    </w:p>
    <w:p w14:paraId="784FC87D" w14:textId="4C686212" w:rsidR="00FC43B6" w:rsidRPr="00BE4B26" w:rsidRDefault="005A1B54">
      <w:pPr>
        <w:pStyle w:val="Paragraphedeliste"/>
        <w:numPr>
          <w:ilvl w:val="0"/>
          <w:numId w:val="5"/>
        </w:numPr>
        <w:jc w:val="both"/>
        <w:rPr>
          <w:rFonts w:cstheme="minorHAnsi"/>
          <w:sz w:val="18"/>
          <w:szCs w:val="18"/>
        </w:rPr>
      </w:pPr>
      <w:r>
        <w:rPr>
          <w:sz w:val="18"/>
          <w:szCs w:val="18"/>
        </w:rPr>
        <w:t>Refus de la possibilité de présenter des éléments de preuve ou de témoigner en tant que témoin sur la base d'un handicap et de stigmates connexes (par exemple, statut de capacité juridique, être jugé non crédible, etc.).</w:t>
      </w:r>
    </w:p>
    <w:p w14:paraId="052B92E1" w14:textId="0D98355C" w:rsidR="00FC43B6" w:rsidRPr="009D73C2" w:rsidRDefault="00FC43B6" w:rsidP="00183BD1">
      <w:pPr>
        <w:pStyle w:val="Paragraphedeliste"/>
        <w:numPr>
          <w:ilvl w:val="0"/>
          <w:numId w:val="5"/>
        </w:numPr>
        <w:jc w:val="both"/>
        <w:rPr>
          <w:sz w:val="18"/>
          <w:szCs w:val="18"/>
        </w:rPr>
      </w:pPr>
      <w:r>
        <w:rPr>
          <w:sz w:val="18"/>
          <w:szCs w:val="18"/>
        </w:rPr>
        <w:t xml:space="preserve">Exigence de représentation légale obligatoire par un tuteur ou une institution pour les </w:t>
      </w:r>
      <w:r w:rsidR="00AF3591">
        <w:rPr>
          <w:sz w:val="18"/>
          <w:szCs w:val="18"/>
        </w:rPr>
        <w:t>personnes handicapées</w:t>
      </w:r>
      <w:r>
        <w:rPr>
          <w:sz w:val="18"/>
          <w:szCs w:val="18"/>
        </w:rPr>
        <w:t xml:space="preserve"> résidant actuellement dans des institutions en contradiction avec les articles 12 et 19 de la CDPH.</w:t>
      </w:r>
    </w:p>
    <w:p w14:paraId="46E28331" w14:textId="2343C3E5" w:rsidR="00FC43B6" w:rsidRPr="009D73C2" w:rsidRDefault="00897637" w:rsidP="009D73C2">
      <w:pPr>
        <w:pStyle w:val="Paragraphedeliste"/>
        <w:numPr>
          <w:ilvl w:val="0"/>
          <w:numId w:val="5"/>
        </w:numPr>
        <w:jc w:val="both"/>
        <w:rPr>
          <w:sz w:val="18"/>
          <w:szCs w:val="18"/>
        </w:rPr>
      </w:pPr>
      <w:r>
        <w:rPr>
          <w:sz w:val="18"/>
          <w:szCs w:val="18"/>
        </w:rPr>
        <w:t xml:space="preserve">Exigences qui empêchent les </w:t>
      </w:r>
      <w:r w:rsidR="00AF3591">
        <w:rPr>
          <w:sz w:val="18"/>
          <w:szCs w:val="18"/>
        </w:rPr>
        <w:t>personnes handicapées</w:t>
      </w:r>
      <w:r>
        <w:rPr>
          <w:sz w:val="18"/>
          <w:szCs w:val="18"/>
        </w:rPr>
        <w:t xml:space="preserve"> de postuler et d'être admises dans des facultés de droit ou des institutions de formation judiciaire, d'exercer le droit et d'exercer des fonctions de juge.</w:t>
      </w:r>
    </w:p>
  </w:endnote>
  <w:endnote w:id="3">
    <w:p w14:paraId="5349537E" w14:textId="79BEE7E1" w:rsidR="00FC43B6" w:rsidRPr="009D73C2" w:rsidRDefault="00FC43B6" w:rsidP="008F6E12">
      <w:pPr>
        <w:pStyle w:val="Notedefin"/>
        <w:jc w:val="both"/>
        <w:rPr>
          <w:sz w:val="18"/>
          <w:szCs w:val="18"/>
        </w:rPr>
      </w:pPr>
      <w:r>
        <w:rPr>
          <w:rStyle w:val="Appeldenotedefin"/>
          <w:sz w:val="18"/>
          <w:szCs w:val="18"/>
        </w:rPr>
        <w:endnoteRef/>
      </w:r>
      <w:r>
        <w:t xml:space="preserve"> </w:t>
      </w:r>
      <w:r>
        <w:rPr>
          <w:sz w:val="18"/>
          <w:szCs w:val="18"/>
        </w:rPr>
        <w:t>Le détournement des poursuites pénales fondées sur des prémisses juridiques telles que « l'inaptitude à subir son procès », « la défense d'aliénation mentale », « l'</w:t>
      </w:r>
      <w:proofErr w:type="spellStart"/>
      <w:r>
        <w:rPr>
          <w:sz w:val="18"/>
          <w:szCs w:val="18"/>
        </w:rPr>
        <w:t>inimputabilité</w:t>
      </w:r>
      <w:proofErr w:type="spellEnd"/>
      <w:r>
        <w:rPr>
          <w:sz w:val="18"/>
          <w:szCs w:val="18"/>
        </w:rPr>
        <w:t xml:space="preserve"> » et la « responsabilité non pénale », exclut les </w:t>
      </w:r>
      <w:r w:rsidR="00AF3591">
        <w:rPr>
          <w:sz w:val="18"/>
          <w:szCs w:val="18"/>
        </w:rPr>
        <w:t>personnes handicapées</w:t>
      </w:r>
      <w:r>
        <w:rPr>
          <w:sz w:val="18"/>
          <w:szCs w:val="18"/>
        </w:rPr>
        <w:t xml:space="preserve"> des garanties substantielles et procédurales sur la base d'une atteinte à l'intégrité contraire à l'article 13 et conduit à une privation de liberté sur la base d'une atteinte à la santé contraire à l'article 14 de la CDPH. </w:t>
      </w:r>
    </w:p>
  </w:endnote>
  <w:endnote w:id="4">
    <w:p w14:paraId="2D488DEF" w14:textId="1D65945F" w:rsidR="00797584" w:rsidRPr="009D73C2" w:rsidRDefault="00797584" w:rsidP="005509F7">
      <w:pPr>
        <w:pStyle w:val="Notedefin"/>
        <w:jc w:val="both"/>
        <w:rPr>
          <w:sz w:val="18"/>
          <w:szCs w:val="18"/>
        </w:rPr>
      </w:pPr>
      <w:r>
        <w:rPr>
          <w:rStyle w:val="Appeldenotedefin"/>
          <w:sz w:val="18"/>
          <w:szCs w:val="18"/>
        </w:rPr>
        <w:endnoteRef/>
      </w:r>
      <w:r>
        <w:t xml:space="preserve"> </w:t>
      </w:r>
      <w:r>
        <w:rPr>
          <w:sz w:val="18"/>
          <w:szCs w:val="18"/>
        </w:rPr>
        <w:t>Une attention particulière devrait être accordée à cet égard aux femmes handicap</w:t>
      </w:r>
      <w:r w:rsidR="00AF3591">
        <w:rPr>
          <w:sz w:val="18"/>
          <w:szCs w:val="18"/>
        </w:rPr>
        <w:t>ées</w:t>
      </w:r>
      <w:r>
        <w:rPr>
          <w:sz w:val="18"/>
          <w:szCs w:val="18"/>
        </w:rPr>
        <w:t>, aux enfants handicap</w:t>
      </w:r>
      <w:r w:rsidR="00AF3591">
        <w:rPr>
          <w:sz w:val="18"/>
          <w:szCs w:val="18"/>
        </w:rPr>
        <w:t>és</w:t>
      </w:r>
      <w:r>
        <w:rPr>
          <w:sz w:val="18"/>
          <w:szCs w:val="18"/>
        </w:rPr>
        <w:t xml:space="preserve">, aux personnes sourdes, aux </w:t>
      </w:r>
      <w:r w:rsidR="00AF3591">
        <w:rPr>
          <w:sz w:val="18"/>
          <w:szCs w:val="18"/>
        </w:rPr>
        <w:t>personnes handicapées</w:t>
      </w:r>
      <w:r>
        <w:rPr>
          <w:sz w:val="18"/>
          <w:szCs w:val="18"/>
        </w:rPr>
        <w:t xml:space="preserve"> psychosocial</w:t>
      </w:r>
      <w:r w:rsidR="00AF3591">
        <w:rPr>
          <w:sz w:val="18"/>
          <w:szCs w:val="18"/>
        </w:rPr>
        <w:t>es</w:t>
      </w:r>
      <w:r>
        <w:rPr>
          <w:sz w:val="18"/>
          <w:szCs w:val="18"/>
        </w:rPr>
        <w:t xml:space="preserve">, aux </w:t>
      </w:r>
      <w:r w:rsidR="00AF3591">
        <w:rPr>
          <w:sz w:val="18"/>
          <w:szCs w:val="18"/>
        </w:rPr>
        <w:t>personnes handicapées</w:t>
      </w:r>
      <w:r>
        <w:rPr>
          <w:sz w:val="18"/>
          <w:szCs w:val="18"/>
        </w:rPr>
        <w:t xml:space="preserve"> </w:t>
      </w:r>
      <w:r w:rsidR="00AF3591">
        <w:rPr>
          <w:sz w:val="18"/>
          <w:szCs w:val="18"/>
        </w:rPr>
        <w:t>intellectuelles</w:t>
      </w:r>
      <w:r>
        <w:rPr>
          <w:sz w:val="18"/>
          <w:szCs w:val="18"/>
        </w:rPr>
        <w:t xml:space="preserve">, aux </w:t>
      </w:r>
      <w:r w:rsidR="00AF3591">
        <w:rPr>
          <w:sz w:val="18"/>
          <w:szCs w:val="18"/>
        </w:rPr>
        <w:t>personnes handicapées</w:t>
      </w:r>
      <w:r>
        <w:rPr>
          <w:sz w:val="18"/>
          <w:szCs w:val="18"/>
        </w:rPr>
        <w:t xml:space="preserve"> vivant dans des institutions résidentielles et aux </w:t>
      </w:r>
      <w:r w:rsidR="00AF3591">
        <w:rPr>
          <w:sz w:val="18"/>
          <w:szCs w:val="18"/>
        </w:rPr>
        <w:t>personnes handicapées</w:t>
      </w:r>
      <w:r>
        <w:rPr>
          <w:sz w:val="18"/>
          <w:szCs w:val="18"/>
        </w:rPr>
        <w:t xml:space="preserve"> d'origine autochtone ou appartenant à des minorités, et à veiller à ce que les informations et les communications soient accessibles et dans des langues qu'elles comprennent, y compris la prestation d'interprétation dans les langues des signes et les langues autochtones/minoritaires.</w:t>
      </w:r>
    </w:p>
  </w:endnote>
  <w:endnote w:id="5">
    <w:p w14:paraId="1D7F6D90" w14:textId="1731D288" w:rsidR="000C25AB" w:rsidRPr="009D73C2" w:rsidRDefault="000C25AB" w:rsidP="00326F01">
      <w:pPr>
        <w:pStyle w:val="Notedefin"/>
        <w:rPr>
          <w:sz w:val="18"/>
          <w:szCs w:val="18"/>
        </w:rPr>
      </w:pPr>
      <w:r>
        <w:rPr>
          <w:rStyle w:val="Appeldenotedefin"/>
          <w:sz w:val="18"/>
          <w:szCs w:val="18"/>
        </w:rPr>
        <w:endnoteRef/>
      </w:r>
      <w:r>
        <w:t xml:space="preserve"> </w:t>
      </w:r>
      <w:r>
        <w:rPr>
          <w:sz w:val="18"/>
          <w:szCs w:val="18"/>
        </w:rPr>
        <w:t xml:space="preserve">Sur demande, la mise à disposition d’aménagement de procédures est due dans « toutes les procédures judiciaires et administratives » et doit être fondée sur le libre choix et la préférence de la personne concernée. Des exemples d'aménagement procédural sont la prestation d'interprétation en langue des signes, la disponibilité d'informations juridiques et judiciaires dans des formats accessibles, de multiples moyens de communication, des versions faciles à lire des documents, la participation en braille et à distance et des témoignages par liaison vidéo, la fourniture de </w:t>
      </w:r>
      <w:r>
        <w:rPr>
          <w:bCs/>
          <w:sz w:val="18"/>
          <w:szCs w:val="18"/>
        </w:rPr>
        <w:t>technologies</w:t>
      </w:r>
      <w:r>
        <w:rPr>
          <w:sz w:val="18"/>
          <w:szCs w:val="18"/>
        </w:rPr>
        <w:t xml:space="preserve"> d' </w:t>
      </w:r>
      <w:r>
        <w:rPr>
          <w:bCs/>
          <w:sz w:val="18"/>
          <w:szCs w:val="18"/>
        </w:rPr>
        <w:t>assistance</w:t>
      </w:r>
      <w:r>
        <w:rPr>
          <w:sz w:val="18"/>
          <w:szCs w:val="18"/>
        </w:rPr>
        <w:t>, l'assistance personnelle ; flexibilité procédurale pour tenir compte des exigences spécifiques de participation, par exemple changer le lieu du tribunal, permettre aux interprètes en langue des signes de participer aux débats confidentiels du jury, prolonger ou ajuster les délais de procédure et autres formalités et délais de procédure (voir HCDH,</w:t>
      </w:r>
      <w:r>
        <w:t xml:space="preserve"> </w:t>
      </w:r>
      <w:hyperlink r:id="rId2" w:history="1">
        <w:r>
          <w:rPr>
            <w:rStyle w:val="Lienhypertexte"/>
            <w:sz w:val="18"/>
            <w:szCs w:val="18"/>
          </w:rPr>
          <w:t>A/HRC/37/25</w:t>
        </w:r>
      </w:hyperlink>
      <w:r>
        <w:rPr>
          <w:sz w:val="18"/>
          <w:szCs w:val="18"/>
        </w:rPr>
        <w:t>, para. 24).</w:t>
      </w:r>
    </w:p>
  </w:endnote>
  <w:endnote w:id="6">
    <w:p w14:paraId="7AA463EA" w14:textId="5CF9D4F4" w:rsidR="00B37FD5" w:rsidRPr="009D73C2" w:rsidRDefault="00B37FD5" w:rsidP="00183BD1">
      <w:pPr>
        <w:pStyle w:val="Notedefin"/>
        <w:jc w:val="both"/>
        <w:rPr>
          <w:sz w:val="18"/>
          <w:szCs w:val="18"/>
          <w:highlight w:val="yellow"/>
        </w:rPr>
      </w:pPr>
      <w:r>
        <w:rPr>
          <w:rStyle w:val="Appeldenotedefin"/>
          <w:sz w:val="18"/>
          <w:szCs w:val="18"/>
        </w:rPr>
        <w:endnoteRef/>
      </w:r>
      <w:r>
        <w:t xml:space="preserve"> </w:t>
      </w:r>
      <w:r>
        <w:rPr>
          <w:sz w:val="18"/>
          <w:szCs w:val="18"/>
        </w:rPr>
        <w:t xml:space="preserve">Cela comprend les cours et tribunaux, les postes de police, les services de soutien aux victimes et les refuges, la fourniture gratuite de la lecture facile, du braille, de formats numériques accessibles et de l'interprétation dans une langue comprise par les parties et les participants, y compris la langue des signes et les langues autochtones/minoritaires. En particulier, les tendances actuelles en matière de numérisation des procédures judiciaires et d'autres utilisations des nouvelles technologies visant à accroître l'efficacité de l'administration de la justice ne doivent ni créer de nouveaux obstacles pour les </w:t>
      </w:r>
      <w:r w:rsidR="00AF3591">
        <w:rPr>
          <w:sz w:val="18"/>
          <w:szCs w:val="18"/>
        </w:rPr>
        <w:t>personnes handicapées</w:t>
      </w:r>
      <w:r>
        <w:rPr>
          <w:sz w:val="18"/>
          <w:szCs w:val="18"/>
        </w:rPr>
        <w:t>, ni empêcher la fourniture d'aménagements procéduraux adaptés à l'âge, ni la flexibilité requise de procédure. L'accessibilité des tribunaux en termes de situation géographique et de distance et de transports disponibles doit également être prise en compte.</w:t>
      </w:r>
    </w:p>
  </w:endnote>
  <w:endnote w:id="7">
    <w:p w14:paraId="5667CC56" w14:textId="195561E6" w:rsidR="00C240B7" w:rsidRPr="009D73C2" w:rsidRDefault="00C240B7" w:rsidP="00C240B7">
      <w:pPr>
        <w:pStyle w:val="Notedefin"/>
        <w:rPr>
          <w:sz w:val="18"/>
          <w:szCs w:val="18"/>
        </w:rPr>
      </w:pPr>
      <w:r>
        <w:rPr>
          <w:rStyle w:val="Appeldenotedefin"/>
          <w:sz w:val="18"/>
          <w:szCs w:val="18"/>
        </w:rPr>
        <w:endnoteRef/>
      </w:r>
      <w:r>
        <w:t xml:space="preserve"> </w:t>
      </w:r>
      <w:r>
        <w:rPr>
          <w:sz w:val="18"/>
          <w:szCs w:val="18"/>
        </w:rPr>
        <w:t xml:space="preserve">En particulier, ceux qui se heurtent à des obstacles importants, notamment les </w:t>
      </w:r>
      <w:r w:rsidR="00AF3591">
        <w:rPr>
          <w:sz w:val="18"/>
          <w:szCs w:val="18"/>
        </w:rPr>
        <w:t>personnes handicapées</w:t>
      </w:r>
      <w:r>
        <w:rPr>
          <w:sz w:val="18"/>
          <w:szCs w:val="18"/>
        </w:rPr>
        <w:t xml:space="preserve"> psychosocial</w:t>
      </w:r>
      <w:r w:rsidR="00AF3591">
        <w:rPr>
          <w:sz w:val="18"/>
          <w:szCs w:val="18"/>
        </w:rPr>
        <w:t>es</w:t>
      </w:r>
      <w:r>
        <w:rPr>
          <w:sz w:val="18"/>
          <w:szCs w:val="18"/>
        </w:rPr>
        <w:t xml:space="preserve">, les </w:t>
      </w:r>
      <w:r w:rsidR="00AF3591">
        <w:rPr>
          <w:sz w:val="18"/>
          <w:szCs w:val="18"/>
        </w:rPr>
        <w:t>personnes handicapées</w:t>
      </w:r>
      <w:r>
        <w:rPr>
          <w:sz w:val="18"/>
          <w:szCs w:val="18"/>
        </w:rPr>
        <w:t xml:space="preserve"> </w:t>
      </w:r>
      <w:r w:rsidR="00AF3591">
        <w:rPr>
          <w:sz w:val="18"/>
          <w:szCs w:val="18"/>
        </w:rPr>
        <w:t>intellectuelles</w:t>
      </w:r>
      <w:r>
        <w:rPr>
          <w:sz w:val="18"/>
          <w:szCs w:val="18"/>
        </w:rPr>
        <w:t>, notamment celles vivant en institution, les femmes handicap</w:t>
      </w:r>
      <w:r w:rsidR="00AF3591">
        <w:rPr>
          <w:sz w:val="18"/>
          <w:szCs w:val="18"/>
        </w:rPr>
        <w:t>ées</w:t>
      </w:r>
      <w:r>
        <w:rPr>
          <w:sz w:val="18"/>
          <w:szCs w:val="18"/>
        </w:rPr>
        <w:t>, les enfants handicap</w:t>
      </w:r>
      <w:r w:rsidR="00AF3591">
        <w:rPr>
          <w:sz w:val="18"/>
          <w:szCs w:val="18"/>
        </w:rPr>
        <w:t>és</w:t>
      </w:r>
      <w:r>
        <w:rPr>
          <w:sz w:val="18"/>
          <w:szCs w:val="18"/>
        </w:rPr>
        <w:t xml:space="preserve">, les personnes sourdes et les </w:t>
      </w:r>
      <w:r w:rsidR="00AF3591">
        <w:rPr>
          <w:sz w:val="18"/>
          <w:szCs w:val="18"/>
        </w:rPr>
        <w:t>personnes handicapées</w:t>
      </w:r>
      <w:r>
        <w:rPr>
          <w:sz w:val="18"/>
          <w:szCs w:val="18"/>
        </w:rPr>
        <w:t xml:space="preserve"> d'origine autochtone ou appartenant à des minorités.</w:t>
      </w:r>
    </w:p>
  </w:endnote>
  <w:endnote w:id="8">
    <w:p w14:paraId="6CFFB5E3" w14:textId="0301776C" w:rsidR="005509F7" w:rsidRPr="00DD35DD" w:rsidRDefault="00470A68" w:rsidP="005509F7">
      <w:pPr>
        <w:pStyle w:val="Notedefin"/>
        <w:jc w:val="both"/>
        <w:rPr>
          <w:sz w:val="18"/>
          <w:szCs w:val="18"/>
        </w:rPr>
      </w:pPr>
      <w:r>
        <w:rPr>
          <w:rStyle w:val="Appeldenotedefin"/>
          <w:rFonts w:cstheme="minorHAnsi"/>
          <w:sz w:val="18"/>
          <w:szCs w:val="18"/>
        </w:rPr>
        <w:endnoteRef/>
      </w:r>
      <w:r>
        <w:t xml:space="preserve"> </w:t>
      </w:r>
      <w:r>
        <w:rPr>
          <w:sz w:val="18"/>
          <w:szCs w:val="18"/>
        </w:rPr>
        <w:t xml:space="preserve">Cet indicateur nécessite de vérifier les activités concrètes entreprises par les autorités publiques pour </w:t>
      </w:r>
      <w:r w:rsidR="00A75BB5">
        <w:rPr>
          <w:sz w:val="18"/>
          <w:szCs w:val="18"/>
        </w:rPr>
        <w:t xml:space="preserve">faire participer </w:t>
      </w:r>
      <w:r>
        <w:rPr>
          <w:sz w:val="18"/>
          <w:szCs w:val="18"/>
        </w:rPr>
        <w:t xml:space="preserve">les </w:t>
      </w:r>
      <w:r w:rsidR="00AF3591">
        <w:rPr>
          <w:sz w:val="18"/>
          <w:szCs w:val="18"/>
        </w:rPr>
        <w:t>personnes handicapées</w:t>
      </w:r>
      <w:r>
        <w:rPr>
          <w:sz w:val="18"/>
          <w:szCs w:val="18"/>
        </w:rPr>
        <w:t xml:space="preserve"> dans les processus décisionnels liés aux questions qui les affectent directement ou indirectement conformément à l'article 4 (3) de la CDPH et à l'</w:t>
      </w:r>
      <w:hyperlink r:id="rId3" w:history="1">
        <w:r w:rsidRPr="00F46C8B">
          <w:rPr>
            <w:rStyle w:val="Lienhypertexte"/>
            <w:sz w:val="18"/>
            <w:szCs w:val="18"/>
          </w:rPr>
          <w:t>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28F1B7BB" w14:textId="77777777" w:rsidR="005509F7" w:rsidRPr="00DD35DD" w:rsidRDefault="005509F7" w:rsidP="005509F7">
      <w:pPr>
        <w:pStyle w:val="Notedefin"/>
        <w:numPr>
          <w:ilvl w:val="0"/>
          <w:numId w:val="3"/>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5C225AEC" w14:textId="77777777" w:rsidR="005509F7" w:rsidRPr="00DD35DD" w:rsidRDefault="005509F7" w:rsidP="005509F7">
      <w:pPr>
        <w:pStyle w:val="Notedefin"/>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2D06EF58" w14:textId="50D6243C" w:rsidR="005509F7" w:rsidRPr="00DD35DD" w:rsidRDefault="005509F7" w:rsidP="005509F7">
      <w:pPr>
        <w:pStyle w:val="Notedefin"/>
        <w:numPr>
          <w:ilvl w:val="0"/>
          <w:numId w:val="3"/>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AF3591">
        <w:rPr>
          <w:sz w:val="18"/>
          <w:szCs w:val="18"/>
        </w:rPr>
        <w:t>personnes handicapées</w:t>
      </w:r>
      <w:r>
        <w:rPr>
          <w:sz w:val="18"/>
          <w:szCs w:val="18"/>
        </w:rPr>
        <w:t xml:space="preserve"> d'exprimer librement leurs opinions ;</w:t>
      </w:r>
    </w:p>
    <w:p w14:paraId="7E18D41D" w14:textId="77777777" w:rsidR="005509F7" w:rsidRPr="00DD35DD" w:rsidRDefault="005509F7" w:rsidP="005509F7">
      <w:pPr>
        <w:pStyle w:val="Notedefin"/>
        <w:numPr>
          <w:ilvl w:val="0"/>
          <w:numId w:val="3"/>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7D347B87" w14:textId="4238FC92" w:rsidR="005509F7" w:rsidRDefault="005509F7" w:rsidP="005509F7">
      <w:pPr>
        <w:pStyle w:val="Notedefin"/>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une </w:t>
      </w:r>
      <w:r w:rsidR="00A75BB5">
        <w:rPr>
          <w:sz w:val="18"/>
          <w:szCs w:val="18"/>
        </w:rPr>
        <w:t xml:space="preserve">participation </w:t>
      </w:r>
      <w:r>
        <w:rPr>
          <w:sz w:val="18"/>
          <w:szCs w:val="18"/>
        </w:rPr>
        <w:t>précoce et continue ;</w:t>
      </w:r>
    </w:p>
    <w:p w14:paraId="3F5D490B" w14:textId="6173DDBB" w:rsidR="0098270C" w:rsidRPr="005509F7" w:rsidRDefault="005509F7" w:rsidP="005509F7">
      <w:pPr>
        <w:pStyle w:val="Notedefin"/>
        <w:numPr>
          <w:ilvl w:val="0"/>
          <w:numId w:val="3"/>
        </w:numPr>
        <w:ind w:left="714" w:hanging="357"/>
        <w:contextualSpacing/>
        <w:rPr>
          <w:sz w:val="18"/>
          <w:szCs w:val="18"/>
        </w:rPr>
      </w:pPr>
      <w:proofErr w:type="gramStart"/>
      <w:r>
        <w:rPr>
          <w:sz w:val="18"/>
          <w:szCs w:val="18"/>
        </w:rPr>
        <w:t>couvrir</w:t>
      </w:r>
      <w:proofErr w:type="gramEnd"/>
      <w:r>
        <w:rPr>
          <w:sz w:val="18"/>
          <w:szCs w:val="18"/>
        </w:rPr>
        <w:t xml:space="preserve"> les dépenses connexes des participants.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39BF4" w14:textId="77777777" w:rsidR="007077C0" w:rsidRDefault="007077C0" w:rsidP="00CA591E">
      <w:r>
        <w:separator/>
      </w:r>
    </w:p>
  </w:footnote>
  <w:footnote w:type="continuationSeparator" w:id="0">
    <w:p w14:paraId="62345651" w14:textId="77777777" w:rsidR="007077C0" w:rsidRDefault="007077C0"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352ED"/>
    <w:multiLevelType w:val="hybridMultilevel"/>
    <w:tmpl w:val="92E293B2"/>
    <w:lvl w:ilvl="0" w:tplc="27F64E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F0D73"/>
    <w:multiLevelType w:val="hybridMultilevel"/>
    <w:tmpl w:val="664603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85D3404"/>
    <w:multiLevelType w:val="hybridMultilevel"/>
    <w:tmpl w:val="5A6E993E"/>
    <w:lvl w:ilvl="0" w:tplc="452400C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A5B1A"/>
    <w:multiLevelType w:val="hybridMultilevel"/>
    <w:tmpl w:val="85E8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9"/>
  </w:num>
  <w:num w:numId="5">
    <w:abstractNumId w:val="10"/>
  </w:num>
  <w:num w:numId="6">
    <w:abstractNumId w:val="16"/>
  </w:num>
  <w:num w:numId="7">
    <w:abstractNumId w:val="14"/>
  </w:num>
  <w:num w:numId="8">
    <w:abstractNumId w:val="5"/>
  </w:num>
  <w:num w:numId="9">
    <w:abstractNumId w:val="0"/>
  </w:num>
  <w:num w:numId="10">
    <w:abstractNumId w:val="15"/>
  </w:num>
  <w:num w:numId="11">
    <w:abstractNumId w:val="4"/>
  </w:num>
  <w:num w:numId="12">
    <w:abstractNumId w:val="13"/>
  </w:num>
  <w:num w:numId="13">
    <w:abstractNumId w:val="7"/>
  </w:num>
  <w:num w:numId="14">
    <w:abstractNumId w:val="8"/>
  </w:num>
  <w:num w:numId="15">
    <w:abstractNumId w:val="6"/>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s-AR"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0" w:nlCheck="1" w:checkStyle="0"/>
  <w:activeWritingStyle w:appName="MSWord" w:lang="fr-FR" w:vendorID="64" w:dllVersion="6" w:nlCheck="1" w:checkStyle="0"/>
  <w:activeWritingStyle w:appName="MSWord" w:lang="fr-FR" w:vendorID="64" w:dllVersion="4096" w:nlCheck="1" w:checkStyle="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63F9"/>
    <w:rsid w:val="00006D33"/>
    <w:rsid w:val="000134AA"/>
    <w:rsid w:val="00026CE2"/>
    <w:rsid w:val="0003120F"/>
    <w:rsid w:val="00046F85"/>
    <w:rsid w:val="00050711"/>
    <w:rsid w:val="0005219A"/>
    <w:rsid w:val="00057593"/>
    <w:rsid w:val="00063173"/>
    <w:rsid w:val="00065C3E"/>
    <w:rsid w:val="000707C9"/>
    <w:rsid w:val="00073208"/>
    <w:rsid w:val="000868CC"/>
    <w:rsid w:val="00091529"/>
    <w:rsid w:val="0009463C"/>
    <w:rsid w:val="000948CB"/>
    <w:rsid w:val="000A07E5"/>
    <w:rsid w:val="000A25BC"/>
    <w:rsid w:val="000A76BA"/>
    <w:rsid w:val="000A7972"/>
    <w:rsid w:val="000B0B17"/>
    <w:rsid w:val="000B0C3E"/>
    <w:rsid w:val="000B119E"/>
    <w:rsid w:val="000B1E56"/>
    <w:rsid w:val="000B3868"/>
    <w:rsid w:val="000B5BA6"/>
    <w:rsid w:val="000B663D"/>
    <w:rsid w:val="000C0781"/>
    <w:rsid w:val="000C154A"/>
    <w:rsid w:val="000C25AB"/>
    <w:rsid w:val="000C3B24"/>
    <w:rsid w:val="000C5832"/>
    <w:rsid w:val="000C6768"/>
    <w:rsid w:val="000E288D"/>
    <w:rsid w:val="000F2D2A"/>
    <w:rsid w:val="001013A2"/>
    <w:rsid w:val="00101BAD"/>
    <w:rsid w:val="001030AE"/>
    <w:rsid w:val="00110663"/>
    <w:rsid w:val="00113D6A"/>
    <w:rsid w:val="001143E6"/>
    <w:rsid w:val="00121ED4"/>
    <w:rsid w:val="00122590"/>
    <w:rsid w:val="001344AD"/>
    <w:rsid w:val="001361C3"/>
    <w:rsid w:val="001464D0"/>
    <w:rsid w:val="001515E5"/>
    <w:rsid w:val="00151F7E"/>
    <w:rsid w:val="001607CA"/>
    <w:rsid w:val="00167016"/>
    <w:rsid w:val="00167E3A"/>
    <w:rsid w:val="0017378D"/>
    <w:rsid w:val="0017443D"/>
    <w:rsid w:val="00175BEC"/>
    <w:rsid w:val="00175EC2"/>
    <w:rsid w:val="001820F8"/>
    <w:rsid w:val="0018313C"/>
    <w:rsid w:val="00183BD1"/>
    <w:rsid w:val="00185B50"/>
    <w:rsid w:val="00195062"/>
    <w:rsid w:val="001B3B7F"/>
    <w:rsid w:val="001C5249"/>
    <w:rsid w:val="001C627B"/>
    <w:rsid w:val="001D7469"/>
    <w:rsid w:val="001E7EA3"/>
    <w:rsid w:val="002020D5"/>
    <w:rsid w:val="002020F9"/>
    <w:rsid w:val="00203E7D"/>
    <w:rsid w:val="00215679"/>
    <w:rsid w:val="00215ACE"/>
    <w:rsid w:val="00221004"/>
    <w:rsid w:val="002253E4"/>
    <w:rsid w:val="00226CBE"/>
    <w:rsid w:val="00230DC8"/>
    <w:rsid w:val="00232652"/>
    <w:rsid w:val="00234DE0"/>
    <w:rsid w:val="00237688"/>
    <w:rsid w:val="00240F47"/>
    <w:rsid w:val="00256861"/>
    <w:rsid w:val="0026266A"/>
    <w:rsid w:val="00263FAE"/>
    <w:rsid w:val="00264909"/>
    <w:rsid w:val="002671D8"/>
    <w:rsid w:val="00270D68"/>
    <w:rsid w:val="0027486C"/>
    <w:rsid w:val="002773AC"/>
    <w:rsid w:val="002836A9"/>
    <w:rsid w:val="00293512"/>
    <w:rsid w:val="002964F3"/>
    <w:rsid w:val="002A656B"/>
    <w:rsid w:val="002A72B1"/>
    <w:rsid w:val="002C3801"/>
    <w:rsid w:val="002C4C1E"/>
    <w:rsid w:val="002D3D29"/>
    <w:rsid w:val="002D7F12"/>
    <w:rsid w:val="002E387E"/>
    <w:rsid w:val="002E6663"/>
    <w:rsid w:val="002F07DC"/>
    <w:rsid w:val="002F204E"/>
    <w:rsid w:val="002F45D6"/>
    <w:rsid w:val="00307F27"/>
    <w:rsid w:val="00314EDA"/>
    <w:rsid w:val="00320E55"/>
    <w:rsid w:val="00323CF5"/>
    <w:rsid w:val="00326F01"/>
    <w:rsid w:val="00327E08"/>
    <w:rsid w:val="003301F5"/>
    <w:rsid w:val="00330660"/>
    <w:rsid w:val="00335FE8"/>
    <w:rsid w:val="003409A3"/>
    <w:rsid w:val="00345E96"/>
    <w:rsid w:val="00346DAD"/>
    <w:rsid w:val="00351733"/>
    <w:rsid w:val="00362315"/>
    <w:rsid w:val="00364DDC"/>
    <w:rsid w:val="00370EFA"/>
    <w:rsid w:val="003718CF"/>
    <w:rsid w:val="00372234"/>
    <w:rsid w:val="003759C9"/>
    <w:rsid w:val="00376BCC"/>
    <w:rsid w:val="00381918"/>
    <w:rsid w:val="00391E18"/>
    <w:rsid w:val="003921D2"/>
    <w:rsid w:val="003A2D7B"/>
    <w:rsid w:val="003A712F"/>
    <w:rsid w:val="003C326C"/>
    <w:rsid w:val="003C4316"/>
    <w:rsid w:val="003D3523"/>
    <w:rsid w:val="003E7407"/>
    <w:rsid w:val="003F3FA7"/>
    <w:rsid w:val="003F568C"/>
    <w:rsid w:val="00405CA3"/>
    <w:rsid w:val="00407B38"/>
    <w:rsid w:val="004149FE"/>
    <w:rsid w:val="00416EC8"/>
    <w:rsid w:val="00420937"/>
    <w:rsid w:val="00427F4A"/>
    <w:rsid w:val="00432B8A"/>
    <w:rsid w:val="00436906"/>
    <w:rsid w:val="00445BB6"/>
    <w:rsid w:val="004471F8"/>
    <w:rsid w:val="00453FBD"/>
    <w:rsid w:val="00461CF2"/>
    <w:rsid w:val="004643E4"/>
    <w:rsid w:val="00470A68"/>
    <w:rsid w:val="0047409D"/>
    <w:rsid w:val="0047455C"/>
    <w:rsid w:val="00474A0E"/>
    <w:rsid w:val="00485ED7"/>
    <w:rsid w:val="00492D7F"/>
    <w:rsid w:val="00493244"/>
    <w:rsid w:val="004934A4"/>
    <w:rsid w:val="004967AF"/>
    <w:rsid w:val="0049767B"/>
    <w:rsid w:val="004A11E8"/>
    <w:rsid w:val="004A22A0"/>
    <w:rsid w:val="004A42A4"/>
    <w:rsid w:val="004A516F"/>
    <w:rsid w:val="004A58ED"/>
    <w:rsid w:val="004B1DF3"/>
    <w:rsid w:val="004B7622"/>
    <w:rsid w:val="004C3801"/>
    <w:rsid w:val="004C47F0"/>
    <w:rsid w:val="004D332C"/>
    <w:rsid w:val="004E534A"/>
    <w:rsid w:val="004F49F7"/>
    <w:rsid w:val="004F538D"/>
    <w:rsid w:val="0051360A"/>
    <w:rsid w:val="005136D8"/>
    <w:rsid w:val="00516C6C"/>
    <w:rsid w:val="00533AA4"/>
    <w:rsid w:val="00534A78"/>
    <w:rsid w:val="00534C92"/>
    <w:rsid w:val="00542B3C"/>
    <w:rsid w:val="00544D10"/>
    <w:rsid w:val="005509F7"/>
    <w:rsid w:val="005622B9"/>
    <w:rsid w:val="005676AC"/>
    <w:rsid w:val="00571036"/>
    <w:rsid w:val="0057267D"/>
    <w:rsid w:val="0058098B"/>
    <w:rsid w:val="00581C2B"/>
    <w:rsid w:val="005843A5"/>
    <w:rsid w:val="00591379"/>
    <w:rsid w:val="00593662"/>
    <w:rsid w:val="00595F54"/>
    <w:rsid w:val="005970C3"/>
    <w:rsid w:val="005A1B54"/>
    <w:rsid w:val="005B0200"/>
    <w:rsid w:val="005B3669"/>
    <w:rsid w:val="005B5EFD"/>
    <w:rsid w:val="005E57DF"/>
    <w:rsid w:val="005F1F6D"/>
    <w:rsid w:val="005F266C"/>
    <w:rsid w:val="005F4EC8"/>
    <w:rsid w:val="005F7C6D"/>
    <w:rsid w:val="00611DF2"/>
    <w:rsid w:val="006174CE"/>
    <w:rsid w:val="00621413"/>
    <w:rsid w:val="00634785"/>
    <w:rsid w:val="006347B1"/>
    <w:rsid w:val="00634DC7"/>
    <w:rsid w:val="006362B7"/>
    <w:rsid w:val="00640C11"/>
    <w:rsid w:val="00642078"/>
    <w:rsid w:val="00643BF2"/>
    <w:rsid w:val="0065051C"/>
    <w:rsid w:val="00652E13"/>
    <w:rsid w:val="006564B2"/>
    <w:rsid w:val="00660E71"/>
    <w:rsid w:val="00663600"/>
    <w:rsid w:val="006644EA"/>
    <w:rsid w:val="006671F0"/>
    <w:rsid w:val="00672036"/>
    <w:rsid w:val="00681265"/>
    <w:rsid w:val="0068399E"/>
    <w:rsid w:val="00685485"/>
    <w:rsid w:val="00685CF4"/>
    <w:rsid w:val="00695474"/>
    <w:rsid w:val="00696FC9"/>
    <w:rsid w:val="006A5178"/>
    <w:rsid w:val="006A6805"/>
    <w:rsid w:val="006B3FE4"/>
    <w:rsid w:val="006B5CDD"/>
    <w:rsid w:val="006C21B3"/>
    <w:rsid w:val="006C5832"/>
    <w:rsid w:val="006C6E21"/>
    <w:rsid w:val="006E10B8"/>
    <w:rsid w:val="006E39EB"/>
    <w:rsid w:val="006E3E31"/>
    <w:rsid w:val="006E5599"/>
    <w:rsid w:val="006F7AAC"/>
    <w:rsid w:val="0070160D"/>
    <w:rsid w:val="00702448"/>
    <w:rsid w:val="00703A86"/>
    <w:rsid w:val="00705361"/>
    <w:rsid w:val="007065A4"/>
    <w:rsid w:val="007070D2"/>
    <w:rsid w:val="007077C0"/>
    <w:rsid w:val="0072068D"/>
    <w:rsid w:val="007221DC"/>
    <w:rsid w:val="00736A44"/>
    <w:rsid w:val="00737D13"/>
    <w:rsid w:val="00745639"/>
    <w:rsid w:val="007457D0"/>
    <w:rsid w:val="007472F1"/>
    <w:rsid w:val="00747CD2"/>
    <w:rsid w:val="0077118E"/>
    <w:rsid w:val="00773555"/>
    <w:rsid w:val="00776B8D"/>
    <w:rsid w:val="00784A18"/>
    <w:rsid w:val="00785B3A"/>
    <w:rsid w:val="00792C5D"/>
    <w:rsid w:val="00794F8E"/>
    <w:rsid w:val="00797584"/>
    <w:rsid w:val="007A4591"/>
    <w:rsid w:val="007A7DF0"/>
    <w:rsid w:val="007B0DA2"/>
    <w:rsid w:val="007B111F"/>
    <w:rsid w:val="007B3E9E"/>
    <w:rsid w:val="007B6324"/>
    <w:rsid w:val="007C13D6"/>
    <w:rsid w:val="007C2DCA"/>
    <w:rsid w:val="007C4B64"/>
    <w:rsid w:val="007E6C19"/>
    <w:rsid w:val="0080004D"/>
    <w:rsid w:val="00803B86"/>
    <w:rsid w:val="0081135F"/>
    <w:rsid w:val="00813049"/>
    <w:rsid w:val="0081422B"/>
    <w:rsid w:val="00814D07"/>
    <w:rsid w:val="00823FA2"/>
    <w:rsid w:val="00836C1D"/>
    <w:rsid w:val="00841566"/>
    <w:rsid w:val="00847DCC"/>
    <w:rsid w:val="00851498"/>
    <w:rsid w:val="00851BBF"/>
    <w:rsid w:val="008563CA"/>
    <w:rsid w:val="00856B6E"/>
    <w:rsid w:val="0088018F"/>
    <w:rsid w:val="00884F8C"/>
    <w:rsid w:val="008858A7"/>
    <w:rsid w:val="0089365A"/>
    <w:rsid w:val="00893A92"/>
    <w:rsid w:val="00894E34"/>
    <w:rsid w:val="00895469"/>
    <w:rsid w:val="00897637"/>
    <w:rsid w:val="008A0D34"/>
    <w:rsid w:val="008A2CAA"/>
    <w:rsid w:val="008B19D3"/>
    <w:rsid w:val="008B298C"/>
    <w:rsid w:val="008C4208"/>
    <w:rsid w:val="008C76C6"/>
    <w:rsid w:val="008D2892"/>
    <w:rsid w:val="008E15CB"/>
    <w:rsid w:val="008F136C"/>
    <w:rsid w:val="008F3148"/>
    <w:rsid w:val="008F6E12"/>
    <w:rsid w:val="00905637"/>
    <w:rsid w:val="00911B07"/>
    <w:rsid w:val="009159FD"/>
    <w:rsid w:val="0092368C"/>
    <w:rsid w:val="00926F81"/>
    <w:rsid w:val="00940AFD"/>
    <w:rsid w:val="009421AF"/>
    <w:rsid w:val="00945C70"/>
    <w:rsid w:val="00947F5E"/>
    <w:rsid w:val="00964A5B"/>
    <w:rsid w:val="00964B94"/>
    <w:rsid w:val="0096663D"/>
    <w:rsid w:val="009733F4"/>
    <w:rsid w:val="0098270C"/>
    <w:rsid w:val="00982DDB"/>
    <w:rsid w:val="00984AC7"/>
    <w:rsid w:val="009A4374"/>
    <w:rsid w:val="009A6799"/>
    <w:rsid w:val="009B0C95"/>
    <w:rsid w:val="009C0779"/>
    <w:rsid w:val="009D221D"/>
    <w:rsid w:val="009D4F22"/>
    <w:rsid w:val="009D6367"/>
    <w:rsid w:val="009D73C2"/>
    <w:rsid w:val="009E1074"/>
    <w:rsid w:val="009E5527"/>
    <w:rsid w:val="009E737E"/>
    <w:rsid w:val="009F6D8C"/>
    <w:rsid w:val="009F6E73"/>
    <w:rsid w:val="009F7D61"/>
    <w:rsid w:val="00A01319"/>
    <w:rsid w:val="00A11619"/>
    <w:rsid w:val="00A21E81"/>
    <w:rsid w:val="00A252DA"/>
    <w:rsid w:val="00A42C44"/>
    <w:rsid w:val="00A45A5A"/>
    <w:rsid w:val="00A52406"/>
    <w:rsid w:val="00A66A34"/>
    <w:rsid w:val="00A75BB5"/>
    <w:rsid w:val="00A778DE"/>
    <w:rsid w:val="00A83E75"/>
    <w:rsid w:val="00A87C64"/>
    <w:rsid w:val="00A96B68"/>
    <w:rsid w:val="00AA3E6F"/>
    <w:rsid w:val="00AB2047"/>
    <w:rsid w:val="00AB3FD1"/>
    <w:rsid w:val="00AB4A39"/>
    <w:rsid w:val="00AB5C79"/>
    <w:rsid w:val="00AC03AB"/>
    <w:rsid w:val="00AD3349"/>
    <w:rsid w:val="00AE00B9"/>
    <w:rsid w:val="00AF3591"/>
    <w:rsid w:val="00B00E73"/>
    <w:rsid w:val="00B03486"/>
    <w:rsid w:val="00B0552A"/>
    <w:rsid w:val="00B21AFF"/>
    <w:rsid w:val="00B2353B"/>
    <w:rsid w:val="00B27442"/>
    <w:rsid w:val="00B31C98"/>
    <w:rsid w:val="00B3309B"/>
    <w:rsid w:val="00B37FD5"/>
    <w:rsid w:val="00B4198C"/>
    <w:rsid w:val="00B42C7B"/>
    <w:rsid w:val="00B43139"/>
    <w:rsid w:val="00B5447C"/>
    <w:rsid w:val="00B553A7"/>
    <w:rsid w:val="00B64B40"/>
    <w:rsid w:val="00B71249"/>
    <w:rsid w:val="00B74665"/>
    <w:rsid w:val="00B74E4F"/>
    <w:rsid w:val="00B7564A"/>
    <w:rsid w:val="00B952F5"/>
    <w:rsid w:val="00BA22F4"/>
    <w:rsid w:val="00BA6BAA"/>
    <w:rsid w:val="00BB4CB4"/>
    <w:rsid w:val="00BC022E"/>
    <w:rsid w:val="00BC0719"/>
    <w:rsid w:val="00BE2712"/>
    <w:rsid w:val="00BE346D"/>
    <w:rsid w:val="00BE4B26"/>
    <w:rsid w:val="00BE733A"/>
    <w:rsid w:val="00BF276B"/>
    <w:rsid w:val="00BF7530"/>
    <w:rsid w:val="00C00627"/>
    <w:rsid w:val="00C009C5"/>
    <w:rsid w:val="00C17189"/>
    <w:rsid w:val="00C2143C"/>
    <w:rsid w:val="00C233C1"/>
    <w:rsid w:val="00C240B7"/>
    <w:rsid w:val="00C24776"/>
    <w:rsid w:val="00C32059"/>
    <w:rsid w:val="00C322CE"/>
    <w:rsid w:val="00C37D76"/>
    <w:rsid w:val="00C410CA"/>
    <w:rsid w:val="00C4598B"/>
    <w:rsid w:val="00C51F20"/>
    <w:rsid w:val="00C541CC"/>
    <w:rsid w:val="00C65C53"/>
    <w:rsid w:val="00C6703E"/>
    <w:rsid w:val="00C679D1"/>
    <w:rsid w:val="00C84B31"/>
    <w:rsid w:val="00C8554B"/>
    <w:rsid w:val="00C92A6B"/>
    <w:rsid w:val="00CA0ACC"/>
    <w:rsid w:val="00CA1855"/>
    <w:rsid w:val="00CA591E"/>
    <w:rsid w:val="00CB63C5"/>
    <w:rsid w:val="00CC11B9"/>
    <w:rsid w:val="00CC346D"/>
    <w:rsid w:val="00CC6EC6"/>
    <w:rsid w:val="00CD1C65"/>
    <w:rsid w:val="00CE7FF4"/>
    <w:rsid w:val="00CF20D7"/>
    <w:rsid w:val="00D01F95"/>
    <w:rsid w:val="00D068EF"/>
    <w:rsid w:val="00D12E6A"/>
    <w:rsid w:val="00D137A0"/>
    <w:rsid w:val="00D13F5B"/>
    <w:rsid w:val="00D14BD4"/>
    <w:rsid w:val="00D167E3"/>
    <w:rsid w:val="00D21F1D"/>
    <w:rsid w:val="00D232D8"/>
    <w:rsid w:val="00D5651C"/>
    <w:rsid w:val="00D61368"/>
    <w:rsid w:val="00D70AF4"/>
    <w:rsid w:val="00D725A0"/>
    <w:rsid w:val="00D77931"/>
    <w:rsid w:val="00D80803"/>
    <w:rsid w:val="00D911DD"/>
    <w:rsid w:val="00D91568"/>
    <w:rsid w:val="00D94DC4"/>
    <w:rsid w:val="00D94FFA"/>
    <w:rsid w:val="00DB3954"/>
    <w:rsid w:val="00DB4C6E"/>
    <w:rsid w:val="00DB5B52"/>
    <w:rsid w:val="00DB66ED"/>
    <w:rsid w:val="00DC0924"/>
    <w:rsid w:val="00DD079B"/>
    <w:rsid w:val="00DD2A83"/>
    <w:rsid w:val="00DD4746"/>
    <w:rsid w:val="00DE28C7"/>
    <w:rsid w:val="00DE431B"/>
    <w:rsid w:val="00DE4B64"/>
    <w:rsid w:val="00DE691F"/>
    <w:rsid w:val="00DF2B93"/>
    <w:rsid w:val="00E15075"/>
    <w:rsid w:val="00E232CB"/>
    <w:rsid w:val="00E24957"/>
    <w:rsid w:val="00E27296"/>
    <w:rsid w:val="00E27806"/>
    <w:rsid w:val="00E31AF2"/>
    <w:rsid w:val="00E32612"/>
    <w:rsid w:val="00E363AE"/>
    <w:rsid w:val="00E41ADB"/>
    <w:rsid w:val="00E608B7"/>
    <w:rsid w:val="00E61136"/>
    <w:rsid w:val="00E64E57"/>
    <w:rsid w:val="00E8709D"/>
    <w:rsid w:val="00E87705"/>
    <w:rsid w:val="00E91336"/>
    <w:rsid w:val="00E936BF"/>
    <w:rsid w:val="00E96C21"/>
    <w:rsid w:val="00E97952"/>
    <w:rsid w:val="00EB0175"/>
    <w:rsid w:val="00EB4202"/>
    <w:rsid w:val="00EC0D4A"/>
    <w:rsid w:val="00EC2427"/>
    <w:rsid w:val="00ED0E57"/>
    <w:rsid w:val="00ED2C1C"/>
    <w:rsid w:val="00ED3786"/>
    <w:rsid w:val="00ED42B0"/>
    <w:rsid w:val="00ED642C"/>
    <w:rsid w:val="00EE1131"/>
    <w:rsid w:val="00EE4AB0"/>
    <w:rsid w:val="00EE56DD"/>
    <w:rsid w:val="00EE5CFE"/>
    <w:rsid w:val="00F04C4B"/>
    <w:rsid w:val="00F05557"/>
    <w:rsid w:val="00F11C7E"/>
    <w:rsid w:val="00F230F3"/>
    <w:rsid w:val="00F434A2"/>
    <w:rsid w:val="00F46C8B"/>
    <w:rsid w:val="00F46D3B"/>
    <w:rsid w:val="00F63625"/>
    <w:rsid w:val="00F63CBD"/>
    <w:rsid w:val="00F76645"/>
    <w:rsid w:val="00F77890"/>
    <w:rsid w:val="00F77E96"/>
    <w:rsid w:val="00F80601"/>
    <w:rsid w:val="00F80CCF"/>
    <w:rsid w:val="00F9606C"/>
    <w:rsid w:val="00F962EB"/>
    <w:rsid w:val="00F97690"/>
    <w:rsid w:val="00FA30F9"/>
    <w:rsid w:val="00FB072B"/>
    <w:rsid w:val="00FB33D1"/>
    <w:rsid w:val="00FC43B6"/>
    <w:rsid w:val="00FD14CF"/>
    <w:rsid w:val="00FD39D7"/>
    <w:rsid w:val="00FD5BD4"/>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6A51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F5B"/>
    <w:pPr>
      <w:ind w:left="720"/>
      <w:contextualSpacing/>
    </w:pPr>
  </w:style>
  <w:style w:type="table" w:styleId="Grilledutableau">
    <w:name w:val="Table Grid"/>
    <w:basedOn w:val="Tableau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41CC"/>
    <w:rPr>
      <w:rFonts w:ascii="Times New Roman" w:hAnsi="Times New Roman" w:cs="Times New Roman"/>
      <w:sz w:val="26"/>
      <w:szCs w:val="26"/>
    </w:rPr>
  </w:style>
  <w:style w:type="character" w:customStyle="1" w:styleId="TextedebullesCar">
    <w:name w:val="Texte de bulles Car"/>
    <w:basedOn w:val="Policepardfaut"/>
    <w:link w:val="Textedebulles"/>
    <w:uiPriority w:val="99"/>
    <w:semiHidden/>
    <w:rsid w:val="00C541CC"/>
    <w:rPr>
      <w:rFonts w:ascii="Times New Roman" w:hAnsi="Times New Roman" w:cs="Times New Roman"/>
      <w:sz w:val="26"/>
      <w:szCs w:val="26"/>
    </w:rPr>
  </w:style>
  <w:style w:type="paragraph" w:styleId="Notedebasdepage">
    <w:name w:val="footnote text"/>
    <w:basedOn w:val="Normal"/>
    <w:link w:val="NotedebasdepageCar"/>
    <w:uiPriority w:val="99"/>
    <w:unhideWhenUsed/>
    <w:rsid w:val="00CA591E"/>
    <w:rPr>
      <w:sz w:val="20"/>
      <w:szCs w:val="20"/>
    </w:rPr>
  </w:style>
  <w:style w:type="character" w:customStyle="1" w:styleId="NotedebasdepageCar">
    <w:name w:val="Note de bas de page Car"/>
    <w:basedOn w:val="Policepardfaut"/>
    <w:link w:val="Notedebasdepage"/>
    <w:uiPriority w:val="99"/>
    <w:rsid w:val="00CA591E"/>
    <w:rPr>
      <w:sz w:val="20"/>
      <w:szCs w:val="20"/>
    </w:rPr>
  </w:style>
  <w:style w:type="character" w:styleId="Appelnotedebasdep">
    <w:name w:val="footnote reference"/>
    <w:aliases w:val="Fn Ref,Footnote Refernece,callout,Footnotes refss,Footnote Reference Superscript,BVI fnr,Footnote Reference Number,Footnote Refernece + (Latein) Arial,10 pt,Blau,Fußnotenzeichen_Raxen,Footnote Refe,FR,...,4_G,f"/>
    <w:basedOn w:val="Policepardfaut"/>
    <w:uiPriority w:val="99"/>
    <w:unhideWhenUsed/>
    <w:qFormat/>
    <w:rsid w:val="00CA591E"/>
    <w:rPr>
      <w:vertAlign w:val="superscript"/>
    </w:rPr>
  </w:style>
  <w:style w:type="character" w:styleId="Marquedecommentaire">
    <w:name w:val="annotation reference"/>
    <w:basedOn w:val="Policepardfaut"/>
    <w:uiPriority w:val="99"/>
    <w:semiHidden/>
    <w:unhideWhenUsed/>
    <w:rsid w:val="00DE431B"/>
    <w:rPr>
      <w:sz w:val="16"/>
      <w:szCs w:val="16"/>
    </w:rPr>
  </w:style>
  <w:style w:type="paragraph" w:styleId="Commentaire">
    <w:name w:val="annotation text"/>
    <w:basedOn w:val="Normal"/>
    <w:link w:val="CommentaireCar"/>
    <w:uiPriority w:val="99"/>
    <w:unhideWhenUsed/>
    <w:rsid w:val="00DE431B"/>
    <w:pPr>
      <w:spacing w:after="200"/>
    </w:pPr>
    <w:rPr>
      <w:sz w:val="20"/>
      <w:szCs w:val="20"/>
    </w:rPr>
  </w:style>
  <w:style w:type="character" w:customStyle="1" w:styleId="CommentaireCar">
    <w:name w:val="Commentaire Car"/>
    <w:basedOn w:val="Policepardfaut"/>
    <w:link w:val="Commentaire"/>
    <w:uiPriority w:val="99"/>
    <w:rsid w:val="00DE431B"/>
    <w:rPr>
      <w:sz w:val="20"/>
      <w:szCs w:val="20"/>
      <w:lang w:val="fr-FR"/>
    </w:rPr>
  </w:style>
  <w:style w:type="paragraph" w:styleId="Objetducommentaire">
    <w:name w:val="annotation subject"/>
    <w:basedOn w:val="Commentaire"/>
    <w:next w:val="Commentaire"/>
    <w:link w:val="ObjetducommentaireCar"/>
    <w:uiPriority w:val="99"/>
    <w:semiHidden/>
    <w:unhideWhenUsed/>
    <w:rsid w:val="00964A5B"/>
    <w:pPr>
      <w:spacing w:after="0"/>
    </w:pPr>
    <w:rPr>
      <w:b/>
      <w:bCs/>
    </w:rPr>
  </w:style>
  <w:style w:type="character" w:customStyle="1" w:styleId="ObjetducommentaireCar">
    <w:name w:val="Objet du commentaire Car"/>
    <w:basedOn w:val="CommentaireCar"/>
    <w:link w:val="Objetducommentaire"/>
    <w:uiPriority w:val="99"/>
    <w:semiHidden/>
    <w:rsid w:val="00964A5B"/>
    <w:rPr>
      <w:b/>
      <w:bCs/>
      <w:sz w:val="20"/>
      <w:szCs w:val="20"/>
      <w:lang w:val="fr-FR"/>
    </w:rPr>
  </w:style>
  <w:style w:type="paragraph" w:styleId="Rvision">
    <w:name w:val="Revision"/>
    <w:hidden/>
    <w:uiPriority w:val="99"/>
    <w:semiHidden/>
    <w:rsid w:val="000B3868"/>
  </w:style>
  <w:style w:type="paragraph" w:styleId="Notedefin">
    <w:name w:val="endnote text"/>
    <w:basedOn w:val="Normal"/>
    <w:link w:val="NotedefinCar"/>
    <w:uiPriority w:val="99"/>
    <w:unhideWhenUsed/>
    <w:rsid w:val="00461CF2"/>
    <w:rPr>
      <w:sz w:val="20"/>
      <w:szCs w:val="20"/>
    </w:rPr>
  </w:style>
  <w:style w:type="character" w:customStyle="1" w:styleId="NotedefinCar">
    <w:name w:val="Note de fin Car"/>
    <w:basedOn w:val="Policepardfaut"/>
    <w:link w:val="Notedefin"/>
    <w:uiPriority w:val="99"/>
    <w:rsid w:val="00461CF2"/>
    <w:rPr>
      <w:sz w:val="20"/>
      <w:szCs w:val="20"/>
    </w:rPr>
  </w:style>
  <w:style w:type="character" w:styleId="Appeldenotedefin">
    <w:name w:val="endnote reference"/>
    <w:basedOn w:val="Policepardfaut"/>
    <w:uiPriority w:val="99"/>
    <w:unhideWhenUsed/>
    <w:rsid w:val="00461CF2"/>
    <w:rPr>
      <w:vertAlign w:val="superscript"/>
    </w:rPr>
  </w:style>
  <w:style w:type="character" w:styleId="Lienhypertexte">
    <w:name w:val="Hyperlink"/>
    <w:basedOn w:val="Policepardfaut"/>
    <w:uiPriority w:val="99"/>
    <w:unhideWhenUsed/>
    <w:rsid w:val="00823FA2"/>
    <w:rPr>
      <w:color w:val="0563C1" w:themeColor="hyperlink"/>
      <w:u w:val="single"/>
    </w:rPr>
  </w:style>
  <w:style w:type="character" w:styleId="Lienhypertextesuivivisit">
    <w:name w:val="FollowedHyperlink"/>
    <w:basedOn w:val="Policepardfaut"/>
    <w:uiPriority w:val="99"/>
    <w:semiHidden/>
    <w:unhideWhenUsed/>
    <w:rsid w:val="00073208"/>
    <w:rPr>
      <w:color w:val="954F72" w:themeColor="followedHyperlink"/>
      <w:u w:val="single"/>
    </w:rPr>
  </w:style>
  <w:style w:type="character" w:customStyle="1" w:styleId="Titre2Car">
    <w:name w:val="Titre 2 Car"/>
    <w:basedOn w:val="Policepardfaut"/>
    <w:link w:val="Titre2"/>
    <w:uiPriority w:val="9"/>
    <w:semiHidden/>
    <w:rsid w:val="006A5178"/>
    <w:rPr>
      <w:rFonts w:asciiTheme="majorHAnsi" w:eastAsiaTheme="majorEastAsia" w:hAnsiTheme="majorHAnsi" w:cstheme="majorBidi"/>
      <w:color w:val="2F5496" w:themeColor="accent1" w:themeShade="BF"/>
      <w:sz w:val="26"/>
      <w:szCs w:val="26"/>
    </w:rPr>
  </w:style>
  <w:style w:type="character" w:customStyle="1" w:styleId="highlight">
    <w:name w:val="highlight"/>
    <w:basedOn w:val="Policepardfaut"/>
    <w:rsid w:val="00B42C7B"/>
  </w:style>
  <w:style w:type="character" w:customStyle="1" w:styleId="Mentionnonrsolue1">
    <w:name w:val="Mention non résolue1"/>
    <w:basedOn w:val="Policepardfaut"/>
    <w:uiPriority w:val="99"/>
    <w:semiHidden/>
    <w:unhideWhenUsed/>
    <w:rsid w:val="00F46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521821">
      <w:bodyDiv w:val="1"/>
      <w:marLeft w:val="0"/>
      <w:marRight w:val="0"/>
      <w:marTop w:val="0"/>
      <w:marBottom w:val="0"/>
      <w:divBdr>
        <w:top w:val="none" w:sz="0" w:space="0" w:color="auto"/>
        <w:left w:val="none" w:sz="0" w:space="0" w:color="auto"/>
        <w:bottom w:val="none" w:sz="0" w:space="0" w:color="auto"/>
        <w:right w:val="none" w:sz="0" w:space="0" w:color="auto"/>
      </w:divBdr>
      <w:divsChild>
        <w:div w:id="2038038628">
          <w:marLeft w:val="0"/>
          <w:marRight w:val="0"/>
          <w:marTop w:val="0"/>
          <w:marBottom w:val="0"/>
          <w:divBdr>
            <w:top w:val="none" w:sz="0" w:space="0" w:color="auto"/>
            <w:left w:val="none" w:sz="0" w:space="0" w:color="auto"/>
            <w:bottom w:val="none" w:sz="0" w:space="0" w:color="auto"/>
            <w:right w:val="none" w:sz="0" w:space="0" w:color="auto"/>
          </w:divBdr>
        </w:div>
        <w:div w:id="182524939">
          <w:marLeft w:val="0"/>
          <w:marRight w:val="0"/>
          <w:marTop w:val="0"/>
          <w:marBottom w:val="0"/>
          <w:divBdr>
            <w:top w:val="none" w:sz="0" w:space="0" w:color="auto"/>
            <w:left w:val="none" w:sz="0" w:space="0" w:color="auto"/>
            <w:bottom w:val="none" w:sz="0" w:space="0" w:color="auto"/>
            <w:right w:val="none" w:sz="0" w:space="0" w:color="auto"/>
          </w:divBdr>
        </w:div>
        <w:div w:id="1528176457">
          <w:marLeft w:val="0"/>
          <w:marRight w:val="0"/>
          <w:marTop w:val="0"/>
          <w:marBottom w:val="0"/>
          <w:divBdr>
            <w:top w:val="none" w:sz="0" w:space="0" w:color="auto"/>
            <w:left w:val="none" w:sz="0" w:space="0" w:color="auto"/>
            <w:bottom w:val="none" w:sz="0" w:space="0" w:color="auto"/>
            <w:right w:val="none" w:sz="0" w:space="0" w:color="auto"/>
          </w:divBdr>
        </w:div>
        <w:div w:id="1173028975">
          <w:marLeft w:val="0"/>
          <w:marRight w:val="0"/>
          <w:marTop w:val="0"/>
          <w:marBottom w:val="0"/>
          <w:divBdr>
            <w:top w:val="none" w:sz="0" w:space="0" w:color="auto"/>
            <w:left w:val="none" w:sz="0" w:space="0" w:color="auto"/>
            <w:bottom w:val="none" w:sz="0" w:space="0" w:color="auto"/>
            <w:right w:val="none" w:sz="0" w:space="0" w:color="auto"/>
          </w:divBdr>
        </w:div>
        <w:div w:id="394016078">
          <w:marLeft w:val="0"/>
          <w:marRight w:val="0"/>
          <w:marTop w:val="0"/>
          <w:marBottom w:val="0"/>
          <w:divBdr>
            <w:top w:val="none" w:sz="0" w:space="0" w:color="auto"/>
            <w:left w:val="none" w:sz="0" w:space="0" w:color="auto"/>
            <w:bottom w:val="none" w:sz="0" w:space="0" w:color="auto"/>
            <w:right w:val="none" w:sz="0" w:space="0" w:color="auto"/>
          </w:divBdr>
        </w:div>
      </w:divsChild>
    </w:div>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417007">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fr" TargetMode="External"/><Relationship Id="rId2" Type="http://schemas.openxmlformats.org/officeDocument/2006/relationships/hyperlink" Target="https://undocs.org/fr/A/HRC/37/25" TargetMode="External"/><Relationship Id="rId1" Type="http://schemas.openxmlformats.org/officeDocument/2006/relationships/hyperlink" Target="https://www.ohchr.org/EN/Issues/Disability/SRDisabilities/Pages/GoodPracticesEffectiveAccessJusticePersonsDisabil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7383A-4C8D-42D0-8583-50AD180C1F51}">
  <ds:schemaRefs>
    <ds:schemaRef ds:uri="http://schemas.microsoft.com/sharepoint/v3/contenttype/forms"/>
  </ds:schemaRefs>
</ds:datastoreItem>
</file>

<file path=customXml/itemProps2.xml><?xml version="1.0" encoding="utf-8"?>
<ds:datastoreItem xmlns:ds="http://schemas.openxmlformats.org/officeDocument/2006/customXml" ds:itemID="{772574FC-23F5-43DB-8A9C-842D16146C6D}"/>
</file>

<file path=customXml/itemProps3.xml><?xml version="1.0" encoding="utf-8"?>
<ds:datastoreItem xmlns:ds="http://schemas.openxmlformats.org/officeDocument/2006/customXml" ds:itemID="{1D194A10-D0A8-4262-BA43-F2A3C041D9F4}">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B3BB7FBA-68BA-EE4E-B4FB-A186CD30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964</Words>
  <Characters>5302</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7</cp:revision>
  <cp:lastPrinted>2018-11-12T09:21:00Z</cp:lastPrinted>
  <dcterms:created xsi:type="dcterms:W3CDTF">2020-02-27T15:02:00Z</dcterms:created>
  <dcterms:modified xsi:type="dcterms:W3CDTF">2020-10-22T13:00:00Z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