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FF74" w14:textId="77777777" w:rsidR="0060474A" w:rsidRPr="00611FD5" w:rsidRDefault="0060474A" w:rsidP="0060474A">
      <w:pPr>
        <w:jc w:val="center"/>
        <w:rPr>
          <w:rFonts w:cstheme="minorHAnsi"/>
          <w:b/>
          <w:sz w:val="18"/>
          <w:szCs w:val="18"/>
        </w:rPr>
      </w:pPr>
      <w:r w:rsidRPr="00611FD5">
        <w:rPr>
          <w:b/>
          <w:sz w:val="18"/>
          <w:szCs w:val="18"/>
        </w:rPr>
        <w:t>Artículo 14 - Lista de indicadores sobre el derecho a la libertad y a la seguridad de la persona</w:t>
      </w:r>
    </w:p>
    <w:p w14:paraId="1FFDED98" w14:textId="54A4D6E7" w:rsidR="0060474A" w:rsidRPr="00611FD5" w:rsidRDefault="0060474A" w:rsidP="006047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Derecho a la libertad y seguridad de la persona</w:t>
      </w:r>
      <w:r w:rsidR="003B694E">
        <w:rPr>
          <w:b/>
          <w:sz w:val="18"/>
          <w:szCs w:val="18"/>
        </w:rPr>
        <w:t>*</w:t>
      </w:r>
    </w:p>
    <w:p w14:paraId="72390435" w14:textId="77777777" w:rsidR="00A31E40" w:rsidRDefault="00A31E40" w:rsidP="00A31E40">
      <w:pPr>
        <w:rPr>
          <w:b/>
          <w:sz w:val="18"/>
          <w:szCs w:val="18"/>
        </w:rPr>
      </w:pPr>
    </w:p>
    <w:p w14:paraId="6B909BC9" w14:textId="1B0D8F23" w:rsidR="0060474A" w:rsidRPr="00A31E40" w:rsidRDefault="0060474A" w:rsidP="00A31E40">
      <w:pPr>
        <w:rPr>
          <w:b/>
          <w:sz w:val="18"/>
          <w:szCs w:val="18"/>
        </w:rPr>
      </w:pPr>
      <w:r w:rsidRPr="00A31E40">
        <w:rPr>
          <w:b/>
          <w:sz w:val="18"/>
          <w:szCs w:val="18"/>
        </w:rPr>
        <w:t>Atributos</w:t>
      </w:r>
    </w:p>
    <w:p w14:paraId="43CC4B7A" w14:textId="74521A6A" w:rsidR="00A31E40" w:rsidRDefault="0060474A" w:rsidP="00A31E40">
      <w:pPr>
        <w:pStyle w:val="Paragraphedeliste"/>
        <w:numPr>
          <w:ilvl w:val="0"/>
          <w:numId w:val="19"/>
        </w:numPr>
        <w:rPr>
          <w:b/>
          <w:sz w:val="18"/>
          <w:szCs w:val="18"/>
        </w:rPr>
      </w:pPr>
      <w:r w:rsidRPr="0060474A">
        <w:rPr>
          <w:b/>
          <w:sz w:val="18"/>
          <w:szCs w:val="18"/>
        </w:rPr>
        <w:t xml:space="preserve">Privación de libertad por </w:t>
      </w:r>
      <w:proofErr w:type="gramStart"/>
      <w:r w:rsidRPr="0060474A">
        <w:rPr>
          <w:b/>
          <w:sz w:val="18"/>
          <w:szCs w:val="18"/>
        </w:rPr>
        <w:t>discapacidad</w:t>
      </w:r>
      <w:r w:rsidR="00A31E40">
        <w:rPr>
          <w:b/>
          <w:sz w:val="18"/>
          <w:szCs w:val="18"/>
        </w:rPr>
        <w:t>:</w:t>
      </w:r>
      <w:r w:rsidRPr="0060474A">
        <w:rPr>
          <w:b/>
          <w:sz w:val="18"/>
          <w:szCs w:val="18"/>
        </w:rPr>
        <w:t>*</w:t>
      </w:r>
      <w:proofErr w:type="gramEnd"/>
      <w:r w:rsidR="003B694E">
        <w:rPr>
          <w:b/>
          <w:sz w:val="18"/>
          <w:szCs w:val="18"/>
        </w:rPr>
        <w:t>*</w:t>
      </w:r>
      <w:r w:rsidRPr="0060474A">
        <w:rPr>
          <w:b/>
          <w:sz w:val="18"/>
          <w:szCs w:val="18"/>
        </w:rPr>
        <w:t xml:space="preserve"> </w:t>
      </w:r>
      <w:r w:rsidRPr="00A31E40">
        <w:rPr>
          <w:b/>
          <w:sz w:val="18"/>
          <w:szCs w:val="18"/>
        </w:rPr>
        <w:t>Prohibición absoluta de la privación de libertad sobre la base de una discapacidad real o percibida</w:t>
      </w:r>
    </w:p>
    <w:p w14:paraId="45644318" w14:textId="4ECE46BF" w:rsidR="0060474A" w:rsidRPr="00A31E40" w:rsidRDefault="0060474A" w:rsidP="00A31E40">
      <w:pPr>
        <w:pStyle w:val="Paragraphedeliste"/>
        <w:numPr>
          <w:ilvl w:val="0"/>
          <w:numId w:val="19"/>
        </w:numPr>
        <w:rPr>
          <w:b/>
          <w:sz w:val="18"/>
          <w:szCs w:val="18"/>
        </w:rPr>
      </w:pPr>
      <w:r w:rsidRPr="00A31E40">
        <w:rPr>
          <w:b/>
          <w:sz w:val="18"/>
          <w:szCs w:val="18"/>
        </w:rPr>
        <w:t xml:space="preserve">Formas específicas de </w:t>
      </w:r>
      <w:r w:rsidR="000E038F">
        <w:rPr>
          <w:b/>
          <w:sz w:val="18"/>
          <w:szCs w:val="18"/>
        </w:rPr>
        <w:t>p</w:t>
      </w:r>
      <w:r w:rsidR="000E038F" w:rsidRPr="00611FD5">
        <w:rPr>
          <w:b/>
          <w:sz w:val="18"/>
          <w:szCs w:val="18"/>
        </w:rPr>
        <w:t xml:space="preserve">rivación de libertad </w:t>
      </w:r>
      <w:r w:rsidRPr="00A31E40">
        <w:rPr>
          <w:b/>
          <w:sz w:val="18"/>
          <w:szCs w:val="18"/>
        </w:rPr>
        <w:t>no relacionadas con la discapacidad:</w:t>
      </w:r>
      <w:r w:rsidR="00A31E40">
        <w:rPr>
          <w:b/>
          <w:sz w:val="18"/>
          <w:szCs w:val="18"/>
        </w:rPr>
        <w:t xml:space="preserve"> </w:t>
      </w:r>
      <w:r w:rsidR="00A31E40" w:rsidRPr="00A31E40">
        <w:rPr>
          <w:b/>
          <w:sz w:val="18"/>
          <w:szCs w:val="18"/>
        </w:rPr>
        <w:t>D</w:t>
      </w:r>
      <w:r w:rsidRPr="00A31E40">
        <w:rPr>
          <w:b/>
          <w:sz w:val="18"/>
          <w:szCs w:val="18"/>
        </w:rPr>
        <w:t>etenciones penales y administrativas</w:t>
      </w:r>
    </w:p>
    <w:p w14:paraId="34D249D8" w14:textId="5A9F0B7F" w:rsidR="0060474A" w:rsidRDefault="0060474A" w:rsidP="00A31E40">
      <w:pPr>
        <w:pStyle w:val="Paragraphedeliste"/>
        <w:numPr>
          <w:ilvl w:val="0"/>
          <w:numId w:val="19"/>
        </w:numPr>
        <w:rPr>
          <w:b/>
          <w:sz w:val="18"/>
          <w:szCs w:val="18"/>
        </w:rPr>
      </w:pPr>
      <w:r w:rsidRPr="0060474A">
        <w:rPr>
          <w:b/>
          <w:sz w:val="18"/>
          <w:szCs w:val="18"/>
        </w:rPr>
        <w:t xml:space="preserve">Seguridad de la persona y </w:t>
      </w:r>
      <w:r w:rsidRPr="00A31E40">
        <w:rPr>
          <w:b/>
          <w:sz w:val="18"/>
          <w:szCs w:val="18"/>
        </w:rPr>
        <w:t>condiciones de detención para personas con discapacidad</w:t>
      </w:r>
    </w:p>
    <w:p w14:paraId="2288EFAA" w14:textId="77777777" w:rsidR="00A31E40" w:rsidRPr="00A31E40" w:rsidRDefault="00A31E40" w:rsidP="00A31E40">
      <w:pPr>
        <w:ind w:left="360"/>
        <w:rPr>
          <w:b/>
          <w:sz w:val="18"/>
          <w:szCs w:val="18"/>
        </w:rPr>
      </w:pPr>
    </w:p>
    <w:p w14:paraId="0267BFC9" w14:textId="7FC49021" w:rsidR="0060474A" w:rsidRPr="00611FD5" w:rsidRDefault="00A31E40" w:rsidP="0060474A">
      <w:pPr>
        <w:pStyle w:val="Paragraphedeliste"/>
        <w:ind w:left="0"/>
        <w:rPr>
          <w:rFonts w:cstheme="minorHAnsi"/>
          <w:b/>
          <w:sz w:val="18"/>
          <w:szCs w:val="18"/>
        </w:rPr>
      </w:pPr>
      <w:r w:rsidRPr="00A31E40">
        <w:rPr>
          <w:b/>
          <w:sz w:val="18"/>
          <w:szCs w:val="18"/>
        </w:rPr>
        <w:t>Indicadores</w:t>
      </w:r>
      <w:r>
        <w:rPr>
          <w:b/>
          <w:sz w:val="18"/>
          <w:szCs w:val="18"/>
        </w:rPr>
        <w:t xml:space="preserve"> de </w:t>
      </w:r>
      <w:r w:rsidR="0060474A">
        <w:rPr>
          <w:b/>
          <w:sz w:val="18"/>
          <w:szCs w:val="18"/>
        </w:rPr>
        <w:t>Estructura</w:t>
      </w:r>
    </w:p>
    <w:p w14:paraId="61352D1A" w14:textId="77777777" w:rsidR="0060474A" w:rsidRPr="00611FD5" w:rsidRDefault="0060474A" w:rsidP="0060474A">
      <w:pPr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14.1 Constitución y legislación nacional que recono</w:t>
      </w:r>
      <w:r>
        <w:rPr>
          <w:sz w:val="18"/>
          <w:szCs w:val="18"/>
        </w:rPr>
        <w:t>zcan</w:t>
      </w:r>
      <w:r w:rsidRPr="00611FD5">
        <w:rPr>
          <w:sz w:val="18"/>
          <w:szCs w:val="18"/>
        </w:rPr>
        <w:t xml:space="preserve"> el derecho de todas las personas con discapacidad a la libertad y seguridad de las personas en igualdad de condiciones con las demás.</w:t>
      </w:r>
    </w:p>
    <w:p w14:paraId="5010294B" w14:textId="77777777" w:rsidR="0060474A" w:rsidRPr="00611FD5" w:rsidRDefault="0060474A" w:rsidP="0060474A">
      <w:pPr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14.2 Obligación legal de recopilar datos sobre el número de personas con discapacidad privadas de libertad, </w:t>
      </w:r>
      <w:r>
        <w:rPr>
          <w:sz w:val="18"/>
          <w:szCs w:val="18"/>
        </w:rPr>
        <w:t>desagregados</w:t>
      </w:r>
      <w:r w:rsidRPr="00611FD5">
        <w:rPr>
          <w:sz w:val="18"/>
          <w:szCs w:val="18"/>
        </w:rPr>
        <w:t xml:space="preserve"> por edad, sexo, discapacidad, motivo de la detención y lugar de detención (por ejemplo, institución psiquiátrica, institución residencial, prisión, etc.; tanto de titularidad pública como privada)</w:t>
      </w:r>
      <w:r w:rsidRPr="00611FD5">
        <w:rPr>
          <w:rStyle w:val="Appeldenotedefin"/>
          <w:rFonts w:cstheme="minorHAnsi"/>
          <w:sz w:val="18"/>
          <w:szCs w:val="18"/>
        </w:rPr>
        <w:endnoteReference w:id="1"/>
      </w:r>
    </w:p>
    <w:p w14:paraId="6BBEE0AA" w14:textId="12524FCE" w:rsidR="0060474A" w:rsidRPr="00A31E40" w:rsidRDefault="0060474A" w:rsidP="00A31E40">
      <w:pPr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14.3 Obligación legal de establecer un marcador de todos los gastos relacionados con el derecho de las personas con discapacidad a la libertad y la seguridad.</w:t>
      </w:r>
      <w:r w:rsidRPr="00611FD5">
        <w:rPr>
          <w:rStyle w:val="Appeldenotedefin"/>
          <w:rFonts w:cstheme="minorHAnsi"/>
          <w:sz w:val="18"/>
          <w:szCs w:val="18"/>
        </w:rPr>
        <w:endnoteReference w:id="2"/>
      </w:r>
    </w:p>
    <w:p w14:paraId="14BDD77E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14.4 </w:t>
      </w:r>
      <w:r>
        <w:rPr>
          <w:sz w:val="18"/>
          <w:szCs w:val="18"/>
        </w:rPr>
        <w:t>Que no hayan</w:t>
      </w:r>
      <w:r w:rsidRPr="00611FD5">
        <w:rPr>
          <w:sz w:val="18"/>
          <w:szCs w:val="18"/>
        </w:rPr>
        <w:t xml:space="preserve"> disposiciones en la constitución o en la legislación que permitan, directa o indirectamente, cualquier tipo de privación de la libertad </w:t>
      </w:r>
      <w:r>
        <w:rPr>
          <w:sz w:val="18"/>
          <w:szCs w:val="18"/>
        </w:rPr>
        <w:t>sobre la base de una</w:t>
      </w:r>
      <w:r w:rsidRPr="00611FD5">
        <w:rPr>
          <w:sz w:val="18"/>
          <w:szCs w:val="18"/>
        </w:rPr>
        <w:t xml:space="preserve"> deficiencia real o percibida, ya sea por sí sola o en combinación con otros motivos (por ejemplo, cuidado, tratamiento, presunta peligrosidad, etc.) o como resultado de barreras </w:t>
      </w:r>
      <w:r w:rsidRPr="005076F2">
        <w:rPr>
          <w:sz w:val="18"/>
          <w:szCs w:val="18"/>
        </w:rPr>
        <w:t xml:space="preserve"> relacionadas con la actitud, el medio ambiente, la información o la comunicación</w:t>
      </w:r>
      <w:r w:rsidRPr="00611FD5">
        <w:rPr>
          <w:sz w:val="18"/>
          <w:szCs w:val="18"/>
        </w:rPr>
        <w:t>.</w:t>
      </w:r>
      <w:r w:rsidRPr="00611FD5">
        <w:rPr>
          <w:rStyle w:val="Appeldenotedefin"/>
          <w:rFonts w:cstheme="minorHAnsi"/>
          <w:sz w:val="18"/>
          <w:szCs w:val="18"/>
        </w:rPr>
        <w:endnoteReference w:id="3"/>
      </w:r>
    </w:p>
    <w:p w14:paraId="5200A875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  <w:highlight w:val="green"/>
        </w:rPr>
      </w:pPr>
      <w:r w:rsidRPr="00611FD5">
        <w:rPr>
          <w:sz w:val="18"/>
          <w:szCs w:val="18"/>
        </w:rPr>
        <w:t>14.5 Adopción de plan</w:t>
      </w:r>
      <w:r>
        <w:rPr>
          <w:sz w:val="18"/>
          <w:szCs w:val="18"/>
        </w:rPr>
        <w:t>,</w:t>
      </w:r>
      <w:r w:rsidRPr="00611FD5">
        <w:rPr>
          <w:sz w:val="18"/>
          <w:szCs w:val="18"/>
        </w:rPr>
        <w:t xml:space="preserve"> política</w:t>
      </w:r>
      <w:r>
        <w:rPr>
          <w:sz w:val="18"/>
          <w:szCs w:val="18"/>
        </w:rPr>
        <w:t>s o legislación</w:t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transicionales </w:t>
      </w:r>
      <w:r w:rsidRPr="00611FD5">
        <w:rPr>
          <w:sz w:val="18"/>
          <w:szCs w:val="18"/>
        </w:rPr>
        <w:t xml:space="preserve">para </w:t>
      </w:r>
      <w:r>
        <w:rPr>
          <w:sz w:val="18"/>
          <w:szCs w:val="18"/>
        </w:rPr>
        <w:t xml:space="preserve">asegurar </w:t>
      </w:r>
      <w:r w:rsidRPr="00611FD5">
        <w:rPr>
          <w:sz w:val="18"/>
          <w:szCs w:val="18"/>
        </w:rPr>
        <w:t xml:space="preserve">la liberación </w:t>
      </w:r>
      <w:r>
        <w:rPr>
          <w:sz w:val="18"/>
          <w:szCs w:val="18"/>
        </w:rPr>
        <w:t xml:space="preserve">inmediata </w:t>
      </w:r>
      <w:r w:rsidRPr="00611FD5">
        <w:rPr>
          <w:sz w:val="18"/>
          <w:szCs w:val="18"/>
        </w:rPr>
        <w:t xml:space="preserve">de </w:t>
      </w:r>
      <w:r>
        <w:rPr>
          <w:sz w:val="18"/>
          <w:szCs w:val="18"/>
        </w:rPr>
        <w:t xml:space="preserve">las </w:t>
      </w:r>
      <w:r w:rsidRPr="00611FD5">
        <w:rPr>
          <w:sz w:val="18"/>
          <w:szCs w:val="18"/>
        </w:rPr>
        <w:t>personas con discapacidad privadas de</w:t>
      </w:r>
      <w:r>
        <w:rPr>
          <w:sz w:val="18"/>
          <w:szCs w:val="18"/>
        </w:rPr>
        <w:t xml:space="preserve"> su</w:t>
      </w:r>
      <w:r w:rsidRPr="00611FD5">
        <w:rPr>
          <w:sz w:val="18"/>
          <w:szCs w:val="18"/>
        </w:rPr>
        <w:t xml:space="preserve"> libertad sobre la base de una deficiencia real o percibida, incluyendo </w:t>
      </w:r>
      <w:r>
        <w:rPr>
          <w:sz w:val="18"/>
          <w:szCs w:val="18"/>
        </w:rPr>
        <w:t xml:space="preserve">aquellas privadas de libertad en </w:t>
      </w:r>
      <w:r w:rsidRPr="00611FD5">
        <w:rPr>
          <w:sz w:val="18"/>
          <w:szCs w:val="18"/>
        </w:rPr>
        <w:t xml:space="preserve">centros de salud mental para pacientes hospitalizados, y </w:t>
      </w:r>
      <w:r>
        <w:rPr>
          <w:sz w:val="18"/>
          <w:szCs w:val="18"/>
        </w:rPr>
        <w:t>el cese inmediato de</w:t>
      </w:r>
      <w:r w:rsidRPr="00611FD5">
        <w:rPr>
          <w:sz w:val="18"/>
          <w:szCs w:val="18"/>
        </w:rPr>
        <w:t xml:space="preserve"> medidas restrictivas y coercitivas, incluyendo tratamientos forzados. </w:t>
      </w:r>
    </w:p>
    <w:p w14:paraId="7E4B665E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14.6 Legislación que </w:t>
      </w:r>
      <w:r>
        <w:rPr>
          <w:sz w:val="18"/>
          <w:szCs w:val="18"/>
        </w:rPr>
        <w:t>provea</w:t>
      </w:r>
      <w:r w:rsidRPr="00611FD5">
        <w:rPr>
          <w:sz w:val="18"/>
          <w:szCs w:val="18"/>
        </w:rPr>
        <w:t xml:space="preserve"> un sistema penal y penitenciario inclusivo para las personas con discapacidad (por ejemplo, procedimientos, instalaciones y servicios accesibles e inclusivos durante la detención).</w:t>
      </w:r>
    </w:p>
    <w:p w14:paraId="2DA32A7F" w14:textId="77777777" w:rsidR="0060474A" w:rsidRPr="00611FD5" w:rsidRDefault="0060474A" w:rsidP="0060474A">
      <w:pPr>
        <w:jc w:val="both"/>
        <w:rPr>
          <w:sz w:val="18"/>
          <w:szCs w:val="18"/>
        </w:rPr>
      </w:pPr>
      <w:r w:rsidRPr="00611FD5">
        <w:rPr>
          <w:sz w:val="18"/>
          <w:szCs w:val="18"/>
        </w:rPr>
        <w:t>14.7 Legislación que garanti</w:t>
      </w:r>
      <w:r>
        <w:rPr>
          <w:sz w:val="18"/>
          <w:szCs w:val="18"/>
        </w:rPr>
        <w:t>ce</w:t>
      </w:r>
      <w:r w:rsidRPr="00611FD5">
        <w:rPr>
          <w:sz w:val="18"/>
          <w:szCs w:val="18"/>
        </w:rPr>
        <w:t xml:space="preserve"> que todos los sistemas de detención administrativa (por ejemplo, la detención </w:t>
      </w:r>
      <w:r>
        <w:rPr>
          <w:sz w:val="18"/>
          <w:szCs w:val="18"/>
        </w:rPr>
        <w:t>por</w:t>
      </w:r>
      <w:r w:rsidRPr="00611FD5">
        <w:rPr>
          <w:sz w:val="18"/>
          <w:szCs w:val="18"/>
        </w:rPr>
        <w:t xml:space="preserve"> inmigración) sean inclusivos para las personas con discapacidad y </w:t>
      </w:r>
      <w:r>
        <w:rPr>
          <w:sz w:val="18"/>
          <w:szCs w:val="18"/>
        </w:rPr>
        <w:t>respondan</w:t>
      </w:r>
      <w:r w:rsidRPr="00611FD5">
        <w:rPr>
          <w:sz w:val="18"/>
          <w:szCs w:val="18"/>
        </w:rPr>
        <w:t xml:space="preserve"> al género y</w:t>
      </w:r>
      <w:r>
        <w:rPr>
          <w:sz w:val="18"/>
          <w:szCs w:val="18"/>
        </w:rPr>
        <w:t xml:space="preserve"> sean</w:t>
      </w:r>
      <w:r w:rsidRPr="00611FD5">
        <w:rPr>
          <w:sz w:val="18"/>
          <w:szCs w:val="18"/>
        </w:rPr>
        <w:t xml:space="preserve"> apropiados para diferentes edades (por ejemplo, procedimientos, instalaciones y servicios accesibles e inclusivos durante la detención). </w:t>
      </w:r>
    </w:p>
    <w:p w14:paraId="67A217D6" w14:textId="189FA1F6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14.8 Adopción de legislación y políticas para la promoción del uso de mecanismos de justicia </w:t>
      </w:r>
      <w:r>
        <w:rPr>
          <w:sz w:val="18"/>
          <w:szCs w:val="18"/>
        </w:rPr>
        <w:t>reparadora</w:t>
      </w:r>
      <w:r w:rsidRPr="00611FD5">
        <w:rPr>
          <w:sz w:val="18"/>
          <w:szCs w:val="18"/>
        </w:rPr>
        <w:t xml:space="preserve"> y medid</w:t>
      </w:r>
      <w:r w:rsidR="00A31E40">
        <w:rPr>
          <w:sz w:val="18"/>
          <w:szCs w:val="18"/>
        </w:rPr>
        <w:t>as no privativas de la libertad</w:t>
      </w:r>
      <w:r w:rsidRPr="00611FD5">
        <w:rPr>
          <w:sz w:val="18"/>
          <w:szCs w:val="18"/>
        </w:rPr>
        <w:t xml:space="preserve"> para evitar la encarcelación.</w:t>
      </w:r>
    </w:p>
    <w:p w14:paraId="50795471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14.9 Adopción de normas de accesibilidad obligatorias aplicables a las prisiones y otros centros de detención</w:t>
      </w:r>
      <w:r>
        <w:rPr>
          <w:sz w:val="18"/>
          <w:szCs w:val="18"/>
        </w:rPr>
        <w:t xml:space="preserve"> (</w:t>
      </w:r>
      <w:r w:rsidRPr="00EE55D0">
        <w:rPr>
          <w:i/>
          <w:sz w:val="18"/>
          <w:szCs w:val="18"/>
        </w:rPr>
        <w:t>Ibid</w:t>
      </w:r>
      <w:r>
        <w:rPr>
          <w:sz w:val="18"/>
          <w:szCs w:val="18"/>
        </w:rPr>
        <w:t>. 15/17.10)</w:t>
      </w:r>
      <w:r w:rsidRPr="00611FD5">
        <w:rPr>
          <w:sz w:val="18"/>
          <w:szCs w:val="18"/>
        </w:rPr>
        <w:t>.</w:t>
      </w:r>
    </w:p>
    <w:p w14:paraId="59A95BE0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14.10 Disposición en la legislación que garanti</w:t>
      </w:r>
      <w:r>
        <w:rPr>
          <w:sz w:val="18"/>
          <w:szCs w:val="18"/>
        </w:rPr>
        <w:t>ce</w:t>
      </w:r>
      <w:r w:rsidRPr="00611FD5">
        <w:rPr>
          <w:sz w:val="18"/>
          <w:szCs w:val="18"/>
        </w:rPr>
        <w:t xml:space="preserve"> la obligación de proporcionar ajustes razonables a las personas con discapacidad privadas de libertad</w:t>
      </w:r>
      <w:r>
        <w:rPr>
          <w:sz w:val="18"/>
          <w:szCs w:val="18"/>
        </w:rPr>
        <w:t xml:space="preserve"> (</w:t>
      </w:r>
      <w:r w:rsidRPr="00C470CA">
        <w:rPr>
          <w:i/>
          <w:sz w:val="18"/>
          <w:szCs w:val="18"/>
        </w:rPr>
        <w:t>Ibid</w:t>
      </w:r>
      <w:r>
        <w:rPr>
          <w:sz w:val="18"/>
          <w:szCs w:val="18"/>
        </w:rPr>
        <w:t>. 15/17.11)</w:t>
      </w:r>
      <w:r w:rsidRPr="00611FD5">
        <w:rPr>
          <w:sz w:val="18"/>
          <w:szCs w:val="18"/>
        </w:rPr>
        <w:t>.</w:t>
      </w:r>
    </w:p>
    <w:p w14:paraId="51367EA2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14.11 Disposición en la legislación que prohíba el uso de la reclusión y de cualquier método de </w:t>
      </w:r>
      <w:r>
        <w:rPr>
          <w:sz w:val="18"/>
          <w:szCs w:val="18"/>
        </w:rPr>
        <w:t>restricción</w:t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prescrito médicamente </w:t>
      </w:r>
      <w:r w:rsidRPr="00611FD5">
        <w:rPr>
          <w:sz w:val="18"/>
          <w:szCs w:val="18"/>
        </w:rPr>
        <w:t>(físico, químico</w:t>
      </w:r>
      <w:r w:rsidRPr="00611FD5">
        <w:rPr>
          <w:rStyle w:val="Appeldenotedefin"/>
          <w:rFonts w:cstheme="minorHAnsi"/>
          <w:sz w:val="18"/>
          <w:szCs w:val="18"/>
        </w:rPr>
        <w:endnoteReference w:id="4"/>
      </w:r>
      <w:r w:rsidRPr="00611FD5">
        <w:rPr>
          <w:sz w:val="18"/>
          <w:szCs w:val="18"/>
        </w:rPr>
        <w:t>, mecánico, etc.), así como el uso de medicación psiquiátrica u otro tipo de intervención sin previo consentimiento libre e informado de la persona</w:t>
      </w:r>
      <w:r>
        <w:rPr>
          <w:sz w:val="18"/>
          <w:szCs w:val="18"/>
        </w:rPr>
        <w:t>, incluidas las personas con discapacidad</w:t>
      </w:r>
      <w:r w:rsidRPr="00611FD5">
        <w:rPr>
          <w:sz w:val="18"/>
          <w:szCs w:val="18"/>
        </w:rPr>
        <w:t>.</w:t>
      </w:r>
    </w:p>
    <w:p w14:paraId="0878AFC3" w14:textId="77777777" w:rsidR="00A31E40" w:rsidRDefault="00A31E40" w:rsidP="0060474A">
      <w:pPr>
        <w:rPr>
          <w:b/>
          <w:sz w:val="18"/>
          <w:szCs w:val="18"/>
        </w:rPr>
      </w:pPr>
    </w:p>
    <w:p w14:paraId="7E18849A" w14:textId="6B56839B" w:rsidR="0060474A" w:rsidRPr="00A31E40" w:rsidRDefault="00A31E40" w:rsidP="0060474A">
      <w:pPr>
        <w:rPr>
          <w:rFonts w:cstheme="minorHAnsi"/>
          <w:b/>
          <w:sz w:val="18"/>
          <w:szCs w:val="18"/>
        </w:rPr>
      </w:pPr>
      <w:r w:rsidRPr="00A31E40">
        <w:rPr>
          <w:b/>
          <w:sz w:val="18"/>
          <w:szCs w:val="18"/>
        </w:rPr>
        <w:t>Indicadores</w:t>
      </w:r>
      <w:r>
        <w:rPr>
          <w:b/>
          <w:sz w:val="18"/>
          <w:szCs w:val="18"/>
        </w:rPr>
        <w:t xml:space="preserve"> de </w:t>
      </w:r>
      <w:r w:rsidR="0060474A" w:rsidRPr="00611FD5">
        <w:rPr>
          <w:b/>
          <w:sz w:val="18"/>
          <w:szCs w:val="18"/>
        </w:rPr>
        <w:t>Proceso</w:t>
      </w:r>
    </w:p>
    <w:p w14:paraId="0DA412A4" w14:textId="77777777" w:rsidR="0060474A" w:rsidRPr="00611FD5" w:rsidRDefault="0060474A" w:rsidP="0060474A">
      <w:pPr>
        <w:jc w:val="both"/>
        <w:rPr>
          <w:sz w:val="18"/>
          <w:szCs w:val="18"/>
        </w:rPr>
      </w:pPr>
      <w:r w:rsidRPr="00611FD5">
        <w:rPr>
          <w:sz w:val="18"/>
          <w:szCs w:val="18"/>
        </w:rPr>
        <w:t>14.12 Número de personas con discapacidad privadas de libertad en un centro psiquiátrico para pacientes hospitalizados o instituciones similares, y proporción de las mismas que han sido informadas de su derecho a ser puestos en libertad, al acceso a la vivienda, medios de subsistencia y otras formas de apoyo económico y social.</w:t>
      </w:r>
      <w:r w:rsidRPr="00611FD5">
        <w:rPr>
          <w:rStyle w:val="Appeldenotedefin"/>
          <w:rFonts w:cstheme="minorHAnsi"/>
          <w:sz w:val="18"/>
          <w:szCs w:val="18"/>
        </w:rPr>
        <w:endnoteReference w:id="5"/>
      </w:r>
      <w:r w:rsidRPr="00611FD5">
        <w:rPr>
          <w:sz w:val="18"/>
          <w:szCs w:val="18"/>
        </w:rPr>
        <w:t xml:space="preserve"> </w:t>
      </w:r>
    </w:p>
    <w:p w14:paraId="6A6BD972" w14:textId="77777777" w:rsidR="0060474A" w:rsidRPr="00EE55D0" w:rsidRDefault="0060474A" w:rsidP="0060474A">
      <w:pPr>
        <w:jc w:val="both"/>
        <w:rPr>
          <w:sz w:val="18"/>
          <w:szCs w:val="18"/>
        </w:rPr>
      </w:pPr>
      <w:r w:rsidRPr="00611FD5">
        <w:rPr>
          <w:sz w:val="18"/>
          <w:szCs w:val="18"/>
        </w:rPr>
        <w:t>14.13 Campaña</w:t>
      </w:r>
      <w:r>
        <w:rPr>
          <w:sz w:val="18"/>
          <w:szCs w:val="18"/>
        </w:rPr>
        <w:t>s</w:t>
      </w:r>
      <w:r w:rsidRPr="00611FD5">
        <w:rPr>
          <w:sz w:val="18"/>
          <w:szCs w:val="18"/>
        </w:rPr>
        <w:t xml:space="preserve"> de </w:t>
      </w:r>
      <w:r>
        <w:rPr>
          <w:sz w:val="18"/>
          <w:szCs w:val="18"/>
        </w:rPr>
        <w:t>concienciación</w:t>
      </w:r>
      <w:r w:rsidRPr="00611FD5">
        <w:rPr>
          <w:sz w:val="18"/>
          <w:szCs w:val="18"/>
        </w:rPr>
        <w:t xml:space="preserve"> sobre el derecho a la libertad y la seguridad de las personas con discapacidad dirigidas al público en general </w:t>
      </w:r>
      <w:r>
        <w:rPr>
          <w:sz w:val="18"/>
          <w:szCs w:val="18"/>
        </w:rPr>
        <w:t xml:space="preserve">y a los servicios de salud y sociales sobre </w:t>
      </w:r>
      <w:r w:rsidRPr="00611FD5">
        <w:rPr>
          <w:sz w:val="18"/>
          <w:szCs w:val="18"/>
        </w:rPr>
        <w:t>la prohibición absoluta de privar</w:t>
      </w:r>
      <w:r>
        <w:rPr>
          <w:sz w:val="18"/>
          <w:szCs w:val="18"/>
        </w:rPr>
        <w:t xml:space="preserve"> de</w:t>
      </w:r>
      <w:r w:rsidRPr="00611FD5">
        <w:rPr>
          <w:sz w:val="18"/>
          <w:szCs w:val="18"/>
        </w:rPr>
        <w:t xml:space="preserve"> la libertad sobre la base de una deficiencia real o percibida, </w:t>
      </w:r>
      <w:r>
        <w:rPr>
          <w:sz w:val="18"/>
          <w:szCs w:val="18"/>
        </w:rPr>
        <w:t xml:space="preserve">incluyendo cualquier detención relacionada con la salud y la medicación forzosa y otras intervenciones a la fuerza, </w:t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>promoviendo</w:t>
      </w:r>
      <w:r w:rsidRPr="00611FD5">
        <w:rPr>
          <w:sz w:val="18"/>
          <w:szCs w:val="18"/>
        </w:rPr>
        <w:t xml:space="preserve"> su inclusión en la comunidad e inform</w:t>
      </w:r>
      <w:r>
        <w:rPr>
          <w:sz w:val="18"/>
          <w:szCs w:val="18"/>
        </w:rPr>
        <w:t>ando</w:t>
      </w:r>
      <w:r w:rsidRPr="00611FD5">
        <w:rPr>
          <w:sz w:val="18"/>
          <w:szCs w:val="18"/>
        </w:rPr>
        <w:t xml:space="preserve"> sobre </w:t>
      </w:r>
      <w:r>
        <w:rPr>
          <w:sz w:val="18"/>
          <w:szCs w:val="18"/>
        </w:rPr>
        <w:t xml:space="preserve">los </w:t>
      </w:r>
      <w:r w:rsidRPr="00611FD5">
        <w:rPr>
          <w:sz w:val="18"/>
          <w:szCs w:val="18"/>
        </w:rPr>
        <w:t>apoyos disponibles para personas con discapacidad y sus familias.</w:t>
      </w:r>
    </w:p>
    <w:p w14:paraId="4681C946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  <w:highlight w:val="yellow"/>
        </w:rPr>
      </w:pPr>
      <w:r w:rsidRPr="00611FD5">
        <w:rPr>
          <w:sz w:val="18"/>
          <w:szCs w:val="18"/>
        </w:rPr>
        <w:t xml:space="preserve">14.14 </w:t>
      </w:r>
      <w:r>
        <w:rPr>
          <w:sz w:val="18"/>
          <w:szCs w:val="18"/>
        </w:rPr>
        <w:t>Proporción</w:t>
      </w:r>
      <w:r w:rsidRPr="00611FD5">
        <w:rPr>
          <w:sz w:val="18"/>
          <w:szCs w:val="18"/>
        </w:rPr>
        <w:t xml:space="preserve"> de </w:t>
      </w:r>
      <w:r>
        <w:rPr>
          <w:sz w:val="18"/>
          <w:szCs w:val="18"/>
        </w:rPr>
        <w:t>denuncias</w:t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>recibidas sobre</w:t>
      </w:r>
      <w:r w:rsidRPr="00611FD5">
        <w:rPr>
          <w:sz w:val="18"/>
          <w:szCs w:val="18"/>
        </w:rPr>
        <w:t xml:space="preserve"> privaciones de libertad por discapacidad </w:t>
      </w:r>
      <w:r>
        <w:rPr>
          <w:sz w:val="18"/>
          <w:szCs w:val="18"/>
        </w:rPr>
        <w:t xml:space="preserve">que han sido </w:t>
      </w:r>
      <w:r w:rsidRPr="00611FD5">
        <w:rPr>
          <w:sz w:val="18"/>
          <w:szCs w:val="18"/>
        </w:rPr>
        <w:t>investigadas</w:t>
      </w:r>
      <w:r>
        <w:rPr>
          <w:sz w:val="18"/>
          <w:szCs w:val="18"/>
        </w:rPr>
        <w:t xml:space="preserve"> y resueltas; proporción de las mismas </w:t>
      </w:r>
      <w:r w:rsidRPr="00611FD5">
        <w:rPr>
          <w:sz w:val="18"/>
          <w:szCs w:val="18"/>
        </w:rPr>
        <w:t xml:space="preserve">resueltas a favor del denunciante, </w:t>
      </w:r>
      <w:r>
        <w:rPr>
          <w:sz w:val="18"/>
          <w:szCs w:val="18"/>
        </w:rPr>
        <w:t xml:space="preserve">y proporción de estas últimas </w:t>
      </w:r>
      <w:r w:rsidRPr="00611FD5">
        <w:rPr>
          <w:sz w:val="18"/>
          <w:szCs w:val="18"/>
        </w:rPr>
        <w:t>cumplidas por el gobierno o el responsable</w:t>
      </w:r>
      <w:r>
        <w:rPr>
          <w:sz w:val="18"/>
          <w:szCs w:val="18"/>
        </w:rPr>
        <w:t>; todas ellas desagregadas</w:t>
      </w:r>
      <w:r w:rsidRPr="00611FD5">
        <w:rPr>
          <w:sz w:val="18"/>
          <w:szCs w:val="18"/>
        </w:rPr>
        <w:t xml:space="preserve"> por tipo de mecanismo. </w:t>
      </w:r>
    </w:p>
    <w:p w14:paraId="7C135A9E" w14:textId="77777777" w:rsidR="0060474A" w:rsidRPr="00611FD5" w:rsidRDefault="0060474A" w:rsidP="0060474A">
      <w:pPr>
        <w:jc w:val="both"/>
        <w:rPr>
          <w:sz w:val="18"/>
          <w:szCs w:val="18"/>
        </w:rPr>
      </w:pPr>
      <w:r w:rsidRPr="00611FD5">
        <w:rPr>
          <w:sz w:val="18"/>
          <w:szCs w:val="18"/>
        </w:rPr>
        <w:t xml:space="preserve">14.15 </w:t>
      </w:r>
      <w:r>
        <w:rPr>
          <w:sz w:val="18"/>
          <w:szCs w:val="18"/>
        </w:rPr>
        <w:t xml:space="preserve">Número y proporción de </w:t>
      </w:r>
      <w:r w:rsidRPr="00611FD5">
        <w:rPr>
          <w:sz w:val="18"/>
          <w:szCs w:val="18"/>
        </w:rPr>
        <w:t>personal de los sistemas judicial, policial y penitenciario</w:t>
      </w:r>
      <w:r>
        <w:rPr>
          <w:sz w:val="18"/>
          <w:szCs w:val="18"/>
        </w:rPr>
        <w:t xml:space="preserve">, así como de otros centros de detención, que han recibido capacitación </w:t>
      </w:r>
      <w:r w:rsidRPr="00611FD5">
        <w:rPr>
          <w:sz w:val="18"/>
          <w:szCs w:val="18"/>
        </w:rPr>
        <w:t>en derechos de las personas con discapacidad, incluida la prohibición de la reclusión, la inmovilización y la administración de medicación psiquiátrica u otro tipo de intervenciones sin el consentimiento libre e informado de la persona, la accesibilidad, la obligación de realizar ajustes razonables y las normas de conducta respecto a la interrogación, detención y arresto de personas con discapacidad.</w:t>
      </w:r>
    </w:p>
    <w:p w14:paraId="478FE3E9" w14:textId="10B4D2BD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14.16 Número y proporción de personas con discapacidad privadas de libertad en prisiones y otros centros de detención, desglosadas por edad, sexo, discapacidad, motivo de la detención,</w:t>
      </w:r>
      <w:r w:rsidRPr="00611FD5">
        <w:rPr>
          <w:rStyle w:val="Appeldenotedefin"/>
          <w:rFonts w:cstheme="minorHAnsi"/>
          <w:sz w:val="18"/>
          <w:szCs w:val="18"/>
        </w:rPr>
        <w:endnoteReference w:id="6"/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tipo de </w:t>
      </w:r>
      <w:r w:rsidRPr="00611FD5">
        <w:rPr>
          <w:sz w:val="18"/>
          <w:szCs w:val="18"/>
        </w:rPr>
        <w:t xml:space="preserve">centro de detención y </w:t>
      </w:r>
      <w:r>
        <w:rPr>
          <w:sz w:val="18"/>
          <w:szCs w:val="18"/>
        </w:rPr>
        <w:t>ubicación</w:t>
      </w:r>
      <w:r w:rsidRPr="00611FD5">
        <w:rPr>
          <w:sz w:val="18"/>
          <w:szCs w:val="18"/>
        </w:rPr>
        <w:t xml:space="preserve"> geográfica.</w:t>
      </w:r>
    </w:p>
    <w:p w14:paraId="76274CF0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14.17 Proporción de personas con discapacidad privadas de libertad en el sistema penitenciario o en detención administrativa que acceden rápidamente a asistencia jurídica gratuita, desglosadas por edad, sexo, discapacidad, lugar de detención y ubicación geográfica.</w:t>
      </w:r>
      <w:r w:rsidRPr="00611FD5">
        <w:rPr>
          <w:rStyle w:val="Appeldenotedefin"/>
          <w:rFonts w:cstheme="minorHAnsi"/>
          <w:sz w:val="18"/>
          <w:szCs w:val="18"/>
        </w:rPr>
        <w:endnoteReference w:id="7"/>
      </w:r>
      <w:r w:rsidRPr="00611FD5">
        <w:rPr>
          <w:sz w:val="18"/>
          <w:szCs w:val="18"/>
        </w:rPr>
        <w:t xml:space="preserve"> </w:t>
      </w:r>
    </w:p>
    <w:p w14:paraId="5CBF9796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14.18 Presupuesto asignado para la prestación de servicios de asistencia </w:t>
      </w:r>
      <w:r>
        <w:rPr>
          <w:sz w:val="18"/>
          <w:szCs w:val="18"/>
        </w:rPr>
        <w:t>legal</w:t>
      </w:r>
      <w:r w:rsidRPr="00611FD5">
        <w:rPr>
          <w:sz w:val="18"/>
          <w:szCs w:val="18"/>
        </w:rPr>
        <w:t xml:space="preserve"> a las personas con discapacidad privadas de libertad en el sistema penitenciario o en detención administrativa.</w:t>
      </w:r>
    </w:p>
    <w:p w14:paraId="3D272DD5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14.19 Proporción de solicitudes de ajustes de procedimiento y adecuaciones a la edad concedidas a las personas con discapacidad en los procedimientos relacionados con la privación de libertad.</w:t>
      </w:r>
    </w:p>
    <w:p w14:paraId="23162424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14.20 </w:t>
      </w:r>
      <w:r>
        <w:rPr>
          <w:sz w:val="18"/>
          <w:szCs w:val="18"/>
        </w:rPr>
        <w:t>Proporción</w:t>
      </w:r>
      <w:r w:rsidRPr="00611FD5">
        <w:rPr>
          <w:sz w:val="18"/>
          <w:szCs w:val="18"/>
        </w:rPr>
        <w:t xml:space="preserve"> de denuncias </w:t>
      </w:r>
      <w:r>
        <w:rPr>
          <w:sz w:val="18"/>
          <w:szCs w:val="18"/>
        </w:rPr>
        <w:t>recibidas por parte o en nombre de</w:t>
      </w:r>
      <w:r w:rsidRPr="00611FD5">
        <w:rPr>
          <w:sz w:val="18"/>
          <w:szCs w:val="18"/>
        </w:rPr>
        <w:t xml:space="preserve"> personas con discapacidad, que </w:t>
      </w:r>
      <w:r>
        <w:rPr>
          <w:sz w:val="18"/>
          <w:szCs w:val="18"/>
        </w:rPr>
        <w:t>aleguen</w:t>
      </w:r>
      <w:r w:rsidRPr="00611FD5">
        <w:rPr>
          <w:sz w:val="18"/>
          <w:szCs w:val="18"/>
        </w:rPr>
        <w:t xml:space="preserve"> falta de accesibilidad, denegación de ajustes razonables, tortura o cualquier forma de malos tratos (incluidas la reclusión, la medicación forzada y las retenciones) en </w:t>
      </w:r>
      <w:r w:rsidRPr="00611FD5">
        <w:rPr>
          <w:sz w:val="18"/>
          <w:szCs w:val="18"/>
          <w:u w:val="single"/>
        </w:rPr>
        <w:t>cualquier</w:t>
      </w:r>
      <w:r w:rsidRPr="00611FD5">
        <w:rPr>
          <w:sz w:val="18"/>
          <w:szCs w:val="18"/>
        </w:rPr>
        <w:t xml:space="preserve"> lugar de detención,</w:t>
      </w:r>
      <w:r w:rsidRPr="00611FD5">
        <w:rPr>
          <w:rStyle w:val="Appeldenotedefin"/>
          <w:rFonts w:cstheme="minorHAnsi"/>
          <w:sz w:val="18"/>
          <w:szCs w:val="18"/>
        </w:rPr>
        <w:endnoteReference w:id="8"/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que han sido </w:t>
      </w:r>
      <w:r w:rsidRPr="00611FD5">
        <w:rPr>
          <w:sz w:val="18"/>
          <w:szCs w:val="18"/>
        </w:rPr>
        <w:t>investigadas, resueltas y cumplidas por el gobierno</w:t>
      </w:r>
      <w:r>
        <w:rPr>
          <w:sz w:val="18"/>
          <w:szCs w:val="18"/>
        </w:rPr>
        <w:t xml:space="preserve"> o el responsable; todas ellas desglosadas por tipo de mecanismo</w:t>
      </w:r>
      <w:r w:rsidRPr="00611FD5">
        <w:rPr>
          <w:sz w:val="18"/>
          <w:szCs w:val="18"/>
        </w:rPr>
        <w:t>.</w:t>
      </w:r>
    </w:p>
    <w:p w14:paraId="62044C34" w14:textId="5A2DE867" w:rsidR="0060474A" w:rsidRPr="00A31E40" w:rsidRDefault="0060474A" w:rsidP="00A31E40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14.21 Presupuesto asignado para la mejora de las condiciones de detención, incluidas las medidas relacionadas con la accesibilidad.</w:t>
      </w:r>
    </w:p>
    <w:p w14:paraId="59EC52B6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14.22 Procesos de consulta </w:t>
      </w:r>
      <w:r>
        <w:rPr>
          <w:sz w:val="18"/>
          <w:szCs w:val="18"/>
        </w:rPr>
        <w:t>llevados a cabo</w:t>
      </w:r>
      <w:r w:rsidRPr="00611FD5">
        <w:rPr>
          <w:sz w:val="18"/>
          <w:szCs w:val="18"/>
        </w:rPr>
        <w:t xml:space="preserve"> para asegurar la participación activa de las personas con discapacidad, </w:t>
      </w:r>
      <w:r>
        <w:rPr>
          <w:sz w:val="18"/>
          <w:szCs w:val="18"/>
        </w:rPr>
        <w:t>incluyendo a las organizaciones que las representan</w:t>
      </w:r>
      <w:r w:rsidRPr="00611FD5">
        <w:rPr>
          <w:sz w:val="18"/>
          <w:szCs w:val="18"/>
        </w:rPr>
        <w:t xml:space="preserve">, en el diseño, </w:t>
      </w:r>
      <w:r>
        <w:rPr>
          <w:sz w:val="18"/>
          <w:szCs w:val="18"/>
        </w:rPr>
        <w:t xml:space="preserve">implementación </w:t>
      </w:r>
      <w:r w:rsidRPr="00611FD5">
        <w:rPr>
          <w:sz w:val="18"/>
          <w:szCs w:val="18"/>
        </w:rPr>
        <w:t xml:space="preserve"> y monitoreo de leyes, reglamentos, políticas y programas relacionados con su derecho a la libertad y a la seguridad.</w:t>
      </w:r>
      <w:r w:rsidRPr="00611FD5">
        <w:rPr>
          <w:rStyle w:val="Appeldenotedefin"/>
          <w:rFonts w:cstheme="minorHAnsi"/>
          <w:sz w:val="18"/>
          <w:szCs w:val="18"/>
        </w:rPr>
        <w:endnoteReference w:id="9"/>
      </w:r>
    </w:p>
    <w:p w14:paraId="7540B7B6" w14:textId="05F89FF3" w:rsidR="00A31E40" w:rsidRDefault="00A31E40" w:rsidP="0060474A">
      <w:pPr>
        <w:rPr>
          <w:b/>
          <w:sz w:val="18"/>
          <w:szCs w:val="18"/>
        </w:rPr>
      </w:pPr>
    </w:p>
    <w:p w14:paraId="2E1CD2E5" w14:textId="77777777" w:rsidR="00A31E40" w:rsidRDefault="00A31E40" w:rsidP="0060474A">
      <w:pPr>
        <w:rPr>
          <w:b/>
          <w:sz w:val="18"/>
          <w:szCs w:val="18"/>
        </w:rPr>
      </w:pPr>
    </w:p>
    <w:p w14:paraId="5A2DF891" w14:textId="4ED4A765" w:rsidR="0060474A" w:rsidRPr="00611FD5" w:rsidRDefault="00A31E40" w:rsidP="0060474A">
      <w:pPr>
        <w:rPr>
          <w:rFonts w:cstheme="minorHAnsi"/>
          <w:b/>
          <w:sz w:val="18"/>
          <w:szCs w:val="18"/>
        </w:rPr>
      </w:pPr>
      <w:r w:rsidRPr="00A31E40">
        <w:rPr>
          <w:b/>
          <w:sz w:val="18"/>
          <w:szCs w:val="18"/>
        </w:rPr>
        <w:lastRenderedPageBreak/>
        <w:t>Indicadores</w:t>
      </w:r>
      <w:r>
        <w:rPr>
          <w:b/>
          <w:sz w:val="18"/>
          <w:szCs w:val="18"/>
        </w:rPr>
        <w:t xml:space="preserve"> de </w:t>
      </w:r>
      <w:r w:rsidR="0060474A" w:rsidRPr="00611FD5">
        <w:rPr>
          <w:b/>
          <w:sz w:val="18"/>
          <w:szCs w:val="18"/>
        </w:rPr>
        <w:t>Resultado</w:t>
      </w:r>
    </w:p>
    <w:p w14:paraId="30A5B475" w14:textId="77777777" w:rsidR="0060474A" w:rsidRPr="00611FD5" w:rsidRDefault="0060474A" w:rsidP="0060474A">
      <w:pPr>
        <w:jc w:val="both"/>
        <w:rPr>
          <w:sz w:val="18"/>
          <w:szCs w:val="18"/>
        </w:rPr>
      </w:pPr>
      <w:r w:rsidRPr="00611FD5">
        <w:rPr>
          <w:sz w:val="18"/>
          <w:szCs w:val="18"/>
        </w:rPr>
        <w:t xml:space="preserve">14.23 Número de personas con discapacidad que </w:t>
      </w:r>
      <w:r w:rsidRPr="00611FD5">
        <w:rPr>
          <w:sz w:val="18"/>
          <w:szCs w:val="18"/>
          <w:u w:val="single"/>
        </w:rPr>
        <w:t>actualmente</w:t>
      </w:r>
      <w:r w:rsidRPr="00611FD5">
        <w:rPr>
          <w:sz w:val="18"/>
          <w:szCs w:val="18"/>
        </w:rPr>
        <w:t xml:space="preserve"> están privadas de libertad sobre la base de una deficiencia real o percibida, desglosadas por edad, sexo, discapacidad, tipo de institución/lugar de detención (por ejemplo, instituciones psiquiátricas, </w:t>
      </w:r>
      <w:r>
        <w:rPr>
          <w:sz w:val="18"/>
          <w:szCs w:val="18"/>
        </w:rPr>
        <w:t xml:space="preserve">instituciones residenciales o de atención social, </w:t>
      </w:r>
      <w:r w:rsidRPr="00611FD5">
        <w:rPr>
          <w:sz w:val="18"/>
          <w:szCs w:val="18"/>
        </w:rPr>
        <w:t>residencias para personas con discapacidad intelectual, etc.)</w:t>
      </w:r>
      <w:r>
        <w:rPr>
          <w:sz w:val="18"/>
          <w:szCs w:val="18"/>
        </w:rPr>
        <w:t xml:space="preserve"> y con sustento legal para la institucionalización o detención</w:t>
      </w:r>
      <w:r w:rsidRPr="000C0CF4">
        <w:rPr>
          <w:rStyle w:val="Appeldenotedefin"/>
          <w:sz w:val="18"/>
          <w:szCs w:val="18"/>
        </w:rPr>
        <w:endnoteReference w:id="10"/>
      </w:r>
      <w:r w:rsidRPr="00611FD5">
        <w:rPr>
          <w:sz w:val="18"/>
          <w:szCs w:val="18"/>
        </w:rPr>
        <w:t xml:space="preserve">. </w:t>
      </w:r>
    </w:p>
    <w:p w14:paraId="6008C7EA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14.24 </w:t>
      </w:r>
      <w:r w:rsidRPr="00195D3B">
        <w:rPr>
          <w:sz w:val="18"/>
          <w:szCs w:val="18"/>
        </w:rPr>
        <w:t>Número de personas con discapacidad actualmente privadas de libertad como resultado de la desviación del enjuiciamiento sobre la base de una deficiencia real o percibida (por ejemplo, "incapacidad para ser juzgado" seguida de la aplicación de una medida de seguridad), desglosado por sexo, edad y discapacidad y tipo de institución/lugar de detención.</w:t>
      </w:r>
    </w:p>
    <w:p w14:paraId="4BEA4CED" w14:textId="77777777" w:rsidR="0060474A" w:rsidRPr="00611FD5" w:rsidRDefault="0060474A" w:rsidP="0060474A">
      <w:pPr>
        <w:jc w:val="both"/>
        <w:rPr>
          <w:sz w:val="18"/>
          <w:szCs w:val="18"/>
        </w:rPr>
      </w:pPr>
      <w:r w:rsidRPr="00611FD5">
        <w:rPr>
          <w:sz w:val="18"/>
          <w:szCs w:val="18"/>
        </w:rPr>
        <w:t>14.25 Número de personas con discapacidad que han sido liberadas de la privación de libertad por motivos de discapacidad, desglosadas por edad, sexo</w:t>
      </w:r>
      <w:r>
        <w:rPr>
          <w:sz w:val="18"/>
          <w:szCs w:val="18"/>
        </w:rPr>
        <w:t>,</w:t>
      </w:r>
      <w:r w:rsidRPr="00611FD5">
        <w:rPr>
          <w:sz w:val="18"/>
          <w:szCs w:val="18"/>
        </w:rPr>
        <w:t xml:space="preserve"> discapacidad, y lugar de detención (por ejemplo, instituciones psiquiátricas, residencias para personas con discapacidad intelectual, etc.), y proporción de las mismas a las que se ha proporcionado acceso a vivienda, medios de subsistencia y otras formas de apoyo económico y social</w:t>
      </w:r>
    </w:p>
    <w:p w14:paraId="7695EFAB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>14.26 Número de personas privadas de libertad en prisiones y otros centros de detención (no específicos para personas con discapacidad), y proporción de las mismas que son personas con discapacidad, desglosadas por edad, sexo, discapacidad, motivo de la detención,</w:t>
      </w:r>
      <w:r w:rsidRPr="00611FD5">
        <w:rPr>
          <w:rStyle w:val="Appeldenotedefin"/>
          <w:rFonts w:cstheme="minorHAnsi"/>
          <w:sz w:val="18"/>
          <w:szCs w:val="18"/>
        </w:rPr>
        <w:endnoteReference w:id="11"/>
      </w:r>
      <w:r w:rsidRPr="00611FD5">
        <w:rPr>
          <w:sz w:val="18"/>
          <w:szCs w:val="18"/>
        </w:rPr>
        <w:t xml:space="preserve"> centro de detención y zona geográfica.</w:t>
      </w:r>
    </w:p>
    <w:p w14:paraId="71186F93" w14:textId="77777777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14.27 Tasa de condenas de personas con discapacidad en comparación con la tasa de condenas general, desglosada por edad, sexo, discapacidad, delito/causa y si tuvieron acceso a asistencia </w:t>
      </w:r>
      <w:r>
        <w:rPr>
          <w:sz w:val="18"/>
          <w:szCs w:val="18"/>
        </w:rPr>
        <w:t>legal</w:t>
      </w:r>
      <w:r w:rsidRPr="00611FD5">
        <w:rPr>
          <w:sz w:val="18"/>
          <w:szCs w:val="18"/>
        </w:rPr>
        <w:t xml:space="preserve"> o a un abogado de su elección.</w:t>
      </w:r>
      <w:r w:rsidRPr="00611FD5">
        <w:rPr>
          <w:rStyle w:val="Appeldenotedefin"/>
          <w:rFonts w:cstheme="minorHAnsi"/>
          <w:sz w:val="18"/>
          <w:szCs w:val="18"/>
        </w:rPr>
        <w:endnoteReference w:id="12"/>
      </w:r>
    </w:p>
    <w:p w14:paraId="517D4F5D" w14:textId="77777777" w:rsidR="0060474A" w:rsidRPr="00611FD5" w:rsidRDefault="0060474A" w:rsidP="0060474A">
      <w:pPr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14.28 Proporción de casos en que, tras la apelación, se redujo la pena o se anuló una condena, desglosados por edad, sexo </w:t>
      </w:r>
      <w:r>
        <w:rPr>
          <w:sz w:val="18"/>
          <w:szCs w:val="18"/>
        </w:rPr>
        <w:t>y dis</w:t>
      </w:r>
      <w:r w:rsidRPr="00611FD5">
        <w:rPr>
          <w:sz w:val="18"/>
          <w:szCs w:val="18"/>
        </w:rPr>
        <w:t>capacidad.</w:t>
      </w:r>
    </w:p>
    <w:p w14:paraId="4F5A9174" w14:textId="2F1F459F" w:rsidR="0060474A" w:rsidRPr="00611FD5" w:rsidRDefault="0060474A" w:rsidP="0060474A">
      <w:pPr>
        <w:jc w:val="both"/>
        <w:rPr>
          <w:rFonts w:cstheme="minorHAnsi"/>
          <w:sz w:val="18"/>
          <w:szCs w:val="18"/>
        </w:rPr>
      </w:pPr>
      <w:r w:rsidRPr="00611FD5">
        <w:rPr>
          <w:sz w:val="18"/>
          <w:szCs w:val="18"/>
        </w:rPr>
        <w:t xml:space="preserve">14.29 Número y proporción de personas con discapacidad </w:t>
      </w:r>
      <w:r w:rsidR="000E038F" w:rsidRPr="00195D3B">
        <w:rPr>
          <w:sz w:val="18"/>
          <w:szCs w:val="18"/>
        </w:rPr>
        <w:t>privadas de libe</w:t>
      </w:r>
      <w:r w:rsidR="000E038F">
        <w:rPr>
          <w:sz w:val="18"/>
          <w:szCs w:val="18"/>
        </w:rPr>
        <w:t xml:space="preserve">rtad </w:t>
      </w:r>
      <w:r w:rsidRPr="00611FD5">
        <w:rPr>
          <w:sz w:val="18"/>
          <w:szCs w:val="18"/>
        </w:rPr>
        <w:t xml:space="preserve">en cualquier centro de detención </w:t>
      </w:r>
      <w:r>
        <w:rPr>
          <w:sz w:val="18"/>
          <w:szCs w:val="18"/>
        </w:rPr>
        <w:t>a las que se les han proporcionado</w:t>
      </w:r>
      <w:r w:rsidRPr="00611FD5">
        <w:rPr>
          <w:sz w:val="18"/>
          <w:szCs w:val="18"/>
        </w:rPr>
        <w:t xml:space="preserve"> ajustes razonables, desglosado por edad, sexo, discapacidad, motivo de la detención,</w:t>
      </w:r>
      <w:r w:rsidRPr="00611FD5">
        <w:rPr>
          <w:rStyle w:val="Appeldenotedefin"/>
          <w:rFonts w:cstheme="minorHAnsi"/>
          <w:sz w:val="18"/>
          <w:szCs w:val="18"/>
        </w:rPr>
        <w:endnoteReference w:id="13"/>
      </w:r>
      <w:r w:rsidRPr="00611FD5">
        <w:rPr>
          <w:sz w:val="18"/>
          <w:szCs w:val="18"/>
        </w:rPr>
        <w:t xml:space="preserve"> centro de detención y zona geográfica.</w:t>
      </w:r>
    </w:p>
    <w:p w14:paraId="78AF1730" w14:textId="77777777" w:rsidR="00DE431B" w:rsidRPr="00611FD5" w:rsidRDefault="00DE431B" w:rsidP="000B3868">
      <w:pPr>
        <w:rPr>
          <w:rFonts w:cstheme="minorHAnsi"/>
          <w:sz w:val="18"/>
          <w:szCs w:val="18"/>
        </w:rPr>
      </w:pPr>
    </w:p>
    <w:p w14:paraId="6511E3A2" w14:textId="7DB629D7" w:rsidR="0065051C" w:rsidRPr="00611FD5" w:rsidRDefault="0065051C" w:rsidP="00F53F55">
      <w:pPr>
        <w:jc w:val="center"/>
        <w:rPr>
          <w:rFonts w:cstheme="minorHAnsi"/>
          <w:b/>
          <w:sz w:val="18"/>
          <w:szCs w:val="18"/>
        </w:rPr>
      </w:pPr>
      <w:r w:rsidRPr="00611FD5">
        <w:rPr>
          <w:b/>
          <w:sz w:val="18"/>
          <w:szCs w:val="18"/>
        </w:rPr>
        <w:t>ANEXO</w:t>
      </w:r>
    </w:p>
    <w:p w14:paraId="51BD988B" w14:textId="77777777" w:rsidR="003B694E" w:rsidRDefault="003B694E" w:rsidP="003B694E">
      <w:pPr>
        <w:rPr>
          <w:color w:val="000000"/>
          <w:sz w:val="18"/>
          <w:szCs w:val="18"/>
        </w:rPr>
      </w:pPr>
    </w:p>
    <w:p w14:paraId="157040BA" w14:textId="41F1ED32" w:rsidR="003B694E" w:rsidRPr="003B694E" w:rsidRDefault="003B694E" w:rsidP="003B694E">
      <w:pPr>
        <w:rPr>
          <w:sz w:val="18"/>
          <w:szCs w:val="18"/>
        </w:rPr>
      </w:pPr>
      <w:r w:rsidRPr="003B694E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Véase las </w:t>
      </w:r>
      <w:r w:rsidRPr="003B694E">
        <w:rPr>
          <w:sz w:val="18"/>
          <w:szCs w:val="18"/>
        </w:rPr>
        <w:t xml:space="preserve">Directrices sobre el derecho a la libertad y la seguridad de las personas con discapacidad </w:t>
      </w:r>
      <w:r>
        <w:rPr>
          <w:sz w:val="18"/>
          <w:szCs w:val="18"/>
        </w:rPr>
        <w:t>del Comité CDPD,</w:t>
      </w:r>
      <w:r w:rsidRPr="003B694E">
        <w:rPr>
          <w:sz w:val="18"/>
          <w:szCs w:val="18"/>
        </w:rPr>
        <w:t xml:space="preserve"> </w:t>
      </w:r>
      <w:hyperlink r:id="rId11" w:history="1">
        <w:proofErr w:type="spellStart"/>
        <w:r w:rsidRPr="003B694E">
          <w:rPr>
            <w:rStyle w:val="Lienhypertexte"/>
            <w:sz w:val="18"/>
            <w:szCs w:val="18"/>
          </w:rPr>
          <w:t>Annex</w:t>
        </w:r>
        <w:r>
          <w:rPr>
            <w:rStyle w:val="Lienhypertexte"/>
            <w:sz w:val="18"/>
            <w:szCs w:val="18"/>
          </w:rPr>
          <w:t>o</w:t>
        </w:r>
        <w:proofErr w:type="spellEnd"/>
        <w:r w:rsidRPr="003B694E">
          <w:rPr>
            <w:rStyle w:val="Lienhypertexte"/>
            <w:sz w:val="18"/>
            <w:szCs w:val="18"/>
          </w:rPr>
          <w:t xml:space="preserve"> </w:t>
        </w:r>
        <w:r>
          <w:rPr>
            <w:rStyle w:val="Lienhypertexte"/>
            <w:sz w:val="18"/>
            <w:szCs w:val="18"/>
          </w:rPr>
          <w:t>al informe semestral du Comité CDPD</w:t>
        </w:r>
        <w:r w:rsidRPr="003B694E">
          <w:rPr>
            <w:rStyle w:val="Lienhypertexte"/>
            <w:sz w:val="18"/>
            <w:szCs w:val="18"/>
          </w:rPr>
          <w:t xml:space="preserve"> 2016, A/72/55</w:t>
        </w:r>
      </w:hyperlink>
    </w:p>
    <w:p w14:paraId="1D8C4919" w14:textId="0E6FDF90" w:rsidR="00DE431B" w:rsidRPr="00611FD5" w:rsidRDefault="003B694E" w:rsidP="005076F2">
      <w:pPr>
        <w:spacing w:before="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="005076F2">
        <w:rPr>
          <w:color w:val="000000"/>
          <w:sz w:val="18"/>
          <w:szCs w:val="18"/>
        </w:rPr>
        <w:t>*</w:t>
      </w:r>
      <w:r w:rsidR="005076F2" w:rsidRPr="005076F2">
        <w:rPr>
          <w:sz w:val="18"/>
          <w:szCs w:val="18"/>
        </w:rPr>
        <w:t xml:space="preserve"> </w:t>
      </w:r>
      <w:r w:rsidR="005076F2" w:rsidRPr="00611FD5">
        <w:rPr>
          <w:sz w:val="18"/>
          <w:szCs w:val="18"/>
        </w:rPr>
        <w:t xml:space="preserve">Para más información sobre la "privación de libertad por motivos de discapacidad", véase el informe del Relator Especial sobre los Derechos de las Personas con Discapacidad  </w:t>
      </w:r>
      <w:hyperlink r:id="rId12" w:history="1">
        <w:r w:rsidR="005076F2" w:rsidRPr="00611FD5">
          <w:rPr>
            <w:rStyle w:val="Lienhypertexte"/>
            <w:sz w:val="18"/>
            <w:szCs w:val="18"/>
            <w:u w:val="none"/>
          </w:rPr>
          <w:t>A/HRC/40/54</w:t>
        </w:r>
      </w:hyperlink>
      <w:r w:rsidR="005076F2" w:rsidRPr="00611FD5">
        <w:rPr>
          <w:sz w:val="18"/>
          <w:szCs w:val="18"/>
        </w:rPr>
        <w:t xml:space="preserve">, párrafos 14-24. </w:t>
      </w:r>
      <w:r w:rsidR="00195D3B">
        <w:rPr>
          <w:sz w:val="18"/>
          <w:szCs w:val="18"/>
        </w:rPr>
        <w:t>Véase también</w:t>
      </w:r>
      <w:r w:rsidR="005076F2" w:rsidRPr="00611FD5">
        <w:rPr>
          <w:sz w:val="18"/>
          <w:szCs w:val="18"/>
        </w:rPr>
        <w:t xml:space="preserve">, la nota final </w:t>
      </w:r>
      <w:r w:rsidR="00195D3B">
        <w:rPr>
          <w:sz w:val="18"/>
          <w:szCs w:val="18"/>
        </w:rPr>
        <w:t>iii</w:t>
      </w:r>
      <w:r w:rsidR="005076F2" w:rsidRPr="00611FD5">
        <w:rPr>
          <w:sz w:val="18"/>
          <w:szCs w:val="18"/>
        </w:rPr>
        <w:t>, más adelante.</w:t>
      </w:r>
    </w:p>
    <w:sectPr w:rsidR="00DE431B" w:rsidRPr="00611FD5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FF42B" w14:textId="77777777" w:rsidR="00453149" w:rsidRDefault="00453149" w:rsidP="00CA591E"/>
  </w:endnote>
  <w:endnote w:type="continuationSeparator" w:id="0">
    <w:p w14:paraId="62E690A3" w14:textId="77777777" w:rsidR="00453149" w:rsidRDefault="00453149" w:rsidP="00CA591E">
      <w:r>
        <w:continuationSeparator/>
      </w:r>
    </w:p>
  </w:endnote>
  <w:endnote w:id="1">
    <w:p w14:paraId="608AF3D8" w14:textId="228ACD00" w:rsidR="0060474A" w:rsidRPr="00611FD5" w:rsidRDefault="0060474A">
      <w:pPr>
        <w:pStyle w:val="Notedefin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La privación de libertad abarca</w:t>
      </w:r>
      <w:r>
        <w:rPr>
          <w:sz w:val="18"/>
          <w:szCs w:val="18"/>
        </w:rPr>
        <w:t xml:space="preserve"> también</w:t>
      </w:r>
      <w:r w:rsidRPr="00611FD5">
        <w:rPr>
          <w:sz w:val="18"/>
          <w:szCs w:val="18"/>
        </w:rPr>
        <w:t xml:space="preserve"> el confinamiento en el hogar de las personas con discapacidad (véase el indicador 14.4</w:t>
      </w:r>
      <w:r>
        <w:rPr>
          <w:sz w:val="18"/>
          <w:szCs w:val="18"/>
        </w:rPr>
        <w:t>,</w:t>
      </w:r>
      <w:r w:rsidRPr="00611FD5">
        <w:rPr>
          <w:sz w:val="18"/>
          <w:szCs w:val="18"/>
        </w:rPr>
        <w:t xml:space="preserve"> nota final </w:t>
      </w:r>
      <w:r>
        <w:rPr>
          <w:sz w:val="18"/>
          <w:szCs w:val="18"/>
        </w:rPr>
        <w:t>iii</w:t>
      </w:r>
      <w:r w:rsidRPr="00611FD5">
        <w:rPr>
          <w:sz w:val="18"/>
          <w:szCs w:val="18"/>
        </w:rPr>
        <w:t xml:space="preserve">), lo que plantea serios problemas para la recopilación de datos en comparación con los datos procedentes de fuentes administrativas relacionadas con la </w:t>
      </w:r>
      <w:r w:rsidR="000E038F" w:rsidRPr="000E038F">
        <w:rPr>
          <w:sz w:val="18"/>
          <w:szCs w:val="18"/>
        </w:rPr>
        <w:t xml:space="preserve">privación de libertad </w:t>
      </w:r>
      <w:r w:rsidRPr="00611FD5">
        <w:rPr>
          <w:sz w:val="18"/>
          <w:szCs w:val="18"/>
        </w:rPr>
        <w:t xml:space="preserve">en prisiones, instituciones psiquiátricas, etc. Los Estados deberían tratar de producir datos para abordar esta cuestión utilizando los medios apropiados. </w:t>
      </w:r>
    </w:p>
  </w:endnote>
  <w:endnote w:id="2">
    <w:p w14:paraId="4DB9841A" w14:textId="77777777" w:rsidR="0060474A" w:rsidRPr="00611FD5" w:rsidRDefault="0060474A">
      <w:pPr>
        <w:pStyle w:val="Notedefin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En particular, los marcadores de gasto deberían contribuir a:</w:t>
      </w:r>
    </w:p>
    <w:p w14:paraId="610DC318" w14:textId="77777777" w:rsidR="0060474A" w:rsidRPr="00611FD5" w:rsidRDefault="0060474A" w:rsidP="005076F2">
      <w:pPr>
        <w:pStyle w:val="Notedefin"/>
        <w:numPr>
          <w:ilvl w:val="0"/>
          <w:numId w:val="18"/>
        </w:numPr>
        <w:jc w:val="both"/>
        <w:rPr>
          <w:sz w:val="18"/>
          <w:szCs w:val="18"/>
        </w:rPr>
      </w:pPr>
      <w:r w:rsidRPr="00611FD5">
        <w:rPr>
          <w:sz w:val="18"/>
          <w:szCs w:val="18"/>
        </w:rPr>
        <w:t>comparar el presupuesto asignado a los servicios de apoyo en la comunidad para las personas con discapacidad liberadas de la privación de libertad por discapacidad con el presupuesto invertido en las instituciones (mantenimiento, servicios, etc.)</w:t>
      </w:r>
      <w:r w:rsidRPr="005076F2">
        <w:t xml:space="preserve"> </w:t>
      </w:r>
      <w:r w:rsidRPr="005076F2">
        <w:rPr>
          <w:sz w:val="18"/>
          <w:szCs w:val="18"/>
        </w:rPr>
        <w:t xml:space="preserve">para rastrear y verificar el compromiso </w:t>
      </w:r>
      <w:r>
        <w:rPr>
          <w:sz w:val="18"/>
          <w:szCs w:val="18"/>
        </w:rPr>
        <w:t>de las políticas</w:t>
      </w:r>
      <w:r w:rsidRPr="005076F2">
        <w:rPr>
          <w:sz w:val="18"/>
          <w:szCs w:val="18"/>
        </w:rPr>
        <w:t xml:space="preserve"> con el derecho a la libertad y la seguridad de las personas con discapacidad mediante la asignación de recursos</w:t>
      </w:r>
      <w:r w:rsidRPr="00611FD5">
        <w:rPr>
          <w:sz w:val="18"/>
          <w:szCs w:val="18"/>
        </w:rPr>
        <w:t xml:space="preserve">. </w:t>
      </w:r>
    </w:p>
    <w:p w14:paraId="68024DE7" w14:textId="77777777" w:rsidR="0060474A" w:rsidRPr="00611FD5" w:rsidRDefault="0060474A" w:rsidP="00C1440F">
      <w:pPr>
        <w:pStyle w:val="Notedefin"/>
        <w:numPr>
          <w:ilvl w:val="0"/>
          <w:numId w:val="18"/>
        </w:numPr>
        <w:jc w:val="both"/>
        <w:rPr>
          <w:sz w:val="18"/>
          <w:szCs w:val="18"/>
        </w:rPr>
      </w:pPr>
      <w:r w:rsidRPr="00611FD5">
        <w:rPr>
          <w:sz w:val="18"/>
          <w:szCs w:val="18"/>
        </w:rPr>
        <w:t xml:space="preserve">Determinar anualmente </w:t>
      </w:r>
      <w:r>
        <w:rPr>
          <w:sz w:val="18"/>
          <w:szCs w:val="18"/>
        </w:rPr>
        <w:t>el monto</w:t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>gastado en</w:t>
      </w:r>
      <w:r w:rsidRPr="00611FD5">
        <w:rPr>
          <w:sz w:val="18"/>
          <w:szCs w:val="18"/>
        </w:rPr>
        <w:t xml:space="preserve"> hacer que los sistemas de detención no específicos para personas con discapacidad </w:t>
      </w:r>
      <w:r>
        <w:rPr>
          <w:sz w:val="18"/>
          <w:szCs w:val="18"/>
        </w:rPr>
        <w:t>sean inclusivos</w:t>
      </w:r>
      <w:r w:rsidRPr="00611FD5">
        <w:rPr>
          <w:sz w:val="18"/>
          <w:szCs w:val="18"/>
        </w:rPr>
        <w:t>, incluyendo fondos</w:t>
      </w:r>
      <w:r>
        <w:rPr>
          <w:sz w:val="18"/>
          <w:szCs w:val="18"/>
        </w:rPr>
        <w:t xml:space="preserve"> específicos</w:t>
      </w:r>
      <w:r w:rsidRPr="00611FD5">
        <w:rPr>
          <w:sz w:val="18"/>
          <w:szCs w:val="18"/>
        </w:rPr>
        <w:t xml:space="preserve"> para mejorar la accesibilidad y proveer ajustes razonables.</w:t>
      </w:r>
    </w:p>
  </w:endnote>
  <w:endnote w:id="3">
    <w:p w14:paraId="3B737D1F" w14:textId="77777777" w:rsidR="0060474A" w:rsidRPr="00611FD5" w:rsidRDefault="0060474A" w:rsidP="003537BC">
      <w:pPr>
        <w:pStyle w:val="Notedefin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Esto incluye:</w:t>
      </w:r>
    </w:p>
    <w:p w14:paraId="5893DECF" w14:textId="77777777" w:rsidR="0060474A" w:rsidRPr="00195D3B" w:rsidRDefault="0060474A" w:rsidP="00195D3B">
      <w:pPr>
        <w:pStyle w:val="Notedefin"/>
        <w:rPr>
          <w:sz w:val="18"/>
          <w:szCs w:val="18"/>
        </w:rPr>
      </w:pPr>
      <w:r w:rsidRPr="00611FD5">
        <w:rPr>
          <w:sz w:val="18"/>
          <w:szCs w:val="18"/>
        </w:rPr>
        <w:t xml:space="preserve">- </w:t>
      </w:r>
      <w:r w:rsidRPr="00195D3B">
        <w:rPr>
          <w:sz w:val="18"/>
          <w:szCs w:val="18"/>
        </w:rPr>
        <w:t>legislación civil, administrativa y de servicios sociales que permit</w:t>
      </w:r>
      <w:r>
        <w:rPr>
          <w:sz w:val="18"/>
          <w:szCs w:val="18"/>
        </w:rPr>
        <w:t>a</w:t>
      </w:r>
      <w:r w:rsidRPr="00195D3B">
        <w:rPr>
          <w:sz w:val="18"/>
          <w:szCs w:val="18"/>
        </w:rPr>
        <w:t xml:space="preserve"> la institucionalización forzosa, incluso con la autorización de un tercero.</w:t>
      </w:r>
    </w:p>
    <w:p w14:paraId="3BD78F27" w14:textId="77777777" w:rsidR="0060474A" w:rsidRPr="00195D3B" w:rsidRDefault="0060474A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 xml:space="preserve">- legislación sanitaria general o específica sobre salud mental que permita la hospitalización o el tratamiento involuntarios, incluso </w:t>
      </w:r>
      <w:r>
        <w:rPr>
          <w:sz w:val="18"/>
          <w:szCs w:val="18"/>
        </w:rPr>
        <w:t xml:space="preserve">mediando </w:t>
      </w:r>
      <w:r w:rsidRPr="00195D3B">
        <w:rPr>
          <w:sz w:val="18"/>
          <w:szCs w:val="18"/>
        </w:rPr>
        <w:t xml:space="preserve">previa autorización de un tercero, </w:t>
      </w:r>
      <w:r>
        <w:rPr>
          <w:sz w:val="18"/>
          <w:szCs w:val="18"/>
        </w:rPr>
        <w:t>con</w:t>
      </w:r>
      <w:r w:rsidRPr="00195D3B">
        <w:rPr>
          <w:sz w:val="18"/>
          <w:szCs w:val="18"/>
        </w:rPr>
        <w:t xml:space="preserve"> cualquier duración y para cualquier fin.</w:t>
      </w:r>
    </w:p>
    <w:p w14:paraId="579BB0D8" w14:textId="77777777" w:rsidR="0060474A" w:rsidRPr="00195D3B" w:rsidRDefault="0060474A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>- legislación y procedimiento penales que permitan la desviación del enjuiciamiento sobre la base de que se considere "no apto para ser juzgado" o "no responsable penalmente", lo que conduce a la aplicación de medidas de seguridad que incluyen la privación de libertad y el tratamiento forzado.</w:t>
      </w:r>
    </w:p>
    <w:p w14:paraId="0ADC3AF8" w14:textId="77777777" w:rsidR="0060474A" w:rsidRPr="00195D3B" w:rsidRDefault="0060474A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>- el derecho de familia o la legislación conexa que permit</w:t>
      </w:r>
      <w:r>
        <w:rPr>
          <w:sz w:val="18"/>
          <w:szCs w:val="18"/>
        </w:rPr>
        <w:t>a</w:t>
      </w:r>
      <w:r w:rsidRPr="00195D3B">
        <w:rPr>
          <w:sz w:val="18"/>
          <w:szCs w:val="18"/>
        </w:rPr>
        <w:t xml:space="preserve"> el confinamiento en el hogar de la familia de las personas con discapacidad, o que permite a la familia autorizar o solicitar el internamiento u hospitalización de un adulto o un niño.</w:t>
      </w:r>
    </w:p>
    <w:p w14:paraId="3DCEF02B" w14:textId="77777777" w:rsidR="0060474A" w:rsidRDefault="0060474A" w:rsidP="00195D3B">
      <w:pPr>
        <w:pStyle w:val="Notedefin"/>
        <w:rPr>
          <w:sz w:val="18"/>
          <w:szCs w:val="18"/>
        </w:rPr>
      </w:pPr>
      <w:r w:rsidRPr="00195D3B">
        <w:rPr>
          <w:sz w:val="18"/>
          <w:szCs w:val="18"/>
        </w:rPr>
        <w:t xml:space="preserve">- amenaza inminente a la libertad y/o la seguridad de la persona por el incumplimiento de regímenes impuestos, como el tratamiento forzado mediante órdenes de tratamiento comunitario o mediante la facultad conferida al personal de salud, salud mental o servicios sociales o a las autoridades públicas </w:t>
      </w:r>
      <w:r>
        <w:rPr>
          <w:sz w:val="18"/>
          <w:szCs w:val="18"/>
        </w:rPr>
        <w:t>para</w:t>
      </w:r>
      <w:r w:rsidRPr="00195D3B">
        <w:rPr>
          <w:sz w:val="18"/>
          <w:szCs w:val="18"/>
        </w:rPr>
        <w:t xml:space="preserve"> detener a las personas para su observación y evaluación.</w:t>
      </w:r>
    </w:p>
    <w:p w14:paraId="46E084AD" w14:textId="77777777" w:rsidR="0060474A" w:rsidRPr="00611FD5" w:rsidRDefault="0060474A" w:rsidP="00195D3B">
      <w:pPr>
        <w:pStyle w:val="Notedefin"/>
        <w:rPr>
          <w:sz w:val="18"/>
          <w:szCs w:val="18"/>
          <w:lang w:val="es-AR"/>
        </w:rPr>
      </w:pPr>
      <w:r w:rsidRPr="00611FD5">
        <w:rPr>
          <w:sz w:val="18"/>
          <w:szCs w:val="18"/>
        </w:rPr>
        <w:t xml:space="preserve">Asimismo, se debería </w:t>
      </w:r>
      <w:r>
        <w:rPr>
          <w:sz w:val="18"/>
          <w:szCs w:val="18"/>
        </w:rPr>
        <w:t>enmendar</w:t>
      </w:r>
      <w:r w:rsidRPr="00611FD5">
        <w:rPr>
          <w:sz w:val="18"/>
          <w:szCs w:val="18"/>
        </w:rPr>
        <w:t xml:space="preserve"> la legislación </w:t>
      </w:r>
      <w:r>
        <w:rPr>
          <w:sz w:val="18"/>
          <w:szCs w:val="18"/>
        </w:rPr>
        <w:t xml:space="preserve">para asegurar que se eliminen las disposiciones que tengan el efecto de criminalizar la </w:t>
      </w:r>
      <w:r w:rsidRPr="00611FD5">
        <w:rPr>
          <w:sz w:val="18"/>
          <w:szCs w:val="18"/>
        </w:rPr>
        <w:t xml:space="preserve">“conducta atípica”, </w:t>
      </w:r>
      <w:r>
        <w:rPr>
          <w:sz w:val="18"/>
          <w:szCs w:val="18"/>
        </w:rPr>
        <w:t>lo que afecta</w:t>
      </w:r>
      <w:r w:rsidRPr="00611FD5">
        <w:rPr>
          <w:sz w:val="18"/>
          <w:szCs w:val="18"/>
        </w:rPr>
        <w:t xml:space="preserve"> negativa y desproporcionadamente a personas con discapacidades, en particular </w:t>
      </w:r>
      <w:r>
        <w:rPr>
          <w:sz w:val="18"/>
          <w:szCs w:val="18"/>
        </w:rPr>
        <w:t xml:space="preserve">a personas </w:t>
      </w:r>
      <w:r w:rsidRPr="00611FD5">
        <w:rPr>
          <w:sz w:val="18"/>
          <w:szCs w:val="18"/>
        </w:rPr>
        <w:t xml:space="preserve">con discapacidades intelectuales, personas con discapacidades psicosociales, personas con demencia y personas autistas, </w:t>
      </w:r>
      <w:r>
        <w:rPr>
          <w:sz w:val="18"/>
          <w:szCs w:val="18"/>
        </w:rPr>
        <w:t xml:space="preserve">debiendo eliminarse </w:t>
      </w:r>
      <w:r w:rsidRPr="00611FD5">
        <w:rPr>
          <w:sz w:val="18"/>
          <w:szCs w:val="18"/>
        </w:rPr>
        <w:t xml:space="preserve">por ser contrarias a los principios </w:t>
      </w:r>
      <w:r>
        <w:rPr>
          <w:sz w:val="18"/>
          <w:szCs w:val="18"/>
        </w:rPr>
        <w:t>legales penales no discriminación</w:t>
      </w:r>
      <w:r w:rsidRPr="00611FD5">
        <w:rPr>
          <w:sz w:val="18"/>
          <w:szCs w:val="18"/>
        </w:rPr>
        <w:t xml:space="preserve">. </w:t>
      </w:r>
      <w:r w:rsidRPr="00611FD5">
        <w:rPr>
          <w:sz w:val="18"/>
          <w:szCs w:val="18"/>
          <w:lang w:val="es-AR"/>
        </w:rPr>
        <w:t>Véase A/HRC/40/54, párr. 34.</w:t>
      </w:r>
    </w:p>
  </w:endnote>
  <w:endnote w:id="4">
    <w:p w14:paraId="2E4EBFA2" w14:textId="77777777" w:rsidR="0060474A" w:rsidRPr="00611FD5" w:rsidRDefault="0060474A" w:rsidP="002E0218">
      <w:pPr>
        <w:pStyle w:val="Notedefin"/>
        <w:jc w:val="both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</w:t>
      </w:r>
      <w:r w:rsidRPr="00611FD5">
        <w:rPr>
          <w:rFonts w:cstheme="minorHAnsi"/>
          <w:sz w:val="18"/>
          <w:szCs w:val="18"/>
        </w:rPr>
        <w:t>La restricción química incluye cualquier administración de medicamentos neurolépticos sin el consentimiento previo, libre e informado de la persona afectada.</w:t>
      </w:r>
    </w:p>
  </w:endnote>
  <w:endnote w:id="5">
    <w:p w14:paraId="1E1A7B14" w14:textId="77777777" w:rsidR="0060474A" w:rsidRPr="00611FD5" w:rsidRDefault="0060474A">
      <w:pPr>
        <w:pStyle w:val="Notedefin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Véanse las Directrices del Comité de la CDPD sobre el artículo 14, párrafo 24, donde se citan los "Principios y directrices básicos de las Naciones Unidas sobre recursos y procedimientos relativos al derecho de toda persona privada de libertad a presentar una demanda ante un tribunal", Directriz 20, </w:t>
      </w:r>
      <w:hyperlink r:id="rId1" w:history="1">
        <w:r w:rsidRPr="002518CA">
          <w:rPr>
            <w:rStyle w:val="Lienhypertexte"/>
            <w:sz w:val="18"/>
            <w:szCs w:val="18"/>
          </w:rPr>
          <w:t>A/HRC/30/36</w:t>
        </w:r>
      </w:hyperlink>
      <w:r w:rsidRPr="00611FD5">
        <w:rPr>
          <w:sz w:val="18"/>
          <w:szCs w:val="18"/>
        </w:rPr>
        <w:t xml:space="preserve">, párr. 126. </w:t>
      </w:r>
    </w:p>
  </w:endnote>
  <w:endnote w:id="6">
    <w:p w14:paraId="78F05DD8" w14:textId="77777777" w:rsidR="0060474A" w:rsidRPr="00611FD5" w:rsidRDefault="0060474A" w:rsidP="00AD4FA2">
      <w:pPr>
        <w:pStyle w:val="Notedefin"/>
        <w:jc w:val="both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En cuanto al «motivo de detención», debe distinguirse entre las personas «detenidas preventivamente» y las «condenadas» con una sentencia definitiva</w:t>
      </w:r>
      <w:r>
        <w:rPr>
          <w:sz w:val="18"/>
          <w:szCs w:val="18"/>
        </w:rPr>
        <w:t>; p</w:t>
      </w:r>
      <w:r w:rsidRPr="00611FD5">
        <w:rPr>
          <w:sz w:val="18"/>
          <w:szCs w:val="18"/>
        </w:rPr>
        <w:t>or ejemplo, personas que se enfrenten a cargos penales bajo detención preventiva.</w:t>
      </w:r>
    </w:p>
  </w:endnote>
  <w:endnote w:id="7">
    <w:p w14:paraId="384D0E6C" w14:textId="77777777" w:rsidR="0060474A" w:rsidRPr="00611FD5" w:rsidRDefault="0060474A" w:rsidP="00947890">
      <w:pPr>
        <w:pStyle w:val="Notedefin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Con respecto a la asistencia judicial en el sistema penal, véanse los </w:t>
      </w:r>
      <w:hyperlink r:id="rId2" w:history="1">
        <w:r w:rsidRPr="00611FD5">
          <w:rPr>
            <w:rStyle w:val="Lienhypertexte"/>
            <w:sz w:val="18"/>
            <w:szCs w:val="18"/>
            <w:u w:val="none"/>
          </w:rPr>
          <w:t>Principios y directrices de las Naciones Unidas sobre el acceso a la asistencia judicial en el sistema de justicia penal</w:t>
        </w:r>
      </w:hyperlink>
      <w:r w:rsidRPr="00611FD5">
        <w:rPr>
          <w:sz w:val="18"/>
          <w:szCs w:val="18"/>
        </w:rPr>
        <w:t xml:space="preserve">. </w:t>
      </w:r>
    </w:p>
  </w:endnote>
  <w:endnote w:id="8">
    <w:p w14:paraId="7F2F0EE3" w14:textId="77777777" w:rsidR="0060474A" w:rsidRPr="00611FD5" w:rsidRDefault="0060474A">
      <w:pPr>
        <w:pStyle w:val="Notedefin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Esto incluye tanto los lugares de privación de libertad específicos para personas con discapacidad, contrarios a la CDPD </w:t>
      </w:r>
      <w:r>
        <w:rPr>
          <w:sz w:val="18"/>
          <w:szCs w:val="18"/>
        </w:rPr>
        <w:t>donde</w:t>
      </w:r>
      <w:r w:rsidRPr="00611FD5">
        <w:rPr>
          <w:sz w:val="18"/>
          <w:szCs w:val="18"/>
        </w:rPr>
        <w:t xml:space="preserve"> aún existan, como otros lugares de detención (por ejemplo, prisiones).</w:t>
      </w:r>
    </w:p>
  </w:endnote>
  <w:endnote w:id="9">
    <w:p w14:paraId="4B5B0982" w14:textId="77777777" w:rsidR="0060474A" w:rsidRPr="00611FD5" w:rsidRDefault="0060474A" w:rsidP="0096400A">
      <w:pPr>
        <w:pStyle w:val="Notedefin"/>
        <w:jc w:val="both"/>
        <w:rPr>
          <w:rFonts w:cstheme="minorHAnsi"/>
          <w:sz w:val="18"/>
          <w:szCs w:val="18"/>
        </w:rPr>
      </w:pPr>
      <w:r w:rsidRPr="00611FD5">
        <w:rPr>
          <w:rStyle w:val="Appeldenotedefin"/>
          <w:rFonts w:cstheme="minorHAnsi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Este indicador requiere verificar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>
        <w:rPr>
          <w:sz w:val="18"/>
          <w:szCs w:val="18"/>
        </w:rPr>
        <w:t xml:space="preserve"> y </w:t>
      </w:r>
      <w:hyperlink r:id="rId3" w:history="1">
        <w:r w:rsidRPr="002518CA">
          <w:rPr>
            <w:rStyle w:val="Lienhypertexte"/>
            <w:sz w:val="18"/>
            <w:szCs w:val="18"/>
          </w:rPr>
          <w:t>la Observación general N.º 7</w:t>
        </w:r>
      </w:hyperlink>
      <w:r>
        <w:rPr>
          <w:sz w:val="18"/>
          <w:szCs w:val="18"/>
        </w:rPr>
        <w:t xml:space="preserve"> del Comité</w:t>
      </w:r>
      <w:r w:rsidRPr="00611FD5">
        <w:rPr>
          <w:sz w:val="18"/>
          <w:szCs w:val="18"/>
        </w:rPr>
        <w:t>, incluidas reuniones de consulta, sesiones informativas técnicas, encuestas de consulta en línea, solicitud de comentarios sobre los proyectos de ley y  políticas, entre otros métodos participativos. A este respecto, los Estados deben:</w:t>
      </w:r>
    </w:p>
    <w:p w14:paraId="7E88A18E" w14:textId="77777777" w:rsidR="0060474A" w:rsidRPr="00611FD5" w:rsidRDefault="0060474A" w:rsidP="008768F8">
      <w:pPr>
        <w:pStyle w:val="Notedefin"/>
        <w:numPr>
          <w:ilvl w:val="0"/>
          <w:numId w:val="3"/>
        </w:numPr>
        <w:rPr>
          <w:rFonts w:cstheme="minorHAnsi"/>
          <w:sz w:val="18"/>
          <w:szCs w:val="18"/>
        </w:rPr>
      </w:pPr>
      <w:r w:rsidRPr="008768F8">
        <w:rPr>
          <w:sz w:val="18"/>
          <w:szCs w:val="18"/>
        </w:rPr>
        <w:t>asegurar que los procesos de consulta sean</w:t>
      </w:r>
      <w:r>
        <w:rPr>
          <w:sz w:val="18"/>
          <w:szCs w:val="18"/>
        </w:rPr>
        <w:t xml:space="preserve"> </w:t>
      </w:r>
      <w:r w:rsidRPr="008768F8">
        <w:rPr>
          <w:sz w:val="18"/>
          <w:szCs w:val="18"/>
        </w:rPr>
        <w:t>transparentes y accesibles</w:t>
      </w:r>
      <w:r w:rsidRPr="00611FD5">
        <w:rPr>
          <w:sz w:val="18"/>
          <w:szCs w:val="18"/>
        </w:rPr>
        <w:t>.</w:t>
      </w:r>
    </w:p>
    <w:p w14:paraId="5AAAC2EA" w14:textId="77777777" w:rsidR="0060474A" w:rsidRPr="00611FD5" w:rsidRDefault="0060474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>garantizar el suministro de información adecuada y accesible.</w:t>
      </w:r>
    </w:p>
    <w:p w14:paraId="64046E70" w14:textId="77777777" w:rsidR="0060474A" w:rsidRPr="00611FD5" w:rsidRDefault="0060474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>no ocultar información, condicionar o impedir que las organizaciones de personas con discapacidad expresen libremente sus opiniones.</w:t>
      </w:r>
    </w:p>
    <w:p w14:paraId="190D99F4" w14:textId="77777777" w:rsidR="0060474A" w:rsidRPr="00611FD5" w:rsidRDefault="0060474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>incluir tanto a las organizaciones registradas como a las no registradas.</w:t>
      </w:r>
    </w:p>
    <w:p w14:paraId="39D7E242" w14:textId="77777777" w:rsidR="0060474A" w:rsidRPr="00611FD5" w:rsidRDefault="0060474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 xml:space="preserve">garantizar una participación temprana y continua. </w:t>
      </w:r>
    </w:p>
    <w:p w14:paraId="2A0FD5CB" w14:textId="77777777" w:rsidR="0060474A" w:rsidRPr="00611FD5" w:rsidRDefault="0060474A" w:rsidP="0096400A">
      <w:pPr>
        <w:pStyle w:val="Notedefin"/>
        <w:numPr>
          <w:ilvl w:val="0"/>
          <w:numId w:val="3"/>
        </w:numPr>
        <w:rPr>
          <w:sz w:val="18"/>
          <w:szCs w:val="18"/>
        </w:rPr>
      </w:pPr>
      <w:r w:rsidRPr="00611FD5">
        <w:rPr>
          <w:sz w:val="18"/>
          <w:szCs w:val="18"/>
        </w:rPr>
        <w:t xml:space="preserve">cubrir los gastos relacionados </w:t>
      </w:r>
      <w:r>
        <w:rPr>
          <w:sz w:val="18"/>
          <w:szCs w:val="18"/>
        </w:rPr>
        <w:t>de</w:t>
      </w:r>
      <w:r w:rsidRPr="00611FD5">
        <w:rPr>
          <w:sz w:val="18"/>
          <w:szCs w:val="18"/>
        </w:rPr>
        <w:t xml:space="preserve"> los participantes.</w:t>
      </w:r>
    </w:p>
  </w:endnote>
  <w:endnote w:id="10">
    <w:p w14:paraId="3C89A217" w14:textId="77777777" w:rsidR="0060474A" w:rsidRPr="00195D3B" w:rsidRDefault="0060474A" w:rsidP="00195D3B">
      <w:pPr>
        <w:pStyle w:val="Notedefin"/>
      </w:pPr>
      <w:r w:rsidRPr="000C0CF4">
        <w:rPr>
          <w:rStyle w:val="Appeldenotedefin"/>
          <w:sz w:val="18"/>
          <w:szCs w:val="18"/>
        </w:rPr>
        <w:endnoteRef/>
      </w:r>
      <w:r w:rsidRPr="00195D3B">
        <w:rPr>
          <w:sz w:val="18"/>
          <w:szCs w:val="18"/>
        </w:rPr>
        <w:t xml:space="preserve"> </w:t>
      </w:r>
      <w:r>
        <w:rPr>
          <w:sz w:val="18"/>
          <w:szCs w:val="18"/>
        </w:rPr>
        <w:t>Respecto</w:t>
      </w:r>
      <w:r w:rsidRPr="00EE55D0">
        <w:rPr>
          <w:sz w:val="18"/>
          <w:szCs w:val="18"/>
        </w:rPr>
        <w:t xml:space="preserve"> a l</w:t>
      </w:r>
      <w:r>
        <w:rPr>
          <w:sz w:val="18"/>
          <w:szCs w:val="18"/>
        </w:rPr>
        <w:t>a</w:t>
      </w:r>
      <w:r w:rsidRPr="00EE55D0">
        <w:rPr>
          <w:sz w:val="18"/>
          <w:szCs w:val="18"/>
        </w:rPr>
        <w:t xml:space="preserve"> "</w:t>
      </w:r>
      <w:r>
        <w:rPr>
          <w:sz w:val="18"/>
          <w:szCs w:val="18"/>
        </w:rPr>
        <w:t>legitimación</w:t>
      </w:r>
      <w:r w:rsidRPr="00EE55D0">
        <w:rPr>
          <w:sz w:val="18"/>
          <w:szCs w:val="18"/>
        </w:rPr>
        <w:t xml:space="preserve"> jurídic</w:t>
      </w:r>
      <w:r>
        <w:rPr>
          <w:sz w:val="18"/>
          <w:szCs w:val="18"/>
        </w:rPr>
        <w:t>a</w:t>
      </w:r>
      <w:r w:rsidRPr="00EE55D0">
        <w:rPr>
          <w:sz w:val="18"/>
          <w:szCs w:val="18"/>
        </w:rPr>
        <w:t xml:space="preserve"> de la detención", véase la nota final iii supra, en la que se indican los distintos fundamentos de la privación de libertad por </w:t>
      </w:r>
      <w:r>
        <w:rPr>
          <w:sz w:val="18"/>
          <w:szCs w:val="18"/>
        </w:rPr>
        <w:t>deficiencia</w:t>
      </w:r>
      <w:r w:rsidRPr="00EE55D0">
        <w:rPr>
          <w:sz w:val="18"/>
          <w:szCs w:val="18"/>
        </w:rPr>
        <w:t xml:space="preserve"> y la legislación que normalmente sigue incluyendo disposiciones que la legitiman, en contradicción con el artículo 14 de la CDPD.  </w:t>
      </w:r>
    </w:p>
  </w:endnote>
  <w:endnote w:id="11">
    <w:p w14:paraId="071C21ED" w14:textId="77777777" w:rsidR="0060474A" w:rsidRPr="00611FD5" w:rsidRDefault="0060474A" w:rsidP="00AD4FA2">
      <w:pPr>
        <w:pStyle w:val="Notedefin"/>
        <w:jc w:val="both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</w:t>
      </w:r>
      <w:r>
        <w:rPr>
          <w:sz w:val="18"/>
          <w:szCs w:val="18"/>
        </w:rPr>
        <w:t>Respecto</w:t>
      </w:r>
      <w:r w:rsidRPr="00611FD5">
        <w:rPr>
          <w:sz w:val="18"/>
          <w:szCs w:val="18"/>
        </w:rPr>
        <w:t xml:space="preserve"> al "motivo de la detención", debe distinguirse entre las personas en detención preventiva y las personas condenadas. </w:t>
      </w:r>
    </w:p>
  </w:endnote>
  <w:endnote w:id="12">
    <w:p w14:paraId="5D4E4535" w14:textId="77777777" w:rsidR="0060474A" w:rsidRPr="00611FD5" w:rsidRDefault="0060474A" w:rsidP="002E0218">
      <w:pPr>
        <w:pStyle w:val="Notedefin"/>
        <w:jc w:val="both"/>
        <w:rPr>
          <w:sz w:val="18"/>
          <w:szCs w:val="18"/>
          <w:highlight w:val="yellow"/>
          <w:lang w:val="es-AR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  <w:lang w:val="es-AR"/>
        </w:rPr>
        <w:t xml:space="preserve"> Este indicador contribuye a evaluar si existe sobrerrepresentación de personas con discapacidad en la población condenada. En este caso,</w:t>
      </w:r>
      <w:r>
        <w:rPr>
          <w:sz w:val="18"/>
          <w:szCs w:val="18"/>
          <w:lang w:val="es-AR"/>
        </w:rPr>
        <w:t xml:space="preserve"> se deberían llevar a cabo</w:t>
      </w:r>
      <w:r w:rsidRPr="00611FD5">
        <w:rPr>
          <w:sz w:val="18"/>
          <w:szCs w:val="18"/>
          <w:lang w:val="es-AR"/>
        </w:rPr>
        <w:t xml:space="preserve"> estudios adicionales a fin de detectar las causas y evaluar si existe discriminación directa o indirecta contra las personas con discapacidad (ej., debido a la falta de acceso a asistencia jurídica, falta de accesibilidad de la comunicación, falta de ajustes de procedimiento durante los procedimientos legales, etc.). </w:t>
      </w:r>
    </w:p>
  </w:endnote>
  <w:endnote w:id="13">
    <w:p w14:paraId="1EC1E05E" w14:textId="77777777" w:rsidR="0060474A" w:rsidRPr="00611FD5" w:rsidRDefault="0060474A" w:rsidP="006E45FF">
      <w:pPr>
        <w:pStyle w:val="Notedefin"/>
        <w:jc w:val="both"/>
        <w:rPr>
          <w:sz w:val="18"/>
          <w:szCs w:val="18"/>
        </w:rPr>
      </w:pPr>
      <w:r w:rsidRPr="00611FD5">
        <w:rPr>
          <w:rStyle w:val="Appeldenotedefin"/>
          <w:sz w:val="18"/>
          <w:szCs w:val="18"/>
        </w:rPr>
        <w:endnoteRef/>
      </w:r>
      <w:r w:rsidRPr="00611FD5">
        <w:rPr>
          <w:sz w:val="18"/>
          <w:szCs w:val="18"/>
        </w:rPr>
        <w:t xml:space="preserve"> En cuanto al "motivo de la detención", debe distinguirse entre las personas en detención preventiva y las personas condenadas</w:t>
      </w:r>
      <w:r>
        <w:rPr>
          <w:sz w:val="18"/>
          <w:szCs w:val="18"/>
        </w:rPr>
        <w:t>; p</w:t>
      </w:r>
      <w:r w:rsidRPr="00611FD5">
        <w:rPr>
          <w:sz w:val="18"/>
          <w:szCs w:val="18"/>
        </w:rPr>
        <w:t>or ejemplo, personas que se enfrenten a cargos penales bajo detención preventiva.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961A1" w14:textId="77777777" w:rsidR="00453149" w:rsidRDefault="00453149" w:rsidP="00CA591E">
      <w:r>
        <w:separator/>
      </w:r>
    </w:p>
  </w:footnote>
  <w:footnote w:type="continuationSeparator" w:id="0">
    <w:p w14:paraId="7832481D" w14:textId="77777777" w:rsidR="00453149" w:rsidRDefault="00453149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AB"/>
    <w:multiLevelType w:val="hybridMultilevel"/>
    <w:tmpl w:val="9A7E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640FA"/>
    <w:multiLevelType w:val="hybridMultilevel"/>
    <w:tmpl w:val="F9E68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356B4"/>
    <w:multiLevelType w:val="hybridMultilevel"/>
    <w:tmpl w:val="414C80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C7E0B"/>
    <w:multiLevelType w:val="hybridMultilevel"/>
    <w:tmpl w:val="77C41EC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43181"/>
    <w:multiLevelType w:val="hybridMultilevel"/>
    <w:tmpl w:val="BBAAFA46"/>
    <w:lvl w:ilvl="0" w:tplc="EBA23FA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3079"/>
    <w:multiLevelType w:val="hybridMultilevel"/>
    <w:tmpl w:val="BCF6D870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42A4"/>
    <w:multiLevelType w:val="hybridMultilevel"/>
    <w:tmpl w:val="A966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407F9"/>
    <w:multiLevelType w:val="hybridMultilevel"/>
    <w:tmpl w:val="C31C8238"/>
    <w:lvl w:ilvl="0" w:tplc="7C32F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F8C4DE2"/>
    <w:multiLevelType w:val="hybridMultilevel"/>
    <w:tmpl w:val="3618B3D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62F90"/>
    <w:multiLevelType w:val="hybridMultilevel"/>
    <w:tmpl w:val="DB70FD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060338"/>
    <w:multiLevelType w:val="hybridMultilevel"/>
    <w:tmpl w:val="398C0608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4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7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5B1B"/>
    <w:rsid w:val="000134AA"/>
    <w:rsid w:val="00026CE2"/>
    <w:rsid w:val="00030734"/>
    <w:rsid w:val="00050711"/>
    <w:rsid w:val="0005219A"/>
    <w:rsid w:val="0005400D"/>
    <w:rsid w:val="00057593"/>
    <w:rsid w:val="00060A93"/>
    <w:rsid w:val="00063173"/>
    <w:rsid w:val="000634C4"/>
    <w:rsid w:val="00074F4F"/>
    <w:rsid w:val="00077C8F"/>
    <w:rsid w:val="0008153B"/>
    <w:rsid w:val="000925E1"/>
    <w:rsid w:val="000A25BC"/>
    <w:rsid w:val="000A76BA"/>
    <w:rsid w:val="000B3868"/>
    <w:rsid w:val="000C3127"/>
    <w:rsid w:val="000D07B8"/>
    <w:rsid w:val="000D46F9"/>
    <w:rsid w:val="000D5343"/>
    <w:rsid w:val="000E038F"/>
    <w:rsid w:val="000F0030"/>
    <w:rsid w:val="00101BAD"/>
    <w:rsid w:val="00102132"/>
    <w:rsid w:val="001030AE"/>
    <w:rsid w:val="001046B4"/>
    <w:rsid w:val="0010600C"/>
    <w:rsid w:val="00107F3F"/>
    <w:rsid w:val="001143E6"/>
    <w:rsid w:val="00117D02"/>
    <w:rsid w:val="00117D09"/>
    <w:rsid w:val="00121ED4"/>
    <w:rsid w:val="001236E2"/>
    <w:rsid w:val="00140B3A"/>
    <w:rsid w:val="00142DCB"/>
    <w:rsid w:val="00145952"/>
    <w:rsid w:val="0014735B"/>
    <w:rsid w:val="0015073D"/>
    <w:rsid w:val="00157C13"/>
    <w:rsid w:val="00165E24"/>
    <w:rsid w:val="00167016"/>
    <w:rsid w:val="00167E3A"/>
    <w:rsid w:val="0017378D"/>
    <w:rsid w:val="0017443D"/>
    <w:rsid w:val="00191251"/>
    <w:rsid w:val="00195062"/>
    <w:rsid w:val="00195D3B"/>
    <w:rsid w:val="00195FC1"/>
    <w:rsid w:val="001A41A0"/>
    <w:rsid w:val="001A463A"/>
    <w:rsid w:val="001A7DC0"/>
    <w:rsid w:val="001B7FDF"/>
    <w:rsid w:val="001D4060"/>
    <w:rsid w:val="001E7EA3"/>
    <w:rsid w:val="00203E7D"/>
    <w:rsid w:val="002129A1"/>
    <w:rsid w:val="00212C6B"/>
    <w:rsid w:val="00227806"/>
    <w:rsid w:val="00231334"/>
    <w:rsid w:val="00240F47"/>
    <w:rsid w:val="00247ACE"/>
    <w:rsid w:val="002518CA"/>
    <w:rsid w:val="00253486"/>
    <w:rsid w:val="00256D1A"/>
    <w:rsid w:val="00264909"/>
    <w:rsid w:val="002671D8"/>
    <w:rsid w:val="00267423"/>
    <w:rsid w:val="0027118D"/>
    <w:rsid w:val="00276FD0"/>
    <w:rsid w:val="002773AC"/>
    <w:rsid w:val="002836A9"/>
    <w:rsid w:val="00291E44"/>
    <w:rsid w:val="002B15C9"/>
    <w:rsid w:val="002C0CF3"/>
    <w:rsid w:val="002C2D6E"/>
    <w:rsid w:val="002C3801"/>
    <w:rsid w:val="002C382A"/>
    <w:rsid w:val="002D34B3"/>
    <w:rsid w:val="002D3CA8"/>
    <w:rsid w:val="002D3D29"/>
    <w:rsid w:val="002E0218"/>
    <w:rsid w:val="002F0479"/>
    <w:rsid w:val="002F45D6"/>
    <w:rsid w:val="002F55C8"/>
    <w:rsid w:val="00304158"/>
    <w:rsid w:val="00304B0D"/>
    <w:rsid w:val="00307F27"/>
    <w:rsid w:val="00321266"/>
    <w:rsid w:val="00322EA5"/>
    <w:rsid w:val="003301F5"/>
    <w:rsid w:val="00335FE8"/>
    <w:rsid w:val="00341586"/>
    <w:rsid w:val="00342FCC"/>
    <w:rsid w:val="00346DAD"/>
    <w:rsid w:val="003517F1"/>
    <w:rsid w:val="00351AD5"/>
    <w:rsid w:val="003537BC"/>
    <w:rsid w:val="003556DA"/>
    <w:rsid w:val="0036316A"/>
    <w:rsid w:val="00366F4C"/>
    <w:rsid w:val="0036743F"/>
    <w:rsid w:val="003718CF"/>
    <w:rsid w:val="003759C9"/>
    <w:rsid w:val="00386AB8"/>
    <w:rsid w:val="00390879"/>
    <w:rsid w:val="00397A61"/>
    <w:rsid w:val="003A0A7D"/>
    <w:rsid w:val="003A712F"/>
    <w:rsid w:val="003B20CB"/>
    <w:rsid w:val="003B22DB"/>
    <w:rsid w:val="003B694E"/>
    <w:rsid w:val="003C24B1"/>
    <w:rsid w:val="003C76BB"/>
    <w:rsid w:val="003D2841"/>
    <w:rsid w:val="003D4ADA"/>
    <w:rsid w:val="003E3F76"/>
    <w:rsid w:val="003E7407"/>
    <w:rsid w:val="003F0227"/>
    <w:rsid w:val="003F14FB"/>
    <w:rsid w:val="004149FE"/>
    <w:rsid w:val="004154BE"/>
    <w:rsid w:val="004224C8"/>
    <w:rsid w:val="0043212A"/>
    <w:rsid w:val="00453149"/>
    <w:rsid w:val="00461CF2"/>
    <w:rsid w:val="00481193"/>
    <w:rsid w:val="004828B0"/>
    <w:rsid w:val="0049767B"/>
    <w:rsid w:val="004A1134"/>
    <w:rsid w:val="004A22A0"/>
    <w:rsid w:val="004A42A4"/>
    <w:rsid w:val="004B2535"/>
    <w:rsid w:val="004B41E4"/>
    <w:rsid w:val="004C30E5"/>
    <w:rsid w:val="004C3801"/>
    <w:rsid w:val="004D41AC"/>
    <w:rsid w:val="004E002A"/>
    <w:rsid w:val="004E275B"/>
    <w:rsid w:val="004E6A41"/>
    <w:rsid w:val="00505308"/>
    <w:rsid w:val="005076F2"/>
    <w:rsid w:val="0051360A"/>
    <w:rsid w:val="00517E90"/>
    <w:rsid w:val="00552CD4"/>
    <w:rsid w:val="005676AC"/>
    <w:rsid w:val="005817E5"/>
    <w:rsid w:val="00584C91"/>
    <w:rsid w:val="005929F6"/>
    <w:rsid w:val="00593622"/>
    <w:rsid w:val="005970C3"/>
    <w:rsid w:val="005B0200"/>
    <w:rsid w:val="005B3669"/>
    <w:rsid w:val="005D3655"/>
    <w:rsid w:val="005E125A"/>
    <w:rsid w:val="005F153F"/>
    <w:rsid w:val="005F2535"/>
    <w:rsid w:val="005F266C"/>
    <w:rsid w:val="005F4E58"/>
    <w:rsid w:val="005F5001"/>
    <w:rsid w:val="005F6FEA"/>
    <w:rsid w:val="00600667"/>
    <w:rsid w:val="00600690"/>
    <w:rsid w:val="0060363E"/>
    <w:rsid w:val="0060474A"/>
    <w:rsid w:val="0061153B"/>
    <w:rsid w:val="0061188B"/>
    <w:rsid w:val="00611FD5"/>
    <w:rsid w:val="00612E5A"/>
    <w:rsid w:val="006173E3"/>
    <w:rsid w:val="00620DDC"/>
    <w:rsid w:val="00630F3E"/>
    <w:rsid w:val="006362B7"/>
    <w:rsid w:val="00640342"/>
    <w:rsid w:val="00645588"/>
    <w:rsid w:val="00647648"/>
    <w:rsid w:val="0065051C"/>
    <w:rsid w:val="006547D7"/>
    <w:rsid w:val="006573C9"/>
    <w:rsid w:val="006578DF"/>
    <w:rsid w:val="00671C35"/>
    <w:rsid w:val="00672036"/>
    <w:rsid w:val="00672FD7"/>
    <w:rsid w:val="006828A8"/>
    <w:rsid w:val="006835B8"/>
    <w:rsid w:val="0068399E"/>
    <w:rsid w:val="00685CF4"/>
    <w:rsid w:val="00696FC9"/>
    <w:rsid w:val="006A6F35"/>
    <w:rsid w:val="006B3FE4"/>
    <w:rsid w:val="006B5CDD"/>
    <w:rsid w:val="006B5DAB"/>
    <w:rsid w:val="006C3F82"/>
    <w:rsid w:val="006C4480"/>
    <w:rsid w:val="006C5832"/>
    <w:rsid w:val="006C6077"/>
    <w:rsid w:val="006D0F40"/>
    <w:rsid w:val="006E45FF"/>
    <w:rsid w:val="006E5FCA"/>
    <w:rsid w:val="006F0C29"/>
    <w:rsid w:val="006F2E79"/>
    <w:rsid w:val="006F7AAC"/>
    <w:rsid w:val="0070160D"/>
    <w:rsid w:val="00702448"/>
    <w:rsid w:val="00703E0B"/>
    <w:rsid w:val="00705361"/>
    <w:rsid w:val="007070D2"/>
    <w:rsid w:val="0071397E"/>
    <w:rsid w:val="0072068D"/>
    <w:rsid w:val="007215B8"/>
    <w:rsid w:val="00736A44"/>
    <w:rsid w:val="007457D0"/>
    <w:rsid w:val="007472F1"/>
    <w:rsid w:val="00757919"/>
    <w:rsid w:val="00760620"/>
    <w:rsid w:val="007621DB"/>
    <w:rsid w:val="007711FF"/>
    <w:rsid w:val="00773555"/>
    <w:rsid w:val="00782FF7"/>
    <w:rsid w:val="00786903"/>
    <w:rsid w:val="00790AAC"/>
    <w:rsid w:val="00792C5D"/>
    <w:rsid w:val="007938DF"/>
    <w:rsid w:val="007B7C99"/>
    <w:rsid w:val="007C2DCA"/>
    <w:rsid w:val="007C3D70"/>
    <w:rsid w:val="007C5B9A"/>
    <w:rsid w:val="007F739A"/>
    <w:rsid w:val="00800D86"/>
    <w:rsid w:val="00805D5F"/>
    <w:rsid w:val="00811FF4"/>
    <w:rsid w:val="00813049"/>
    <w:rsid w:val="00822146"/>
    <w:rsid w:val="00823FA2"/>
    <w:rsid w:val="00825487"/>
    <w:rsid w:val="0084107A"/>
    <w:rsid w:val="00841566"/>
    <w:rsid w:val="00844D6A"/>
    <w:rsid w:val="0084793A"/>
    <w:rsid w:val="0085038B"/>
    <w:rsid w:val="00857432"/>
    <w:rsid w:val="00862798"/>
    <w:rsid w:val="008627B4"/>
    <w:rsid w:val="00866DD0"/>
    <w:rsid w:val="008768F8"/>
    <w:rsid w:val="008810C4"/>
    <w:rsid w:val="00884F8C"/>
    <w:rsid w:val="008858A7"/>
    <w:rsid w:val="0089073E"/>
    <w:rsid w:val="0089318A"/>
    <w:rsid w:val="0089365A"/>
    <w:rsid w:val="00893A92"/>
    <w:rsid w:val="00896132"/>
    <w:rsid w:val="008A5E8E"/>
    <w:rsid w:val="008C325E"/>
    <w:rsid w:val="008D1BE3"/>
    <w:rsid w:val="008D2892"/>
    <w:rsid w:val="008E15CB"/>
    <w:rsid w:val="008F17A6"/>
    <w:rsid w:val="008F3F48"/>
    <w:rsid w:val="008F76D2"/>
    <w:rsid w:val="009159FD"/>
    <w:rsid w:val="00916184"/>
    <w:rsid w:val="009178D0"/>
    <w:rsid w:val="00920645"/>
    <w:rsid w:val="00921739"/>
    <w:rsid w:val="0092368C"/>
    <w:rsid w:val="00932D73"/>
    <w:rsid w:val="00942BDE"/>
    <w:rsid w:val="009461F9"/>
    <w:rsid w:val="00947890"/>
    <w:rsid w:val="0096400A"/>
    <w:rsid w:val="00964A5B"/>
    <w:rsid w:val="0096663D"/>
    <w:rsid w:val="0099156B"/>
    <w:rsid w:val="009A4374"/>
    <w:rsid w:val="009A6799"/>
    <w:rsid w:val="009B0C95"/>
    <w:rsid w:val="009C3009"/>
    <w:rsid w:val="009D60FD"/>
    <w:rsid w:val="009D6367"/>
    <w:rsid w:val="009E1074"/>
    <w:rsid w:val="009F0D7D"/>
    <w:rsid w:val="009F6E73"/>
    <w:rsid w:val="009F7D61"/>
    <w:rsid w:val="00A01D6F"/>
    <w:rsid w:val="00A03593"/>
    <w:rsid w:val="00A06917"/>
    <w:rsid w:val="00A11131"/>
    <w:rsid w:val="00A16C10"/>
    <w:rsid w:val="00A22B7C"/>
    <w:rsid w:val="00A31E40"/>
    <w:rsid w:val="00A354AF"/>
    <w:rsid w:val="00A37CE8"/>
    <w:rsid w:val="00A42C44"/>
    <w:rsid w:val="00A4391C"/>
    <w:rsid w:val="00A523FD"/>
    <w:rsid w:val="00A551AB"/>
    <w:rsid w:val="00A57F81"/>
    <w:rsid w:val="00A65341"/>
    <w:rsid w:val="00A71E9A"/>
    <w:rsid w:val="00A72A10"/>
    <w:rsid w:val="00A81E24"/>
    <w:rsid w:val="00A84BC4"/>
    <w:rsid w:val="00A943A7"/>
    <w:rsid w:val="00AC03AB"/>
    <w:rsid w:val="00AC36B4"/>
    <w:rsid w:val="00AC630B"/>
    <w:rsid w:val="00AD3349"/>
    <w:rsid w:val="00AD3FF3"/>
    <w:rsid w:val="00AD4FA2"/>
    <w:rsid w:val="00AE00B9"/>
    <w:rsid w:val="00AE386E"/>
    <w:rsid w:val="00AF1D13"/>
    <w:rsid w:val="00B03486"/>
    <w:rsid w:val="00B20B9B"/>
    <w:rsid w:val="00B357C7"/>
    <w:rsid w:val="00B4198C"/>
    <w:rsid w:val="00B46612"/>
    <w:rsid w:val="00B57DC1"/>
    <w:rsid w:val="00B90347"/>
    <w:rsid w:val="00B9171F"/>
    <w:rsid w:val="00B94275"/>
    <w:rsid w:val="00BA22F4"/>
    <w:rsid w:val="00BA2D9A"/>
    <w:rsid w:val="00BB0FA3"/>
    <w:rsid w:val="00BB4CB4"/>
    <w:rsid w:val="00BC022E"/>
    <w:rsid w:val="00BC0719"/>
    <w:rsid w:val="00BC4A75"/>
    <w:rsid w:val="00BF410E"/>
    <w:rsid w:val="00C00627"/>
    <w:rsid w:val="00C00F84"/>
    <w:rsid w:val="00C07AF7"/>
    <w:rsid w:val="00C111C6"/>
    <w:rsid w:val="00C1440F"/>
    <w:rsid w:val="00C24776"/>
    <w:rsid w:val="00C31EB6"/>
    <w:rsid w:val="00C32599"/>
    <w:rsid w:val="00C339A8"/>
    <w:rsid w:val="00C33A6A"/>
    <w:rsid w:val="00C51F20"/>
    <w:rsid w:val="00C52E9C"/>
    <w:rsid w:val="00C53D6C"/>
    <w:rsid w:val="00C541CC"/>
    <w:rsid w:val="00C631B9"/>
    <w:rsid w:val="00C75255"/>
    <w:rsid w:val="00C92A6B"/>
    <w:rsid w:val="00C956E4"/>
    <w:rsid w:val="00CA0ACC"/>
    <w:rsid w:val="00CA591E"/>
    <w:rsid w:val="00CB5016"/>
    <w:rsid w:val="00CC4CA5"/>
    <w:rsid w:val="00CC5A0C"/>
    <w:rsid w:val="00CD1DAB"/>
    <w:rsid w:val="00CD2A95"/>
    <w:rsid w:val="00CE022B"/>
    <w:rsid w:val="00CE23EC"/>
    <w:rsid w:val="00CE6622"/>
    <w:rsid w:val="00CE6A58"/>
    <w:rsid w:val="00CF20D7"/>
    <w:rsid w:val="00CF2981"/>
    <w:rsid w:val="00D01F95"/>
    <w:rsid w:val="00D07688"/>
    <w:rsid w:val="00D13F5B"/>
    <w:rsid w:val="00D167E3"/>
    <w:rsid w:val="00D3770B"/>
    <w:rsid w:val="00D3791F"/>
    <w:rsid w:val="00D51271"/>
    <w:rsid w:val="00D56E4B"/>
    <w:rsid w:val="00D65D8F"/>
    <w:rsid w:val="00D744E6"/>
    <w:rsid w:val="00D77E11"/>
    <w:rsid w:val="00D802FF"/>
    <w:rsid w:val="00D80803"/>
    <w:rsid w:val="00D81F04"/>
    <w:rsid w:val="00D911DD"/>
    <w:rsid w:val="00D96AE7"/>
    <w:rsid w:val="00D96AF2"/>
    <w:rsid w:val="00DA1519"/>
    <w:rsid w:val="00DD2A83"/>
    <w:rsid w:val="00DE431B"/>
    <w:rsid w:val="00DE4B64"/>
    <w:rsid w:val="00E00D65"/>
    <w:rsid w:val="00E025CA"/>
    <w:rsid w:val="00E041FE"/>
    <w:rsid w:val="00E14FDF"/>
    <w:rsid w:val="00E232CB"/>
    <w:rsid w:val="00E27296"/>
    <w:rsid w:val="00E273A1"/>
    <w:rsid w:val="00E27806"/>
    <w:rsid w:val="00E31AF2"/>
    <w:rsid w:val="00E32612"/>
    <w:rsid w:val="00E326B7"/>
    <w:rsid w:val="00E4001E"/>
    <w:rsid w:val="00E417AC"/>
    <w:rsid w:val="00E46270"/>
    <w:rsid w:val="00E467FB"/>
    <w:rsid w:val="00E478A5"/>
    <w:rsid w:val="00E6004B"/>
    <w:rsid w:val="00E608B7"/>
    <w:rsid w:val="00E64E57"/>
    <w:rsid w:val="00E6653F"/>
    <w:rsid w:val="00E772B1"/>
    <w:rsid w:val="00E833CE"/>
    <w:rsid w:val="00E839D9"/>
    <w:rsid w:val="00E96C21"/>
    <w:rsid w:val="00EA3000"/>
    <w:rsid w:val="00EA3DA4"/>
    <w:rsid w:val="00EB2FFF"/>
    <w:rsid w:val="00EB58DA"/>
    <w:rsid w:val="00EC06A2"/>
    <w:rsid w:val="00EC0D4A"/>
    <w:rsid w:val="00EC3579"/>
    <w:rsid w:val="00ED2C1C"/>
    <w:rsid w:val="00ED42B0"/>
    <w:rsid w:val="00EE4AB0"/>
    <w:rsid w:val="00EE55D0"/>
    <w:rsid w:val="00EE5CFE"/>
    <w:rsid w:val="00EF1C80"/>
    <w:rsid w:val="00F02F7E"/>
    <w:rsid w:val="00F05557"/>
    <w:rsid w:val="00F0797C"/>
    <w:rsid w:val="00F11F00"/>
    <w:rsid w:val="00F1485B"/>
    <w:rsid w:val="00F21E9D"/>
    <w:rsid w:val="00F4159E"/>
    <w:rsid w:val="00F47E07"/>
    <w:rsid w:val="00F53F55"/>
    <w:rsid w:val="00F63625"/>
    <w:rsid w:val="00F63CBD"/>
    <w:rsid w:val="00F77E96"/>
    <w:rsid w:val="00F87202"/>
    <w:rsid w:val="00F91010"/>
    <w:rsid w:val="00F96704"/>
    <w:rsid w:val="00F97690"/>
    <w:rsid w:val="00FA53CF"/>
    <w:rsid w:val="00FA6C2E"/>
    <w:rsid w:val="00FB32C1"/>
    <w:rsid w:val="00FB33D1"/>
    <w:rsid w:val="00FB348C"/>
    <w:rsid w:val="00FC5831"/>
    <w:rsid w:val="00FD36AE"/>
    <w:rsid w:val="00FD39D7"/>
    <w:rsid w:val="00FE41A9"/>
    <w:rsid w:val="00FE6209"/>
    <w:rsid w:val="00FF073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A59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431B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431B"/>
    <w:rPr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s-ES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unhideWhenUsed/>
    <w:rsid w:val="00461C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61C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3FA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30E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C30E5"/>
  </w:style>
  <w:style w:type="paragraph" w:styleId="Pieddepage">
    <w:name w:val="footer"/>
    <w:basedOn w:val="Normal"/>
    <w:link w:val="PieddepageCar"/>
    <w:uiPriority w:val="99"/>
    <w:unhideWhenUsed/>
    <w:rsid w:val="004C30E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0E5"/>
  </w:style>
  <w:style w:type="character" w:styleId="Lienhypertextesuivivisit">
    <w:name w:val="FollowedHyperlink"/>
    <w:basedOn w:val="Policepardfaut"/>
    <w:uiPriority w:val="99"/>
    <w:semiHidden/>
    <w:unhideWhenUsed/>
    <w:rsid w:val="00251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es/A/HRC/40/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internet.ohchr.org/_layouts/15/treatybodyexternal/Download.aspx?symbolno=A/72/55&amp;Lang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www.unodc.org/documents/justice-and-prison-reform/UN_principles_and_guidlines_on_access_to_legal_aid.pdf" TargetMode="External"/><Relationship Id="rId1" Type="http://schemas.openxmlformats.org/officeDocument/2006/relationships/hyperlink" Target="https://ap.ohchr.org/documents/dpage_e.aspx?si=A/HRC/30/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D0E5-F22C-45F2-B1E0-9296AAC6A101}"/>
</file>

<file path=customXml/itemProps2.xml><?xml version="1.0" encoding="utf-8"?>
<ds:datastoreItem xmlns:ds="http://schemas.openxmlformats.org/officeDocument/2006/customXml" ds:itemID="{91B3A024-6BF6-41B8-AB76-164CAE0291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CF36ED-5AA9-4393-9DDC-B80FC406A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3D573-DFE3-5746-B5BE-60427455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1496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victoria lee</cp:lastModifiedBy>
  <cp:revision>5</cp:revision>
  <cp:lastPrinted>2018-11-12T11:21:00Z</cp:lastPrinted>
  <dcterms:created xsi:type="dcterms:W3CDTF">2020-06-30T14:06:00Z</dcterms:created>
  <dcterms:modified xsi:type="dcterms:W3CDTF">2020-10-22T11:59:00Z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