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604" w:type="dxa"/>
        <w:jc w:val="center"/>
        <w:tblLook w:val="04A0" w:firstRow="1" w:lastRow="0" w:firstColumn="1" w:lastColumn="0" w:noHBand="0" w:noVBand="1"/>
      </w:tblPr>
      <w:tblGrid>
        <w:gridCol w:w="1054"/>
        <w:gridCol w:w="3234"/>
        <w:gridCol w:w="5491"/>
        <w:gridCol w:w="3119"/>
        <w:gridCol w:w="2706"/>
      </w:tblGrid>
      <w:tr w:rsidR="006B149D" w:rsidRPr="00CE4FB3" w14:paraId="60B234DD" w14:textId="77777777" w:rsidTr="0029101B">
        <w:trPr>
          <w:trHeight w:val="298"/>
          <w:jc w:val="center"/>
        </w:trPr>
        <w:tc>
          <w:tcPr>
            <w:tcW w:w="15604" w:type="dxa"/>
            <w:gridSpan w:val="5"/>
            <w:shd w:val="clear" w:color="auto" w:fill="BFBFBF" w:themeFill="background1" w:themeFillShade="BF"/>
            <w:vAlign w:val="center"/>
          </w:tcPr>
          <w:p w14:paraId="66BFA1E1" w14:textId="199ACED1" w:rsidR="006B149D" w:rsidRPr="00CE4FB3" w:rsidRDefault="006B149D" w:rsidP="00CE4FB3">
            <w:pPr>
              <w:tabs>
                <w:tab w:val="left" w:pos="7587"/>
              </w:tabs>
              <w:spacing w:after="0" w:line="240" w:lineRule="auto"/>
              <w:jc w:val="center"/>
              <w:rPr>
                <w:rFonts w:cstheme="minorHAnsi"/>
                <w:b/>
                <w:sz w:val="18"/>
                <w:szCs w:val="18"/>
              </w:rPr>
            </w:pPr>
            <w:r>
              <w:rPr>
                <w:b/>
                <w:sz w:val="18"/>
                <w:szCs w:val="18"/>
              </w:rPr>
              <w:t>Article 16 – Indicateurs illustratifs sur la liberté face à la violence, à l'exploitation et aux abus</w:t>
            </w:r>
          </w:p>
        </w:tc>
      </w:tr>
      <w:tr w:rsidR="003B1862" w:rsidRPr="00CE4FB3" w14:paraId="66386D3E" w14:textId="77777777" w:rsidTr="00D33395">
        <w:trPr>
          <w:trHeight w:val="262"/>
          <w:jc w:val="center"/>
        </w:trPr>
        <w:tc>
          <w:tcPr>
            <w:tcW w:w="15604" w:type="dxa"/>
            <w:gridSpan w:val="5"/>
            <w:shd w:val="clear" w:color="auto" w:fill="auto"/>
            <w:vAlign w:val="center"/>
          </w:tcPr>
          <w:p w14:paraId="7E679126" w14:textId="12756663" w:rsidR="003B1862" w:rsidRPr="00CE4FB3" w:rsidRDefault="00A50CF5" w:rsidP="00CE4FB3">
            <w:pPr>
              <w:spacing w:after="0" w:line="240" w:lineRule="auto"/>
              <w:jc w:val="center"/>
              <w:rPr>
                <w:rFonts w:cstheme="minorHAnsi"/>
                <w:b/>
                <w:sz w:val="18"/>
                <w:szCs w:val="18"/>
              </w:rPr>
            </w:pPr>
            <w:r>
              <w:rPr>
                <w:b/>
                <w:sz w:val="18"/>
                <w:szCs w:val="18"/>
              </w:rPr>
              <w:t>Prévention et protection contre toutes les formes d'exploitation, de violence et d'abus et possibilité de réparation</w:t>
            </w:r>
          </w:p>
        </w:tc>
      </w:tr>
      <w:tr w:rsidR="00DF0AA6" w:rsidRPr="00CE4FB3" w14:paraId="576D7F13" w14:textId="77777777" w:rsidTr="00DF0AA6">
        <w:trPr>
          <w:trHeight w:val="426"/>
          <w:jc w:val="center"/>
        </w:trPr>
        <w:tc>
          <w:tcPr>
            <w:tcW w:w="1054" w:type="dxa"/>
          </w:tcPr>
          <w:p w14:paraId="6C61F21B" w14:textId="77777777" w:rsidR="00A50CF5" w:rsidRPr="00CE4FB3" w:rsidRDefault="00A50CF5" w:rsidP="00CE4FB3">
            <w:pPr>
              <w:tabs>
                <w:tab w:val="left" w:pos="7587"/>
              </w:tabs>
              <w:spacing w:after="0" w:line="240" w:lineRule="auto"/>
              <w:rPr>
                <w:rFonts w:cstheme="minorHAnsi"/>
                <w:b/>
                <w:sz w:val="18"/>
                <w:szCs w:val="18"/>
              </w:rPr>
            </w:pPr>
            <w:r>
              <w:rPr>
                <w:b/>
                <w:sz w:val="18"/>
                <w:szCs w:val="18"/>
              </w:rPr>
              <w:t>Attributs/ Indicateurs</w:t>
            </w:r>
          </w:p>
        </w:tc>
        <w:tc>
          <w:tcPr>
            <w:tcW w:w="3234" w:type="dxa"/>
          </w:tcPr>
          <w:p w14:paraId="0491DABE" w14:textId="003F6EB4" w:rsidR="00A50CF5" w:rsidRPr="00CE4FB3" w:rsidRDefault="00A50CF5" w:rsidP="00BD608B">
            <w:pPr>
              <w:tabs>
                <w:tab w:val="left" w:pos="7587"/>
              </w:tabs>
              <w:spacing w:after="0" w:line="240" w:lineRule="auto"/>
              <w:jc w:val="center"/>
              <w:rPr>
                <w:rFonts w:cstheme="minorHAnsi"/>
                <w:b/>
                <w:sz w:val="18"/>
                <w:szCs w:val="18"/>
              </w:rPr>
            </w:pPr>
            <w:r>
              <w:rPr>
                <w:b/>
                <w:sz w:val="18"/>
                <w:szCs w:val="18"/>
              </w:rPr>
              <w:t>Violence domestique</w:t>
            </w:r>
          </w:p>
        </w:tc>
        <w:tc>
          <w:tcPr>
            <w:tcW w:w="5491" w:type="dxa"/>
          </w:tcPr>
          <w:p w14:paraId="6A8151E9" w14:textId="4206C852" w:rsidR="00A50CF5" w:rsidRPr="00CE4FB3" w:rsidRDefault="00A50CF5" w:rsidP="00BD608B">
            <w:pPr>
              <w:tabs>
                <w:tab w:val="left" w:pos="7587"/>
              </w:tabs>
              <w:spacing w:after="0" w:line="240" w:lineRule="auto"/>
              <w:jc w:val="center"/>
              <w:rPr>
                <w:rFonts w:cstheme="minorHAnsi"/>
                <w:b/>
                <w:sz w:val="18"/>
                <w:szCs w:val="18"/>
              </w:rPr>
            </w:pPr>
            <w:r>
              <w:rPr>
                <w:b/>
                <w:sz w:val="18"/>
                <w:szCs w:val="18"/>
              </w:rPr>
              <w:t>Violence au sein des institutions publiques et privées</w:t>
            </w:r>
          </w:p>
        </w:tc>
        <w:tc>
          <w:tcPr>
            <w:tcW w:w="3119" w:type="dxa"/>
          </w:tcPr>
          <w:p w14:paraId="7E303BE5" w14:textId="7918625F" w:rsidR="00A50CF5" w:rsidRPr="00CE4FB3" w:rsidRDefault="0029101B" w:rsidP="00BD608B">
            <w:pPr>
              <w:tabs>
                <w:tab w:val="left" w:pos="7587"/>
              </w:tabs>
              <w:spacing w:after="0" w:line="240" w:lineRule="auto"/>
              <w:jc w:val="center"/>
              <w:rPr>
                <w:rFonts w:cstheme="minorHAnsi"/>
                <w:b/>
                <w:sz w:val="18"/>
                <w:szCs w:val="18"/>
              </w:rPr>
            </w:pPr>
            <w:r>
              <w:rPr>
                <w:b/>
                <w:sz w:val="18"/>
                <w:szCs w:val="18"/>
              </w:rPr>
              <w:t>Violence au sein de la communauté, y compris les pratiques préjudiciables</w:t>
            </w:r>
          </w:p>
        </w:tc>
        <w:tc>
          <w:tcPr>
            <w:tcW w:w="2706" w:type="dxa"/>
          </w:tcPr>
          <w:p w14:paraId="35F3721C" w14:textId="4FBC88F6" w:rsidR="00A50CF5" w:rsidRPr="00CE4FB3" w:rsidRDefault="00A50CF5" w:rsidP="00BD608B">
            <w:pPr>
              <w:tabs>
                <w:tab w:val="left" w:pos="7587"/>
              </w:tabs>
              <w:spacing w:after="0" w:line="240" w:lineRule="auto"/>
              <w:jc w:val="center"/>
              <w:rPr>
                <w:rFonts w:cstheme="minorHAnsi"/>
                <w:b/>
                <w:sz w:val="18"/>
                <w:szCs w:val="18"/>
              </w:rPr>
            </w:pPr>
            <w:r>
              <w:rPr>
                <w:b/>
                <w:sz w:val="18"/>
                <w:szCs w:val="18"/>
              </w:rPr>
              <w:t>Traite</w:t>
            </w:r>
          </w:p>
        </w:tc>
      </w:tr>
      <w:tr w:rsidR="00175F8E" w:rsidRPr="00CE4FB3" w14:paraId="43637D3D" w14:textId="77777777" w:rsidTr="00D33395">
        <w:trPr>
          <w:trHeight w:val="665"/>
          <w:jc w:val="center"/>
        </w:trPr>
        <w:tc>
          <w:tcPr>
            <w:tcW w:w="1054" w:type="dxa"/>
            <w:vMerge w:val="restart"/>
          </w:tcPr>
          <w:p w14:paraId="6971E3A7" w14:textId="0D9BF11A" w:rsidR="00175F8E" w:rsidRPr="00CE4FB3" w:rsidRDefault="00175F8E" w:rsidP="00CE4FB3">
            <w:pPr>
              <w:tabs>
                <w:tab w:val="left" w:pos="7587"/>
              </w:tabs>
              <w:spacing w:after="0" w:line="240" w:lineRule="auto"/>
              <w:rPr>
                <w:rFonts w:cstheme="minorHAnsi"/>
                <w:b/>
                <w:sz w:val="18"/>
                <w:szCs w:val="18"/>
              </w:rPr>
            </w:pPr>
            <w:r>
              <w:rPr>
                <w:b/>
                <w:sz w:val="18"/>
                <w:szCs w:val="18"/>
              </w:rPr>
              <w:t>Structure</w:t>
            </w:r>
          </w:p>
        </w:tc>
        <w:tc>
          <w:tcPr>
            <w:tcW w:w="14550" w:type="dxa"/>
            <w:gridSpan w:val="4"/>
          </w:tcPr>
          <w:p w14:paraId="7EF2D474" w14:textId="47DE975B" w:rsidR="00175F8E" w:rsidRDefault="009001C9" w:rsidP="00AF4953">
            <w:pPr>
              <w:spacing w:after="0" w:line="240" w:lineRule="auto"/>
              <w:jc w:val="both"/>
              <w:rPr>
                <w:rFonts w:cstheme="minorHAnsi"/>
                <w:color w:val="000000"/>
                <w:sz w:val="18"/>
                <w:szCs w:val="18"/>
              </w:rPr>
            </w:pPr>
            <w:r>
              <w:rPr>
                <w:color w:val="000000"/>
                <w:sz w:val="18"/>
                <w:szCs w:val="18"/>
              </w:rPr>
              <w:t xml:space="preserve">16.1 Législation criminalisant, protégeant et empêchant toutes les formes de violence, d'abus et d'exploitation, y compris des </w:t>
            </w:r>
            <w:r w:rsidR="00F9588E">
              <w:rPr>
                <w:color w:val="000000"/>
                <w:sz w:val="18"/>
                <w:szCs w:val="18"/>
              </w:rPr>
              <w:t>personnes handicapées</w:t>
            </w:r>
            <w:r>
              <w:rPr>
                <w:color w:val="000000"/>
                <w:sz w:val="18"/>
                <w:szCs w:val="18"/>
              </w:rPr>
              <w:t>,</w:t>
            </w:r>
            <w:r w:rsidR="007A0542" w:rsidRPr="00CE4FB3">
              <w:rPr>
                <w:rStyle w:val="EndnoteReference"/>
                <w:rFonts w:cstheme="minorHAnsi"/>
                <w:color w:val="000000"/>
                <w:sz w:val="18"/>
                <w:szCs w:val="18"/>
              </w:rPr>
              <w:endnoteReference w:id="1"/>
            </w:r>
            <w:r>
              <w:rPr>
                <w:color w:val="000000"/>
                <w:sz w:val="18"/>
                <w:szCs w:val="18"/>
              </w:rPr>
              <w:t xml:space="preserve"> avec des sanctions pour les auteurs et des recours effectifs pour les victimes. </w:t>
            </w:r>
          </w:p>
          <w:p w14:paraId="4B84504A" w14:textId="7A084945" w:rsidR="00DF0AA6" w:rsidRPr="00DF0AA6" w:rsidRDefault="00DF0AA6" w:rsidP="00DF0AA6">
            <w:pPr>
              <w:tabs>
                <w:tab w:val="left" w:pos="7587"/>
              </w:tabs>
              <w:spacing w:after="0" w:line="240" w:lineRule="auto"/>
              <w:jc w:val="both"/>
              <w:rPr>
                <w:rFonts w:cstheme="minorHAnsi"/>
                <w:sz w:val="18"/>
                <w:szCs w:val="18"/>
              </w:rPr>
            </w:pPr>
            <w:r>
              <w:rPr>
                <w:color w:val="000000"/>
                <w:sz w:val="18"/>
                <w:szCs w:val="18"/>
              </w:rPr>
              <w:t>16.2</w:t>
            </w:r>
            <w:r>
              <w:rPr>
                <w:sz w:val="18"/>
                <w:szCs w:val="18"/>
              </w:rPr>
              <w:t xml:space="preserve"> Aucune disposition législative n'autorisant l'exemption de l'incrimination des pratiques non consensuelles de quelque nature que ce soit, y compris celles fondées sur une restriction/un refus de la capacité juridique, ou une </w:t>
            </w:r>
            <w:r w:rsidR="00F9588E">
              <w:rPr>
                <w:sz w:val="18"/>
                <w:szCs w:val="18"/>
              </w:rPr>
              <w:t>incapacité</w:t>
            </w:r>
            <w:r>
              <w:rPr>
                <w:sz w:val="18"/>
                <w:szCs w:val="18"/>
              </w:rPr>
              <w:t xml:space="preserve"> réelle ou </w:t>
            </w:r>
            <w:r w:rsidR="00F9588E">
              <w:rPr>
                <w:sz w:val="18"/>
                <w:szCs w:val="18"/>
              </w:rPr>
              <w:t>supposée</w:t>
            </w:r>
            <w:r>
              <w:rPr>
                <w:sz w:val="18"/>
                <w:szCs w:val="18"/>
              </w:rPr>
              <w:t xml:space="preserve"> de la victime et/ou la détermination de l'intérêt supérieur par un tiers.</w:t>
            </w:r>
          </w:p>
          <w:p w14:paraId="61F74575" w14:textId="4FB9AB30" w:rsidR="00175F8E" w:rsidRPr="008D0AF8" w:rsidRDefault="00DF0AA6" w:rsidP="00AF4953">
            <w:pPr>
              <w:spacing w:after="0" w:line="240" w:lineRule="auto"/>
              <w:jc w:val="both"/>
              <w:rPr>
                <w:rFonts w:cstheme="minorHAnsi"/>
                <w:color w:val="000000"/>
                <w:sz w:val="18"/>
                <w:szCs w:val="18"/>
              </w:rPr>
            </w:pPr>
            <w:r>
              <w:rPr>
                <w:color w:val="000000"/>
                <w:sz w:val="18"/>
                <w:szCs w:val="18"/>
              </w:rPr>
              <w:t xml:space="preserve">16.3 Adoption d'un plan/d'une politique nationale pour prévenir, détecter et combattre la violence, les abus et toutes les formes d'exploitation en faisant explicitement référence aux </w:t>
            </w:r>
            <w:r w:rsidR="00F9588E">
              <w:rPr>
                <w:color w:val="000000"/>
                <w:sz w:val="18"/>
                <w:szCs w:val="18"/>
              </w:rPr>
              <w:t>personnes handicapées</w:t>
            </w:r>
            <w:r>
              <w:rPr>
                <w:color w:val="000000"/>
                <w:sz w:val="18"/>
                <w:szCs w:val="18"/>
              </w:rPr>
              <w:t xml:space="preserve">, qui répond aux besoins particuliers des femmes, des enfants et des personnes âgées et des personnes </w:t>
            </w:r>
            <w:r w:rsidR="00735E4A">
              <w:rPr>
                <w:color w:val="000000"/>
                <w:sz w:val="18"/>
                <w:szCs w:val="18"/>
              </w:rPr>
              <w:t xml:space="preserve">appartenant aux différentes groupes selon leur handicap </w:t>
            </w:r>
            <w:r>
              <w:rPr>
                <w:color w:val="000000"/>
                <w:sz w:val="18"/>
                <w:szCs w:val="18"/>
              </w:rPr>
              <w:t>dans des paramètres privés et publics.</w:t>
            </w:r>
            <w:r w:rsidR="00DC48CC" w:rsidRPr="008D0AF8">
              <w:rPr>
                <w:rStyle w:val="EndnoteReference"/>
                <w:rFonts w:cstheme="minorHAnsi"/>
                <w:color w:val="000000"/>
                <w:sz w:val="18"/>
                <w:szCs w:val="18"/>
              </w:rPr>
              <w:endnoteReference w:id="2"/>
            </w:r>
          </w:p>
          <w:p w14:paraId="627CD5B8" w14:textId="20E93598" w:rsidR="007B2E04" w:rsidRPr="007F17C0" w:rsidRDefault="00DF0AA6" w:rsidP="00AF4953">
            <w:pPr>
              <w:spacing w:after="0" w:line="240" w:lineRule="auto"/>
              <w:jc w:val="both"/>
              <w:rPr>
                <w:rFonts w:cstheme="minorHAnsi"/>
                <w:color w:val="000000"/>
                <w:sz w:val="18"/>
                <w:szCs w:val="18"/>
              </w:rPr>
            </w:pPr>
            <w:r>
              <w:rPr>
                <w:color w:val="000000"/>
                <w:sz w:val="18"/>
                <w:szCs w:val="18"/>
              </w:rPr>
              <w:t xml:space="preserve">16.4 Les programmes adoptés pour la récupération, la réadaptation et la réinsertion sociale des victimes de violence, d'abus et d'exploitation, y compris la protection contre les représailles et les services d'assistance, y compris les abris et le logement, sont culturellement appropriés, non discriminatoires et incluent les </w:t>
            </w:r>
            <w:r w:rsidR="00F9588E">
              <w:rPr>
                <w:color w:val="000000"/>
                <w:sz w:val="18"/>
                <w:szCs w:val="18"/>
              </w:rPr>
              <w:t>personnes handicapées</w:t>
            </w:r>
            <w:r>
              <w:rPr>
                <w:color w:val="000000"/>
                <w:sz w:val="18"/>
                <w:szCs w:val="18"/>
              </w:rPr>
              <w:t>.</w:t>
            </w:r>
            <w:r w:rsidR="00BE32A1" w:rsidRPr="007F17C0">
              <w:rPr>
                <w:rStyle w:val="EndnoteReference"/>
                <w:rFonts w:cstheme="minorHAnsi"/>
                <w:color w:val="000000"/>
                <w:sz w:val="18"/>
                <w:szCs w:val="18"/>
              </w:rPr>
              <w:endnoteReference w:id="3"/>
            </w:r>
          </w:p>
          <w:p w14:paraId="718CD8BB" w14:textId="2DB9C3F0" w:rsidR="007B2E04" w:rsidRPr="00CE4FB3" w:rsidRDefault="00DF0AA6" w:rsidP="00AF4953">
            <w:pPr>
              <w:spacing w:after="0" w:line="240" w:lineRule="auto"/>
              <w:jc w:val="both"/>
              <w:rPr>
                <w:rFonts w:cstheme="minorHAnsi"/>
                <w:color w:val="000000"/>
                <w:sz w:val="18"/>
                <w:szCs w:val="18"/>
              </w:rPr>
            </w:pPr>
            <w:r>
              <w:rPr>
                <w:color w:val="000000"/>
                <w:sz w:val="18"/>
                <w:szCs w:val="18"/>
              </w:rPr>
              <w:t xml:space="preserve">16.5 Obligation légale de collecter des données sur les plaintes, les enquêtes et les condamnations liées à la violence, aux abus et à l'exploitation des </w:t>
            </w:r>
            <w:r w:rsidR="00F9588E">
              <w:rPr>
                <w:color w:val="000000"/>
                <w:sz w:val="18"/>
                <w:szCs w:val="18"/>
              </w:rPr>
              <w:t>personnes handicapées</w:t>
            </w:r>
            <w:r>
              <w:rPr>
                <w:color w:val="000000"/>
                <w:sz w:val="18"/>
                <w:szCs w:val="18"/>
              </w:rPr>
              <w:t>, ventilées par sexe, âge, handicap et forme de violence, abus et exploitation.</w:t>
            </w:r>
          </w:p>
        </w:tc>
      </w:tr>
      <w:tr w:rsidR="00DF0AA6" w:rsidRPr="00CE4FB3" w14:paraId="4C5B7FFA" w14:textId="77777777" w:rsidTr="00DF0AA6">
        <w:trPr>
          <w:trHeight w:val="2715"/>
          <w:jc w:val="center"/>
        </w:trPr>
        <w:tc>
          <w:tcPr>
            <w:tcW w:w="1054" w:type="dxa"/>
            <w:vMerge/>
          </w:tcPr>
          <w:p w14:paraId="77999A91" w14:textId="44CD727B" w:rsidR="00175F8E" w:rsidRPr="00CE4FB3" w:rsidRDefault="00175F8E" w:rsidP="00CE4FB3">
            <w:pPr>
              <w:tabs>
                <w:tab w:val="left" w:pos="7587"/>
              </w:tabs>
              <w:spacing w:after="0" w:line="240" w:lineRule="auto"/>
              <w:rPr>
                <w:rFonts w:cstheme="minorHAnsi"/>
                <w:sz w:val="18"/>
                <w:szCs w:val="18"/>
              </w:rPr>
            </w:pPr>
          </w:p>
        </w:tc>
        <w:tc>
          <w:tcPr>
            <w:tcW w:w="3234" w:type="dxa"/>
          </w:tcPr>
          <w:p w14:paraId="67EF8BA0" w14:textId="1357D6C0" w:rsidR="00306B96" w:rsidRPr="00CE4FB3" w:rsidRDefault="00DF0AA6" w:rsidP="00AF4953">
            <w:pPr>
              <w:tabs>
                <w:tab w:val="left" w:pos="7587"/>
              </w:tabs>
              <w:spacing w:after="0" w:line="240" w:lineRule="auto"/>
              <w:jc w:val="both"/>
              <w:rPr>
                <w:rFonts w:cstheme="minorHAnsi"/>
                <w:sz w:val="18"/>
                <w:szCs w:val="18"/>
              </w:rPr>
            </w:pPr>
            <w:r>
              <w:rPr>
                <w:sz w:val="18"/>
                <w:szCs w:val="18"/>
              </w:rPr>
              <w:t>16.6 Législation édictée pour criminaliser le viol et le mariage forcé, et pour éliminer toutes les exemptions à l'incrimination de toute pratique non consensuelle fondée sur l'union conjugale.</w:t>
            </w:r>
          </w:p>
          <w:p w14:paraId="5ACBB38C" w14:textId="6A297539" w:rsidR="00ED0D8C" w:rsidRPr="00CE4FB3" w:rsidRDefault="00ED0D8C" w:rsidP="00DF0AA6">
            <w:pPr>
              <w:tabs>
                <w:tab w:val="left" w:pos="7587"/>
              </w:tabs>
              <w:spacing w:after="0" w:line="240" w:lineRule="auto"/>
              <w:jc w:val="both"/>
              <w:rPr>
                <w:rFonts w:cstheme="minorHAnsi"/>
                <w:sz w:val="18"/>
                <w:szCs w:val="18"/>
              </w:rPr>
            </w:pPr>
          </w:p>
        </w:tc>
        <w:tc>
          <w:tcPr>
            <w:tcW w:w="5491" w:type="dxa"/>
          </w:tcPr>
          <w:p w14:paraId="00C208F0" w14:textId="4A9E9F1C" w:rsidR="00175F8E" w:rsidRPr="00CE4FB3" w:rsidRDefault="002A2043" w:rsidP="00AF4953">
            <w:pPr>
              <w:tabs>
                <w:tab w:val="left" w:pos="7587"/>
              </w:tabs>
              <w:spacing w:after="0" w:line="240" w:lineRule="auto"/>
              <w:jc w:val="both"/>
              <w:rPr>
                <w:rFonts w:cstheme="minorHAnsi"/>
                <w:sz w:val="18"/>
                <w:szCs w:val="18"/>
              </w:rPr>
            </w:pPr>
            <w:r>
              <w:rPr>
                <w:sz w:val="18"/>
                <w:szCs w:val="18"/>
              </w:rPr>
              <w:t xml:space="preserve">16.7 Mesures prises pour protéger les enfants et les adultes </w:t>
            </w:r>
            <w:r w:rsidR="00F9588E">
              <w:rPr>
                <w:sz w:val="18"/>
                <w:szCs w:val="18"/>
              </w:rPr>
              <w:t>h</w:t>
            </w:r>
            <w:r>
              <w:rPr>
                <w:sz w:val="18"/>
                <w:szCs w:val="18"/>
              </w:rPr>
              <w:t>andicap</w:t>
            </w:r>
            <w:r w:rsidR="00F9588E">
              <w:rPr>
                <w:sz w:val="18"/>
                <w:szCs w:val="18"/>
              </w:rPr>
              <w:t>és</w:t>
            </w:r>
            <w:r>
              <w:rPr>
                <w:sz w:val="18"/>
                <w:szCs w:val="18"/>
              </w:rPr>
              <w:t xml:space="preserve"> qui résident encore dans des institutions et des établissements résidentiels contre les risques de violence, d'abus, d'exploitation, de négligence et d'autres violations.</w:t>
            </w:r>
            <w:r w:rsidR="00935665">
              <w:rPr>
                <w:rStyle w:val="EndnoteReference"/>
                <w:rFonts w:cstheme="minorHAnsi"/>
                <w:sz w:val="18"/>
                <w:szCs w:val="18"/>
              </w:rPr>
              <w:endnoteReference w:id="4"/>
            </w:r>
          </w:p>
          <w:p w14:paraId="6C15E0CB" w14:textId="424AD59B" w:rsidR="003D2E4B" w:rsidRDefault="009001C9" w:rsidP="003D2E4B">
            <w:pPr>
              <w:tabs>
                <w:tab w:val="left" w:pos="7587"/>
              </w:tabs>
              <w:spacing w:after="0" w:line="240" w:lineRule="auto"/>
              <w:jc w:val="both"/>
              <w:rPr>
                <w:rFonts w:cstheme="minorHAnsi"/>
                <w:color w:val="000000"/>
                <w:sz w:val="18"/>
                <w:szCs w:val="18"/>
              </w:rPr>
            </w:pPr>
            <w:r>
              <w:rPr>
                <w:color w:val="000000"/>
                <w:sz w:val="18"/>
                <w:szCs w:val="18"/>
              </w:rPr>
              <w:t xml:space="preserve">16.8 Désignation d'autorités indépendantes chargées de surveiller et d'inspecter régulièrement tous les établissements et programmes publics et privés destinés aux </w:t>
            </w:r>
            <w:r w:rsidR="00F9588E">
              <w:rPr>
                <w:color w:val="000000"/>
                <w:sz w:val="18"/>
                <w:szCs w:val="18"/>
              </w:rPr>
              <w:t>personnes handicapées</w:t>
            </w:r>
            <w:r>
              <w:rPr>
                <w:color w:val="000000"/>
                <w:sz w:val="18"/>
                <w:szCs w:val="18"/>
              </w:rPr>
              <w:t xml:space="preserve">, avec compétence pour engager des procédures judiciaires pour l'application de la législation connexe, notamment en matière de prévention et de lutte contre la violence. </w:t>
            </w:r>
          </w:p>
          <w:p w14:paraId="53B3D9E6" w14:textId="12551B01" w:rsidR="0014291D" w:rsidRPr="00CE4FB3" w:rsidRDefault="002A2043" w:rsidP="003D2E4B">
            <w:pPr>
              <w:tabs>
                <w:tab w:val="left" w:pos="7587"/>
              </w:tabs>
              <w:spacing w:after="0" w:line="240" w:lineRule="auto"/>
              <w:jc w:val="both"/>
              <w:rPr>
                <w:rFonts w:cstheme="minorHAnsi"/>
                <w:sz w:val="18"/>
                <w:szCs w:val="18"/>
              </w:rPr>
            </w:pPr>
            <w:r>
              <w:rPr>
                <w:color w:val="000000"/>
                <w:sz w:val="18"/>
                <w:szCs w:val="18"/>
              </w:rPr>
              <w:t>16.9 Reconnaissance juridique du refus d'aménagement raisonnable au sein des institutions publiques et privées en tant que discrimination fondée sur le handicap, ce qui peut constituer une violation de l'intégrité mentale et/ou physique et de la dignité de la personne.</w:t>
            </w:r>
            <w:r w:rsidR="00A95017" w:rsidRPr="00CE4FB3">
              <w:rPr>
                <w:rStyle w:val="EndnoteReference"/>
                <w:rFonts w:cstheme="minorHAnsi"/>
                <w:color w:val="000000"/>
                <w:sz w:val="18"/>
                <w:szCs w:val="18"/>
              </w:rPr>
              <w:endnoteReference w:id="5"/>
            </w:r>
          </w:p>
        </w:tc>
        <w:tc>
          <w:tcPr>
            <w:tcW w:w="3119" w:type="dxa"/>
          </w:tcPr>
          <w:p w14:paraId="2C0D0080" w14:textId="4BF16C61" w:rsidR="00032E6F" w:rsidRPr="00F13049" w:rsidRDefault="009001C9" w:rsidP="00AF4953">
            <w:pPr>
              <w:spacing w:after="0" w:line="240" w:lineRule="auto"/>
              <w:jc w:val="both"/>
              <w:rPr>
                <w:rFonts w:cstheme="minorHAnsi"/>
                <w:b/>
                <w:sz w:val="18"/>
                <w:szCs w:val="18"/>
              </w:rPr>
            </w:pPr>
            <w:r>
              <w:rPr>
                <w:color w:val="000000"/>
                <w:sz w:val="18"/>
                <w:szCs w:val="18"/>
              </w:rPr>
              <w:t xml:space="preserve">16.10 Législation adoptée pour criminaliser les pratiques préjudiciables couramment commises contre les </w:t>
            </w:r>
            <w:r w:rsidR="00F9588E">
              <w:rPr>
                <w:color w:val="000000"/>
                <w:sz w:val="18"/>
                <w:szCs w:val="18"/>
              </w:rPr>
              <w:t>personnes handicapées</w:t>
            </w:r>
            <w:r>
              <w:rPr>
                <w:color w:val="000000"/>
                <w:sz w:val="18"/>
                <w:szCs w:val="18"/>
              </w:rPr>
              <w:t>.</w:t>
            </w:r>
            <w:r w:rsidR="004B4030" w:rsidRPr="00C92AF4">
              <w:rPr>
                <w:rStyle w:val="EndnoteReference"/>
                <w:rFonts w:cstheme="minorHAnsi"/>
                <w:color w:val="000000"/>
                <w:sz w:val="18"/>
                <w:szCs w:val="18"/>
              </w:rPr>
              <w:endnoteReference w:id="6"/>
            </w:r>
          </w:p>
          <w:p w14:paraId="4DFC917D" w14:textId="6093D098" w:rsidR="002114B0" w:rsidRPr="00CE4FB3" w:rsidRDefault="002A2043" w:rsidP="00AF4953">
            <w:pPr>
              <w:spacing w:after="0" w:line="240" w:lineRule="auto"/>
              <w:jc w:val="both"/>
              <w:rPr>
                <w:rFonts w:cstheme="minorHAnsi"/>
                <w:sz w:val="18"/>
                <w:szCs w:val="18"/>
              </w:rPr>
            </w:pPr>
            <w:r>
              <w:rPr>
                <w:sz w:val="18"/>
                <w:szCs w:val="18"/>
              </w:rPr>
              <w:t>16.11 La législation adoptée pour interdire l'incitation à la discrimination, à l'hostilité et à la violence et au « discours de haine » inclut explicitement le handicap parmi les motifs protégés.</w:t>
            </w:r>
          </w:p>
          <w:p w14:paraId="076FDE45" w14:textId="77777777" w:rsidR="00A26042" w:rsidRPr="00CE4FB3" w:rsidRDefault="00A26042" w:rsidP="00AF4953">
            <w:pPr>
              <w:spacing w:after="0" w:line="240" w:lineRule="auto"/>
              <w:jc w:val="both"/>
              <w:rPr>
                <w:rFonts w:cstheme="minorHAnsi"/>
                <w:sz w:val="18"/>
                <w:szCs w:val="18"/>
              </w:rPr>
            </w:pPr>
          </w:p>
          <w:p w14:paraId="6A32460A" w14:textId="23877CDB" w:rsidR="00A26042" w:rsidRPr="00CE4FB3" w:rsidRDefault="00A26042" w:rsidP="00AF4953">
            <w:pPr>
              <w:spacing w:after="0" w:line="240" w:lineRule="auto"/>
              <w:jc w:val="both"/>
              <w:rPr>
                <w:rFonts w:cstheme="minorHAnsi"/>
                <w:sz w:val="18"/>
                <w:szCs w:val="18"/>
              </w:rPr>
            </w:pPr>
          </w:p>
        </w:tc>
        <w:tc>
          <w:tcPr>
            <w:tcW w:w="2706" w:type="dxa"/>
          </w:tcPr>
          <w:p w14:paraId="688ECD39" w14:textId="07D7B39D" w:rsidR="00B345C0" w:rsidRPr="00CE4FB3" w:rsidRDefault="002A2043" w:rsidP="00CE4FB3">
            <w:pPr>
              <w:spacing w:after="0" w:line="240" w:lineRule="auto"/>
              <w:jc w:val="both"/>
              <w:rPr>
                <w:rFonts w:cstheme="minorHAnsi"/>
                <w:color w:val="000000"/>
                <w:sz w:val="18"/>
                <w:szCs w:val="18"/>
              </w:rPr>
            </w:pPr>
            <w:r>
              <w:rPr>
                <w:color w:val="000000"/>
                <w:sz w:val="18"/>
                <w:szCs w:val="18"/>
              </w:rPr>
              <w:t>16.12 Dispositions législatives criminalisant la traite des personnes</w:t>
            </w:r>
            <w:r w:rsidR="0075616A" w:rsidRPr="00CE4FB3">
              <w:rPr>
                <w:rStyle w:val="EndnoteReference"/>
                <w:rFonts w:cstheme="minorHAnsi"/>
                <w:color w:val="000000"/>
                <w:sz w:val="18"/>
                <w:szCs w:val="18"/>
              </w:rPr>
              <w:endnoteReference w:id="7"/>
            </w:r>
            <w:r>
              <w:rPr>
                <w:color w:val="000000"/>
                <w:sz w:val="18"/>
                <w:szCs w:val="18"/>
              </w:rPr>
              <w:t xml:space="preserve"> et le trafic de parties du corps, fait explicitement référence aux </w:t>
            </w:r>
            <w:r w:rsidR="00F9588E">
              <w:rPr>
                <w:color w:val="000000"/>
                <w:sz w:val="18"/>
                <w:szCs w:val="18"/>
              </w:rPr>
              <w:t>personnes handicapées</w:t>
            </w:r>
            <w:r>
              <w:rPr>
                <w:color w:val="000000"/>
                <w:sz w:val="18"/>
                <w:szCs w:val="18"/>
              </w:rPr>
              <w:t>.</w:t>
            </w:r>
          </w:p>
          <w:p w14:paraId="25B5D93B" w14:textId="79123080" w:rsidR="00175F8E" w:rsidRPr="00CE4FB3" w:rsidRDefault="009001C9">
            <w:pPr>
              <w:spacing w:after="0" w:line="240" w:lineRule="auto"/>
              <w:jc w:val="both"/>
              <w:rPr>
                <w:rFonts w:cstheme="minorHAnsi"/>
                <w:color w:val="000000"/>
                <w:sz w:val="18"/>
                <w:szCs w:val="18"/>
              </w:rPr>
            </w:pPr>
            <w:r>
              <w:rPr>
                <w:color w:val="000000"/>
                <w:sz w:val="18"/>
                <w:szCs w:val="18"/>
              </w:rPr>
              <w:t>16.13 Programmes incluant des enfants et des adultes handicap</w:t>
            </w:r>
            <w:r w:rsidR="00F9588E">
              <w:rPr>
                <w:color w:val="000000"/>
                <w:sz w:val="18"/>
                <w:szCs w:val="18"/>
              </w:rPr>
              <w:t>és</w:t>
            </w:r>
            <w:r>
              <w:rPr>
                <w:color w:val="000000"/>
                <w:sz w:val="18"/>
                <w:szCs w:val="18"/>
              </w:rPr>
              <w:t xml:space="preserve"> pour prévenir et protéger contre la traite et l'exploitation, y compris par la mendicité.</w:t>
            </w:r>
          </w:p>
        </w:tc>
      </w:tr>
      <w:tr w:rsidR="007636E8" w:rsidRPr="00CE4FB3" w14:paraId="44A093B1" w14:textId="77777777" w:rsidTr="00CE4FB3">
        <w:trPr>
          <w:trHeight w:val="983"/>
          <w:jc w:val="center"/>
        </w:trPr>
        <w:tc>
          <w:tcPr>
            <w:tcW w:w="1054" w:type="dxa"/>
          </w:tcPr>
          <w:p w14:paraId="028F16F0" w14:textId="448329CF" w:rsidR="007636E8" w:rsidRPr="00CE4FB3" w:rsidRDefault="00175F8E" w:rsidP="00CE4FB3">
            <w:pPr>
              <w:tabs>
                <w:tab w:val="left" w:pos="7587"/>
              </w:tabs>
              <w:spacing w:after="0" w:line="240" w:lineRule="auto"/>
              <w:rPr>
                <w:rFonts w:cstheme="minorHAnsi"/>
                <w:b/>
                <w:sz w:val="18"/>
                <w:szCs w:val="18"/>
              </w:rPr>
            </w:pPr>
            <w:r>
              <w:rPr>
                <w:b/>
                <w:sz w:val="18"/>
                <w:szCs w:val="18"/>
              </w:rPr>
              <w:t>Processus</w:t>
            </w:r>
          </w:p>
        </w:tc>
        <w:tc>
          <w:tcPr>
            <w:tcW w:w="14550" w:type="dxa"/>
            <w:gridSpan w:val="4"/>
            <w:tcBorders>
              <w:bottom w:val="single" w:sz="4" w:space="0" w:color="auto"/>
            </w:tcBorders>
          </w:tcPr>
          <w:p w14:paraId="5D4B0A90" w14:textId="48763113" w:rsidR="00710CBB" w:rsidRPr="00FF08DD" w:rsidRDefault="002A2043" w:rsidP="00AF4953">
            <w:pPr>
              <w:spacing w:after="0" w:line="240" w:lineRule="auto"/>
              <w:jc w:val="both"/>
              <w:rPr>
                <w:rFonts w:cstheme="minorHAnsi"/>
                <w:color w:val="000000"/>
                <w:sz w:val="18"/>
                <w:szCs w:val="18"/>
              </w:rPr>
            </w:pPr>
            <w:r>
              <w:rPr>
                <w:color w:val="000000"/>
                <w:sz w:val="18"/>
                <w:szCs w:val="18"/>
              </w:rPr>
              <w:t>16.14 Pourcentage de refuges et autres centres d'hébergement et de refuge pour victimes de violence qui sont pleinement accessibles en termes d'environnement physique et de communication par ville/région.</w:t>
            </w:r>
          </w:p>
          <w:p w14:paraId="5F89FAB8" w14:textId="148A9605" w:rsidR="00710CBB" w:rsidRPr="00CE4FB3" w:rsidRDefault="002A2043" w:rsidP="00AF4953">
            <w:pPr>
              <w:spacing w:after="0" w:line="240" w:lineRule="auto"/>
              <w:jc w:val="both"/>
              <w:rPr>
                <w:rFonts w:cstheme="minorHAnsi"/>
                <w:color w:val="000000"/>
                <w:sz w:val="18"/>
                <w:szCs w:val="18"/>
              </w:rPr>
            </w:pPr>
            <w:r>
              <w:rPr>
                <w:color w:val="000000"/>
                <w:sz w:val="18"/>
                <w:szCs w:val="18"/>
              </w:rPr>
              <w:t>16.15 Pourcentage de services sociaux et de soutien aux victimes de violences accessibles en termes d'environnement physique et de communication par ville et région.</w:t>
            </w:r>
          </w:p>
          <w:p w14:paraId="31AE36D5" w14:textId="2F84C3CC" w:rsidR="00710CBB" w:rsidRPr="00CE4FB3" w:rsidRDefault="002A2043" w:rsidP="00AF4953">
            <w:pPr>
              <w:spacing w:after="0" w:line="240" w:lineRule="auto"/>
              <w:jc w:val="both"/>
              <w:rPr>
                <w:rFonts w:cstheme="minorHAnsi"/>
                <w:color w:val="000000"/>
                <w:sz w:val="18"/>
                <w:szCs w:val="18"/>
              </w:rPr>
            </w:pPr>
            <w:r>
              <w:rPr>
                <w:color w:val="000000"/>
                <w:sz w:val="18"/>
                <w:szCs w:val="18"/>
              </w:rPr>
              <w:t>16.16 Exploitation de permanences téléphoniques accessibles et de mécanismes de signalement pour solliciter l'aide et les plaintes des victimes de violences, d'abus et d'exploitation.</w:t>
            </w:r>
          </w:p>
          <w:p w14:paraId="0DC3905F" w14:textId="7607CBB8" w:rsidR="007636E8" w:rsidRPr="00CE4FB3" w:rsidRDefault="002A2043" w:rsidP="00AF4953">
            <w:pPr>
              <w:spacing w:after="0" w:line="240" w:lineRule="auto"/>
              <w:jc w:val="both"/>
              <w:rPr>
                <w:rFonts w:cstheme="minorHAnsi"/>
                <w:color w:val="000000"/>
                <w:sz w:val="18"/>
                <w:szCs w:val="18"/>
              </w:rPr>
            </w:pPr>
            <w:r>
              <w:rPr>
                <w:color w:val="000000"/>
                <w:sz w:val="18"/>
                <w:szCs w:val="18"/>
              </w:rPr>
              <w:t xml:space="preserve">16.17 Proportion de la population qui </w:t>
            </w:r>
            <w:r w:rsidR="001B3B03">
              <w:rPr>
                <w:color w:val="000000"/>
                <w:sz w:val="18"/>
                <w:szCs w:val="18"/>
              </w:rPr>
              <w:t>considère qu’il n’y a pas de danger à</w:t>
            </w:r>
            <w:r>
              <w:rPr>
                <w:color w:val="000000"/>
                <w:sz w:val="18"/>
                <w:szCs w:val="18"/>
              </w:rPr>
              <w:t xml:space="preserve"> se </w:t>
            </w:r>
            <w:r w:rsidR="001B3B03">
              <w:rPr>
                <w:color w:val="000000"/>
                <w:sz w:val="18"/>
                <w:szCs w:val="18"/>
              </w:rPr>
              <w:t xml:space="preserve">déplacer </w:t>
            </w:r>
            <w:r>
              <w:rPr>
                <w:color w:val="000000"/>
                <w:sz w:val="18"/>
                <w:szCs w:val="18"/>
              </w:rPr>
              <w:t>seule dans</w:t>
            </w:r>
            <w:r w:rsidR="001B3B03">
              <w:rPr>
                <w:color w:val="000000"/>
                <w:sz w:val="18"/>
                <w:szCs w:val="18"/>
              </w:rPr>
              <w:t xml:space="preserve"> leur</w:t>
            </w:r>
            <w:r>
              <w:rPr>
                <w:color w:val="000000"/>
                <w:sz w:val="18"/>
                <w:szCs w:val="18"/>
              </w:rPr>
              <w:t xml:space="preserve"> zone </w:t>
            </w:r>
            <w:r w:rsidR="001B3B03">
              <w:rPr>
                <w:color w:val="000000"/>
                <w:sz w:val="18"/>
                <w:szCs w:val="18"/>
              </w:rPr>
              <w:t>de résidence</w:t>
            </w:r>
            <w:r>
              <w:rPr>
                <w:color w:val="000000"/>
                <w:sz w:val="18"/>
                <w:szCs w:val="18"/>
              </w:rPr>
              <w:t xml:space="preserve"> (indicateur ODD 16.1.4) par sexe, âge, handicap.</w:t>
            </w:r>
            <w:r w:rsidR="001B3B03">
              <w:t xml:space="preserve"> </w:t>
            </w:r>
          </w:p>
          <w:p w14:paraId="6E87EC53" w14:textId="60A6E796" w:rsidR="007636E8" w:rsidRPr="00246FF7" w:rsidRDefault="00580449" w:rsidP="00AF4953">
            <w:pPr>
              <w:spacing w:after="0" w:line="240" w:lineRule="auto"/>
              <w:jc w:val="both"/>
              <w:rPr>
                <w:rFonts w:cstheme="minorHAnsi"/>
                <w:sz w:val="18"/>
                <w:szCs w:val="18"/>
              </w:rPr>
            </w:pPr>
            <w:r>
              <w:rPr>
                <w:sz w:val="18"/>
                <w:szCs w:val="18"/>
              </w:rPr>
              <w:t xml:space="preserve">16.18 Budget alloué et dépensé à la prévention et à la réponse à la violence, à l'exploitation et aux abus dirigés contre les </w:t>
            </w:r>
            <w:r w:rsidR="00F9588E">
              <w:rPr>
                <w:sz w:val="18"/>
                <w:szCs w:val="18"/>
              </w:rPr>
              <w:t>personnes handicapées</w:t>
            </w:r>
            <w:r>
              <w:rPr>
                <w:sz w:val="18"/>
                <w:szCs w:val="18"/>
              </w:rPr>
              <w:t xml:space="preserve">, y compris les consultations et le suivi des services. </w:t>
            </w:r>
          </w:p>
          <w:p w14:paraId="3BDFA294" w14:textId="7E0F5BBA" w:rsidR="00706BB1" w:rsidRPr="00CE4FB3" w:rsidRDefault="002A2043" w:rsidP="00AF4953">
            <w:pPr>
              <w:spacing w:after="0" w:line="240" w:lineRule="auto"/>
              <w:jc w:val="both"/>
              <w:rPr>
                <w:rFonts w:cstheme="minorHAnsi"/>
                <w:sz w:val="18"/>
                <w:szCs w:val="18"/>
              </w:rPr>
            </w:pPr>
            <w:r>
              <w:rPr>
                <w:sz w:val="18"/>
                <w:szCs w:val="18"/>
              </w:rPr>
              <w:t xml:space="preserve">16.19 Nombre et proportion de membres du personnel travaillant dans les domaines de l'application des lois et de la justice pénale, de l'éducation et des services de santé et des services sociaux </w:t>
            </w:r>
            <w:r>
              <w:rPr>
                <w:color w:val="000000"/>
                <w:sz w:val="18"/>
                <w:szCs w:val="18"/>
              </w:rPr>
              <w:t>pour les victimes de violence, y compris les refuges et autres centres, les permanences téléphoniques et les mécanismes de signalement</w:t>
            </w:r>
            <w:r>
              <w:rPr>
                <w:sz w:val="18"/>
                <w:szCs w:val="18"/>
              </w:rPr>
              <w:t xml:space="preserve">, qui ont reçu une formation sur les obligations de prévenir, d'identifier, d'enquêter et de sanctionner la violence, les abus et l'exploitation contre les </w:t>
            </w:r>
            <w:r w:rsidR="00F9588E">
              <w:rPr>
                <w:sz w:val="18"/>
                <w:szCs w:val="18"/>
              </w:rPr>
              <w:t>personnes handicapées</w:t>
            </w:r>
            <w:r>
              <w:rPr>
                <w:sz w:val="18"/>
                <w:szCs w:val="18"/>
              </w:rPr>
              <w:t>, y compris la lutte contre la discrimination fondée sur le handicap et les pratiques non consensuelles, restrictives ou coercitives.</w:t>
            </w:r>
            <w:r w:rsidR="00601043">
              <w:rPr>
                <w:rStyle w:val="EndnoteReference"/>
                <w:rFonts w:cstheme="minorHAnsi"/>
                <w:sz w:val="18"/>
                <w:szCs w:val="18"/>
              </w:rPr>
              <w:endnoteReference w:id="8"/>
            </w:r>
            <w:r>
              <w:rPr>
                <w:sz w:val="18"/>
                <w:szCs w:val="18"/>
              </w:rPr>
              <w:t xml:space="preserve"> </w:t>
            </w:r>
          </w:p>
          <w:p w14:paraId="206D9012" w14:textId="3D38CC40" w:rsidR="007636E8" w:rsidRDefault="002A2043" w:rsidP="00AF4953">
            <w:pPr>
              <w:spacing w:after="0" w:line="240" w:lineRule="auto"/>
              <w:jc w:val="both"/>
              <w:rPr>
                <w:rFonts w:cstheme="minorHAnsi"/>
                <w:sz w:val="18"/>
                <w:szCs w:val="18"/>
              </w:rPr>
            </w:pPr>
            <w:r>
              <w:rPr>
                <w:sz w:val="18"/>
                <w:szCs w:val="18"/>
              </w:rPr>
              <w:t xml:space="preserve">16. 20 Campagnes et activités de sensibilisation pour éliminer la violence, les abus, l'exploitation et les pratiques préjudiciables à l’encontre des </w:t>
            </w:r>
            <w:r w:rsidR="00F9588E">
              <w:rPr>
                <w:sz w:val="18"/>
                <w:szCs w:val="18"/>
              </w:rPr>
              <w:t>personnes handicapées</w:t>
            </w:r>
            <w:r>
              <w:rPr>
                <w:sz w:val="18"/>
                <w:szCs w:val="18"/>
              </w:rPr>
              <w:t xml:space="preserve">, y compris la lutte contre les stéréotypes négatifs, et la mise à disposition d'informations et de programmes pour éduquer les </w:t>
            </w:r>
            <w:r w:rsidR="00F9588E">
              <w:rPr>
                <w:sz w:val="18"/>
                <w:szCs w:val="18"/>
              </w:rPr>
              <w:t>personnes handicapées</w:t>
            </w:r>
            <w:r>
              <w:rPr>
                <w:sz w:val="18"/>
                <w:szCs w:val="18"/>
              </w:rPr>
              <w:t xml:space="preserve"> sur leurs droits, la recherche de protection, assistance et services et soutien dans l'accès à la justice, y compris l'intégration dans les programmes scolaires et les programmes d'éducation aux droits de l'homme.</w:t>
            </w:r>
            <w:r w:rsidR="00706BB1" w:rsidRPr="00CE4FB3">
              <w:rPr>
                <w:rStyle w:val="EndnoteReference"/>
                <w:rFonts w:cstheme="minorHAnsi"/>
                <w:sz w:val="18"/>
                <w:szCs w:val="18"/>
              </w:rPr>
              <w:endnoteReference w:id="9"/>
            </w:r>
            <w:r>
              <w:rPr>
                <w:sz w:val="18"/>
                <w:szCs w:val="18"/>
              </w:rPr>
              <w:t xml:space="preserve"> </w:t>
            </w:r>
          </w:p>
          <w:p w14:paraId="00E798F8" w14:textId="47007CFB" w:rsidR="00413E8A" w:rsidRPr="00CE4FB3" w:rsidRDefault="00413E8A" w:rsidP="00AF4953">
            <w:pPr>
              <w:spacing w:after="0" w:line="240" w:lineRule="auto"/>
              <w:jc w:val="both"/>
              <w:rPr>
                <w:rFonts w:cstheme="minorHAnsi"/>
                <w:sz w:val="18"/>
                <w:szCs w:val="18"/>
              </w:rPr>
            </w:pPr>
            <w:r>
              <w:rPr>
                <w:sz w:val="18"/>
                <w:szCs w:val="18"/>
              </w:rPr>
              <w:t xml:space="preserve">16.21 Proportion de la population qui pense que la maltraitance ou la violence contre les </w:t>
            </w:r>
            <w:r w:rsidR="00F9588E">
              <w:rPr>
                <w:sz w:val="18"/>
                <w:szCs w:val="18"/>
              </w:rPr>
              <w:t>personnes handicapées</w:t>
            </w:r>
            <w:r>
              <w:rPr>
                <w:sz w:val="18"/>
                <w:szCs w:val="18"/>
              </w:rPr>
              <w:t xml:space="preserve"> est acceptable ou tolérable. </w:t>
            </w:r>
          </w:p>
          <w:p w14:paraId="189F26AD" w14:textId="4BC81A32" w:rsidR="007636E8" w:rsidRPr="00CE4FB3" w:rsidRDefault="0017480B" w:rsidP="00AF4953">
            <w:pPr>
              <w:spacing w:after="0" w:line="240" w:lineRule="auto"/>
              <w:jc w:val="both"/>
              <w:rPr>
                <w:rFonts w:cstheme="minorHAnsi"/>
                <w:sz w:val="18"/>
                <w:szCs w:val="18"/>
              </w:rPr>
            </w:pPr>
            <w:r>
              <w:rPr>
                <w:sz w:val="18"/>
                <w:szCs w:val="18"/>
              </w:rPr>
              <w:t xml:space="preserve">16.22 Processus de consultation entrepris pour assurer la participation active de toutes les </w:t>
            </w:r>
            <w:r w:rsidR="00F9588E">
              <w:rPr>
                <w:sz w:val="18"/>
                <w:szCs w:val="18"/>
              </w:rPr>
              <w:t>personnes handicapées</w:t>
            </w:r>
            <w:r>
              <w:rPr>
                <w:sz w:val="18"/>
                <w:szCs w:val="18"/>
              </w:rPr>
              <w:t>, notamment des femmes handicap</w:t>
            </w:r>
            <w:r w:rsidR="00F9588E">
              <w:rPr>
                <w:sz w:val="18"/>
                <w:szCs w:val="18"/>
              </w:rPr>
              <w:t>ées</w:t>
            </w:r>
            <w:r>
              <w:rPr>
                <w:sz w:val="18"/>
                <w:szCs w:val="18"/>
              </w:rPr>
              <w:t xml:space="preserve">, </w:t>
            </w:r>
            <w:r w:rsidRPr="00241151">
              <w:rPr>
                <w:color w:val="444444"/>
                <w:sz w:val="18"/>
                <w:szCs w:val="18"/>
              </w:rPr>
              <w:t>y compris</w:t>
            </w:r>
            <w:r w:rsidRPr="00F9588E">
              <w:rPr>
                <w:sz w:val="18"/>
                <w:szCs w:val="18"/>
              </w:rPr>
              <w:t xml:space="preserve"> </w:t>
            </w:r>
            <w:r>
              <w:rPr>
                <w:sz w:val="18"/>
                <w:szCs w:val="18"/>
              </w:rPr>
              <w:t>par l</w:t>
            </w:r>
            <w:r w:rsidR="00F9588E">
              <w:rPr>
                <w:sz w:val="18"/>
                <w:szCs w:val="18"/>
              </w:rPr>
              <w:t>’intermédiaire</w:t>
            </w:r>
            <w:r>
              <w:rPr>
                <w:sz w:val="18"/>
                <w:szCs w:val="18"/>
              </w:rPr>
              <w:t xml:space="preserve"> de</w:t>
            </w:r>
            <w:r w:rsidR="00F9588E">
              <w:rPr>
                <w:sz w:val="18"/>
                <w:szCs w:val="18"/>
              </w:rPr>
              <w:t>s</w:t>
            </w:r>
            <w:r>
              <w:rPr>
                <w:sz w:val="18"/>
                <w:szCs w:val="18"/>
              </w:rPr>
              <w:t xml:space="preserve"> organisations</w:t>
            </w:r>
            <w:r w:rsidR="00F9588E">
              <w:rPr>
                <w:sz w:val="18"/>
                <w:szCs w:val="18"/>
              </w:rPr>
              <w:t xml:space="preserve"> qui les</w:t>
            </w:r>
            <w:r>
              <w:rPr>
                <w:sz w:val="18"/>
                <w:szCs w:val="18"/>
              </w:rPr>
              <w:t xml:space="preserve"> représent</w:t>
            </w:r>
            <w:r w:rsidR="00F9588E">
              <w:rPr>
                <w:sz w:val="18"/>
                <w:szCs w:val="18"/>
              </w:rPr>
              <w:t>ent</w:t>
            </w:r>
            <w:r>
              <w:rPr>
                <w:sz w:val="18"/>
                <w:szCs w:val="18"/>
              </w:rPr>
              <w:t>, à la conception, à la mise en œuvre et au suivi des lois, règlements, politiques et programmes relatifs à la violence, aux abus et à l'exploitation</w:t>
            </w:r>
            <w:r>
              <w:rPr>
                <w:color w:val="000000"/>
                <w:sz w:val="18"/>
                <w:szCs w:val="18"/>
              </w:rPr>
              <w:t>.</w:t>
            </w:r>
            <w:r w:rsidRPr="00CE4FB3">
              <w:rPr>
                <w:rStyle w:val="EndnoteReference"/>
                <w:rFonts w:cstheme="minorHAnsi"/>
                <w:sz w:val="18"/>
                <w:szCs w:val="18"/>
              </w:rPr>
              <w:endnoteReference w:id="10"/>
            </w:r>
          </w:p>
          <w:p w14:paraId="474A77AB" w14:textId="161D4D91" w:rsidR="00B345C0" w:rsidRDefault="008F09D7" w:rsidP="00AF4953">
            <w:pPr>
              <w:spacing w:after="0" w:line="240" w:lineRule="auto"/>
              <w:jc w:val="both"/>
              <w:rPr>
                <w:rFonts w:cstheme="minorHAnsi"/>
                <w:color w:val="000000"/>
                <w:sz w:val="18"/>
                <w:szCs w:val="18"/>
              </w:rPr>
            </w:pPr>
            <w:r>
              <w:rPr>
                <w:color w:val="000000"/>
                <w:sz w:val="18"/>
                <w:szCs w:val="18"/>
              </w:rPr>
              <w:t>16. 23 P</w:t>
            </w:r>
            <w:r w:rsidR="001B3B03" w:rsidRPr="001B3B03">
              <w:rPr>
                <w:color w:val="000000"/>
                <w:sz w:val="18"/>
                <w:szCs w:val="18"/>
              </w:rPr>
              <w:t>roportion des personnes victimes de violences au cours des 12 mois précédents ayant signalé les faits aux autorités compétentes ou recouru à d’autres mécanismes de règlement des différends officiellement reconnus</w:t>
            </w:r>
            <w:r>
              <w:rPr>
                <w:color w:val="000000"/>
                <w:sz w:val="18"/>
                <w:szCs w:val="18"/>
              </w:rPr>
              <w:t xml:space="preserve"> (indicateur ODD 16.3.1), ventilées par sexe, âge et handicap. </w:t>
            </w:r>
          </w:p>
          <w:p w14:paraId="466FA883" w14:textId="7D356F2A" w:rsidR="00760EDC" w:rsidRPr="00B345C0" w:rsidRDefault="008F09D7" w:rsidP="00A165D5">
            <w:pPr>
              <w:spacing w:after="0" w:line="240" w:lineRule="auto"/>
              <w:jc w:val="both"/>
              <w:rPr>
                <w:rFonts w:cstheme="minorHAnsi"/>
                <w:sz w:val="18"/>
                <w:szCs w:val="18"/>
              </w:rPr>
            </w:pPr>
            <w:r>
              <w:rPr>
                <w:sz w:val="18"/>
                <w:szCs w:val="18"/>
              </w:rPr>
              <w:t xml:space="preserve">16.24 Proportion de plaintes reçues alléguant de violences, d’abus et d’une forme d'exploitation de </w:t>
            </w:r>
            <w:r w:rsidR="00F9588E">
              <w:rPr>
                <w:sz w:val="18"/>
                <w:szCs w:val="18"/>
              </w:rPr>
              <w:t>personnes handicapées</w:t>
            </w:r>
            <w:r>
              <w:rPr>
                <w:sz w:val="18"/>
                <w:szCs w:val="18"/>
              </w:rPr>
              <w:t xml:space="preserve"> qui ont fait l'objet d'une enquête et d'une décision ; proportion de celles jugées en faveur du plaignant ; et proportion de ces dernières qui ont été respectées par le gouvernement et/ou le détenteur d'obligations ; à chaque fois ventilée par type de mécanisme.</w:t>
            </w:r>
          </w:p>
        </w:tc>
      </w:tr>
      <w:tr w:rsidR="00F01D70" w:rsidRPr="00CE4FB3" w14:paraId="406EC299" w14:textId="77777777" w:rsidTr="00D33395">
        <w:trPr>
          <w:jc w:val="center"/>
        </w:trPr>
        <w:tc>
          <w:tcPr>
            <w:tcW w:w="1054" w:type="dxa"/>
            <w:vMerge w:val="restart"/>
          </w:tcPr>
          <w:p w14:paraId="00AB066C" w14:textId="15417000" w:rsidR="00F01D70" w:rsidRPr="00CE4FB3" w:rsidRDefault="007636E8" w:rsidP="00CE4FB3">
            <w:pPr>
              <w:tabs>
                <w:tab w:val="left" w:pos="7587"/>
              </w:tabs>
              <w:spacing w:after="0" w:line="240" w:lineRule="auto"/>
              <w:rPr>
                <w:rFonts w:cstheme="minorHAnsi"/>
                <w:b/>
                <w:sz w:val="18"/>
                <w:szCs w:val="18"/>
              </w:rPr>
            </w:pPr>
            <w:r>
              <w:rPr>
                <w:b/>
                <w:sz w:val="18"/>
                <w:szCs w:val="18"/>
              </w:rPr>
              <w:t>Résultats</w:t>
            </w:r>
          </w:p>
        </w:tc>
        <w:tc>
          <w:tcPr>
            <w:tcW w:w="14550" w:type="dxa"/>
            <w:gridSpan w:val="4"/>
            <w:tcBorders>
              <w:bottom w:val="single" w:sz="4" w:space="0" w:color="auto"/>
            </w:tcBorders>
          </w:tcPr>
          <w:p w14:paraId="23AF5665" w14:textId="627197DE" w:rsidR="00F01D70" w:rsidRPr="00CE4FB3" w:rsidRDefault="008F09D7" w:rsidP="00AF4953">
            <w:pPr>
              <w:spacing w:after="0" w:line="240" w:lineRule="auto"/>
              <w:jc w:val="both"/>
              <w:rPr>
                <w:rFonts w:eastAsia="Times New Roman" w:cstheme="minorHAnsi"/>
                <w:sz w:val="18"/>
                <w:szCs w:val="18"/>
                <w:u w:val="single"/>
              </w:rPr>
            </w:pPr>
            <w:r>
              <w:rPr>
                <w:sz w:val="18"/>
                <w:szCs w:val="18"/>
              </w:rPr>
              <w:t>16.25 P</w:t>
            </w:r>
            <w:r w:rsidR="001B3B03" w:rsidRPr="001B3B03">
              <w:rPr>
                <w:sz w:val="18"/>
                <w:szCs w:val="18"/>
              </w:rPr>
              <w:t xml:space="preserve">roportion de la population victime de violences physiques, psychologiques ou sexuelles au cours des12 mois </w:t>
            </w:r>
            <w:r>
              <w:rPr>
                <w:sz w:val="18"/>
                <w:szCs w:val="18"/>
              </w:rPr>
              <w:t>(indicateur ODD 16.1.3)</w:t>
            </w:r>
            <w:r w:rsidR="001B3B03">
              <w:rPr>
                <w:rFonts w:ascii="Arial" w:hAnsi="Arial" w:cs="Arial"/>
                <w:sz w:val="25"/>
                <w:szCs w:val="25"/>
              </w:rPr>
              <w:t xml:space="preserve"> </w:t>
            </w:r>
            <w:r>
              <w:rPr>
                <w:sz w:val="18"/>
                <w:szCs w:val="18"/>
              </w:rPr>
              <w:t>par sexe, âge et handicap.</w:t>
            </w:r>
          </w:p>
          <w:p w14:paraId="02CAFD94" w14:textId="3ADC1CEE" w:rsidR="007636E8" w:rsidRPr="00CE4FB3" w:rsidRDefault="008F09D7">
            <w:pPr>
              <w:spacing w:after="0" w:line="240" w:lineRule="auto"/>
              <w:jc w:val="both"/>
              <w:rPr>
                <w:rFonts w:cstheme="minorHAnsi"/>
                <w:color w:val="000000"/>
                <w:sz w:val="18"/>
                <w:szCs w:val="18"/>
                <w:u w:val="single"/>
              </w:rPr>
            </w:pPr>
            <w:r>
              <w:rPr>
                <w:color w:val="000000"/>
                <w:sz w:val="18"/>
                <w:szCs w:val="18"/>
              </w:rPr>
              <w:t>16.26</w:t>
            </w:r>
            <w:r w:rsidR="009A4CA8">
              <w:rPr>
                <w:color w:val="000000"/>
                <w:sz w:val="18"/>
                <w:szCs w:val="18"/>
              </w:rPr>
              <w:t xml:space="preserve"> </w:t>
            </w:r>
            <w:r w:rsidR="009A4CA8" w:rsidRPr="009A4CA8">
              <w:rPr>
                <w:color w:val="000000"/>
                <w:sz w:val="18"/>
                <w:szCs w:val="18"/>
              </w:rPr>
              <w:t>Proportion de jeunes femmes et hommes de 18 à 29 ans ayant été victimes de violences sexuelles avant l’âge de 18 ans</w:t>
            </w:r>
            <w:r>
              <w:rPr>
                <w:color w:val="000000"/>
                <w:sz w:val="18"/>
                <w:szCs w:val="18"/>
              </w:rPr>
              <w:t xml:space="preserve"> (indicateur ODD 16.2.3) par sexe, âge et handicap.</w:t>
            </w:r>
          </w:p>
        </w:tc>
      </w:tr>
      <w:tr w:rsidR="00F01D70" w:rsidRPr="00CE4FB3" w14:paraId="5FCEB660" w14:textId="77777777" w:rsidTr="00BF3223">
        <w:trPr>
          <w:trHeight w:val="983"/>
          <w:jc w:val="center"/>
        </w:trPr>
        <w:tc>
          <w:tcPr>
            <w:tcW w:w="1054" w:type="dxa"/>
            <w:vMerge/>
          </w:tcPr>
          <w:p w14:paraId="3B3E15F4" w14:textId="66AA8B0F" w:rsidR="00F01D70" w:rsidRPr="00CE4FB3" w:rsidRDefault="00F01D70" w:rsidP="00CE4FB3">
            <w:pPr>
              <w:tabs>
                <w:tab w:val="left" w:pos="7587"/>
              </w:tabs>
              <w:spacing w:after="0" w:line="240" w:lineRule="auto"/>
              <w:rPr>
                <w:rFonts w:cstheme="minorHAnsi"/>
                <w:sz w:val="18"/>
                <w:szCs w:val="18"/>
              </w:rPr>
            </w:pPr>
          </w:p>
        </w:tc>
        <w:tc>
          <w:tcPr>
            <w:tcW w:w="3234" w:type="dxa"/>
            <w:vMerge w:val="restart"/>
            <w:tcBorders>
              <w:top w:val="single" w:sz="4" w:space="0" w:color="auto"/>
              <w:bottom w:val="single" w:sz="4" w:space="0" w:color="auto"/>
              <w:right w:val="single" w:sz="4" w:space="0" w:color="auto"/>
            </w:tcBorders>
          </w:tcPr>
          <w:p w14:paraId="57DCF30D" w14:textId="6D69F2F3" w:rsidR="00F01D70" w:rsidRPr="00CE4FB3" w:rsidRDefault="008F09D7">
            <w:pPr>
              <w:spacing w:after="0" w:line="240" w:lineRule="auto"/>
              <w:jc w:val="both"/>
              <w:rPr>
                <w:rFonts w:cstheme="minorHAnsi"/>
                <w:color w:val="000000"/>
                <w:sz w:val="18"/>
                <w:szCs w:val="18"/>
              </w:rPr>
            </w:pPr>
            <w:r>
              <w:rPr>
                <w:color w:val="000000"/>
                <w:sz w:val="18"/>
                <w:szCs w:val="18"/>
              </w:rPr>
              <w:t xml:space="preserve">16.27 Proportion de femmes et de filles ayant été en couple </w:t>
            </w:r>
            <w:r w:rsidR="009A4CA8">
              <w:rPr>
                <w:color w:val="000000"/>
                <w:sz w:val="18"/>
                <w:szCs w:val="18"/>
              </w:rPr>
              <w:t>victime</w:t>
            </w:r>
            <w:r>
              <w:rPr>
                <w:color w:val="000000"/>
                <w:sz w:val="18"/>
                <w:szCs w:val="18"/>
              </w:rPr>
              <w:t xml:space="preserve"> des violences physiques, sexuelles ou psychologiques, des abus ou de l'exploitation </w:t>
            </w:r>
            <w:r w:rsidR="009A4CA8" w:rsidRPr="009A4CA8">
              <w:rPr>
                <w:color w:val="000000"/>
                <w:sz w:val="18"/>
                <w:szCs w:val="18"/>
              </w:rPr>
              <w:t>infligées au cours des 12 mois précédents par leur partenaire actuel ou un ancien partenaire,</w:t>
            </w:r>
            <w:r w:rsidR="009A4CA8">
              <w:rPr>
                <w:color w:val="000000"/>
                <w:sz w:val="18"/>
                <w:szCs w:val="18"/>
              </w:rPr>
              <w:t xml:space="preserve"> </w:t>
            </w:r>
            <w:r>
              <w:rPr>
                <w:color w:val="000000"/>
                <w:sz w:val="18"/>
                <w:szCs w:val="18"/>
              </w:rPr>
              <w:t>ventilées par forme de violence, abus et exploitation, par âge (sur la base de l’indicateur ODD 5.2.1.) et handicap.</w:t>
            </w:r>
            <w:r w:rsidR="009A4CA8">
              <w:rPr>
                <w:rFonts w:ascii="Arial" w:hAnsi="Arial" w:cs="Arial"/>
                <w:sz w:val="25"/>
                <w:szCs w:val="25"/>
              </w:rPr>
              <w:t xml:space="preserve"> </w:t>
            </w:r>
          </w:p>
        </w:tc>
        <w:tc>
          <w:tcPr>
            <w:tcW w:w="11316" w:type="dxa"/>
            <w:gridSpan w:val="3"/>
            <w:tcBorders>
              <w:top w:val="single" w:sz="4" w:space="0" w:color="auto"/>
              <w:left w:val="single" w:sz="4" w:space="0" w:color="auto"/>
              <w:bottom w:val="single" w:sz="4" w:space="0" w:color="auto"/>
              <w:right w:val="single" w:sz="4" w:space="0" w:color="auto"/>
            </w:tcBorders>
          </w:tcPr>
          <w:p w14:paraId="0F76E8D4" w14:textId="494BFE83" w:rsidR="00F01D70" w:rsidRPr="00CE4FB3" w:rsidRDefault="008F09D7">
            <w:pPr>
              <w:spacing w:after="0" w:line="240" w:lineRule="auto"/>
              <w:jc w:val="both"/>
              <w:rPr>
                <w:rFonts w:cstheme="minorHAnsi"/>
                <w:color w:val="000000"/>
                <w:sz w:val="18"/>
                <w:szCs w:val="18"/>
              </w:rPr>
            </w:pPr>
            <w:r>
              <w:rPr>
                <w:sz w:val="18"/>
                <w:szCs w:val="18"/>
              </w:rPr>
              <w:t xml:space="preserve">16.28 Proportion de femmes et de filles </w:t>
            </w:r>
            <w:r w:rsidR="009A4CA8" w:rsidRPr="009A4CA8">
              <w:rPr>
                <w:sz w:val="18"/>
                <w:szCs w:val="18"/>
              </w:rPr>
              <w:t xml:space="preserve">victimes de violences sexuelles infligées au cours des 12 mois précédents par une personne autre que leur partenaire intime, par âge et lieu des faits </w:t>
            </w:r>
            <w:r>
              <w:rPr>
                <w:sz w:val="18"/>
                <w:szCs w:val="18"/>
              </w:rPr>
              <w:t>(sur la base de l'indicateur O</w:t>
            </w:r>
            <w:r w:rsidR="009A4CA8">
              <w:rPr>
                <w:sz w:val="18"/>
                <w:szCs w:val="18"/>
              </w:rPr>
              <w:t>DD</w:t>
            </w:r>
            <w:r>
              <w:rPr>
                <w:sz w:val="18"/>
                <w:szCs w:val="18"/>
              </w:rPr>
              <w:t xml:space="preserve"> 5.2.2) et handicap.</w:t>
            </w:r>
            <w:r w:rsidR="009A4CA8">
              <w:rPr>
                <w:rFonts w:ascii="Arial" w:hAnsi="Arial" w:cs="Arial"/>
                <w:sz w:val="25"/>
                <w:szCs w:val="25"/>
              </w:rPr>
              <w:t xml:space="preserve"> </w:t>
            </w:r>
          </w:p>
        </w:tc>
      </w:tr>
      <w:tr w:rsidR="00AA698A" w:rsidRPr="00CE4FB3" w14:paraId="2DCAAB2E" w14:textId="77777777" w:rsidTr="00DF0AA6">
        <w:trPr>
          <w:trHeight w:val="1414"/>
          <w:jc w:val="center"/>
        </w:trPr>
        <w:tc>
          <w:tcPr>
            <w:tcW w:w="1054" w:type="dxa"/>
            <w:vMerge/>
          </w:tcPr>
          <w:p w14:paraId="2D7C0861" w14:textId="77777777" w:rsidR="00AA698A" w:rsidRPr="00CE4FB3" w:rsidRDefault="00AA698A" w:rsidP="00CE4FB3">
            <w:pPr>
              <w:tabs>
                <w:tab w:val="left" w:pos="7587"/>
              </w:tabs>
              <w:spacing w:after="0" w:line="240" w:lineRule="auto"/>
              <w:rPr>
                <w:rFonts w:cstheme="minorHAnsi"/>
                <w:sz w:val="18"/>
                <w:szCs w:val="18"/>
              </w:rPr>
            </w:pPr>
          </w:p>
        </w:tc>
        <w:tc>
          <w:tcPr>
            <w:tcW w:w="3234" w:type="dxa"/>
            <w:vMerge/>
            <w:tcBorders>
              <w:top w:val="single" w:sz="4" w:space="0" w:color="auto"/>
              <w:bottom w:val="single" w:sz="4" w:space="0" w:color="auto"/>
              <w:right w:val="single" w:sz="4" w:space="0" w:color="auto"/>
            </w:tcBorders>
          </w:tcPr>
          <w:p w14:paraId="0A5A3F04" w14:textId="77777777" w:rsidR="00AA698A" w:rsidRPr="00CE4FB3" w:rsidRDefault="00AA698A" w:rsidP="00AF4953">
            <w:pPr>
              <w:spacing w:after="0" w:line="240" w:lineRule="auto"/>
              <w:jc w:val="both"/>
              <w:rPr>
                <w:rFonts w:cstheme="minorHAnsi"/>
                <w:color w:val="000000"/>
                <w:sz w:val="18"/>
                <w:szCs w:val="18"/>
              </w:rPr>
            </w:pPr>
          </w:p>
        </w:tc>
        <w:tc>
          <w:tcPr>
            <w:tcW w:w="5491" w:type="dxa"/>
            <w:tcBorders>
              <w:top w:val="single" w:sz="4" w:space="0" w:color="auto"/>
              <w:left w:val="single" w:sz="4" w:space="0" w:color="auto"/>
              <w:bottom w:val="single" w:sz="4" w:space="0" w:color="auto"/>
              <w:right w:val="single" w:sz="4" w:space="0" w:color="auto"/>
            </w:tcBorders>
          </w:tcPr>
          <w:p w14:paraId="0E928A53" w14:textId="1CAE7637" w:rsidR="00AA698A" w:rsidRPr="00CE4FB3" w:rsidRDefault="00AA698A" w:rsidP="00D164B5">
            <w:pPr>
              <w:spacing w:after="0" w:line="240" w:lineRule="auto"/>
              <w:jc w:val="both"/>
              <w:rPr>
                <w:rFonts w:cstheme="minorHAnsi"/>
                <w:color w:val="000000"/>
                <w:sz w:val="18"/>
                <w:szCs w:val="18"/>
              </w:rPr>
            </w:pPr>
            <w:r>
              <w:rPr>
                <w:color w:val="000000"/>
                <w:sz w:val="18"/>
                <w:szCs w:val="18"/>
              </w:rPr>
              <w:t>16.29 Nombre de cas signalés d'exploitation, de violence, d'abus et d'exploitation au sein des institutions publiques et privées,</w:t>
            </w:r>
            <w:r w:rsidRPr="00CE4FB3">
              <w:rPr>
                <w:rStyle w:val="EndnoteReference"/>
                <w:rFonts w:cstheme="minorHAnsi"/>
                <w:color w:val="000000"/>
                <w:sz w:val="18"/>
                <w:szCs w:val="18"/>
              </w:rPr>
              <w:endnoteReference w:id="11"/>
            </w:r>
            <w:r>
              <w:rPr>
                <w:color w:val="000000"/>
                <w:sz w:val="18"/>
                <w:szCs w:val="18"/>
              </w:rPr>
              <w:t xml:space="preserve"> par sexe, âge et handicap.</w:t>
            </w:r>
          </w:p>
        </w:tc>
        <w:tc>
          <w:tcPr>
            <w:tcW w:w="3119" w:type="dxa"/>
            <w:vMerge w:val="restart"/>
            <w:tcBorders>
              <w:top w:val="single" w:sz="4" w:space="0" w:color="auto"/>
              <w:left w:val="single" w:sz="4" w:space="0" w:color="auto"/>
              <w:right w:val="single" w:sz="4" w:space="0" w:color="auto"/>
            </w:tcBorders>
          </w:tcPr>
          <w:p w14:paraId="586333DA" w14:textId="036FB871" w:rsidR="00AA698A" w:rsidRPr="00CE4FB3" w:rsidRDefault="00AA698A" w:rsidP="00AF4953">
            <w:pPr>
              <w:spacing w:after="0" w:line="240" w:lineRule="auto"/>
              <w:jc w:val="both"/>
              <w:rPr>
                <w:rFonts w:cstheme="minorHAnsi"/>
                <w:color w:val="000000"/>
                <w:sz w:val="18"/>
                <w:szCs w:val="18"/>
              </w:rPr>
            </w:pPr>
            <w:r>
              <w:rPr>
                <w:color w:val="000000"/>
                <w:sz w:val="18"/>
                <w:szCs w:val="18"/>
              </w:rPr>
              <w:t xml:space="preserve">16.32 Proportion de femmes </w:t>
            </w:r>
            <w:r w:rsidR="009A4CA8">
              <w:rPr>
                <w:color w:val="000000"/>
                <w:sz w:val="18"/>
                <w:szCs w:val="18"/>
              </w:rPr>
              <w:t xml:space="preserve">qui étaient </w:t>
            </w:r>
            <w:r>
              <w:rPr>
                <w:color w:val="000000"/>
                <w:sz w:val="18"/>
                <w:szCs w:val="18"/>
              </w:rPr>
              <w:t xml:space="preserve">mariées ou en </w:t>
            </w:r>
            <w:r w:rsidR="009A4CA8">
              <w:rPr>
                <w:color w:val="000000"/>
                <w:sz w:val="18"/>
                <w:szCs w:val="18"/>
              </w:rPr>
              <w:t>couple</w:t>
            </w:r>
            <w:r>
              <w:rPr>
                <w:color w:val="000000"/>
                <w:sz w:val="18"/>
                <w:szCs w:val="18"/>
              </w:rPr>
              <w:t xml:space="preserve"> avant l'âge de 15 et 18 ans (sur la base de l'indicateur ODD 5.3.1) par handicap.</w:t>
            </w:r>
          </w:p>
          <w:p w14:paraId="26D15776" w14:textId="70037A26" w:rsidR="00AA698A" w:rsidRPr="00CE4FB3" w:rsidRDefault="00AA698A">
            <w:pPr>
              <w:spacing w:after="0" w:line="240" w:lineRule="auto"/>
              <w:jc w:val="both"/>
              <w:rPr>
                <w:rFonts w:eastAsia="Times New Roman" w:cstheme="minorHAnsi"/>
                <w:sz w:val="18"/>
                <w:szCs w:val="18"/>
              </w:rPr>
            </w:pPr>
            <w:r>
              <w:rPr>
                <w:color w:val="000000"/>
                <w:sz w:val="18"/>
                <w:szCs w:val="18"/>
              </w:rPr>
              <w:t xml:space="preserve">16.33 Proportion de filles et de femmes </w:t>
            </w:r>
            <w:r w:rsidR="009A4CA8" w:rsidRPr="009A4CA8">
              <w:rPr>
                <w:color w:val="000000"/>
                <w:sz w:val="18"/>
                <w:szCs w:val="18"/>
              </w:rPr>
              <w:t>ayant subi une mutilation ou une ablation génitale, par âge</w:t>
            </w:r>
            <w:r>
              <w:rPr>
                <w:color w:val="000000"/>
                <w:sz w:val="18"/>
                <w:szCs w:val="18"/>
              </w:rPr>
              <w:t>, par âge (sur la base de l'indicateur ODD 5.3.2) et handicap.</w:t>
            </w:r>
            <w:r w:rsidR="009A4CA8">
              <w:rPr>
                <w:color w:val="000000"/>
                <w:sz w:val="18"/>
                <w:szCs w:val="18"/>
              </w:rPr>
              <w:t xml:space="preserve"> </w:t>
            </w:r>
          </w:p>
        </w:tc>
        <w:tc>
          <w:tcPr>
            <w:tcW w:w="2706" w:type="dxa"/>
            <w:vMerge w:val="restart"/>
            <w:tcBorders>
              <w:top w:val="single" w:sz="4" w:space="0" w:color="auto"/>
              <w:left w:val="single" w:sz="4" w:space="0" w:color="auto"/>
              <w:right w:val="single" w:sz="4" w:space="0" w:color="auto"/>
            </w:tcBorders>
          </w:tcPr>
          <w:p w14:paraId="00C54208" w14:textId="05E6A198" w:rsidR="00AA698A" w:rsidRPr="00CE4FB3" w:rsidRDefault="00AA698A" w:rsidP="00000A65">
            <w:pPr>
              <w:spacing w:after="0" w:line="240" w:lineRule="auto"/>
              <w:jc w:val="both"/>
              <w:rPr>
                <w:rFonts w:eastAsia="Times New Roman" w:cstheme="minorHAnsi"/>
                <w:sz w:val="18"/>
                <w:szCs w:val="18"/>
              </w:rPr>
            </w:pPr>
            <w:r>
              <w:rPr>
                <w:color w:val="000000"/>
                <w:sz w:val="18"/>
                <w:szCs w:val="18"/>
              </w:rPr>
              <w:t>16.34 Nombre de victimes de la traite des êtres humains pour 100 000 habitants par sexe, âge, forme d'exploitation (indicateur ODD 16.2.2) et handicap.</w:t>
            </w:r>
          </w:p>
          <w:p w14:paraId="2A82E7BA" w14:textId="77777777" w:rsidR="00AA698A" w:rsidRPr="00CE4FB3" w:rsidRDefault="00AA698A" w:rsidP="00CE4FB3">
            <w:pPr>
              <w:spacing w:after="0" w:line="240" w:lineRule="auto"/>
              <w:rPr>
                <w:rFonts w:cstheme="minorHAnsi"/>
                <w:color w:val="000000"/>
                <w:sz w:val="18"/>
                <w:szCs w:val="18"/>
              </w:rPr>
            </w:pPr>
          </w:p>
          <w:p w14:paraId="433044C2" w14:textId="32644413" w:rsidR="00AA698A" w:rsidRPr="00CE4FB3" w:rsidRDefault="00AA698A" w:rsidP="00CE4FB3">
            <w:pPr>
              <w:spacing w:after="0" w:line="240" w:lineRule="auto"/>
              <w:rPr>
                <w:rFonts w:eastAsia="Times New Roman" w:cstheme="minorHAnsi"/>
                <w:sz w:val="18"/>
                <w:szCs w:val="18"/>
                <w:lang w:eastAsia="en-GB"/>
              </w:rPr>
            </w:pPr>
          </w:p>
        </w:tc>
      </w:tr>
      <w:tr w:rsidR="00AA698A" w:rsidRPr="00CE4FB3" w14:paraId="7AE2A292" w14:textId="77777777" w:rsidTr="00B40AC0">
        <w:trPr>
          <w:trHeight w:val="520"/>
          <w:jc w:val="center"/>
        </w:trPr>
        <w:tc>
          <w:tcPr>
            <w:tcW w:w="1054" w:type="dxa"/>
            <w:vMerge/>
            <w:tcBorders>
              <w:right w:val="single" w:sz="4" w:space="0" w:color="auto"/>
            </w:tcBorders>
          </w:tcPr>
          <w:p w14:paraId="3F2A9350" w14:textId="77777777" w:rsidR="00AA698A" w:rsidRPr="00CE4FB3" w:rsidRDefault="00AA698A" w:rsidP="00CE4FB3">
            <w:pPr>
              <w:tabs>
                <w:tab w:val="left" w:pos="7587"/>
              </w:tabs>
              <w:spacing w:after="0" w:line="240" w:lineRule="auto"/>
              <w:rPr>
                <w:rFonts w:cstheme="minorHAnsi"/>
                <w:sz w:val="18"/>
                <w:szCs w:val="18"/>
              </w:rPr>
            </w:pPr>
          </w:p>
        </w:tc>
        <w:tc>
          <w:tcPr>
            <w:tcW w:w="8725" w:type="dxa"/>
            <w:gridSpan w:val="2"/>
            <w:tcBorders>
              <w:top w:val="single" w:sz="4" w:space="0" w:color="auto"/>
              <w:left w:val="single" w:sz="4" w:space="0" w:color="auto"/>
              <w:bottom w:val="single" w:sz="4" w:space="0" w:color="auto"/>
              <w:right w:val="single" w:sz="4" w:space="0" w:color="auto"/>
            </w:tcBorders>
          </w:tcPr>
          <w:p w14:paraId="54AEB274" w14:textId="02F9DCF6" w:rsidR="00AA698A" w:rsidRPr="00CE4FB3" w:rsidRDefault="00D164B5">
            <w:pPr>
              <w:spacing w:after="0" w:line="240" w:lineRule="auto"/>
              <w:jc w:val="both"/>
              <w:rPr>
                <w:rFonts w:cstheme="minorHAnsi"/>
                <w:color w:val="000000"/>
                <w:sz w:val="18"/>
                <w:szCs w:val="18"/>
              </w:rPr>
            </w:pPr>
            <w:r>
              <w:rPr>
                <w:color w:val="000000"/>
                <w:sz w:val="18"/>
                <w:szCs w:val="18"/>
              </w:rPr>
              <w:t xml:space="preserve">16.30 </w:t>
            </w:r>
            <w:r w:rsidR="009A4CA8">
              <w:rPr>
                <w:color w:val="000000"/>
                <w:sz w:val="18"/>
                <w:szCs w:val="18"/>
              </w:rPr>
              <w:t>P</w:t>
            </w:r>
            <w:r w:rsidR="009A4CA8" w:rsidRPr="009A4CA8">
              <w:rPr>
                <w:color w:val="000000"/>
                <w:sz w:val="18"/>
                <w:szCs w:val="18"/>
              </w:rPr>
              <w:t>roportion des enfants âgés de 1 à 17 ans ayant subi des châtiments corporels ou des agressions psychologiques infligés par une personne s’occupant</w:t>
            </w:r>
            <w:r w:rsidR="009A4CA8">
              <w:rPr>
                <w:color w:val="000000"/>
                <w:sz w:val="18"/>
                <w:szCs w:val="18"/>
              </w:rPr>
              <w:t xml:space="preserve"> </w:t>
            </w:r>
            <w:r w:rsidR="009A4CA8" w:rsidRPr="009A4CA8">
              <w:rPr>
                <w:color w:val="000000"/>
                <w:sz w:val="18"/>
                <w:szCs w:val="18"/>
              </w:rPr>
              <w:t>d’eux</w:t>
            </w:r>
            <w:r w:rsidR="009A4CA8" w:rsidRPr="00CE4FB3">
              <w:rPr>
                <w:rStyle w:val="EndnoteReference"/>
                <w:rFonts w:cstheme="minorHAnsi"/>
                <w:color w:val="000000"/>
                <w:sz w:val="18"/>
                <w:szCs w:val="18"/>
              </w:rPr>
              <w:endnoteReference w:id="12"/>
            </w:r>
            <w:r w:rsidR="009A4CA8">
              <w:rPr>
                <w:color w:val="000000"/>
                <w:sz w:val="18"/>
                <w:szCs w:val="18"/>
              </w:rPr>
              <w:t xml:space="preserve"> </w:t>
            </w:r>
            <w:r w:rsidR="009A4CA8" w:rsidRPr="009A4CA8">
              <w:rPr>
                <w:color w:val="000000"/>
                <w:sz w:val="18"/>
                <w:szCs w:val="18"/>
              </w:rPr>
              <w:t>au cours du mois précédent</w:t>
            </w:r>
            <w:r>
              <w:rPr>
                <w:color w:val="000000"/>
                <w:sz w:val="18"/>
                <w:szCs w:val="18"/>
              </w:rPr>
              <w:t xml:space="preserve"> (indicateur ODD 16.2.1) par sexe et handicap.</w:t>
            </w:r>
            <w:r w:rsidR="009A4CA8">
              <w:t xml:space="preserve"> </w:t>
            </w:r>
          </w:p>
        </w:tc>
        <w:tc>
          <w:tcPr>
            <w:tcW w:w="3119" w:type="dxa"/>
            <w:vMerge/>
            <w:tcBorders>
              <w:left w:val="single" w:sz="4" w:space="0" w:color="auto"/>
              <w:right w:val="single" w:sz="4" w:space="0" w:color="auto"/>
            </w:tcBorders>
          </w:tcPr>
          <w:p w14:paraId="4D00F81D" w14:textId="612EB85A" w:rsidR="00AA698A" w:rsidRPr="00CE4FB3" w:rsidRDefault="00AA698A" w:rsidP="00AF4953">
            <w:pPr>
              <w:spacing w:after="0" w:line="240" w:lineRule="auto"/>
              <w:jc w:val="both"/>
              <w:rPr>
                <w:rFonts w:cstheme="minorHAnsi"/>
                <w:color w:val="000000"/>
                <w:sz w:val="18"/>
                <w:szCs w:val="18"/>
              </w:rPr>
            </w:pPr>
          </w:p>
        </w:tc>
        <w:tc>
          <w:tcPr>
            <w:tcW w:w="2706" w:type="dxa"/>
            <w:vMerge/>
            <w:tcBorders>
              <w:left w:val="single" w:sz="4" w:space="0" w:color="auto"/>
              <w:right w:val="single" w:sz="4" w:space="0" w:color="auto"/>
            </w:tcBorders>
          </w:tcPr>
          <w:p w14:paraId="3128877D" w14:textId="00C8E837" w:rsidR="00AA698A" w:rsidRPr="00CE4FB3" w:rsidRDefault="00AA698A" w:rsidP="00CE4FB3">
            <w:pPr>
              <w:spacing w:after="0" w:line="240" w:lineRule="auto"/>
              <w:rPr>
                <w:rFonts w:cstheme="minorHAnsi"/>
                <w:color w:val="000000"/>
                <w:sz w:val="18"/>
                <w:szCs w:val="18"/>
              </w:rPr>
            </w:pPr>
          </w:p>
        </w:tc>
      </w:tr>
      <w:tr w:rsidR="00AA698A" w:rsidRPr="00CE4FB3" w14:paraId="7314B09C" w14:textId="77777777" w:rsidTr="00102759">
        <w:trPr>
          <w:trHeight w:val="456"/>
          <w:jc w:val="center"/>
        </w:trPr>
        <w:tc>
          <w:tcPr>
            <w:tcW w:w="1054" w:type="dxa"/>
            <w:tcBorders>
              <w:right w:val="single" w:sz="4" w:space="0" w:color="auto"/>
            </w:tcBorders>
          </w:tcPr>
          <w:p w14:paraId="4C029607" w14:textId="77777777" w:rsidR="00AA698A" w:rsidRPr="00CE4FB3" w:rsidRDefault="00AA698A" w:rsidP="00CE4FB3">
            <w:pPr>
              <w:tabs>
                <w:tab w:val="left" w:pos="7587"/>
              </w:tabs>
              <w:spacing w:after="0" w:line="240" w:lineRule="auto"/>
              <w:rPr>
                <w:rFonts w:cstheme="minorHAnsi"/>
                <w:sz w:val="18"/>
                <w:szCs w:val="18"/>
              </w:rPr>
            </w:pPr>
          </w:p>
        </w:tc>
        <w:tc>
          <w:tcPr>
            <w:tcW w:w="11844" w:type="dxa"/>
            <w:gridSpan w:val="3"/>
            <w:tcBorders>
              <w:top w:val="single" w:sz="4" w:space="0" w:color="auto"/>
              <w:left w:val="single" w:sz="4" w:space="0" w:color="auto"/>
              <w:bottom w:val="single" w:sz="4" w:space="0" w:color="auto"/>
              <w:right w:val="single" w:sz="4" w:space="0" w:color="auto"/>
            </w:tcBorders>
          </w:tcPr>
          <w:p w14:paraId="7E3D4A5A" w14:textId="4B16A5E6" w:rsidR="00AA698A" w:rsidRPr="00102759" w:rsidRDefault="00AA698A">
            <w:pPr>
              <w:spacing w:after="0" w:line="240" w:lineRule="auto"/>
              <w:jc w:val="both"/>
              <w:rPr>
                <w:rFonts w:cstheme="minorHAnsi"/>
                <w:color w:val="000000"/>
                <w:sz w:val="18"/>
                <w:szCs w:val="18"/>
              </w:rPr>
            </w:pPr>
            <w:r>
              <w:rPr>
                <w:color w:val="000000"/>
                <w:sz w:val="18"/>
                <w:szCs w:val="18"/>
              </w:rPr>
              <w:t xml:space="preserve">16.31 </w:t>
            </w:r>
            <w:r w:rsidR="00B764B2" w:rsidRPr="00B764B2">
              <w:rPr>
                <w:color w:val="000000"/>
                <w:sz w:val="18"/>
                <w:szCs w:val="18"/>
              </w:rPr>
              <w:t>Proportion de personnes victimes de harcèlement physique ou sexuel, par sexe, âge, situation au regard du handicap et lieu des faits (au cours des 12 mois précédents)</w:t>
            </w:r>
            <w:r>
              <w:rPr>
                <w:color w:val="000000"/>
                <w:sz w:val="18"/>
                <w:szCs w:val="18"/>
              </w:rPr>
              <w:t xml:space="preserve"> (indicateur ODD 11.7.2)</w:t>
            </w:r>
            <w:r w:rsidR="00B764B2">
              <w:rPr>
                <w:color w:val="000000"/>
                <w:sz w:val="18"/>
                <w:szCs w:val="18"/>
              </w:rPr>
              <w:t xml:space="preserve"> </w:t>
            </w:r>
          </w:p>
        </w:tc>
        <w:tc>
          <w:tcPr>
            <w:tcW w:w="2706" w:type="dxa"/>
            <w:vMerge/>
            <w:tcBorders>
              <w:left w:val="single" w:sz="4" w:space="0" w:color="auto"/>
              <w:bottom w:val="single" w:sz="4" w:space="0" w:color="auto"/>
              <w:right w:val="single" w:sz="4" w:space="0" w:color="auto"/>
            </w:tcBorders>
          </w:tcPr>
          <w:p w14:paraId="105A4BA5" w14:textId="77777777" w:rsidR="00AA698A" w:rsidRPr="00CE4FB3" w:rsidRDefault="00AA698A" w:rsidP="00CE4FB3">
            <w:pPr>
              <w:spacing w:after="0" w:line="240" w:lineRule="auto"/>
              <w:rPr>
                <w:rFonts w:cstheme="minorHAnsi"/>
                <w:color w:val="000000"/>
                <w:sz w:val="18"/>
                <w:szCs w:val="18"/>
              </w:rPr>
            </w:pPr>
          </w:p>
        </w:tc>
      </w:tr>
    </w:tbl>
    <w:p w14:paraId="7EF87E55" w14:textId="77777777" w:rsidR="00710CBB" w:rsidRPr="00CE4FB3" w:rsidRDefault="00710CBB" w:rsidP="00CE4FB3">
      <w:pPr>
        <w:spacing w:after="0" w:line="240" w:lineRule="auto"/>
        <w:rPr>
          <w:rFonts w:cstheme="minorHAnsi"/>
          <w:sz w:val="18"/>
          <w:szCs w:val="18"/>
        </w:rPr>
      </w:pPr>
    </w:p>
    <w:sectPr w:rsidR="00710CBB" w:rsidRPr="00CE4FB3" w:rsidSect="00D33395">
      <w:pgSz w:w="15840" w:h="12240" w:orient="landscape"/>
      <w:pgMar w:top="113" w:right="284" w:bottom="113" w:left="2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62BA5" w14:textId="77777777" w:rsidR="00D0099D" w:rsidRDefault="00D0099D" w:rsidP="00C11F55">
      <w:pPr>
        <w:spacing w:after="0" w:line="240" w:lineRule="auto"/>
      </w:pPr>
      <w:r>
        <w:separator/>
      </w:r>
    </w:p>
  </w:endnote>
  <w:endnote w:type="continuationSeparator" w:id="0">
    <w:p w14:paraId="6FF71DD2" w14:textId="77777777" w:rsidR="00D0099D" w:rsidRDefault="00D0099D" w:rsidP="00C11F55">
      <w:pPr>
        <w:spacing w:after="0" w:line="240" w:lineRule="auto"/>
      </w:pPr>
      <w:r>
        <w:continuationSeparator/>
      </w:r>
    </w:p>
  </w:endnote>
  <w:endnote w:id="1">
    <w:p w14:paraId="1389EB8A" w14:textId="77777777" w:rsidR="00D80BE1" w:rsidRPr="00BF3223" w:rsidRDefault="00D80BE1" w:rsidP="00CE4FB3">
      <w:pPr>
        <w:spacing w:after="0" w:line="240" w:lineRule="auto"/>
        <w:jc w:val="both"/>
        <w:rPr>
          <w:sz w:val="18"/>
          <w:szCs w:val="18"/>
        </w:rPr>
      </w:pPr>
    </w:p>
    <w:p w14:paraId="13254254" w14:textId="77C81A2F" w:rsidR="007A0542" w:rsidRPr="00BF3223" w:rsidRDefault="007A0542" w:rsidP="00CE4FB3">
      <w:pPr>
        <w:spacing w:after="0" w:line="240" w:lineRule="auto"/>
        <w:jc w:val="both"/>
        <w:rPr>
          <w:rFonts w:cstheme="minorHAnsi"/>
          <w:color w:val="000000"/>
          <w:sz w:val="18"/>
          <w:szCs w:val="18"/>
        </w:rPr>
      </w:pPr>
      <w:r>
        <w:rPr>
          <w:rStyle w:val="EndnoteReference"/>
          <w:sz w:val="18"/>
          <w:szCs w:val="18"/>
        </w:rPr>
        <w:endnoteRef/>
      </w:r>
      <w:r>
        <w:t xml:space="preserve"> </w:t>
      </w:r>
      <w:r w:rsidR="003F6FB5">
        <w:rPr>
          <w:color w:val="000000"/>
          <w:sz w:val="18"/>
          <w:szCs w:val="18"/>
        </w:rPr>
        <w:t>Y</w:t>
      </w:r>
      <w:r>
        <w:rPr>
          <w:color w:val="000000"/>
          <w:sz w:val="18"/>
          <w:szCs w:val="18"/>
        </w:rPr>
        <w:t xml:space="preserve"> compris le viol, la violence domestique, la violence entre partenaires intimes, la traite, les pratiques préjudiciables, y compris les mariages d'enfants et les mariages forcés, les mutilations génitales féminines, les accusations de sorcellerie, l'isolement et la dissimulation de </w:t>
      </w:r>
      <w:r w:rsidR="00F9588E">
        <w:rPr>
          <w:color w:val="000000"/>
          <w:sz w:val="18"/>
          <w:szCs w:val="18"/>
        </w:rPr>
        <w:t>personnes handicapées</w:t>
      </w:r>
      <w:r>
        <w:rPr>
          <w:color w:val="000000"/>
          <w:sz w:val="18"/>
          <w:szCs w:val="18"/>
        </w:rPr>
        <w:t xml:space="preserve">, les traitements non consensuels, y compris les interventions psychiatriques non consensuelles, les autres interventions médicales ou sociales non consensuelles spécifiques au handicap, l’avortement forcé, la contraception forcée et les abus physiques, psychologiques, économiques et sexuels avec une attention particulière aux groupes cibles : femmes, enfants, personnes âgées, personnes de toutes orientations sexuelles et identités de genre, et membres de minorités culturelles, personnes autochtones </w:t>
      </w:r>
      <w:r w:rsidR="00F9588E">
        <w:rPr>
          <w:color w:val="000000"/>
          <w:sz w:val="18"/>
          <w:szCs w:val="18"/>
        </w:rPr>
        <w:t>h</w:t>
      </w:r>
      <w:r>
        <w:rPr>
          <w:color w:val="000000"/>
          <w:sz w:val="18"/>
          <w:szCs w:val="18"/>
        </w:rPr>
        <w:t>andicap</w:t>
      </w:r>
      <w:r w:rsidR="00F9588E">
        <w:rPr>
          <w:color w:val="000000"/>
          <w:sz w:val="18"/>
          <w:szCs w:val="18"/>
        </w:rPr>
        <w:t>ées</w:t>
      </w:r>
      <w:r>
        <w:rPr>
          <w:color w:val="000000"/>
          <w:sz w:val="18"/>
          <w:szCs w:val="18"/>
        </w:rPr>
        <w:t>, personnes</w:t>
      </w:r>
      <w:r w:rsidR="00F9588E">
        <w:rPr>
          <w:color w:val="000000"/>
          <w:sz w:val="18"/>
          <w:szCs w:val="18"/>
        </w:rPr>
        <w:t xml:space="preserve"> handicapées de tous les groupes</w:t>
      </w:r>
      <w:r>
        <w:rPr>
          <w:color w:val="000000"/>
          <w:sz w:val="18"/>
          <w:szCs w:val="18"/>
        </w:rPr>
        <w:t xml:space="preserve"> etc. </w:t>
      </w:r>
    </w:p>
  </w:endnote>
  <w:endnote w:id="2">
    <w:p w14:paraId="04DC78E2" w14:textId="649FF783" w:rsidR="00DC48CC" w:rsidRPr="00BF3223" w:rsidRDefault="00DC48CC" w:rsidP="00CE4FB3">
      <w:pPr>
        <w:pStyle w:val="EndnoteText"/>
        <w:jc w:val="both"/>
        <w:rPr>
          <w:sz w:val="18"/>
          <w:szCs w:val="18"/>
        </w:rPr>
      </w:pPr>
      <w:r>
        <w:rPr>
          <w:rStyle w:val="EndnoteReference"/>
          <w:sz w:val="18"/>
          <w:szCs w:val="18"/>
        </w:rPr>
        <w:endnoteRef/>
      </w:r>
      <w:r>
        <w:t xml:space="preserve"> </w:t>
      </w:r>
      <w:r>
        <w:rPr>
          <w:sz w:val="18"/>
          <w:szCs w:val="18"/>
        </w:rPr>
        <w:t xml:space="preserve">Par exemple : </w:t>
      </w:r>
      <w:r>
        <w:rPr>
          <w:color w:val="000000"/>
          <w:sz w:val="18"/>
          <w:szCs w:val="18"/>
        </w:rPr>
        <w:t>maison, école, pensionnats, milieux communautaires, institutions de protection sociale (par exemple, orphelinats et institutions résidentielles), établissements de santé (par exemple hôpitaux psychiatriques), maisons de soins infirmiers, camps de prière, prisons, environnements de travail, etc.</w:t>
      </w:r>
    </w:p>
  </w:endnote>
  <w:endnote w:id="3">
    <w:p w14:paraId="7B030392" w14:textId="332A264E" w:rsidR="00BE32A1" w:rsidRPr="00BF3223" w:rsidRDefault="00BE32A1" w:rsidP="00CE4FB3">
      <w:pPr>
        <w:spacing w:after="0" w:line="240" w:lineRule="auto"/>
        <w:jc w:val="both"/>
        <w:rPr>
          <w:rFonts w:cstheme="minorHAnsi"/>
          <w:color w:val="000000"/>
          <w:sz w:val="18"/>
          <w:szCs w:val="18"/>
        </w:rPr>
      </w:pPr>
      <w:r>
        <w:rPr>
          <w:rStyle w:val="EndnoteReference"/>
          <w:sz w:val="18"/>
          <w:szCs w:val="18"/>
        </w:rPr>
        <w:endnoteRef/>
      </w:r>
      <w:r>
        <w:t xml:space="preserve"> </w:t>
      </w:r>
      <w:r w:rsidR="003F6FB5">
        <w:rPr>
          <w:color w:val="000000"/>
          <w:sz w:val="18"/>
          <w:szCs w:val="18"/>
        </w:rPr>
        <w:t>A</w:t>
      </w:r>
      <w:r>
        <w:rPr>
          <w:color w:val="000000"/>
          <w:sz w:val="18"/>
          <w:szCs w:val="18"/>
        </w:rPr>
        <w:t>vec des mesures spécifiques pour les femmes, les enfants et les personnes âgées.</w:t>
      </w:r>
    </w:p>
  </w:endnote>
  <w:endnote w:id="4">
    <w:p w14:paraId="178F5FB0" w14:textId="145FC078" w:rsidR="00935665" w:rsidRPr="00BF3223" w:rsidRDefault="00935665">
      <w:pPr>
        <w:pStyle w:val="EndnoteText"/>
        <w:rPr>
          <w:sz w:val="18"/>
          <w:szCs w:val="18"/>
        </w:rPr>
      </w:pPr>
      <w:r>
        <w:rPr>
          <w:rStyle w:val="EndnoteReference"/>
          <w:sz w:val="18"/>
          <w:szCs w:val="18"/>
        </w:rPr>
        <w:endnoteRef/>
      </w:r>
      <w:r>
        <w:t xml:space="preserve"> </w:t>
      </w:r>
      <w:r>
        <w:rPr>
          <w:sz w:val="18"/>
          <w:szCs w:val="18"/>
        </w:rPr>
        <w:t>Les « établissements » comprennent les cadres institutionnels à la fois temporaires ou à court terme, tels que les services psychiatriques et les établissements à long terme.</w:t>
      </w:r>
    </w:p>
  </w:endnote>
  <w:endnote w:id="5">
    <w:p w14:paraId="2D034829" w14:textId="63FD6D59" w:rsidR="00A95017" w:rsidRPr="00BF3223" w:rsidRDefault="00A95017" w:rsidP="00CE4FB3">
      <w:pPr>
        <w:pStyle w:val="EndnoteText"/>
        <w:jc w:val="both"/>
        <w:rPr>
          <w:rFonts w:cstheme="minorHAnsi"/>
          <w:sz w:val="18"/>
          <w:szCs w:val="18"/>
        </w:rPr>
      </w:pPr>
      <w:r>
        <w:rPr>
          <w:rStyle w:val="EndnoteReference"/>
          <w:rFonts w:cstheme="minorHAnsi"/>
          <w:sz w:val="18"/>
          <w:szCs w:val="18"/>
        </w:rPr>
        <w:endnoteRef/>
      </w:r>
      <w:r>
        <w:t xml:space="preserve"> </w:t>
      </w:r>
      <w:r>
        <w:rPr>
          <w:sz w:val="18"/>
          <w:szCs w:val="18"/>
        </w:rPr>
        <w:t xml:space="preserve">Par exemple, le refus d'un logement raisonnable en prison </w:t>
      </w:r>
      <w:r>
        <w:rPr>
          <w:color w:val="000000"/>
          <w:sz w:val="18"/>
          <w:szCs w:val="18"/>
        </w:rPr>
        <w:t>qui peut conduire à des conditions de détention inférieures aux normes qui sont incompatibles avec le droit à l'intégrité physique et mentale sur la base de l'égalité avec les autres.</w:t>
      </w:r>
    </w:p>
  </w:endnote>
  <w:endnote w:id="6">
    <w:p w14:paraId="08850D8D" w14:textId="688A2A6E" w:rsidR="004B4030" w:rsidRPr="00BF3223" w:rsidRDefault="004B4030" w:rsidP="004B4030">
      <w:pPr>
        <w:pStyle w:val="EndnoteText"/>
        <w:jc w:val="both"/>
        <w:rPr>
          <w:sz w:val="18"/>
          <w:szCs w:val="18"/>
        </w:rPr>
      </w:pPr>
      <w:r>
        <w:rPr>
          <w:rStyle w:val="EndnoteReference"/>
          <w:sz w:val="18"/>
          <w:szCs w:val="18"/>
        </w:rPr>
        <w:endnoteRef/>
      </w:r>
      <w:r>
        <w:t xml:space="preserve"> </w:t>
      </w:r>
      <w:r>
        <w:rPr>
          <w:color w:val="000000"/>
          <w:sz w:val="18"/>
          <w:szCs w:val="18"/>
        </w:rPr>
        <w:t xml:space="preserve">Par exemple, les mariages d'enfants et les mariages forcés, les mutilations génitales féminines, les accusations de sorcellerie, l'isolement et la dissimulation de </w:t>
      </w:r>
      <w:r w:rsidR="00F9588E">
        <w:rPr>
          <w:color w:val="000000"/>
          <w:sz w:val="18"/>
          <w:szCs w:val="18"/>
        </w:rPr>
        <w:t>personnes handicapées</w:t>
      </w:r>
      <w:r>
        <w:rPr>
          <w:color w:val="000000"/>
          <w:sz w:val="18"/>
          <w:szCs w:val="18"/>
        </w:rPr>
        <w:t>, les traitements non consensuels, y compris les interventions psychiatriques non consensuelles, l'avortement forcé, la contraception forcée. Voir la</w:t>
      </w:r>
      <w:r>
        <w:t xml:space="preserve"> </w:t>
      </w:r>
      <w:hyperlink r:id="rId1" w:history="1">
        <w:r>
          <w:rPr>
            <w:rStyle w:val="Hyperlink"/>
            <w:sz w:val="18"/>
            <w:szCs w:val="18"/>
          </w:rPr>
          <w:t>Recommandation générale conjointe n° 31 du Comité pour l'élimination de la discrimination à l'égard des femmes/Observation générale n° 18 du Comité des droits d</w:t>
        </w:r>
        <w:bookmarkStart w:id="0" w:name="_GoBack"/>
        <w:bookmarkEnd w:id="0"/>
        <w:r>
          <w:rPr>
            <w:rStyle w:val="Hyperlink"/>
            <w:sz w:val="18"/>
            <w:szCs w:val="18"/>
          </w:rPr>
          <w:t>e</w:t>
        </w:r>
        <w:r>
          <w:rPr>
            <w:rStyle w:val="Hyperlink"/>
            <w:sz w:val="18"/>
            <w:szCs w:val="18"/>
          </w:rPr>
          <w:t xml:space="preserve"> l'enfant sur les pratiques préjudiciables pour d'autres critères de détermination des pratiques préjudiciables</w:t>
        </w:r>
      </w:hyperlink>
      <w:r>
        <w:t xml:space="preserve"> </w:t>
      </w:r>
      <w:r>
        <w:rPr>
          <w:color w:val="000000"/>
          <w:sz w:val="18"/>
          <w:szCs w:val="18"/>
        </w:rPr>
        <w:t>(par. 15-16).</w:t>
      </w:r>
    </w:p>
  </w:endnote>
  <w:endnote w:id="7">
    <w:p w14:paraId="5F8CFAB6" w14:textId="2E162968" w:rsidR="0075616A" w:rsidRPr="00BF3223" w:rsidRDefault="0075616A" w:rsidP="00CE4FB3">
      <w:pPr>
        <w:pStyle w:val="EndnoteText"/>
        <w:jc w:val="both"/>
        <w:rPr>
          <w:sz w:val="18"/>
          <w:szCs w:val="18"/>
        </w:rPr>
      </w:pPr>
      <w:r>
        <w:rPr>
          <w:rStyle w:val="EndnoteReference"/>
          <w:sz w:val="18"/>
          <w:szCs w:val="18"/>
        </w:rPr>
        <w:endnoteRef/>
      </w:r>
      <w:r>
        <w:t xml:space="preserve"> </w:t>
      </w:r>
      <w:r>
        <w:rPr>
          <w:sz w:val="18"/>
          <w:szCs w:val="18"/>
        </w:rPr>
        <w:t>Voir pour des orientations générales, ONUDC et UN.GIFT,</w:t>
      </w:r>
      <w:r>
        <w:t xml:space="preserve"> </w:t>
      </w:r>
      <w:hyperlink r:id="rId2" w:history="1">
        <w:r>
          <w:rPr>
            <w:rStyle w:val="Hyperlink"/>
            <w:sz w:val="18"/>
            <w:szCs w:val="18"/>
          </w:rPr>
          <w:t>Loi type contre la traite de</w:t>
        </w:r>
        <w:r>
          <w:rPr>
            <w:rStyle w:val="Hyperlink"/>
            <w:sz w:val="18"/>
            <w:szCs w:val="18"/>
          </w:rPr>
          <w:t>s</w:t>
        </w:r>
        <w:r>
          <w:rPr>
            <w:rStyle w:val="Hyperlink"/>
            <w:sz w:val="18"/>
            <w:szCs w:val="18"/>
          </w:rPr>
          <w:t xml:space="preserve"> personnes</w:t>
        </w:r>
      </w:hyperlink>
      <w:r>
        <w:rPr>
          <w:sz w:val="18"/>
          <w:szCs w:val="18"/>
        </w:rPr>
        <w:t>.</w:t>
      </w:r>
    </w:p>
  </w:endnote>
  <w:endnote w:id="8">
    <w:p w14:paraId="5C6DED39" w14:textId="77777777" w:rsidR="00601043" w:rsidRPr="00BF3223" w:rsidRDefault="00601043">
      <w:pPr>
        <w:pStyle w:val="EndnoteText"/>
        <w:rPr>
          <w:sz w:val="18"/>
          <w:szCs w:val="18"/>
        </w:rPr>
      </w:pPr>
      <w:r>
        <w:rPr>
          <w:rStyle w:val="EndnoteReference"/>
          <w:sz w:val="18"/>
          <w:szCs w:val="18"/>
        </w:rPr>
        <w:endnoteRef/>
      </w:r>
      <w:r>
        <w:t xml:space="preserve"> </w:t>
      </w:r>
      <w:r>
        <w:rPr>
          <w:sz w:val="18"/>
          <w:szCs w:val="18"/>
        </w:rPr>
        <w:t>La formation devrait également comprendre :</w:t>
      </w:r>
    </w:p>
    <w:p w14:paraId="2ACDB0A0" w14:textId="6B162652" w:rsidR="00601043" w:rsidRPr="00BF3223" w:rsidRDefault="00601043" w:rsidP="00601043">
      <w:pPr>
        <w:pStyle w:val="EndnoteText"/>
        <w:numPr>
          <w:ilvl w:val="0"/>
          <w:numId w:val="7"/>
        </w:numPr>
        <w:rPr>
          <w:sz w:val="18"/>
          <w:szCs w:val="18"/>
        </w:rPr>
      </w:pPr>
      <w:proofErr w:type="gramStart"/>
      <w:r>
        <w:rPr>
          <w:sz w:val="18"/>
          <w:szCs w:val="18"/>
        </w:rPr>
        <w:t>l'approche</w:t>
      </w:r>
      <w:proofErr w:type="gramEnd"/>
      <w:r>
        <w:rPr>
          <w:sz w:val="18"/>
          <w:szCs w:val="18"/>
        </w:rPr>
        <w:t xml:space="preserve"> du handicap fondée sur les droits de l'homme ;</w:t>
      </w:r>
    </w:p>
    <w:p w14:paraId="37ECB31E" w14:textId="557EFA13" w:rsidR="00601043" w:rsidRPr="00BF3223" w:rsidRDefault="00601043" w:rsidP="00601043">
      <w:pPr>
        <w:pStyle w:val="EndnoteText"/>
        <w:numPr>
          <w:ilvl w:val="0"/>
          <w:numId w:val="7"/>
        </w:numPr>
        <w:rPr>
          <w:sz w:val="18"/>
          <w:szCs w:val="18"/>
        </w:rPr>
      </w:pPr>
      <w:proofErr w:type="gramStart"/>
      <w:r>
        <w:rPr>
          <w:sz w:val="18"/>
          <w:szCs w:val="18"/>
        </w:rPr>
        <w:t>la</w:t>
      </w:r>
      <w:proofErr w:type="gramEnd"/>
      <w:r>
        <w:rPr>
          <w:sz w:val="18"/>
          <w:szCs w:val="18"/>
        </w:rPr>
        <w:t xml:space="preserve"> communication avec les personnes en situation de handicap, y compris sur les moyens et modes de communication alternatifs ;</w:t>
      </w:r>
    </w:p>
    <w:p w14:paraId="6B98BAD3" w14:textId="034C9588" w:rsidR="00601043" w:rsidRPr="00BF3223" w:rsidRDefault="00601043" w:rsidP="00601043">
      <w:pPr>
        <w:pStyle w:val="EndnoteText"/>
        <w:numPr>
          <w:ilvl w:val="0"/>
          <w:numId w:val="7"/>
        </w:numPr>
        <w:rPr>
          <w:sz w:val="18"/>
          <w:szCs w:val="18"/>
        </w:rPr>
      </w:pPr>
      <w:proofErr w:type="gramStart"/>
      <w:r>
        <w:rPr>
          <w:sz w:val="18"/>
          <w:szCs w:val="18"/>
        </w:rPr>
        <w:t>l'obligation</w:t>
      </w:r>
      <w:proofErr w:type="gramEnd"/>
      <w:r>
        <w:rPr>
          <w:sz w:val="18"/>
          <w:szCs w:val="18"/>
        </w:rPr>
        <w:t xml:space="preserve"> de fournir des aménagements raisonnables.</w:t>
      </w:r>
    </w:p>
  </w:endnote>
  <w:endnote w:id="9">
    <w:p w14:paraId="0F56E35E" w14:textId="0D8DEDDB" w:rsidR="00706BB1" w:rsidRPr="00BF3223" w:rsidRDefault="00706BB1" w:rsidP="00CE4FB3">
      <w:pPr>
        <w:pStyle w:val="EndnoteText"/>
        <w:jc w:val="both"/>
        <w:rPr>
          <w:sz w:val="18"/>
          <w:szCs w:val="18"/>
        </w:rPr>
      </w:pPr>
      <w:r>
        <w:rPr>
          <w:rStyle w:val="EndnoteReference"/>
          <w:sz w:val="18"/>
          <w:szCs w:val="18"/>
        </w:rPr>
        <w:endnoteRef/>
      </w:r>
      <w:r>
        <w:t xml:space="preserve"> </w:t>
      </w:r>
      <w:r w:rsidR="003F6FB5">
        <w:rPr>
          <w:sz w:val="18"/>
          <w:szCs w:val="18"/>
        </w:rPr>
        <w:t>E</w:t>
      </w:r>
      <w:r>
        <w:rPr>
          <w:sz w:val="18"/>
          <w:szCs w:val="18"/>
        </w:rPr>
        <w:t>n pa</w:t>
      </w:r>
      <w:r w:rsidRPr="00C96E1E">
        <w:rPr>
          <w:sz w:val="18"/>
          <w:szCs w:val="18"/>
        </w:rPr>
        <w:t xml:space="preserve">rticulier pour les femmes, les enfants et les personnes âgées, les </w:t>
      </w:r>
      <w:r w:rsidR="00F9588E" w:rsidRPr="00C96E1E">
        <w:rPr>
          <w:sz w:val="18"/>
          <w:szCs w:val="18"/>
        </w:rPr>
        <w:t>personnes handicapées</w:t>
      </w:r>
      <w:r w:rsidRPr="00C96E1E">
        <w:rPr>
          <w:sz w:val="18"/>
          <w:szCs w:val="18"/>
        </w:rPr>
        <w:t xml:space="preserve"> psychosocial</w:t>
      </w:r>
      <w:r w:rsidR="001B3B03" w:rsidRPr="00C96E1E">
        <w:rPr>
          <w:sz w:val="18"/>
          <w:szCs w:val="18"/>
        </w:rPr>
        <w:t>es</w:t>
      </w:r>
      <w:r w:rsidRPr="00C96E1E">
        <w:rPr>
          <w:sz w:val="18"/>
          <w:szCs w:val="18"/>
        </w:rPr>
        <w:t xml:space="preserve">, les </w:t>
      </w:r>
      <w:r w:rsidR="00F9588E" w:rsidRPr="00C96E1E">
        <w:rPr>
          <w:sz w:val="18"/>
          <w:szCs w:val="18"/>
        </w:rPr>
        <w:t>personnes handicapées</w:t>
      </w:r>
      <w:r w:rsidRPr="00C96E1E">
        <w:rPr>
          <w:sz w:val="18"/>
          <w:szCs w:val="18"/>
        </w:rPr>
        <w:t xml:space="preserve"> </w:t>
      </w:r>
      <w:r w:rsidR="001B3B03" w:rsidRPr="00C96E1E">
        <w:rPr>
          <w:sz w:val="18"/>
          <w:szCs w:val="18"/>
        </w:rPr>
        <w:t>intellectuelles</w:t>
      </w:r>
      <w:r w:rsidRPr="00C96E1E">
        <w:rPr>
          <w:sz w:val="18"/>
          <w:szCs w:val="18"/>
        </w:rPr>
        <w:t xml:space="preserve">, les personnes vivant avec le VIH/SIDA et les personnes </w:t>
      </w:r>
      <w:r w:rsidR="00C96E1E" w:rsidRPr="00241151">
        <w:rPr>
          <w:sz w:val="18"/>
          <w:szCs w:val="18"/>
        </w:rPr>
        <w:t>albinos</w:t>
      </w:r>
      <w:r>
        <w:rPr>
          <w:sz w:val="18"/>
          <w:szCs w:val="18"/>
        </w:rPr>
        <w:t>.</w:t>
      </w:r>
    </w:p>
  </w:endnote>
  <w:endnote w:id="10">
    <w:p w14:paraId="4C748E9D" w14:textId="765C623C" w:rsidR="003F4485" w:rsidRPr="00BF3223" w:rsidRDefault="0017480B" w:rsidP="003F4485">
      <w:pPr>
        <w:pStyle w:val="EndnoteText"/>
        <w:jc w:val="both"/>
        <w:rPr>
          <w:sz w:val="18"/>
          <w:szCs w:val="18"/>
        </w:rPr>
      </w:pPr>
      <w:r>
        <w:rPr>
          <w:rStyle w:val="EndnoteReference"/>
          <w:sz w:val="18"/>
          <w:szCs w:val="18"/>
        </w:rPr>
        <w:endnoteRef/>
      </w:r>
      <w:r>
        <w:t xml:space="preserve"> </w:t>
      </w:r>
      <w:r>
        <w:rPr>
          <w:sz w:val="18"/>
          <w:szCs w:val="18"/>
        </w:rPr>
        <w:t xml:space="preserve">Cet indicateur nécessite de vérifier les activités concrètes entreprises par les autorités publiques pour </w:t>
      </w:r>
      <w:r w:rsidR="001B3B03">
        <w:rPr>
          <w:sz w:val="18"/>
          <w:szCs w:val="18"/>
        </w:rPr>
        <w:t>faire participer</w:t>
      </w:r>
      <w:r>
        <w:rPr>
          <w:sz w:val="18"/>
          <w:szCs w:val="18"/>
        </w:rPr>
        <w:t xml:space="preserve"> les </w:t>
      </w:r>
      <w:r w:rsidR="00F9588E">
        <w:rPr>
          <w:sz w:val="18"/>
          <w:szCs w:val="18"/>
        </w:rPr>
        <w:t>personnes handicapées</w:t>
      </w:r>
      <w:r>
        <w:rPr>
          <w:sz w:val="18"/>
          <w:szCs w:val="18"/>
        </w:rPr>
        <w:t xml:space="preserve"> dans les processus décisionnels liés aux questions qui les affectent directement ou indirectement conformément à l'article 4.3 de la CDPH et à </w:t>
      </w:r>
      <w:hyperlink r:id="rId3" w:history="1">
        <w:r w:rsidRPr="00D24FF8">
          <w:rPr>
            <w:rStyle w:val="Hyperlink"/>
            <w:sz w:val="18"/>
            <w:szCs w:val="18"/>
          </w:rPr>
          <w:t>l'Observation générale no. 7</w:t>
        </w:r>
      </w:hyperlink>
      <w:r>
        <w:rPr>
          <w:sz w:val="18"/>
          <w:szCs w:val="18"/>
        </w:rPr>
        <w:t xml:space="preserve"> du Comité CDPH, y compris des réunions de consultation, des séances d'information technique, des enquêtes de consultation en ligne, des appels à commentaires sur des projets de législation et de politiques, entre autres méthodes et mécanismes de participation. À cet égard, les États doivent</w:t>
      </w:r>
    </w:p>
    <w:p w14:paraId="2E9004E3" w14:textId="77777777" w:rsidR="003F4485" w:rsidRPr="00BF3223" w:rsidRDefault="003F4485" w:rsidP="003F4485">
      <w:pPr>
        <w:pStyle w:val="EndnoteText"/>
        <w:numPr>
          <w:ilvl w:val="0"/>
          <w:numId w:val="3"/>
        </w:numPr>
        <w:ind w:left="714" w:hanging="357"/>
        <w:contextualSpacing/>
        <w:rPr>
          <w:sz w:val="18"/>
          <w:szCs w:val="18"/>
        </w:rPr>
      </w:pPr>
      <w:proofErr w:type="gramStart"/>
      <w:r>
        <w:rPr>
          <w:sz w:val="18"/>
          <w:szCs w:val="18"/>
        </w:rPr>
        <w:t>veiller</w:t>
      </w:r>
      <w:proofErr w:type="gramEnd"/>
      <w:r>
        <w:rPr>
          <w:sz w:val="18"/>
          <w:szCs w:val="18"/>
        </w:rPr>
        <w:t xml:space="preserve"> à ce que les processus de consultation soient transparents et accessibles ;</w:t>
      </w:r>
    </w:p>
    <w:p w14:paraId="661848DC" w14:textId="77777777" w:rsidR="003F4485" w:rsidRPr="00BF3223" w:rsidRDefault="003F4485" w:rsidP="003F4485">
      <w:pPr>
        <w:pStyle w:val="EndnoteText"/>
        <w:numPr>
          <w:ilvl w:val="0"/>
          <w:numId w:val="3"/>
        </w:numPr>
        <w:ind w:left="714" w:hanging="357"/>
        <w:contextualSpacing/>
        <w:rPr>
          <w:sz w:val="18"/>
          <w:szCs w:val="18"/>
        </w:rPr>
      </w:pPr>
      <w:proofErr w:type="gramStart"/>
      <w:r>
        <w:rPr>
          <w:sz w:val="18"/>
          <w:szCs w:val="18"/>
        </w:rPr>
        <w:t>assurer</w:t>
      </w:r>
      <w:proofErr w:type="gramEnd"/>
      <w:r>
        <w:rPr>
          <w:sz w:val="18"/>
          <w:szCs w:val="18"/>
        </w:rPr>
        <w:t xml:space="preserve"> la fourniture d'informations appropriées et accessibles ;</w:t>
      </w:r>
    </w:p>
    <w:p w14:paraId="4CB01C4D" w14:textId="4408BFF1" w:rsidR="003F4485" w:rsidRPr="00BF3223" w:rsidRDefault="003F4485" w:rsidP="003F4485">
      <w:pPr>
        <w:pStyle w:val="EndnoteText"/>
        <w:numPr>
          <w:ilvl w:val="0"/>
          <w:numId w:val="3"/>
        </w:numPr>
        <w:ind w:left="714" w:hanging="357"/>
        <w:contextualSpacing/>
        <w:rPr>
          <w:sz w:val="18"/>
          <w:szCs w:val="18"/>
        </w:rPr>
      </w:pPr>
      <w:proofErr w:type="gramStart"/>
      <w:r>
        <w:rPr>
          <w:sz w:val="18"/>
          <w:szCs w:val="18"/>
        </w:rPr>
        <w:t>ne</w:t>
      </w:r>
      <w:proofErr w:type="gramEnd"/>
      <w:r>
        <w:rPr>
          <w:sz w:val="18"/>
          <w:szCs w:val="18"/>
        </w:rPr>
        <w:t xml:space="preserve"> pas retenir d'informations, conditionner ou empêcher les organisations de </w:t>
      </w:r>
      <w:r w:rsidR="00F9588E">
        <w:rPr>
          <w:sz w:val="18"/>
          <w:szCs w:val="18"/>
        </w:rPr>
        <w:t>personnes handicapées</w:t>
      </w:r>
      <w:r>
        <w:rPr>
          <w:sz w:val="18"/>
          <w:szCs w:val="18"/>
        </w:rPr>
        <w:t xml:space="preserve"> d'exprimer librement leurs opinions ;</w:t>
      </w:r>
    </w:p>
    <w:p w14:paraId="1B3AA3E5" w14:textId="77777777" w:rsidR="003F4485" w:rsidRPr="00BF3223" w:rsidRDefault="003F4485" w:rsidP="003F4485">
      <w:pPr>
        <w:pStyle w:val="EndnoteText"/>
        <w:numPr>
          <w:ilvl w:val="0"/>
          <w:numId w:val="3"/>
        </w:numPr>
        <w:ind w:left="714" w:hanging="357"/>
        <w:contextualSpacing/>
        <w:rPr>
          <w:sz w:val="18"/>
          <w:szCs w:val="18"/>
        </w:rPr>
      </w:pPr>
      <w:proofErr w:type="gramStart"/>
      <w:r>
        <w:rPr>
          <w:sz w:val="18"/>
          <w:szCs w:val="18"/>
        </w:rPr>
        <w:t>inclure</w:t>
      </w:r>
      <w:proofErr w:type="gramEnd"/>
      <w:r>
        <w:rPr>
          <w:sz w:val="18"/>
          <w:szCs w:val="18"/>
        </w:rPr>
        <w:t xml:space="preserve"> à la fois les organisations enregistrées et non enregistrées ;</w:t>
      </w:r>
    </w:p>
    <w:p w14:paraId="116A868B" w14:textId="1EB866D5" w:rsidR="003F4485" w:rsidRPr="00BF3223" w:rsidRDefault="003F4485" w:rsidP="003F4485">
      <w:pPr>
        <w:pStyle w:val="EndnoteText"/>
        <w:numPr>
          <w:ilvl w:val="0"/>
          <w:numId w:val="3"/>
        </w:numPr>
        <w:ind w:left="714" w:hanging="357"/>
        <w:contextualSpacing/>
        <w:rPr>
          <w:sz w:val="18"/>
          <w:szCs w:val="18"/>
        </w:rPr>
      </w:pPr>
      <w:proofErr w:type="gramStart"/>
      <w:r>
        <w:rPr>
          <w:sz w:val="18"/>
          <w:szCs w:val="18"/>
        </w:rPr>
        <w:t>assurer</w:t>
      </w:r>
      <w:proofErr w:type="gramEnd"/>
      <w:r>
        <w:rPr>
          <w:sz w:val="18"/>
          <w:szCs w:val="18"/>
        </w:rPr>
        <w:t xml:space="preserve"> une </w:t>
      </w:r>
      <w:r w:rsidR="001B3B03">
        <w:rPr>
          <w:sz w:val="18"/>
          <w:szCs w:val="18"/>
        </w:rPr>
        <w:t xml:space="preserve">participation </w:t>
      </w:r>
      <w:r>
        <w:rPr>
          <w:sz w:val="18"/>
          <w:szCs w:val="18"/>
        </w:rPr>
        <w:t>précoce et continue ;</w:t>
      </w:r>
    </w:p>
    <w:p w14:paraId="540E747D" w14:textId="3EB83500" w:rsidR="0017480B" w:rsidRPr="00BF3223" w:rsidRDefault="003F4485" w:rsidP="003F4485">
      <w:pPr>
        <w:pStyle w:val="EndnoteText"/>
        <w:numPr>
          <w:ilvl w:val="0"/>
          <w:numId w:val="3"/>
        </w:numPr>
        <w:ind w:left="714" w:hanging="357"/>
        <w:contextualSpacing/>
        <w:rPr>
          <w:sz w:val="18"/>
          <w:szCs w:val="18"/>
        </w:rPr>
      </w:pPr>
      <w:proofErr w:type="gramStart"/>
      <w:r>
        <w:rPr>
          <w:sz w:val="18"/>
          <w:szCs w:val="18"/>
        </w:rPr>
        <w:t>couvrir</w:t>
      </w:r>
      <w:proofErr w:type="gramEnd"/>
      <w:r>
        <w:rPr>
          <w:sz w:val="18"/>
          <w:szCs w:val="18"/>
        </w:rPr>
        <w:t xml:space="preserve"> les dépenses connexes des participants.</w:t>
      </w:r>
    </w:p>
  </w:endnote>
  <w:endnote w:id="11">
    <w:p w14:paraId="3F49C6E1" w14:textId="76B635CA" w:rsidR="00AA698A" w:rsidRPr="00BF3223" w:rsidRDefault="00AA698A" w:rsidP="00CE4FB3">
      <w:pPr>
        <w:pStyle w:val="EndnoteText"/>
        <w:jc w:val="both"/>
        <w:rPr>
          <w:sz w:val="18"/>
          <w:szCs w:val="18"/>
        </w:rPr>
      </w:pPr>
      <w:r>
        <w:rPr>
          <w:rStyle w:val="EndnoteReference"/>
          <w:sz w:val="18"/>
          <w:szCs w:val="18"/>
        </w:rPr>
        <w:endnoteRef/>
      </w:r>
      <w:r>
        <w:t xml:space="preserve"> </w:t>
      </w:r>
      <w:r w:rsidR="003F6FB5">
        <w:rPr>
          <w:color w:val="000000"/>
          <w:sz w:val="18"/>
          <w:szCs w:val="18"/>
        </w:rPr>
        <w:t>Y</w:t>
      </w:r>
      <w:r>
        <w:rPr>
          <w:color w:val="000000"/>
          <w:sz w:val="18"/>
          <w:szCs w:val="18"/>
        </w:rPr>
        <w:t xml:space="preserve"> compris </w:t>
      </w:r>
      <w:r w:rsidR="009A4CA8">
        <w:rPr>
          <w:color w:val="000000"/>
          <w:sz w:val="18"/>
          <w:szCs w:val="18"/>
        </w:rPr>
        <w:t>à l’</w:t>
      </w:r>
      <w:r>
        <w:rPr>
          <w:color w:val="000000"/>
          <w:sz w:val="18"/>
          <w:szCs w:val="18"/>
        </w:rPr>
        <w:t xml:space="preserve">école, </w:t>
      </w:r>
      <w:r w:rsidR="009A4CA8">
        <w:rPr>
          <w:color w:val="000000"/>
          <w:sz w:val="18"/>
          <w:szCs w:val="18"/>
        </w:rPr>
        <w:t xml:space="preserve">aux </w:t>
      </w:r>
      <w:r>
        <w:rPr>
          <w:color w:val="000000"/>
          <w:sz w:val="18"/>
          <w:szCs w:val="18"/>
        </w:rPr>
        <w:t>établissements de santé,</w:t>
      </w:r>
      <w:r w:rsidR="00B764B2">
        <w:rPr>
          <w:color w:val="000000"/>
          <w:sz w:val="18"/>
          <w:szCs w:val="18"/>
        </w:rPr>
        <w:t xml:space="preserve"> de</w:t>
      </w:r>
      <w:r>
        <w:rPr>
          <w:color w:val="000000"/>
          <w:sz w:val="18"/>
          <w:szCs w:val="18"/>
        </w:rPr>
        <w:t xml:space="preserve"> services sociaux,</w:t>
      </w:r>
      <w:r w:rsidR="00B764B2">
        <w:rPr>
          <w:color w:val="000000"/>
          <w:sz w:val="18"/>
          <w:szCs w:val="18"/>
        </w:rPr>
        <w:t xml:space="preserve"> aux</w:t>
      </w:r>
      <w:r>
        <w:rPr>
          <w:color w:val="000000"/>
          <w:sz w:val="18"/>
          <w:szCs w:val="18"/>
        </w:rPr>
        <w:t xml:space="preserve"> prisons et autres institutions.</w:t>
      </w:r>
    </w:p>
  </w:endnote>
  <w:endnote w:id="12">
    <w:p w14:paraId="4912DE6B" w14:textId="77777777" w:rsidR="009A4CA8" w:rsidRPr="00BF3223" w:rsidRDefault="009A4CA8" w:rsidP="009A4CA8">
      <w:pPr>
        <w:pStyle w:val="EndnoteText"/>
        <w:jc w:val="both"/>
        <w:rPr>
          <w:sz w:val="18"/>
          <w:szCs w:val="18"/>
        </w:rPr>
      </w:pPr>
      <w:r>
        <w:rPr>
          <w:rStyle w:val="EndnoteReference"/>
          <w:sz w:val="18"/>
          <w:szCs w:val="18"/>
        </w:rPr>
        <w:endnoteRef/>
      </w:r>
      <w:r>
        <w:t xml:space="preserve"> </w:t>
      </w:r>
      <w:r>
        <w:rPr>
          <w:sz w:val="18"/>
          <w:szCs w:val="18"/>
        </w:rPr>
        <w:t>Cela peut inclure un prestataire de services de santé, de services d'éducation,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3FD7F" w14:textId="77777777" w:rsidR="00D0099D" w:rsidRDefault="00D0099D" w:rsidP="00C11F55">
      <w:pPr>
        <w:spacing w:after="0" w:line="240" w:lineRule="auto"/>
      </w:pPr>
      <w:r>
        <w:separator/>
      </w:r>
    </w:p>
  </w:footnote>
  <w:footnote w:type="continuationSeparator" w:id="0">
    <w:p w14:paraId="00602080" w14:textId="77777777" w:rsidR="00D0099D" w:rsidRDefault="00D0099D" w:rsidP="00C11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35846"/>
    <w:multiLevelType w:val="hybridMultilevel"/>
    <w:tmpl w:val="958457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C41343"/>
    <w:multiLevelType w:val="hybridMultilevel"/>
    <w:tmpl w:val="C08E9634"/>
    <w:lvl w:ilvl="0" w:tplc="FF643DBC">
      <w:start w:val="21"/>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2FBB442F"/>
    <w:multiLevelType w:val="hybridMultilevel"/>
    <w:tmpl w:val="C5DABD2E"/>
    <w:lvl w:ilvl="0" w:tplc="3DF4167A">
      <w:start w:val="16"/>
      <w:numFmt w:val="bullet"/>
      <w:lvlText w:val="-"/>
      <w:lvlJc w:val="left"/>
      <w:pPr>
        <w:ind w:left="720" w:hanging="360"/>
      </w:pPr>
      <w:rPr>
        <w:rFonts w:ascii="Calibri" w:eastAsiaTheme="minorHAnsi" w:hAnsi="Calibri" w:cs="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AB6020"/>
    <w:multiLevelType w:val="hybridMultilevel"/>
    <w:tmpl w:val="CE1A6BD4"/>
    <w:lvl w:ilvl="0" w:tplc="1B76CF28">
      <w:start w:val="1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786FC9"/>
    <w:multiLevelType w:val="hybridMultilevel"/>
    <w:tmpl w:val="7898C926"/>
    <w:lvl w:ilvl="0" w:tplc="677EB460">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463F1F"/>
    <w:multiLevelType w:val="hybridMultilevel"/>
    <w:tmpl w:val="CF046396"/>
    <w:lvl w:ilvl="0" w:tplc="5B46E0B2">
      <w:start w:val="1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E8"/>
    <w:rsid w:val="00000A65"/>
    <w:rsid w:val="00032E6F"/>
    <w:rsid w:val="00040CD8"/>
    <w:rsid w:val="000452B6"/>
    <w:rsid w:val="00060FD0"/>
    <w:rsid w:val="00063AD0"/>
    <w:rsid w:val="00067245"/>
    <w:rsid w:val="00070695"/>
    <w:rsid w:val="00091030"/>
    <w:rsid w:val="000A21A7"/>
    <w:rsid w:val="000A3DD4"/>
    <w:rsid w:val="000B0872"/>
    <w:rsid w:val="000C5AF0"/>
    <w:rsid w:val="000F09E4"/>
    <w:rsid w:val="00102759"/>
    <w:rsid w:val="00130780"/>
    <w:rsid w:val="0014291D"/>
    <w:rsid w:val="001510E8"/>
    <w:rsid w:val="00152834"/>
    <w:rsid w:val="001556FE"/>
    <w:rsid w:val="0017480B"/>
    <w:rsid w:val="00175F8E"/>
    <w:rsid w:val="00193FD7"/>
    <w:rsid w:val="00194717"/>
    <w:rsid w:val="00196872"/>
    <w:rsid w:val="001B3B03"/>
    <w:rsid w:val="001B7211"/>
    <w:rsid w:val="001D492D"/>
    <w:rsid w:val="001E3F46"/>
    <w:rsid w:val="001E5628"/>
    <w:rsid w:val="001F4F9F"/>
    <w:rsid w:val="001F67AD"/>
    <w:rsid w:val="0020189B"/>
    <w:rsid w:val="002114B0"/>
    <w:rsid w:val="00215982"/>
    <w:rsid w:val="002330B6"/>
    <w:rsid w:val="00241151"/>
    <w:rsid w:val="00244AEA"/>
    <w:rsid w:val="00246FF7"/>
    <w:rsid w:val="00254CE6"/>
    <w:rsid w:val="002643BF"/>
    <w:rsid w:val="00273A77"/>
    <w:rsid w:val="0029101B"/>
    <w:rsid w:val="00297924"/>
    <w:rsid w:val="002A2043"/>
    <w:rsid w:val="002B2AE1"/>
    <w:rsid w:val="002C1575"/>
    <w:rsid w:val="002C5DE3"/>
    <w:rsid w:val="003003BD"/>
    <w:rsid w:val="00306B96"/>
    <w:rsid w:val="0031603C"/>
    <w:rsid w:val="003334C5"/>
    <w:rsid w:val="0033533B"/>
    <w:rsid w:val="00366670"/>
    <w:rsid w:val="003759C9"/>
    <w:rsid w:val="003839EF"/>
    <w:rsid w:val="0038503A"/>
    <w:rsid w:val="003A1ABB"/>
    <w:rsid w:val="003A4CE6"/>
    <w:rsid w:val="003A59BB"/>
    <w:rsid w:val="003A79F8"/>
    <w:rsid w:val="003B1862"/>
    <w:rsid w:val="003B2CDD"/>
    <w:rsid w:val="003D2E4B"/>
    <w:rsid w:val="003E0CE7"/>
    <w:rsid w:val="003F27D5"/>
    <w:rsid w:val="003F4485"/>
    <w:rsid w:val="003F6FB5"/>
    <w:rsid w:val="0040446F"/>
    <w:rsid w:val="00413E8A"/>
    <w:rsid w:val="004268A1"/>
    <w:rsid w:val="00434E16"/>
    <w:rsid w:val="00444623"/>
    <w:rsid w:val="00462689"/>
    <w:rsid w:val="00466B8C"/>
    <w:rsid w:val="004B4030"/>
    <w:rsid w:val="00517031"/>
    <w:rsid w:val="00522D5A"/>
    <w:rsid w:val="0053409B"/>
    <w:rsid w:val="00535AF8"/>
    <w:rsid w:val="00537DFE"/>
    <w:rsid w:val="005420AB"/>
    <w:rsid w:val="00574F12"/>
    <w:rsid w:val="00580449"/>
    <w:rsid w:val="005A2995"/>
    <w:rsid w:val="005B6AA1"/>
    <w:rsid w:val="005B6FC8"/>
    <w:rsid w:val="005C1A85"/>
    <w:rsid w:val="005C3CF2"/>
    <w:rsid w:val="005D0222"/>
    <w:rsid w:val="005E3FA3"/>
    <w:rsid w:val="005F6628"/>
    <w:rsid w:val="00601043"/>
    <w:rsid w:val="00622B66"/>
    <w:rsid w:val="006360C6"/>
    <w:rsid w:val="00643FB5"/>
    <w:rsid w:val="0066192D"/>
    <w:rsid w:val="00673673"/>
    <w:rsid w:val="00683921"/>
    <w:rsid w:val="006853F8"/>
    <w:rsid w:val="00695025"/>
    <w:rsid w:val="006A3D6F"/>
    <w:rsid w:val="006B149D"/>
    <w:rsid w:val="006B5CDD"/>
    <w:rsid w:val="00701805"/>
    <w:rsid w:val="00706BB1"/>
    <w:rsid w:val="00710CBB"/>
    <w:rsid w:val="00735E4A"/>
    <w:rsid w:val="00736077"/>
    <w:rsid w:val="00751015"/>
    <w:rsid w:val="00752259"/>
    <w:rsid w:val="0075616A"/>
    <w:rsid w:val="00756C20"/>
    <w:rsid w:val="00760EDC"/>
    <w:rsid w:val="007636E8"/>
    <w:rsid w:val="00764740"/>
    <w:rsid w:val="00766536"/>
    <w:rsid w:val="007846FE"/>
    <w:rsid w:val="00792EF5"/>
    <w:rsid w:val="007A0542"/>
    <w:rsid w:val="007B0E6B"/>
    <w:rsid w:val="007B2E04"/>
    <w:rsid w:val="007B57DF"/>
    <w:rsid w:val="007F17C0"/>
    <w:rsid w:val="0080233A"/>
    <w:rsid w:val="00805B8A"/>
    <w:rsid w:val="008248DF"/>
    <w:rsid w:val="00827817"/>
    <w:rsid w:val="00865133"/>
    <w:rsid w:val="00870248"/>
    <w:rsid w:val="00870707"/>
    <w:rsid w:val="008C6073"/>
    <w:rsid w:val="008D0AF8"/>
    <w:rsid w:val="008E3041"/>
    <w:rsid w:val="008E682E"/>
    <w:rsid w:val="008F09D7"/>
    <w:rsid w:val="008F4AAB"/>
    <w:rsid w:val="009001C9"/>
    <w:rsid w:val="009103C8"/>
    <w:rsid w:val="00915C64"/>
    <w:rsid w:val="00915FA0"/>
    <w:rsid w:val="00921739"/>
    <w:rsid w:val="00926907"/>
    <w:rsid w:val="00935665"/>
    <w:rsid w:val="00942846"/>
    <w:rsid w:val="0095210C"/>
    <w:rsid w:val="0097185C"/>
    <w:rsid w:val="00983E3E"/>
    <w:rsid w:val="00990D12"/>
    <w:rsid w:val="00997A33"/>
    <w:rsid w:val="009A2916"/>
    <w:rsid w:val="009A4047"/>
    <w:rsid w:val="009A4CA8"/>
    <w:rsid w:val="009A77A7"/>
    <w:rsid w:val="009B77A0"/>
    <w:rsid w:val="009C25C4"/>
    <w:rsid w:val="009D7AFB"/>
    <w:rsid w:val="009F6E73"/>
    <w:rsid w:val="00A072F0"/>
    <w:rsid w:val="00A122FE"/>
    <w:rsid w:val="00A16132"/>
    <w:rsid w:val="00A165D5"/>
    <w:rsid w:val="00A1691D"/>
    <w:rsid w:val="00A248CB"/>
    <w:rsid w:val="00A26042"/>
    <w:rsid w:val="00A402D2"/>
    <w:rsid w:val="00A44F71"/>
    <w:rsid w:val="00A4771E"/>
    <w:rsid w:val="00A50CF5"/>
    <w:rsid w:val="00A6307D"/>
    <w:rsid w:val="00A756BC"/>
    <w:rsid w:val="00A825AF"/>
    <w:rsid w:val="00A91666"/>
    <w:rsid w:val="00A95017"/>
    <w:rsid w:val="00AA698A"/>
    <w:rsid w:val="00AB28AD"/>
    <w:rsid w:val="00AD14D2"/>
    <w:rsid w:val="00AE7257"/>
    <w:rsid w:val="00AF4953"/>
    <w:rsid w:val="00B02B42"/>
    <w:rsid w:val="00B16F78"/>
    <w:rsid w:val="00B25A78"/>
    <w:rsid w:val="00B26E90"/>
    <w:rsid w:val="00B345C0"/>
    <w:rsid w:val="00B352BB"/>
    <w:rsid w:val="00B40AC0"/>
    <w:rsid w:val="00B45603"/>
    <w:rsid w:val="00B47119"/>
    <w:rsid w:val="00B56024"/>
    <w:rsid w:val="00B61BA3"/>
    <w:rsid w:val="00B72F29"/>
    <w:rsid w:val="00B764B2"/>
    <w:rsid w:val="00B83783"/>
    <w:rsid w:val="00B85A35"/>
    <w:rsid w:val="00BB367B"/>
    <w:rsid w:val="00BC251C"/>
    <w:rsid w:val="00BC71D5"/>
    <w:rsid w:val="00BD608B"/>
    <w:rsid w:val="00BE0DE4"/>
    <w:rsid w:val="00BE32A1"/>
    <w:rsid w:val="00BF3223"/>
    <w:rsid w:val="00C11F55"/>
    <w:rsid w:val="00C210B5"/>
    <w:rsid w:val="00C27DA5"/>
    <w:rsid w:val="00C53CB0"/>
    <w:rsid w:val="00C73EA7"/>
    <w:rsid w:val="00C7618C"/>
    <w:rsid w:val="00C92AF4"/>
    <w:rsid w:val="00C96E1E"/>
    <w:rsid w:val="00CA12C5"/>
    <w:rsid w:val="00CB19AD"/>
    <w:rsid w:val="00CB1D63"/>
    <w:rsid w:val="00CC3ED1"/>
    <w:rsid w:val="00CE4FB3"/>
    <w:rsid w:val="00CF34D9"/>
    <w:rsid w:val="00D0099D"/>
    <w:rsid w:val="00D03E54"/>
    <w:rsid w:val="00D164B5"/>
    <w:rsid w:val="00D24FF8"/>
    <w:rsid w:val="00D33395"/>
    <w:rsid w:val="00D42BBE"/>
    <w:rsid w:val="00D71C83"/>
    <w:rsid w:val="00D80BE1"/>
    <w:rsid w:val="00D959E6"/>
    <w:rsid w:val="00D964EC"/>
    <w:rsid w:val="00DA06DE"/>
    <w:rsid w:val="00DB20E5"/>
    <w:rsid w:val="00DB6932"/>
    <w:rsid w:val="00DC48CC"/>
    <w:rsid w:val="00DC677E"/>
    <w:rsid w:val="00DC6CF0"/>
    <w:rsid w:val="00DF0AA6"/>
    <w:rsid w:val="00E16A96"/>
    <w:rsid w:val="00E22F59"/>
    <w:rsid w:val="00E47CCC"/>
    <w:rsid w:val="00E75A6B"/>
    <w:rsid w:val="00E85AA3"/>
    <w:rsid w:val="00ED0D8C"/>
    <w:rsid w:val="00EE4D26"/>
    <w:rsid w:val="00F01D70"/>
    <w:rsid w:val="00F01E9E"/>
    <w:rsid w:val="00F05816"/>
    <w:rsid w:val="00F11F44"/>
    <w:rsid w:val="00F13049"/>
    <w:rsid w:val="00F21696"/>
    <w:rsid w:val="00F263B9"/>
    <w:rsid w:val="00F32126"/>
    <w:rsid w:val="00F42CDA"/>
    <w:rsid w:val="00F43935"/>
    <w:rsid w:val="00F63625"/>
    <w:rsid w:val="00F6507D"/>
    <w:rsid w:val="00F75C27"/>
    <w:rsid w:val="00F76D03"/>
    <w:rsid w:val="00F77333"/>
    <w:rsid w:val="00F9588E"/>
    <w:rsid w:val="00FA5470"/>
    <w:rsid w:val="00FA5A75"/>
    <w:rsid w:val="00FB3D6B"/>
    <w:rsid w:val="00FC7DF8"/>
    <w:rsid w:val="00FD49EB"/>
    <w:rsid w:val="00FF0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8E95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0E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0E8"/>
    <w:pPr>
      <w:ind w:left="720"/>
      <w:contextualSpacing/>
    </w:pPr>
  </w:style>
  <w:style w:type="character" w:styleId="CommentReference">
    <w:name w:val="annotation reference"/>
    <w:basedOn w:val="DefaultParagraphFont"/>
    <w:uiPriority w:val="99"/>
    <w:semiHidden/>
    <w:unhideWhenUsed/>
    <w:rsid w:val="001510E8"/>
    <w:rPr>
      <w:sz w:val="16"/>
      <w:szCs w:val="16"/>
    </w:rPr>
  </w:style>
  <w:style w:type="paragraph" w:styleId="CommentText">
    <w:name w:val="annotation text"/>
    <w:basedOn w:val="Normal"/>
    <w:link w:val="CommentTextChar"/>
    <w:uiPriority w:val="99"/>
    <w:semiHidden/>
    <w:unhideWhenUsed/>
    <w:rsid w:val="001510E8"/>
    <w:pPr>
      <w:spacing w:line="240" w:lineRule="auto"/>
    </w:pPr>
    <w:rPr>
      <w:sz w:val="20"/>
      <w:szCs w:val="20"/>
    </w:rPr>
  </w:style>
  <w:style w:type="character" w:customStyle="1" w:styleId="CommentTextChar">
    <w:name w:val="Comment Text Char"/>
    <w:basedOn w:val="DefaultParagraphFont"/>
    <w:link w:val="CommentText"/>
    <w:uiPriority w:val="99"/>
    <w:semiHidden/>
    <w:rsid w:val="001510E8"/>
    <w:rPr>
      <w:sz w:val="20"/>
      <w:szCs w:val="20"/>
      <w:lang w:val="fr-FR"/>
    </w:rPr>
  </w:style>
  <w:style w:type="paragraph" w:styleId="BalloonText">
    <w:name w:val="Balloon Text"/>
    <w:basedOn w:val="Normal"/>
    <w:link w:val="BalloonTextChar"/>
    <w:uiPriority w:val="99"/>
    <w:semiHidden/>
    <w:unhideWhenUsed/>
    <w:rsid w:val="001510E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510E8"/>
    <w:rPr>
      <w:rFonts w:ascii="Times New Roman" w:hAnsi="Times New Roman" w:cs="Times New Roman"/>
      <w:sz w:val="18"/>
      <w:szCs w:val="18"/>
      <w:lang w:val="fr-FR"/>
    </w:rPr>
  </w:style>
  <w:style w:type="table" w:styleId="TableGrid">
    <w:name w:val="Table Grid"/>
    <w:basedOn w:val="TableNormal"/>
    <w:uiPriority w:val="59"/>
    <w:rsid w:val="00151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5420AB"/>
  </w:style>
  <w:style w:type="paragraph" w:styleId="Header">
    <w:name w:val="header"/>
    <w:basedOn w:val="Normal"/>
    <w:link w:val="HeaderChar"/>
    <w:uiPriority w:val="99"/>
    <w:unhideWhenUsed/>
    <w:rsid w:val="00C11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1F55"/>
    <w:rPr>
      <w:sz w:val="22"/>
      <w:szCs w:val="22"/>
      <w:lang w:val="fr-FR"/>
    </w:rPr>
  </w:style>
  <w:style w:type="paragraph" w:styleId="Footer">
    <w:name w:val="footer"/>
    <w:basedOn w:val="Normal"/>
    <w:link w:val="FooterChar"/>
    <w:uiPriority w:val="99"/>
    <w:unhideWhenUsed/>
    <w:rsid w:val="00C11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F55"/>
    <w:rPr>
      <w:sz w:val="22"/>
      <w:szCs w:val="22"/>
      <w:lang w:val="fr-FR"/>
    </w:rPr>
  </w:style>
  <w:style w:type="paragraph" w:styleId="EndnoteText">
    <w:name w:val="endnote text"/>
    <w:basedOn w:val="Normal"/>
    <w:link w:val="EndnoteTextChar"/>
    <w:uiPriority w:val="99"/>
    <w:unhideWhenUsed/>
    <w:rsid w:val="00F21696"/>
    <w:pPr>
      <w:spacing w:after="0" w:line="240" w:lineRule="auto"/>
    </w:pPr>
    <w:rPr>
      <w:sz w:val="20"/>
      <w:szCs w:val="20"/>
    </w:rPr>
  </w:style>
  <w:style w:type="character" w:customStyle="1" w:styleId="EndnoteTextChar">
    <w:name w:val="Endnote Text Char"/>
    <w:basedOn w:val="DefaultParagraphFont"/>
    <w:link w:val="EndnoteText"/>
    <w:uiPriority w:val="99"/>
    <w:rsid w:val="00F21696"/>
    <w:rPr>
      <w:sz w:val="20"/>
      <w:szCs w:val="20"/>
      <w:lang w:val="fr-FR"/>
    </w:rPr>
  </w:style>
  <w:style w:type="character" w:styleId="EndnoteReference">
    <w:name w:val="endnote reference"/>
    <w:basedOn w:val="DefaultParagraphFont"/>
    <w:uiPriority w:val="99"/>
    <w:unhideWhenUsed/>
    <w:rsid w:val="00F21696"/>
    <w:rPr>
      <w:vertAlign w:val="superscript"/>
    </w:rPr>
  </w:style>
  <w:style w:type="paragraph" w:styleId="CommentSubject">
    <w:name w:val="annotation subject"/>
    <w:basedOn w:val="CommentText"/>
    <w:next w:val="CommentText"/>
    <w:link w:val="CommentSubjectChar"/>
    <w:uiPriority w:val="99"/>
    <w:semiHidden/>
    <w:unhideWhenUsed/>
    <w:rsid w:val="00DC48CC"/>
    <w:rPr>
      <w:b/>
      <w:bCs/>
    </w:rPr>
  </w:style>
  <w:style w:type="character" w:customStyle="1" w:styleId="CommentSubjectChar">
    <w:name w:val="Comment Subject Char"/>
    <w:basedOn w:val="CommentTextChar"/>
    <w:link w:val="CommentSubject"/>
    <w:uiPriority w:val="99"/>
    <w:semiHidden/>
    <w:rsid w:val="00DC48CC"/>
    <w:rPr>
      <w:b/>
      <w:bCs/>
      <w:sz w:val="20"/>
      <w:szCs w:val="20"/>
      <w:lang w:val="fr-FR"/>
    </w:rPr>
  </w:style>
  <w:style w:type="character" w:styleId="Hyperlink">
    <w:name w:val="Hyperlink"/>
    <w:basedOn w:val="DefaultParagraphFont"/>
    <w:uiPriority w:val="99"/>
    <w:unhideWhenUsed/>
    <w:rsid w:val="000A21A7"/>
    <w:rPr>
      <w:color w:val="0563C1" w:themeColor="hyperlink"/>
      <w:u w:val="single"/>
    </w:rPr>
  </w:style>
  <w:style w:type="paragraph" w:styleId="Revision">
    <w:name w:val="Revision"/>
    <w:hidden/>
    <w:uiPriority w:val="99"/>
    <w:semiHidden/>
    <w:rsid w:val="00D964EC"/>
    <w:rPr>
      <w:sz w:val="22"/>
      <w:szCs w:val="22"/>
    </w:rPr>
  </w:style>
  <w:style w:type="character" w:styleId="FollowedHyperlink">
    <w:name w:val="FollowedHyperlink"/>
    <w:basedOn w:val="DefaultParagraphFont"/>
    <w:uiPriority w:val="99"/>
    <w:semiHidden/>
    <w:unhideWhenUsed/>
    <w:rsid w:val="003D2E4B"/>
    <w:rPr>
      <w:color w:val="954F72" w:themeColor="followedHyperlink"/>
      <w:u w:val="single"/>
    </w:rPr>
  </w:style>
  <w:style w:type="paragraph" w:styleId="FootnoteText">
    <w:name w:val="footnote text"/>
    <w:basedOn w:val="Normal"/>
    <w:link w:val="FootnoteTextChar"/>
    <w:uiPriority w:val="99"/>
    <w:unhideWhenUsed/>
    <w:rsid w:val="001F4F9F"/>
    <w:pPr>
      <w:spacing w:after="0" w:line="240" w:lineRule="auto"/>
    </w:pPr>
    <w:rPr>
      <w:sz w:val="20"/>
      <w:szCs w:val="20"/>
    </w:rPr>
  </w:style>
  <w:style w:type="character" w:customStyle="1" w:styleId="FootnoteTextChar">
    <w:name w:val="Footnote Text Char"/>
    <w:basedOn w:val="DefaultParagraphFont"/>
    <w:link w:val="FootnoteText"/>
    <w:uiPriority w:val="99"/>
    <w:rsid w:val="001F4F9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08710">
      <w:bodyDiv w:val="1"/>
      <w:marLeft w:val="0"/>
      <w:marRight w:val="0"/>
      <w:marTop w:val="0"/>
      <w:marBottom w:val="0"/>
      <w:divBdr>
        <w:top w:val="none" w:sz="0" w:space="0" w:color="auto"/>
        <w:left w:val="none" w:sz="0" w:space="0" w:color="auto"/>
        <w:bottom w:val="none" w:sz="0" w:space="0" w:color="auto"/>
        <w:right w:val="none" w:sz="0" w:space="0" w:color="auto"/>
      </w:divBdr>
      <w:divsChild>
        <w:div w:id="1883859708">
          <w:marLeft w:val="0"/>
          <w:marRight w:val="0"/>
          <w:marTop w:val="0"/>
          <w:marBottom w:val="0"/>
          <w:divBdr>
            <w:top w:val="none" w:sz="0" w:space="0" w:color="auto"/>
            <w:left w:val="none" w:sz="0" w:space="0" w:color="auto"/>
            <w:bottom w:val="none" w:sz="0" w:space="0" w:color="auto"/>
            <w:right w:val="none" w:sz="0" w:space="0" w:color="auto"/>
          </w:divBdr>
        </w:div>
        <w:div w:id="2064519137">
          <w:marLeft w:val="0"/>
          <w:marRight w:val="0"/>
          <w:marTop w:val="0"/>
          <w:marBottom w:val="0"/>
          <w:divBdr>
            <w:top w:val="none" w:sz="0" w:space="0" w:color="auto"/>
            <w:left w:val="none" w:sz="0" w:space="0" w:color="auto"/>
            <w:bottom w:val="none" w:sz="0" w:space="0" w:color="auto"/>
            <w:right w:val="none" w:sz="0" w:space="0" w:color="auto"/>
          </w:divBdr>
        </w:div>
        <w:div w:id="806582440">
          <w:marLeft w:val="0"/>
          <w:marRight w:val="0"/>
          <w:marTop w:val="0"/>
          <w:marBottom w:val="0"/>
          <w:divBdr>
            <w:top w:val="none" w:sz="0" w:space="0" w:color="auto"/>
            <w:left w:val="none" w:sz="0" w:space="0" w:color="auto"/>
            <w:bottom w:val="none" w:sz="0" w:space="0" w:color="auto"/>
            <w:right w:val="none" w:sz="0" w:space="0" w:color="auto"/>
          </w:divBdr>
        </w:div>
        <w:div w:id="1926842358">
          <w:marLeft w:val="0"/>
          <w:marRight w:val="0"/>
          <w:marTop w:val="0"/>
          <w:marBottom w:val="0"/>
          <w:divBdr>
            <w:top w:val="none" w:sz="0" w:space="0" w:color="auto"/>
            <w:left w:val="none" w:sz="0" w:space="0" w:color="auto"/>
            <w:bottom w:val="none" w:sz="0" w:space="0" w:color="auto"/>
            <w:right w:val="none" w:sz="0" w:space="0" w:color="auto"/>
          </w:divBdr>
        </w:div>
        <w:div w:id="1059472507">
          <w:marLeft w:val="0"/>
          <w:marRight w:val="0"/>
          <w:marTop w:val="0"/>
          <w:marBottom w:val="0"/>
          <w:divBdr>
            <w:top w:val="none" w:sz="0" w:space="0" w:color="auto"/>
            <w:left w:val="none" w:sz="0" w:space="0" w:color="auto"/>
            <w:bottom w:val="none" w:sz="0" w:space="0" w:color="auto"/>
            <w:right w:val="none" w:sz="0" w:space="0" w:color="auto"/>
          </w:divBdr>
        </w:div>
        <w:div w:id="1002123147">
          <w:marLeft w:val="0"/>
          <w:marRight w:val="0"/>
          <w:marTop w:val="0"/>
          <w:marBottom w:val="0"/>
          <w:divBdr>
            <w:top w:val="none" w:sz="0" w:space="0" w:color="auto"/>
            <w:left w:val="none" w:sz="0" w:space="0" w:color="auto"/>
            <w:bottom w:val="none" w:sz="0" w:space="0" w:color="auto"/>
            <w:right w:val="none" w:sz="0" w:space="0" w:color="auto"/>
          </w:divBdr>
        </w:div>
      </w:divsChild>
    </w:div>
    <w:div w:id="140734650">
      <w:bodyDiv w:val="1"/>
      <w:marLeft w:val="0"/>
      <w:marRight w:val="0"/>
      <w:marTop w:val="0"/>
      <w:marBottom w:val="0"/>
      <w:divBdr>
        <w:top w:val="none" w:sz="0" w:space="0" w:color="auto"/>
        <w:left w:val="none" w:sz="0" w:space="0" w:color="auto"/>
        <w:bottom w:val="none" w:sz="0" w:space="0" w:color="auto"/>
        <w:right w:val="none" w:sz="0" w:space="0" w:color="auto"/>
      </w:divBdr>
      <w:divsChild>
        <w:div w:id="882981934">
          <w:marLeft w:val="0"/>
          <w:marRight w:val="0"/>
          <w:marTop w:val="0"/>
          <w:marBottom w:val="0"/>
          <w:divBdr>
            <w:top w:val="none" w:sz="0" w:space="0" w:color="auto"/>
            <w:left w:val="none" w:sz="0" w:space="0" w:color="auto"/>
            <w:bottom w:val="none" w:sz="0" w:space="0" w:color="auto"/>
            <w:right w:val="none" w:sz="0" w:space="0" w:color="auto"/>
          </w:divBdr>
        </w:div>
        <w:div w:id="1461263035">
          <w:marLeft w:val="0"/>
          <w:marRight w:val="0"/>
          <w:marTop w:val="0"/>
          <w:marBottom w:val="0"/>
          <w:divBdr>
            <w:top w:val="none" w:sz="0" w:space="0" w:color="auto"/>
            <w:left w:val="none" w:sz="0" w:space="0" w:color="auto"/>
            <w:bottom w:val="none" w:sz="0" w:space="0" w:color="auto"/>
            <w:right w:val="none" w:sz="0" w:space="0" w:color="auto"/>
          </w:divBdr>
        </w:div>
        <w:div w:id="371880771">
          <w:marLeft w:val="0"/>
          <w:marRight w:val="0"/>
          <w:marTop w:val="0"/>
          <w:marBottom w:val="0"/>
          <w:divBdr>
            <w:top w:val="none" w:sz="0" w:space="0" w:color="auto"/>
            <w:left w:val="none" w:sz="0" w:space="0" w:color="auto"/>
            <w:bottom w:val="none" w:sz="0" w:space="0" w:color="auto"/>
            <w:right w:val="none" w:sz="0" w:space="0" w:color="auto"/>
          </w:divBdr>
        </w:div>
      </w:divsChild>
    </w:div>
    <w:div w:id="216817670">
      <w:bodyDiv w:val="1"/>
      <w:marLeft w:val="0"/>
      <w:marRight w:val="0"/>
      <w:marTop w:val="0"/>
      <w:marBottom w:val="0"/>
      <w:divBdr>
        <w:top w:val="none" w:sz="0" w:space="0" w:color="auto"/>
        <w:left w:val="none" w:sz="0" w:space="0" w:color="auto"/>
        <w:bottom w:val="none" w:sz="0" w:space="0" w:color="auto"/>
        <w:right w:val="none" w:sz="0" w:space="0" w:color="auto"/>
      </w:divBdr>
      <w:divsChild>
        <w:div w:id="381565149">
          <w:marLeft w:val="0"/>
          <w:marRight w:val="0"/>
          <w:marTop w:val="0"/>
          <w:marBottom w:val="0"/>
          <w:divBdr>
            <w:top w:val="none" w:sz="0" w:space="0" w:color="auto"/>
            <w:left w:val="none" w:sz="0" w:space="0" w:color="auto"/>
            <w:bottom w:val="none" w:sz="0" w:space="0" w:color="auto"/>
            <w:right w:val="none" w:sz="0" w:space="0" w:color="auto"/>
          </w:divBdr>
        </w:div>
        <w:div w:id="2109032879">
          <w:marLeft w:val="0"/>
          <w:marRight w:val="0"/>
          <w:marTop w:val="0"/>
          <w:marBottom w:val="0"/>
          <w:divBdr>
            <w:top w:val="none" w:sz="0" w:space="0" w:color="auto"/>
            <w:left w:val="none" w:sz="0" w:space="0" w:color="auto"/>
            <w:bottom w:val="none" w:sz="0" w:space="0" w:color="auto"/>
            <w:right w:val="none" w:sz="0" w:space="0" w:color="auto"/>
          </w:divBdr>
        </w:div>
        <w:div w:id="1365329487">
          <w:marLeft w:val="0"/>
          <w:marRight w:val="0"/>
          <w:marTop w:val="0"/>
          <w:marBottom w:val="0"/>
          <w:divBdr>
            <w:top w:val="none" w:sz="0" w:space="0" w:color="auto"/>
            <w:left w:val="none" w:sz="0" w:space="0" w:color="auto"/>
            <w:bottom w:val="none" w:sz="0" w:space="0" w:color="auto"/>
            <w:right w:val="none" w:sz="0" w:space="0" w:color="auto"/>
          </w:divBdr>
        </w:div>
        <w:div w:id="1801725815">
          <w:marLeft w:val="0"/>
          <w:marRight w:val="0"/>
          <w:marTop w:val="0"/>
          <w:marBottom w:val="0"/>
          <w:divBdr>
            <w:top w:val="none" w:sz="0" w:space="0" w:color="auto"/>
            <w:left w:val="none" w:sz="0" w:space="0" w:color="auto"/>
            <w:bottom w:val="none" w:sz="0" w:space="0" w:color="auto"/>
            <w:right w:val="none" w:sz="0" w:space="0" w:color="auto"/>
          </w:divBdr>
        </w:div>
        <w:div w:id="578976768">
          <w:marLeft w:val="0"/>
          <w:marRight w:val="0"/>
          <w:marTop w:val="0"/>
          <w:marBottom w:val="0"/>
          <w:divBdr>
            <w:top w:val="none" w:sz="0" w:space="0" w:color="auto"/>
            <w:left w:val="none" w:sz="0" w:space="0" w:color="auto"/>
            <w:bottom w:val="none" w:sz="0" w:space="0" w:color="auto"/>
            <w:right w:val="none" w:sz="0" w:space="0" w:color="auto"/>
          </w:divBdr>
        </w:div>
        <w:div w:id="651369541">
          <w:marLeft w:val="0"/>
          <w:marRight w:val="0"/>
          <w:marTop w:val="0"/>
          <w:marBottom w:val="0"/>
          <w:divBdr>
            <w:top w:val="none" w:sz="0" w:space="0" w:color="auto"/>
            <w:left w:val="none" w:sz="0" w:space="0" w:color="auto"/>
            <w:bottom w:val="none" w:sz="0" w:space="0" w:color="auto"/>
            <w:right w:val="none" w:sz="0" w:space="0" w:color="auto"/>
          </w:divBdr>
        </w:div>
        <w:div w:id="212885963">
          <w:marLeft w:val="0"/>
          <w:marRight w:val="0"/>
          <w:marTop w:val="0"/>
          <w:marBottom w:val="0"/>
          <w:divBdr>
            <w:top w:val="none" w:sz="0" w:space="0" w:color="auto"/>
            <w:left w:val="none" w:sz="0" w:space="0" w:color="auto"/>
            <w:bottom w:val="none" w:sz="0" w:space="0" w:color="auto"/>
            <w:right w:val="none" w:sz="0" w:space="0" w:color="auto"/>
          </w:divBdr>
        </w:div>
        <w:div w:id="1390224192">
          <w:marLeft w:val="0"/>
          <w:marRight w:val="0"/>
          <w:marTop w:val="0"/>
          <w:marBottom w:val="0"/>
          <w:divBdr>
            <w:top w:val="none" w:sz="0" w:space="0" w:color="auto"/>
            <w:left w:val="none" w:sz="0" w:space="0" w:color="auto"/>
            <w:bottom w:val="none" w:sz="0" w:space="0" w:color="auto"/>
            <w:right w:val="none" w:sz="0" w:space="0" w:color="auto"/>
          </w:divBdr>
        </w:div>
        <w:div w:id="1533692456">
          <w:marLeft w:val="0"/>
          <w:marRight w:val="0"/>
          <w:marTop w:val="0"/>
          <w:marBottom w:val="0"/>
          <w:divBdr>
            <w:top w:val="none" w:sz="0" w:space="0" w:color="auto"/>
            <w:left w:val="none" w:sz="0" w:space="0" w:color="auto"/>
            <w:bottom w:val="none" w:sz="0" w:space="0" w:color="auto"/>
            <w:right w:val="none" w:sz="0" w:space="0" w:color="auto"/>
          </w:divBdr>
        </w:div>
        <w:div w:id="9455875">
          <w:marLeft w:val="0"/>
          <w:marRight w:val="0"/>
          <w:marTop w:val="0"/>
          <w:marBottom w:val="0"/>
          <w:divBdr>
            <w:top w:val="none" w:sz="0" w:space="0" w:color="auto"/>
            <w:left w:val="none" w:sz="0" w:space="0" w:color="auto"/>
            <w:bottom w:val="none" w:sz="0" w:space="0" w:color="auto"/>
            <w:right w:val="none" w:sz="0" w:space="0" w:color="auto"/>
          </w:divBdr>
        </w:div>
        <w:div w:id="282427369">
          <w:marLeft w:val="0"/>
          <w:marRight w:val="0"/>
          <w:marTop w:val="0"/>
          <w:marBottom w:val="0"/>
          <w:divBdr>
            <w:top w:val="none" w:sz="0" w:space="0" w:color="auto"/>
            <w:left w:val="none" w:sz="0" w:space="0" w:color="auto"/>
            <w:bottom w:val="none" w:sz="0" w:space="0" w:color="auto"/>
            <w:right w:val="none" w:sz="0" w:space="0" w:color="auto"/>
          </w:divBdr>
        </w:div>
        <w:div w:id="1152255026">
          <w:marLeft w:val="0"/>
          <w:marRight w:val="0"/>
          <w:marTop w:val="0"/>
          <w:marBottom w:val="0"/>
          <w:divBdr>
            <w:top w:val="none" w:sz="0" w:space="0" w:color="auto"/>
            <w:left w:val="none" w:sz="0" w:space="0" w:color="auto"/>
            <w:bottom w:val="none" w:sz="0" w:space="0" w:color="auto"/>
            <w:right w:val="none" w:sz="0" w:space="0" w:color="auto"/>
          </w:divBdr>
        </w:div>
        <w:div w:id="1761676689">
          <w:marLeft w:val="0"/>
          <w:marRight w:val="0"/>
          <w:marTop w:val="0"/>
          <w:marBottom w:val="0"/>
          <w:divBdr>
            <w:top w:val="none" w:sz="0" w:space="0" w:color="auto"/>
            <w:left w:val="none" w:sz="0" w:space="0" w:color="auto"/>
            <w:bottom w:val="none" w:sz="0" w:space="0" w:color="auto"/>
            <w:right w:val="none" w:sz="0" w:space="0" w:color="auto"/>
          </w:divBdr>
        </w:div>
      </w:divsChild>
    </w:div>
    <w:div w:id="614481371">
      <w:bodyDiv w:val="1"/>
      <w:marLeft w:val="0"/>
      <w:marRight w:val="0"/>
      <w:marTop w:val="0"/>
      <w:marBottom w:val="0"/>
      <w:divBdr>
        <w:top w:val="none" w:sz="0" w:space="0" w:color="auto"/>
        <w:left w:val="none" w:sz="0" w:space="0" w:color="auto"/>
        <w:bottom w:val="none" w:sz="0" w:space="0" w:color="auto"/>
        <w:right w:val="none" w:sz="0" w:space="0" w:color="auto"/>
      </w:divBdr>
      <w:divsChild>
        <w:div w:id="1118833472">
          <w:marLeft w:val="0"/>
          <w:marRight w:val="0"/>
          <w:marTop w:val="0"/>
          <w:marBottom w:val="0"/>
          <w:divBdr>
            <w:top w:val="none" w:sz="0" w:space="0" w:color="auto"/>
            <w:left w:val="none" w:sz="0" w:space="0" w:color="auto"/>
            <w:bottom w:val="none" w:sz="0" w:space="0" w:color="auto"/>
            <w:right w:val="none" w:sz="0" w:space="0" w:color="auto"/>
          </w:divBdr>
        </w:div>
        <w:div w:id="479739174">
          <w:marLeft w:val="0"/>
          <w:marRight w:val="0"/>
          <w:marTop w:val="0"/>
          <w:marBottom w:val="0"/>
          <w:divBdr>
            <w:top w:val="none" w:sz="0" w:space="0" w:color="auto"/>
            <w:left w:val="none" w:sz="0" w:space="0" w:color="auto"/>
            <w:bottom w:val="none" w:sz="0" w:space="0" w:color="auto"/>
            <w:right w:val="none" w:sz="0" w:space="0" w:color="auto"/>
          </w:divBdr>
        </w:div>
        <w:div w:id="2141262697">
          <w:marLeft w:val="0"/>
          <w:marRight w:val="0"/>
          <w:marTop w:val="0"/>
          <w:marBottom w:val="0"/>
          <w:divBdr>
            <w:top w:val="none" w:sz="0" w:space="0" w:color="auto"/>
            <w:left w:val="none" w:sz="0" w:space="0" w:color="auto"/>
            <w:bottom w:val="none" w:sz="0" w:space="0" w:color="auto"/>
            <w:right w:val="none" w:sz="0" w:space="0" w:color="auto"/>
          </w:divBdr>
        </w:div>
        <w:div w:id="910776686">
          <w:marLeft w:val="0"/>
          <w:marRight w:val="0"/>
          <w:marTop w:val="0"/>
          <w:marBottom w:val="0"/>
          <w:divBdr>
            <w:top w:val="none" w:sz="0" w:space="0" w:color="auto"/>
            <w:left w:val="none" w:sz="0" w:space="0" w:color="auto"/>
            <w:bottom w:val="none" w:sz="0" w:space="0" w:color="auto"/>
            <w:right w:val="none" w:sz="0" w:space="0" w:color="auto"/>
          </w:divBdr>
        </w:div>
        <w:div w:id="1876505335">
          <w:marLeft w:val="0"/>
          <w:marRight w:val="0"/>
          <w:marTop w:val="0"/>
          <w:marBottom w:val="0"/>
          <w:divBdr>
            <w:top w:val="none" w:sz="0" w:space="0" w:color="auto"/>
            <w:left w:val="none" w:sz="0" w:space="0" w:color="auto"/>
            <w:bottom w:val="none" w:sz="0" w:space="0" w:color="auto"/>
            <w:right w:val="none" w:sz="0" w:space="0" w:color="auto"/>
          </w:divBdr>
        </w:div>
        <w:div w:id="1254708091">
          <w:marLeft w:val="0"/>
          <w:marRight w:val="0"/>
          <w:marTop w:val="0"/>
          <w:marBottom w:val="0"/>
          <w:divBdr>
            <w:top w:val="none" w:sz="0" w:space="0" w:color="auto"/>
            <w:left w:val="none" w:sz="0" w:space="0" w:color="auto"/>
            <w:bottom w:val="none" w:sz="0" w:space="0" w:color="auto"/>
            <w:right w:val="none" w:sz="0" w:space="0" w:color="auto"/>
          </w:divBdr>
        </w:div>
      </w:divsChild>
    </w:div>
    <w:div w:id="641664870">
      <w:bodyDiv w:val="1"/>
      <w:marLeft w:val="0"/>
      <w:marRight w:val="0"/>
      <w:marTop w:val="0"/>
      <w:marBottom w:val="0"/>
      <w:divBdr>
        <w:top w:val="none" w:sz="0" w:space="0" w:color="auto"/>
        <w:left w:val="none" w:sz="0" w:space="0" w:color="auto"/>
        <w:bottom w:val="none" w:sz="0" w:space="0" w:color="auto"/>
        <w:right w:val="none" w:sz="0" w:space="0" w:color="auto"/>
      </w:divBdr>
      <w:divsChild>
        <w:div w:id="305209783">
          <w:marLeft w:val="0"/>
          <w:marRight w:val="0"/>
          <w:marTop w:val="0"/>
          <w:marBottom w:val="0"/>
          <w:divBdr>
            <w:top w:val="none" w:sz="0" w:space="0" w:color="auto"/>
            <w:left w:val="none" w:sz="0" w:space="0" w:color="auto"/>
            <w:bottom w:val="none" w:sz="0" w:space="0" w:color="auto"/>
            <w:right w:val="none" w:sz="0" w:space="0" w:color="auto"/>
          </w:divBdr>
        </w:div>
        <w:div w:id="218058700">
          <w:marLeft w:val="0"/>
          <w:marRight w:val="0"/>
          <w:marTop w:val="0"/>
          <w:marBottom w:val="0"/>
          <w:divBdr>
            <w:top w:val="none" w:sz="0" w:space="0" w:color="auto"/>
            <w:left w:val="none" w:sz="0" w:space="0" w:color="auto"/>
            <w:bottom w:val="none" w:sz="0" w:space="0" w:color="auto"/>
            <w:right w:val="none" w:sz="0" w:space="0" w:color="auto"/>
          </w:divBdr>
        </w:div>
        <w:div w:id="1514416232">
          <w:marLeft w:val="0"/>
          <w:marRight w:val="0"/>
          <w:marTop w:val="0"/>
          <w:marBottom w:val="0"/>
          <w:divBdr>
            <w:top w:val="none" w:sz="0" w:space="0" w:color="auto"/>
            <w:left w:val="none" w:sz="0" w:space="0" w:color="auto"/>
            <w:bottom w:val="none" w:sz="0" w:space="0" w:color="auto"/>
            <w:right w:val="none" w:sz="0" w:space="0" w:color="auto"/>
          </w:divBdr>
        </w:div>
        <w:div w:id="934706819">
          <w:marLeft w:val="0"/>
          <w:marRight w:val="0"/>
          <w:marTop w:val="0"/>
          <w:marBottom w:val="0"/>
          <w:divBdr>
            <w:top w:val="none" w:sz="0" w:space="0" w:color="auto"/>
            <w:left w:val="none" w:sz="0" w:space="0" w:color="auto"/>
            <w:bottom w:val="none" w:sz="0" w:space="0" w:color="auto"/>
            <w:right w:val="none" w:sz="0" w:space="0" w:color="auto"/>
          </w:divBdr>
        </w:div>
      </w:divsChild>
    </w:div>
    <w:div w:id="714233184">
      <w:bodyDiv w:val="1"/>
      <w:marLeft w:val="0"/>
      <w:marRight w:val="0"/>
      <w:marTop w:val="0"/>
      <w:marBottom w:val="0"/>
      <w:divBdr>
        <w:top w:val="none" w:sz="0" w:space="0" w:color="auto"/>
        <w:left w:val="none" w:sz="0" w:space="0" w:color="auto"/>
        <w:bottom w:val="none" w:sz="0" w:space="0" w:color="auto"/>
        <w:right w:val="none" w:sz="0" w:space="0" w:color="auto"/>
      </w:divBdr>
      <w:divsChild>
        <w:div w:id="895245201">
          <w:marLeft w:val="0"/>
          <w:marRight w:val="0"/>
          <w:marTop w:val="0"/>
          <w:marBottom w:val="0"/>
          <w:divBdr>
            <w:top w:val="none" w:sz="0" w:space="0" w:color="auto"/>
            <w:left w:val="none" w:sz="0" w:space="0" w:color="auto"/>
            <w:bottom w:val="none" w:sz="0" w:space="0" w:color="auto"/>
            <w:right w:val="none" w:sz="0" w:space="0" w:color="auto"/>
          </w:divBdr>
        </w:div>
        <w:div w:id="1967539708">
          <w:marLeft w:val="0"/>
          <w:marRight w:val="0"/>
          <w:marTop w:val="0"/>
          <w:marBottom w:val="0"/>
          <w:divBdr>
            <w:top w:val="none" w:sz="0" w:space="0" w:color="auto"/>
            <w:left w:val="none" w:sz="0" w:space="0" w:color="auto"/>
            <w:bottom w:val="none" w:sz="0" w:space="0" w:color="auto"/>
            <w:right w:val="none" w:sz="0" w:space="0" w:color="auto"/>
          </w:divBdr>
        </w:div>
        <w:div w:id="2061707711">
          <w:marLeft w:val="0"/>
          <w:marRight w:val="0"/>
          <w:marTop w:val="0"/>
          <w:marBottom w:val="0"/>
          <w:divBdr>
            <w:top w:val="none" w:sz="0" w:space="0" w:color="auto"/>
            <w:left w:val="none" w:sz="0" w:space="0" w:color="auto"/>
            <w:bottom w:val="none" w:sz="0" w:space="0" w:color="auto"/>
            <w:right w:val="none" w:sz="0" w:space="0" w:color="auto"/>
          </w:divBdr>
        </w:div>
        <w:div w:id="177668931">
          <w:marLeft w:val="0"/>
          <w:marRight w:val="0"/>
          <w:marTop w:val="0"/>
          <w:marBottom w:val="0"/>
          <w:divBdr>
            <w:top w:val="none" w:sz="0" w:space="0" w:color="auto"/>
            <w:left w:val="none" w:sz="0" w:space="0" w:color="auto"/>
            <w:bottom w:val="none" w:sz="0" w:space="0" w:color="auto"/>
            <w:right w:val="none" w:sz="0" w:space="0" w:color="auto"/>
          </w:divBdr>
        </w:div>
        <w:div w:id="735906240">
          <w:marLeft w:val="0"/>
          <w:marRight w:val="0"/>
          <w:marTop w:val="0"/>
          <w:marBottom w:val="0"/>
          <w:divBdr>
            <w:top w:val="none" w:sz="0" w:space="0" w:color="auto"/>
            <w:left w:val="none" w:sz="0" w:space="0" w:color="auto"/>
            <w:bottom w:val="none" w:sz="0" w:space="0" w:color="auto"/>
            <w:right w:val="none" w:sz="0" w:space="0" w:color="auto"/>
          </w:divBdr>
        </w:div>
        <w:div w:id="522131439">
          <w:marLeft w:val="0"/>
          <w:marRight w:val="0"/>
          <w:marTop w:val="0"/>
          <w:marBottom w:val="0"/>
          <w:divBdr>
            <w:top w:val="none" w:sz="0" w:space="0" w:color="auto"/>
            <w:left w:val="none" w:sz="0" w:space="0" w:color="auto"/>
            <w:bottom w:val="none" w:sz="0" w:space="0" w:color="auto"/>
            <w:right w:val="none" w:sz="0" w:space="0" w:color="auto"/>
          </w:divBdr>
        </w:div>
      </w:divsChild>
    </w:div>
    <w:div w:id="749228426">
      <w:bodyDiv w:val="1"/>
      <w:marLeft w:val="0"/>
      <w:marRight w:val="0"/>
      <w:marTop w:val="0"/>
      <w:marBottom w:val="0"/>
      <w:divBdr>
        <w:top w:val="none" w:sz="0" w:space="0" w:color="auto"/>
        <w:left w:val="none" w:sz="0" w:space="0" w:color="auto"/>
        <w:bottom w:val="none" w:sz="0" w:space="0" w:color="auto"/>
        <w:right w:val="none" w:sz="0" w:space="0" w:color="auto"/>
      </w:divBdr>
      <w:divsChild>
        <w:div w:id="1754669183">
          <w:marLeft w:val="0"/>
          <w:marRight w:val="0"/>
          <w:marTop w:val="0"/>
          <w:marBottom w:val="0"/>
          <w:divBdr>
            <w:top w:val="none" w:sz="0" w:space="0" w:color="auto"/>
            <w:left w:val="none" w:sz="0" w:space="0" w:color="auto"/>
            <w:bottom w:val="none" w:sz="0" w:space="0" w:color="auto"/>
            <w:right w:val="none" w:sz="0" w:space="0" w:color="auto"/>
          </w:divBdr>
        </w:div>
        <w:div w:id="1009020290">
          <w:marLeft w:val="0"/>
          <w:marRight w:val="0"/>
          <w:marTop w:val="0"/>
          <w:marBottom w:val="0"/>
          <w:divBdr>
            <w:top w:val="none" w:sz="0" w:space="0" w:color="auto"/>
            <w:left w:val="none" w:sz="0" w:space="0" w:color="auto"/>
            <w:bottom w:val="none" w:sz="0" w:space="0" w:color="auto"/>
            <w:right w:val="none" w:sz="0" w:space="0" w:color="auto"/>
          </w:divBdr>
        </w:div>
      </w:divsChild>
    </w:div>
    <w:div w:id="970788294">
      <w:bodyDiv w:val="1"/>
      <w:marLeft w:val="0"/>
      <w:marRight w:val="0"/>
      <w:marTop w:val="0"/>
      <w:marBottom w:val="0"/>
      <w:divBdr>
        <w:top w:val="none" w:sz="0" w:space="0" w:color="auto"/>
        <w:left w:val="none" w:sz="0" w:space="0" w:color="auto"/>
        <w:bottom w:val="none" w:sz="0" w:space="0" w:color="auto"/>
        <w:right w:val="none" w:sz="0" w:space="0" w:color="auto"/>
      </w:divBdr>
      <w:divsChild>
        <w:div w:id="1468203380">
          <w:marLeft w:val="0"/>
          <w:marRight w:val="0"/>
          <w:marTop w:val="0"/>
          <w:marBottom w:val="0"/>
          <w:divBdr>
            <w:top w:val="none" w:sz="0" w:space="0" w:color="auto"/>
            <w:left w:val="none" w:sz="0" w:space="0" w:color="auto"/>
            <w:bottom w:val="none" w:sz="0" w:space="0" w:color="auto"/>
            <w:right w:val="none" w:sz="0" w:space="0" w:color="auto"/>
          </w:divBdr>
        </w:div>
        <w:div w:id="1014956835">
          <w:marLeft w:val="0"/>
          <w:marRight w:val="0"/>
          <w:marTop w:val="0"/>
          <w:marBottom w:val="0"/>
          <w:divBdr>
            <w:top w:val="none" w:sz="0" w:space="0" w:color="auto"/>
            <w:left w:val="none" w:sz="0" w:space="0" w:color="auto"/>
            <w:bottom w:val="none" w:sz="0" w:space="0" w:color="auto"/>
            <w:right w:val="none" w:sz="0" w:space="0" w:color="auto"/>
          </w:divBdr>
        </w:div>
        <w:div w:id="1558320597">
          <w:marLeft w:val="0"/>
          <w:marRight w:val="0"/>
          <w:marTop w:val="0"/>
          <w:marBottom w:val="0"/>
          <w:divBdr>
            <w:top w:val="none" w:sz="0" w:space="0" w:color="auto"/>
            <w:left w:val="none" w:sz="0" w:space="0" w:color="auto"/>
            <w:bottom w:val="none" w:sz="0" w:space="0" w:color="auto"/>
            <w:right w:val="none" w:sz="0" w:space="0" w:color="auto"/>
          </w:divBdr>
        </w:div>
        <w:div w:id="734815537">
          <w:marLeft w:val="0"/>
          <w:marRight w:val="0"/>
          <w:marTop w:val="0"/>
          <w:marBottom w:val="0"/>
          <w:divBdr>
            <w:top w:val="none" w:sz="0" w:space="0" w:color="auto"/>
            <w:left w:val="none" w:sz="0" w:space="0" w:color="auto"/>
            <w:bottom w:val="none" w:sz="0" w:space="0" w:color="auto"/>
            <w:right w:val="none" w:sz="0" w:space="0" w:color="auto"/>
          </w:divBdr>
        </w:div>
      </w:divsChild>
    </w:div>
    <w:div w:id="1098597575">
      <w:bodyDiv w:val="1"/>
      <w:marLeft w:val="0"/>
      <w:marRight w:val="0"/>
      <w:marTop w:val="0"/>
      <w:marBottom w:val="0"/>
      <w:divBdr>
        <w:top w:val="none" w:sz="0" w:space="0" w:color="auto"/>
        <w:left w:val="none" w:sz="0" w:space="0" w:color="auto"/>
        <w:bottom w:val="none" w:sz="0" w:space="0" w:color="auto"/>
        <w:right w:val="none" w:sz="0" w:space="0" w:color="auto"/>
      </w:divBdr>
      <w:divsChild>
        <w:div w:id="1505625430">
          <w:marLeft w:val="0"/>
          <w:marRight w:val="0"/>
          <w:marTop w:val="0"/>
          <w:marBottom w:val="30"/>
          <w:divBdr>
            <w:top w:val="none" w:sz="0" w:space="0" w:color="auto"/>
            <w:left w:val="none" w:sz="0" w:space="0" w:color="auto"/>
            <w:bottom w:val="none" w:sz="0" w:space="0" w:color="auto"/>
            <w:right w:val="none" w:sz="0" w:space="0" w:color="auto"/>
          </w:divBdr>
          <w:divsChild>
            <w:div w:id="209076968">
              <w:marLeft w:val="0"/>
              <w:marRight w:val="360"/>
              <w:marTop w:val="0"/>
              <w:marBottom w:val="0"/>
              <w:divBdr>
                <w:top w:val="none" w:sz="0" w:space="0" w:color="auto"/>
                <w:left w:val="none" w:sz="0" w:space="0" w:color="auto"/>
                <w:bottom w:val="none" w:sz="0" w:space="0" w:color="auto"/>
                <w:right w:val="none" w:sz="0" w:space="0" w:color="auto"/>
              </w:divBdr>
              <w:divsChild>
                <w:div w:id="1260137041">
                  <w:marLeft w:val="0"/>
                  <w:marRight w:val="0"/>
                  <w:marTop w:val="0"/>
                  <w:marBottom w:val="0"/>
                  <w:divBdr>
                    <w:top w:val="none" w:sz="0" w:space="0" w:color="auto"/>
                    <w:left w:val="none" w:sz="0" w:space="0" w:color="auto"/>
                    <w:bottom w:val="none" w:sz="0" w:space="0" w:color="auto"/>
                    <w:right w:val="none" w:sz="0" w:space="0" w:color="auto"/>
                  </w:divBdr>
                </w:div>
              </w:divsChild>
            </w:div>
            <w:div w:id="1711102392">
              <w:marLeft w:val="0"/>
              <w:marRight w:val="150"/>
              <w:marTop w:val="0"/>
              <w:marBottom w:val="0"/>
              <w:divBdr>
                <w:top w:val="none" w:sz="0" w:space="0" w:color="auto"/>
                <w:left w:val="none" w:sz="0" w:space="0" w:color="auto"/>
                <w:bottom w:val="none" w:sz="0" w:space="0" w:color="auto"/>
                <w:right w:val="none" w:sz="0" w:space="0" w:color="auto"/>
              </w:divBdr>
            </w:div>
            <w:div w:id="1320498539">
              <w:marLeft w:val="0"/>
              <w:marRight w:val="0"/>
              <w:marTop w:val="0"/>
              <w:marBottom w:val="0"/>
              <w:divBdr>
                <w:top w:val="none" w:sz="0" w:space="0" w:color="auto"/>
                <w:left w:val="none" w:sz="0" w:space="0" w:color="auto"/>
                <w:bottom w:val="none" w:sz="0" w:space="0" w:color="auto"/>
                <w:right w:val="none" w:sz="0" w:space="0" w:color="auto"/>
              </w:divBdr>
              <w:divsChild>
                <w:div w:id="1602958540">
                  <w:marLeft w:val="0"/>
                  <w:marRight w:val="0"/>
                  <w:marTop w:val="0"/>
                  <w:marBottom w:val="0"/>
                  <w:divBdr>
                    <w:top w:val="none" w:sz="0" w:space="0" w:color="auto"/>
                    <w:left w:val="none" w:sz="0" w:space="0" w:color="auto"/>
                    <w:bottom w:val="dotted" w:sz="6" w:space="2" w:color="CCCCCC"/>
                    <w:right w:val="none" w:sz="0" w:space="0" w:color="auto"/>
                  </w:divBdr>
                  <w:divsChild>
                    <w:div w:id="762339932">
                      <w:marLeft w:val="0"/>
                      <w:marRight w:val="150"/>
                      <w:marTop w:val="0"/>
                      <w:marBottom w:val="0"/>
                      <w:divBdr>
                        <w:top w:val="none" w:sz="0" w:space="0" w:color="auto"/>
                        <w:left w:val="none" w:sz="0" w:space="0" w:color="auto"/>
                        <w:bottom w:val="none" w:sz="0" w:space="0" w:color="auto"/>
                        <w:right w:val="none" w:sz="0" w:space="0" w:color="auto"/>
                      </w:divBdr>
                      <w:divsChild>
                        <w:div w:id="2134397695">
                          <w:marLeft w:val="0"/>
                          <w:marRight w:val="0"/>
                          <w:marTop w:val="0"/>
                          <w:marBottom w:val="0"/>
                          <w:divBdr>
                            <w:top w:val="none" w:sz="0" w:space="0" w:color="auto"/>
                            <w:left w:val="none" w:sz="0" w:space="0" w:color="auto"/>
                            <w:bottom w:val="none" w:sz="0" w:space="0" w:color="auto"/>
                            <w:right w:val="none" w:sz="0" w:space="0" w:color="auto"/>
                          </w:divBdr>
                        </w:div>
                      </w:divsChild>
                    </w:div>
                    <w:div w:id="294530824">
                      <w:marLeft w:val="0"/>
                      <w:marRight w:val="0"/>
                      <w:marTop w:val="0"/>
                      <w:marBottom w:val="0"/>
                      <w:divBdr>
                        <w:top w:val="none" w:sz="0" w:space="0" w:color="auto"/>
                        <w:left w:val="none" w:sz="0" w:space="0" w:color="auto"/>
                        <w:bottom w:val="none" w:sz="0" w:space="0" w:color="auto"/>
                        <w:right w:val="none" w:sz="0" w:space="0" w:color="auto"/>
                      </w:divBdr>
                    </w:div>
                  </w:divsChild>
                </w:div>
                <w:div w:id="725756890">
                  <w:marLeft w:val="0"/>
                  <w:marRight w:val="0"/>
                  <w:marTop w:val="0"/>
                  <w:marBottom w:val="0"/>
                  <w:divBdr>
                    <w:top w:val="none" w:sz="0" w:space="0" w:color="auto"/>
                    <w:left w:val="none" w:sz="0" w:space="0" w:color="auto"/>
                    <w:bottom w:val="dotted" w:sz="6" w:space="2" w:color="CCCCCC"/>
                    <w:right w:val="none" w:sz="0" w:space="0" w:color="auto"/>
                  </w:divBdr>
                  <w:divsChild>
                    <w:div w:id="1724985733">
                      <w:marLeft w:val="0"/>
                      <w:marRight w:val="150"/>
                      <w:marTop w:val="0"/>
                      <w:marBottom w:val="0"/>
                      <w:divBdr>
                        <w:top w:val="none" w:sz="0" w:space="0" w:color="auto"/>
                        <w:left w:val="none" w:sz="0" w:space="0" w:color="auto"/>
                        <w:bottom w:val="none" w:sz="0" w:space="0" w:color="auto"/>
                        <w:right w:val="none" w:sz="0" w:space="0" w:color="auto"/>
                      </w:divBdr>
                      <w:divsChild>
                        <w:div w:id="2076584088">
                          <w:marLeft w:val="0"/>
                          <w:marRight w:val="0"/>
                          <w:marTop w:val="0"/>
                          <w:marBottom w:val="0"/>
                          <w:divBdr>
                            <w:top w:val="none" w:sz="0" w:space="0" w:color="auto"/>
                            <w:left w:val="none" w:sz="0" w:space="0" w:color="auto"/>
                            <w:bottom w:val="none" w:sz="0" w:space="0" w:color="auto"/>
                            <w:right w:val="none" w:sz="0" w:space="0" w:color="auto"/>
                          </w:divBdr>
                        </w:div>
                      </w:divsChild>
                    </w:div>
                    <w:div w:id="108784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700894">
      <w:bodyDiv w:val="1"/>
      <w:marLeft w:val="0"/>
      <w:marRight w:val="0"/>
      <w:marTop w:val="0"/>
      <w:marBottom w:val="0"/>
      <w:divBdr>
        <w:top w:val="none" w:sz="0" w:space="0" w:color="auto"/>
        <w:left w:val="none" w:sz="0" w:space="0" w:color="auto"/>
        <w:bottom w:val="none" w:sz="0" w:space="0" w:color="auto"/>
        <w:right w:val="none" w:sz="0" w:space="0" w:color="auto"/>
      </w:divBdr>
      <w:divsChild>
        <w:div w:id="65226422">
          <w:marLeft w:val="0"/>
          <w:marRight w:val="0"/>
          <w:marTop w:val="0"/>
          <w:marBottom w:val="0"/>
          <w:divBdr>
            <w:top w:val="none" w:sz="0" w:space="0" w:color="auto"/>
            <w:left w:val="none" w:sz="0" w:space="0" w:color="auto"/>
            <w:bottom w:val="none" w:sz="0" w:space="0" w:color="auto"/>
            <w:right w:val="none" w:sz="0" w:space="0" w:color="auto"/>
          </w:divBdr>
        </w:div>
        <w:div w:id="1545097681">
          <w:marLeft w:val="0"/>
          <w:marRight w:val="0"/>
          <w:marTop w:val="0"/>
          <w:marBottom w:val="0"/>
          <w:divBdr>
            <w:top w:val="none" w:sz="0" w:space="0" w:color="auto"/>
            <w:left w:val="none" w:sz="0" w:space="0" w:color="auto"/>
            <w:bottom w:val="none" w:sz="0" w:space="0" w:color="auto"/>
            <w:right w:val="none" w:sz="0" w:space="0" w:color="auto"/>
          </w:divBdr>
        </w:div>
        <w:div w:id="1456561397">
          <w:marLeft w:val="0"/>
          <w:marRight w:val="0"/>
          <w:marTop w:val="0"/>
          <w:marBottom w:val="0"/>
          <w:divBdr>
            <w:top w:val="none" w:sz="0" w:space="0" w:color="auto"/>
            <w:left w:val="none" w:sz="0" w:space="0" w:color="auto"/>
            <w:bottom w:val="none" w:sz="0" w:space="0" w:color="auto"/>
            <w:right w:val="none" w:sz="0" w:space="0" w:color="auto"/>
          </w:divBdr>
        </w:div>
        <w:div w:id="1246644301">
          <w:marLeft w:val="0"/>
          <w:marRight w:val="0"/>
          <w:marTop w:val="0"/>
          <w:marBottom w:val="0"/>
          <w:divBdr>
            <w:top w:val="none" w:sz="0" w:space="0" w:color="auto"/>
            <w:left w:val="none" w:sz="0" w:space="0" w:color="auto"/>
            <w:bottom w:val="none" w:sz="0" w:space="0" w:color="auto"/>
            <w:right w:val="none" w:sz="0" w:space="0" w:color="auto"/>
          </w:divBdr>
        </w:div>
        <w:div w:id="1328050036">
          <w:marLeft w:val="0"/>
          <w:marRight w:val="0"/>
          <w:marTop w:val="0"/>
          <w:marBottom w:val="0"/>
          <w:divBdr>
            <w:top w:val="none" w:sz="0" w:space="0" w:color="auto"/>
            <w:left w:val="none" w:sz="0" w:space="0" w:color="auto"/>
            <w:bottom w:val="none" w:sz="0" w:space="0" w:color="auto"/>
            <w:right w:val="none" w:sz="0" w:space="0" w:color="auto"/>
          </w:divBdr>
        </w:div>
        <w:div w:id="1844396259">
          <w:marLeft w:val="0"/>
          <w:marRight w:val="0"/>
          <w:marTop w:val="0"/>
          <w:marBottom w:val="0"/>
          <w:divBdr>
            <w:top w:val="none" w:sz="0" w:space="0" w:color="auto"/>
            <w:left w:val="none" w:sz="0" w:space="0" w:color="auto"/>
            <w:bottom w:val="none" w:sz="0" w:space="0" w:color="auto"/>
            <w:right w:val="none" w:sz="0" w:space="0" w:color="auto"/>
          </w:divBdr>
        </w:div>
        <w:div w:id="1640763962">
          <w:marLeft w:val="0"/>
          <w:marRight w:val="0"/>
          <w:marTop w:val="0"/>
          <w:marBottom w:val="0"/>
          <w:divBdr>
            <w:top w:val="none" w:sz="0" w:space="0" w:color="auto"/>
            <w:left w:val="none" w:sz="0" w:space="0" w:color="auto"/>
            <w:bottom w:val="none" w:sz="0" w:space="0" w:color="auto"/>
            <w:right w:val="none" w:sz="0" w:space="0" w:color="auto"/>
          </w:divBdr>
        </w:div>
        <w:div w:id="1012999305">
          <w:marLeft w:val="0"/>
          <w:marRight w:val="0"/>
          <w:marTop w:val="0"/>
          <w:marBottom w:val="0"/>
          <w:divBdr>
            <w:top w:val="none" w:sz="0" w:space="0" w:color="auto"/>
            <w:left w:val="none" w:sz="0" w:space="0" w:color="auto"/>
            <w:bottom w:val="none" w:sz="0" w:space="0" w:color="auto"/>
            <w:right w:val="none" w:sz="0" w:space="0" w:color="auto"/>
          </w:divBdr>
        </w:div>
        <w:div w:id="804810623">
          <w:marLeft w:val="0"/>
          <w:marRight w:val="0"/>
          <w:marTop w:val="0"/>
          <w:marBottom w:val="0"/>
          <w:divBdr>
            <w:top w:val="none" w:sz="0" w:space="0" w:color="auto"/>
            <w:left w:val="none" w:sz="0" w:space="0" w:color="auto"/>
            <w:bottom w:val="none" w:sz="0" w:space="0" w:color="auto"/>
            <w:right w:val="none" w:sz="0" w:space="0" w:color="auto"/>
          </w:divBdr>
        </w:div>
        <w:div w:id="1955821751">
          <w:marLeft w:val="0"/>
          <w:marRight w:val="0"/>
          <w:marTop w:val="0"/>
          <w:marBottom w:val="0"/>
          <w:divBdr>
            <w:top w:val="none" w:sz="0" w:space="0" w:color="auto"/>
            <w:left w:val="none" w:sz="0" w:space="0" w:color="auto"/>
            <w:bottom w:val="none" w:sz="0" w:space="0" w:color="auto"/>
            <w:right w:val="none" w:sz="0" w:space="0" w:color="auto"/>
          </w:divBdr>
        </w:div>
        <w:div w:id="1132554244">
          <w:marLeft w:val="0"/>
          <w:marRight w:val="0"/>
          <w:marTop w:val="0"/>
          <w:marBottom w:val="0"/>
          <w:divBdr>
            <w:top w:val="none" w:sz="0" w:space="0" w:color="auto"/>
            <w:left w:val="none" w:sz="0" w:space="0" w:color="auto"/>
            <w:bottom w:val="none" w:sz="0" w:space="0" w:color="auto"/>
            <w:right w:val="none" w:sz="0" w:space="0" w:color="auto"/>
          </w:divBdr>
        </w:div>
        <w:div w:id="59136123">
          <w:marLeft w:val="0"/>
          <w:marRight w:val="0"/>
          <w:marTop w:val="0"/>
          <w:marBottom w:val="0"/>
          <w:divBdr>
            <w:top w:val="none" w:sz="0" w:space="0" w:color="auto"/>
            <w:left w:val="none" w:sz="0" w:space="0" w:color="auto"/>
            <w:bottom w:val="none" w:sz="0" w:space="0" w:color="auto"/>
            <w:right w:val="none" w:sz="0" w:space="0" w:color="auto"/>
          </w:divBdr>
        </w:div>
        <w:div w:id="77795771">
          <w:marLeft w:val="0"/>
          <w:marRight w:val="0"/>
          <w:marTop w:val="0"/>
          <w:marBottom w:val="0"/>
          <w:divBdr>
            <w:top w:val="none" w:sz="0" w:space="0" w:color="auto"/>
            <w:left w:val="none" w:sz="0" w:space="0" w:color="auto"/>
            <w:bottom w:val="none" w:sz="0" w:space="0" w:color="auto"/>
            <w:right w:val="none" w:sz="0" w:space="0" w:color="auto"/>
          </w:divBdr>
        </w:div>
      </w:divsChild>
    </w:div>
    <w:div w:id="1270812912">
      <w:bodyDiv w:val="1"/>
      <w:marLeft w:val="0"/>
      <w:marRight w:val="0"/>
      <w:marTop w:val="0"/>
      <w:marBottom w:val="0"/>
      <w:divBdr>
        <w:top w:val="none" w:sz="0" w:space="0" w:color="auto"/>
        <w:left w:val="none" w:sz="0" w:space="0" w:color="auto"/>
        <w:bottom w:val="none" w:sz="0" w:space="0" w:color="auto"/>
        <w:right w:val="none" w:sz="0" w:space="0" w:color="auto"/>
      </w:divBdr>
      <w:divsChild>
        <w:div w:id="1713578252">
          <w:marLeft w:val="0"/>
          <w:marRight w:val="0"/>
          <w:marTop w:val="0"/>
          <w:marBottom w:val="0"/>
          <w:divBdr>
            <w:top w:val="none" w:sz="0" w:space="0" w:color="auto"/>
            <w:left w:val="none" w:sz="0" w:space="0" w:color="auto"/>
            <w:bottom w:val="none" w:sz="0" w:space="0" w:color="auto"/>
            <w:right w:val="none" w:sz="0" w:space="0" w:color="auto"/>
          </w:divBdr>
        </w:div>
        <w:div w:id="1321352577">
          <w:marLeft w:val="0"/>
          <w:marRight w:val="0"/>
          <w:marTop w:val="0"/>
          <w:marBottom w:val="0"/>
          <w:divBdr>
            <w:top w:val="none" w:sz="0" w:space="0" w:color="auto"/>
            <w:left w:val="none" w:sz="0" w:space="0" w:color="auto"/>
            <w:bottom w:val="none" w:sz="0" w:space="0" w:color="auto"/>
            <w:right w:val="none" w:sz="0" w:space="0" w:color="auto"/>
          </w:divBdr>
        </w:div>
        <w:div w:id="464003411">
          <w:marLeft w:val="0"/>
          <w:marRight w:val="0"/>
          <w:marTop w:val="0"/>
          <w:marBottom w:val="0"/>
          <w:divBdr>
            <w:top w:val="none" w:sz="0" w:space="0" w:color="auto"/>
            <w:left w:val="none" w:sz="0" w:space="0" w:color="auto"/>
            <w:bottom w:val="none" w:sz="0" w:space="0" w:color="auto"/>
            <w:right w:val="none" w:sz="0" w:space="0" w:color="auto"/>
          </w:divBdr>
        </w:div>
        <w:div w:id="220214781">
          <w:marLeft w:val="0"/>
          <w:marRight w:val="0"/>
          <w:marTop w:val="0"/>
          <w:marBottom w:val="0"/>
          <w:divBdr>
            <w:top w:val="none" w:sz="0" w:space="0" w:color="auto"/>
            <w:left w:val="none" w:sz="0" w:space="0" w:color="auto"/>
            <w:bottom w:val="none" w:sz="0" w:space="0" w:color="auto"/>
            <w:right w:val="none" w:sz="0" w:space="0" w:color="auto"/>
          </w:divBdr>
        </w:div>
        <w:div w:id="1321689911">
          <w:marLeft w:val="0"/>
          <w:marRight w:val="0"/>
          <w:marTop w:val="0"/>
          <w:marBottom w:val="0"/>
          <w:divBdr>
            <w:top w:val="none" w:sz="0" w:space="0" w:color="auto"/>
            <w:left w:val="none" w:sz="0" w:space="0" w:color="auto"/>
            <w:bottom w:val="none" w:sz="0" w:space="0" w:color="auto"/>
            <w:right w:val="none" w:sz="0" w:space="0" w:color="auto"/>
          </w:divBdr>
        </w:div>
        <w:div w:id="1814057171">
          <w:marLeft w:val="0"/>
          <w:marRight w:val="0"/>
          <w:marTop w:val="0"/>
          <w:marBottom w:val="0"/>
          <w:divBdr>
            <w:top w:val="none" w:sz="0" w:space="0" w:color="auto"/>
            <w:left w:val="none" w:sz="0" w:space="0" w:color="auto"/>
            <w:bottom w:val="none" w:sz="0" w:space="0" w:color="auto"/>
            <w:right w:val="none" w:sz="0" w:space="0" w:color="auto"/>
          </w:divBdr>
        </w:div>
      </w:divsChild>
    </w:div>
    <w:div w:id="1305355604">
      <w:bodyDiv w:val="1"/>
      <w:marLeft w:val="0"/>
      <w:marRight w:val="0"/>
      <w:marTop w:val="0"/>
      <w:marBottom w:val="0"/>
      <w:divBdr>
        <w:top w:val="none" w:sz="0" w:space="0" w:color="auto"/>
        <w:left w:val="none" w:sz="0" w:space="0" w:color="auto"/>
        <w:bottom w:val="none" w:sz="0" w:space="0" w:color="auto"/>
        <w:right w:val="none" w:sz="0" w:space="0" w:color="auto"/>
      </w:divBdr>
      <w:divsChild>
        <w:div w:id="491213404">
          <w:marLeft w:val="0"/>
          <w:marRight w:val="0"/>
          <w:marTop w:val="0"/>
          <w:marBottom w:val="0"/>
          <w:divBdr>
            <w:top w:val="none" w:sz="0" w:space="0" w:color="auto"/>
            <w:left w:val="none" w:sz="0" w:space="0" w:color="auto"/>
            <w:bottom w:val="none" w:sz="0" w:space="0" w:color="auto"/>
            <w:right w:val="none" w:sz="0" w:space="0" w:color="auto"/>
          </w:divBdr>
        </w:div>
        <w:div w:id="919489536">
          <w:marLeft w:val="0"/>
          <w:marRight w:val="0"/>
          <w:marTop w:val="0"/>
          <w:marBottom w:val="0"/>
          <w:divBdr>
            <w:top w:val="none" w:sz="0" w:space="0" w:color="auto"/>
            <w:left w:val="none" w:sz="0" w:space="0" w:color="auto"/>
            <w:bottom w:val="none" w:sz="0" w:space="0" w:color="auto"/>
            <w:right w:val="none" w:sz="0" w:space="0" w:color="auto"/>
          </w:divBdr>
        </w:div>
        <w:div w:id="824006814">
          <w:marLeft w:val="0"/>
          <w:marRight w:val="0"/>
          <w:marTop w:val="0"/>
          <w:marBottom w:val="0"/>
          <w:divBdr>
            <w:top w:val="none" w:sz="0" w:space="0" w:color="auto"/>
            <w:left w:val="none" w:sz="0" w:space="0" w:color="auto"/>
            <w:bottom w:val="none" w:sz="0" w:space="0" w:color="auto"/>
            <w:right w:val="none" w:sz="0" w:space="0" w:color="auto"/>
          </w:divBdr>
        </w:div>
        <w:div w:id="1029456966">
          <w:marLeft w:val="0"/>
          <w:marRight w:val="0"/>
          <w:marTop w:val="0"/>
          <w:marBottom w:val="0"/>
          <w:divBdr>
            <w:top w:val="none" w:sz="0" w:space="0" w:color="auto"/>
            <w:left w:val="none" w:sz="0" w:space="0" w:color="auto"/>
            <w:bottom w:val="none" w:sz="0" w:space="0" w:color="auto"/>
            <w:right w:val="none" w:sz="0" w:space="0" w:color="auto"/>
          </w:divBdr>
        </w:div>
      </w:divsChild>
    </w:div>
    <w:div w:id="1320112937">
      <w:bodyDiv w:val="1"/>
      <w:marLeft w:val="0"/>
      <w:marRight w:val="0"/>
      <w:marTop w:val="0"/>
      <w:marBottom w:val="0"/>
      <w:divBdr>
        <w:top w:val="none" w:sz="0" w:space="0" w:color="auto"/>
        <w:left w:val="none" w:sz="0" w:space="0" w:color="auto"/>
        <w:bottom w:val="none" w:sz="0" w:space="0" w:color="auto"/>
        <w:right w:val="none" w:sz="0" w:space="0" w:color="auto"/>
      </w:divBdr>
      <w:divsChild>
        <w:div w:id="1253323358">
          <w:marLeft w:val="0"/>
          <w:marRight w:val="0"/>
          <w:marTop w:val="0"/>
          <w:marBottom w:val="30"/>
          <w:divBdr>
            <w:top w:val="none" w:sz="0" w:space="0" w:color="auto"/>
            <w:left w:val="none" w:sz="0" w:space="0" w:color="auto"/>
            <w:bottom w:val="none" w:sz="0" w:space="0" w:color="auto"/>
            <w:right w:val="none" w:sz="0" w:space="0" w:color="auto"/>
          </w:divBdr>
          <w:divsChild>
            <w:div w:id="1004284736">
              <w:marLeft w:val="0"/>
              <w:marRight w:val="360"/>
              <w:marTop w:val="0"/>
              <w:marBottom w:val="0"/>
              <w:divBdr>
                <w:top w:val="none" w:sz="0" w:space="0" w:color="auto"/>
                <w:left w:val="none" w:sz="0" w:space="0" w:color="auto"/>
                <w:bottom w:val="none" w:sz="0" w:space="0" w:color="auto"/>
                <w:right w:val="none" w:sz="0" w:space="0" w:color="auto"/>
              </w:divBdr>
              <w:divsChild>
                <w:div w:id="1076126492">
                  <w:marLeft w:val="0"/>
                  <w:marRight w:val="0"/>
                  <w:marTop w:val="0"/>
                  <w:marBottom w:val="0"/>
                  <w:divBdr>
                    <w:top w:val="none" w:sz="0" w:space="0" w:color="auto"/>
                    <w:left w:val="none" w:sz="0" w:space="0" w:color="auto"/>
                    <w:bottom w:val="none" w:sz="0" w:space="0" w:color="auto"/>
                    <w:right w:val="none" w:sz="0" w:space="0" w:color="auto"/>
                  </w:divBdr>
                </w:div>
              </w:divsChild>
            </w:div>
            <w:div w:id="1114130973">
              <w:marLeft w:val="0"/>
              <w:marRight w:val="150"/>
              <w:marTop w:val="0"/>
              <w:marBottom w:val="0"/>
              <w:divBdr>
                <w:top w:val="none" w:sz="0" w:space="0" w:color="auto"/>
                <w:left w:val="none" w:sz="0" w:space="0" w:color="auto"/>
                <w:bottom w:val="none" w:sz="0" w:space="0" w:color="auto"/>
                <w:right w:val="none" w:sz="0" w:space="0" w:color="auto"/>
              </w:divBdr>
            </w:div>
            <w:div w:id="1304702357">
              <w:marLeft w:val="0"/>
              <w:marRight w:val="0"/>
              <w:marTop w:val="0"/>
              <w:marBottom w:val="0"/>
              <w:divBdr>
                <w:top w:val="none" w:sz="0" w:space="0" w:color="auto"/>
                <w:left w:val="none" w:sz="0" w:space="0" w:color="auto"/>
                <w:bottom w:val="none" w:sz="0" w:space="0" w:color="auto"/>
                <w:right w:val="none" w:sz="0" w:space="0" w:color="auto"/>
              </w:divBdr>
              <w:divsChild>
                <w:div w:id="1523129996">
                  <w:marLeft w:val="0"/>
                  <w:marRight w:val="0"/>
                  <w:marTop w:val="0"/>
                  <w:marBottom w:val="0"/>
                  <w:divBdr>
                    <w:top w:val="none" w:sz="0" w:space="0" w:color="auto"/>
                    <w:left w:val="none" w:sz="0" w:space="0" w:color="auto"/>
                    <w:bottom w:val="dotted" w:sz="6" w:space="2" w:color="CCCCCC"/>
                    <w:right w:val="none" w:sz="0" w:space="0" w:color="auto"/>
                  </w:divBdr>
                  <w:divsChild>
                    <w:div w:id="1858807188">
                      <w:marLeft w:val="0"/>
                      <w:marRight w:val="150"/>
                      <w:marTop w:val="0"/>
                      <w:marBottom w:val="0"/>
                      <w:divBdr>
                        <w:top w:val="none" w:sz="0" w:space="0" w:color="auto"/>
                        <w:left w:val="none" w:sz="0" w:space="0" w:color="auto"/>
                        <w:bottom w:val="none" w:sz="0" w:space="0" w:color="auto"/>
                        <w:right w:val="none" w:sz="0" w:space="0" w:color="auto"/>
                      </w:divBdr>
                      <w:divsChild>
                        <w:div w:id="1227109920">
                          <w:marLeft w:val="0"/>
                          <w:marRight w:val="0"/>
                          <w:marTop w:val="0"/>
                          <w:marBottom w:val="0"/>
                          <w:divBdr>
                            <w:top w:val="none" w:sz="0" w:space="0" w:color="auto"/>
                            <w:left w:val="none" w:sz="0" w:space="0" w:color="auto"/>
                            <w:bottom w:val="none" w:sz="0" w:space="0" w:color="auto"/>
                            <w:right w:val="none" w:sz="0" w:space="0" w:color="auto"/>
                          </w:divBdr>
                        </w:div>
                      </w:divsChild>
                    </w:div>
                    <w:div w:id="682896002">
                      <w:marLeft w:val="0"/>
                      <w:marRight w:val="0"/>
                      <w:marTop w:val="0"/>
                      <w:marBottom w:val="0"/>
                      <w:divBdr>
                        <w:top w:val="none" w:sz="0" w:space="0" w:color="auto"/>
                        <w:left w:val="none" w:sz="0" w:space="0" w:color="auto"/>
                        <w:bottom w:val="none" w:sz="0" w:space="0" w:color="auto"/>
                        <w:right w:val="none" w:sz="0" w:space="0" w:color="auto"/>
                      </w:divBdr>
                    </w:div>
                  </w:divsChild>
                </w:div>
                <w:div w:id="607274851">
                  <w:marLeft w:val="0"/>
                  <w:marRight w:val="0"/>
                  <w:marTop w:val="0"/>
                  <w:marBottom w:val="0"/>
                  <w:divBdr>
                    <w:top w:val="none" w:sz="0" w:space="0" w:color="auto"/>
                    <w:left w:val="none" w:sz="0" w:space="0" w:color="auto"/>
                    <w:bottom w:val="dotted" w:sz="6" w:space="2" w:color="CCCCCC"/>
                    <w:right w:val="none" w:sz="0" w:space="0" w:color="auto"/>
                  </w:divBdr>
                  <w:divsChild>
                    <w:div w:id="95365171">
                      <w:marLeft w:val="0"/>
                      <w:marRight w:val="150"/>
                      <w:marTop w:val="0"/>
                      <w:marBottom w:val="0"/>
                      <w:divBdr>
                        <w:top w:val="none" w:sz="0" w:space="0" w:color="auto"/>
                        <w:left w:val="none" w:sz="0" w:space="0" w:color="auto"/>
                        <w:bottom w:val="none" w:sz="0" w:space="0" w:color="auto"/>
                        <w:right w:val="none" w:sz="0" w:space="0" w:color="auto"/>
                      </w:divBdr>
                      <w:divsChild>
                        <w:div w:id="1758937813">
                          <w:marLeft w:val="0"/>
                          <w:marRight w:val="0"/>
                          <w:marTop w:val="0"/>
                          <w:marBottom w:val="0"/>
                          <w:divBdr>
                            <w:top w:val="none" w:sz="0" w:space="0" w:color="auto"/>
                            <w:left w:val="none" w:sz="0" w:space="0" w:color="auto"/>
                            <w:bottom w:val="none" w:sz="0" w:space="0" w:color="auto"/>
                            <w:right w:val="none" w:sz="0" w:space="0" w:color="auto"/>
                          </w:divBdr>
                        </w:div>
                      </w:divsChild>
                    </w:div>
                    <w:div w:id="106144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4434712">
      <w:bodyDiv w:val="1"/>
      <w:marLeft w:val="0"/>
      <w:marRight w:val="0"/>
      <w:marTop w:val="0"/>
      <w:marBottom w:val="0"/>
      <w:divBdr>
        <w:top w:val="none" w:sz="0" w:space="0" w:color="auto"/>
        <w:left w:val="none" w:sz="0" w:space="0" w:color="auto"/>
        <w:bottom w:val="none" w:sz="0" w:space="0" w:color="auto"/>
        <w:right w:val="none" w:sz="0" w:space="0" w:color="auto"/>
      </w:divBdr>
      <w:divsChild>
        <w:div w:id="710765507">
          <w:marLeft w:val="0"/>
          <w:marRight w:val="0"/>
          <w:marTop w:val="0"/>
          <w:marBottom w:val="0"/>
          <w:divBdr>
            <w:top w:val="none" w:sz="0" w:space="0" w:color="auto"/>
            <w:left w:val="none" w:sz="0" w:space="0" w:color="auto"/>
            <w:bottom w:val="none" w:sz="0" w:space="0" w:color="auto"/>
            <w:right w:val="none" w:sz="0" w:space="0" w:color="auto"/>
          </w:divBdr>
          <w:divsChild>
            <w:div w:id="1562254319">
              <w:marLeft w:val="0"/>
              <w:marRight w:val="0"/>
              <w:marTop w:val="0"/>
              <w:marBottom w:val="0"/>
              <w:divBdr>
                <w:top w:val="none" w:sz="0" w:space="0" w:color="auto"/>
                <w:left w:val="none" w:sz="0" w:space="0" w:color="auto"/>
                <w:bottom w:val="none" w:sz="0" w:space="0" w:color="auto"/>
                <w:right w:val="none" w:sz="0" w:space="0" w:color="auto"/>
              </w:divBdr>
            </w:div>
            <w:div w:id="807013974">
              <w:marLeft w:val="0"/>
              <w:marRight w:val="0"/>
              <w:marTop w:val="0"/>
              <w:marBottom w:val="0"/>
              <w:divBdr>
                <w:top w:val="none" w:sz="0" w:space="0" w:color="auto"/>
                <w:left w:val="none" w:sz="0" w:space="0" w:color="auto"/>
                <w:bottom w:val="none" w:sz="0" w:space="0" w:color="auto"/>
                <w:right w:val="none" w:sz="0" w:space="0" w:color="auto"/>
              </w:divBdr>
            </w:div>
            <w:div w:id="141238228">
              <w:marLeft w:val="0"/>
              <w:marRight w:val="0"/>
              <w:marTop w:val="0"/>
              <w:marBottom w:val="0"/>
              <w:divBdr>
                <w:top w:val="none" w:sz="0" w:space="0" w:color="auto"/>
                <w:left w:val="none" w:sz="0" w:space="0" w:color="auto"/>
                <w:bottom w:val="none" w:sz="0" w:space="0" w:color="auto"/>
                <w:right w:val="none" w:sz="0" w:space="0" w:color="auto"/>
              </w:divBdr>
            </w:div>
            <w:div w:id="342513810">
              <w:marLeft w:val="0"/>
              <w:marRight w:val="0"/>
              <w:marTop w:val="0"/>
              <w:marBottom w:val="0"/>
              <w:divBdr>
                <w:top w:val="none" w:sz="0" w:space="0" w:color="auto"/>
                <w:left w:val="none" w:sz="0" w:space="0" w:color="auto"/>
                <w:bottom w:val="none" w:sz="0" w:space="0" w:color="auto"/>
                <w:right w:val="none" w:sz="0" w:space="0" w:color="auto"/>
              </w:divBdr>
            </w:div>
            <w:div w:id="64650373">
              <w:marLeft w:val="0"/>
              <w:marRight w:val="0"/>
              <w:marTop w:val="0"/>
              <w:marBottom w:val="0"/>
              <w:divBdr>
                <w:top w:val="none" w:sz="0" w:space="0" w:color="auto"/>
                <w:left w:val="none" w:sz="0" w:space="0" w:color="auto"/>
                <w:bottom w:val="none" w:sz="0" w:space="0" w:color="auto"/>
                <w:right w:val="none" w:sz="0" w:space="0" w:color="auto"/>
              </w:divBdr>
            </w:div>
            <w:div w:id="480580328">
              <w:marLeft w:val="0"/>
              <w:marRight w:val="0"/>
              <w:marTop w:val="0"/>
              <w:marBottom w:val="0"/>
              <w:divBdr>
                <w:top w:val="none" w:sz="0" w:space="0" w:color="auto"/>
                <w:left w:val="none" w:sz="0" w:space="0" w:color="auto"/>
                <w:bottom w:val="none" w:sz="0" w:space="0" w:color="auto"/>
                <w:right w:val="none" w:sz="0" w:space="0" w:color="auto"/>
              </w:divBdr>
            </w:div>
            <w:div w:id="1383095515">
              <w:marLeft w:val="0"/>
              <w:marRight w:val="0"/>
              <w:marTop w:val="0"/>
              <w:marBottom w:val="0"/>
              <w:divBdr>
                <w:top w:val="none" w:sz="0" w:space="0" w:color="auto"/>
                <w:left w:val="none" w:sz="0" w:space="0" w:color="auto"/>
                <w:bottom w:val="none" w:sz="0" w:space="0" w:color="auto"/>
                <w:right w:val="none" w:sz="0" w:space="0" w:color="auto"/>
              </w:divBdr>
            </w:div>
            <w:div w:id="1600213399">
              <w:marLeft w:val="0"/>
              <w:marRight w:val="0"/>
              <w:marTop w:val="0"/>
              <w:marBottom w:val="0"/>
              <w:divBdr>
                <w:top w:val="none" w:sz="0" w:space="0" w:color="auto"/>
                <w:left w:val="none" w:sz="0" w:space="0" w:color="auto"/>
                <w:bottom w:val="none" w:sz="0" w:space="0" w:color="auto"/>
                <w:right w:val="none" w:sz="0" w:space="0" w:color="auto"/>
              </w:divBdr>
            </w:div>
            <w:div w:id="644353798">
              <w:marLeft w:val="0"/>
              <w:marRight w:val="0"/>
              <w:marTop w:val="0"/>
              <w:marBottom w:val="0"/>
              <w:divBdr>
                <w:top w:val="none" w:sz="0" w:space="0" w:color="auto"/>
                <w:left w:val="none" w:sz="0" w:space="0" w:color="auto"/>
                <w:bottom w:val="none" w:sz="0" w:space="0" w:color="auto"/>
                <w:right w:val="none" w:sz="0" w:space="0" w:color="auto"/>
              </w:divBdr>
            </w:div>
            <w:div w:id="1722438069">
              <w:marLeft w:val="0"/>
              <w:marRight w:val="0"/>
              <w:marTop w:val="0"/>
              <w:marBottom w:val="0"/>
              <w:divBdr>
                <w:top w:val="none" w:sz="0" w:space="0" w:color="auto"/>
                <w:left w:val="none" w:sz="0" w:space="0" w:color="auto"/>
                <w:bottom w:val="none" w:sz="0" w:space="0" w:color="auto"/>
                <w:right w:val="none" w:sz="0" w:space="0" w:color="auto"/>
              </w:divBdr>
            </w:div>
            <w:div w:id="513110299">
              <w:marLeft w:val="0"/>
              <w:marRight w:val="0"/>
              <w:marTop w:val="0"/>
              <w:marBottom w:val="0"/>
              <w:divBdr>
                <w:top w:val="none" w:sz="0" w:space="0" w:color="auto"/>
                <w:left w:val="none" w:sz="0" w:space="0" w:color="auto"/>
                <w:bottom w:val="none" w:sz="0" w:space="0" w:color="auto"/>
                <w:right w:val="none" w:sz="0" w:space="0" w:color="auto"/>
              </w:divBdr>
            </w:div>
            <w:div w:id="906306567">
              <w:marLeft w:val="0"/>
              <w:marRight w:val="0"/>
              <w:marTop w:val="0"/>
              <w:marBottom w:val="0"/>
              <w:divBdr>
                <w:top w:val="none" w:sz="0" w:space="0" w:color="auto"/>
                <w:left w:val="none" w:sz="0" w:space="0" w:color="auto"/>
                <w:bottom w:val="none" w:sz="0" w:space="0" w:color="auto"/>
                <w:right w:val="none" w:sz="0" w:space="0" w:color="auto"/>
              </w:divBdr>
            </w:div>
            <w:div w:id="723456613">
              <w:marLeft w:val="0"/>
              <w:marRight w:val="0"/>
              <w:marTop w:val="0"/>
              <w:marBottom w:val="0"/>
              <w:divBdr>
                <w:top w:val="none" w:sz="0" w:space="0" w:color="auto"/>
                <w:left w:val="none" w:sz="0" w:space="0" w:color="auto"/>
                <w:bottom w:val="none" w:sz="0" w:space="0" w:color="auto"/>
                <w:right w:val="none" w:sz="0" w:space="0" w:color="auto"/>
              </w:divBdr>
            </w:div>
            <w:div w:id="1179080340">
              <w:marLeft w:val="0"/>
              <w:marRight w:val="0"/>
              <w:marTop w:val="0"/>
              <w:marBottom w:val="0"/>
              <w:divBdr>
                <w:top w:val="none" w:sz="0" w:space="0" w:color="auto"/>
                <w:left w:val="none" w:sz="0" w:space="0" w:color="auto"/>
                <w:bottom w:val="none" w:sz="0" w:space="0" w:color="auto"/>
                <w:right w:val="none" w:sz="0" w:space="0" w:color="auto"/>
              </w:divBdr>
            </w:div>
            <w:div w:id="23288426">
              <w:marLeft w:val="0"/>
              <w:marRight w:val="0"/>
              <w:marTop w:val="0"/>
              <w:marBottom w:val="0"/>
              <w:divBdr>
                <w:top w:val="none" w:sz="0" w:space="0" w:color="auto"/>
                <w:left w:val="none" w:sz="0" w:space="0" w:color="auto"/>
                <w:bottom w:val="none" w:sz="0" w:space="0" w:color="auto"/>
                <w:right w:val="none" w:sz="0" w:space="0" w:color="auto"/>
              </w:divBdr>
            </w:div>
            <w:div w:id="677922621">
              <w:marLeft w:val="0"/>
              <w:marRight w:val="0"/>
              <w:marTop w:val="0"/>
              <w:marBottom w:val="0"/>
              <w:divBdr>
                <w:top w:val="none" w:sz="0" w:space="0" w:color="auto"/>
                <w:left w:val="none" w:sz="0" w:space="0" w:color="auto"/>
                <w:bottom w:val="none" w:sz="0" w:space="0" w:color="auto"/>
                <w:right w:val="none" w:sz="0" w:space="0" w:color="auto"/>
              </w:divBdr>
            </w:div>
            <w:div w:id="21140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12114">
      <w:bodyDiv w:val="1"/>
      <w:marLeft w:val="0"/>
      <w:marRight w:val="0"/>
      <w:marTop w:val="0"/>
      <w:marBottom w:val="0"/>
      <w:divBdr>
        <w:top w:val="none" w:sz="0" w:space="0" w:color="auto"/>
        <w:left w:val="none" w:sz="0" w:space="0" w:color="auto"/>
        <w:bottom w:val="none" w:sz="0" w:space="0" w:color="auto"/>
        <w:right w:val="none" w:sz="0" w:space="0" w:color="auto"/>
      </w:divBdr>
      <w:divsChild>
        <w:div w:id="1172338796">
          <w:marLeft w:val="0"/>
          <w:marRight w:val="0"/>
          <w:marTop w:val="0"/>
          <w:marBottom w:val="0"/>
          <w:divBdr>
            <w:top w:val="none" w:sz="0" w:space="0" w:color="auto"/>
            <w:left w:val="none" w:sz="0" w:space="0" w:color="auto"/>
            <w:bottom w:val="none" w:sz="0" w:space="0" w:color="auto"/>
            <w:right w:val="none" w:sz="0" w:space="0" w:color="auto"/>
          </w:divBdr>
        </w:div>
        <w:div w:id="1628243869">
          <w:marLeft w:val="0"/>
          <w:marRight w:val="0"/>
          <w:marTop w:val="0"/>
          <w:marBottom w:val="0"/>
          <w:divBdr>
            <w:top w:val="none" w:sz="0" w:space="0" w:color="auto"/>
            <w:left w:val="none" w:sz="0" w:space="0" w:color="auto"/>
            <w:bottom w:val="none" w:sz="0" w:space="0" w:color="auto"/>
            <w:right w:val="none" w:sz="0" w:space="0" w:color="auto"/>
          </w:divBdr>
        </w:div>
        <w:div w:id="782454329">
          <w:marLeft w:val="0"/>
          <w:marRight w:val="0"/>
          <w:marTop w:val="0"/>
          <w:marBottom w:val="0"/>
          <w:divBdr>
            <w:top w:val="none" w:sz="0" w:space="0" w:color="auto"/>
            <w:left w:val="none" w:sz="0" w:space="0" w:color="auto"/>
            <w:bottom w:val="none" w:sz="0" w:space="0" w:color="auto"/>
            <w:right w:val="none" w:sz="0" w:space="0" w:color="auto"/>
          </w:divBdr>
        </w:div>
        <w:div w:id="282619610">
          <w:marLeft w:val="0"/>
          <w:marRight w:val="0"/>
          <w:marTop w:val="0"/>
          <w:marBottom w:val="0"/>
          <w:divBdr>
            <w:top w:val="none" w:sz="0" w:space="0" w:color="auto"/>
            <w:left w:val="none" w:sz="0" w:space="0" w:color="auto"/>
            <w:bottom w:val="none" w:sz="0" w:space="0" w:color="auto"/>
            <w:right w:val="none" w:sz="0" w:space="0" w:color="auto"/>
          </w:divBdr>
        </w:div>
      </w:divsChild>
    </w:div>
    <w:div w:id="1848329006">
      <w:bodyDiv w:val="1"/>
      <w:marLeft w:val="0"/>
      <w:marRight w:val="0"/>
      <w:marTop w:val="0"/>
      <w:marBottom w:val="0"/>
      <w:divBdr>
        <w:top w:val="none" w:sz="0" w:space="0" w:color="auto"/>
        <w:left w:val="none" w:sz="0" w:space="0" w:color="auto"/>
        <w:bottom w:val="none" w:sz="0" w:space="0" w:color="auto"/>
        <w:right w:val="none" w:sz="0" w:space="0" w:color="auto"/>
      </w:divBdr>
      <w:divsChild>
        <w:div w:id="1862091124">
          <w:marLeft w:val="0"/>
          <w:marRight w:val="0"/>
          <w:marTop w:val="0"/>
          <w:marBottom w:val="0"/>
          <w:divBdr>
            <w:top w:val="none" w:sz="0" w:space="0" w:color="auto"/>
            <w:left w:val="none" w:sz="0" w:space="0" w:color="auto"/>
            <w:bottom w:val="none" w:sz="0" w:space="0" w:color="auto"/>
            <w:right w:val="none" w:sz="0" w:space="0" w:color="auto"/>
          </w:divBdr>
        </w:div>
        <w:div w:id="619805274">
          <w:marLeft w:val="0"/>
          <w:marRight w:val="0"/>
          <w:marTop w:val="0"/>
          <w:marBottom w:val="0"/>
          <w:divBdr>
            <w:top w:val="none" w:sz="0" w:space="0" w:color="auto"/>
            <w:left w:val="none" w:sz="0" w:space="0" w:color="auto"/>
            <w:bottom w:val="none" w:sz="0" w:space="0" w:color="auto"/>
            <w:right w:val="none" w:sz="0" w:space="0" w:color="auto"/>
          </w:divBdr>
        </w:div>
      </w:divsChild>
    </w:div>
    <w:div w:id="1986815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www.unodc.org/documents/human-trafficking/Model_Law_against_TIP.pdf" TargetMode="External"/><Relationship Id="rId1" Type="http://schemas.openxmlformats.org/officeDocument/2006/relationships/hyperlink" Target="https://tbinternet.ohchr.org/_layouts/15/treatybodyexternal/Download.aspx?symbolno=CEDAW/C/GC/31/CRC/C/GC/18&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EC6041-A8FE-49FE-BAA6-0E72F16E9246}">
  <ds:schemaRefs>
    <ds:schemaRef ds:uri="http://schemas.microsoft.com/sharepoint/v3/contenttype/forms"/>
  </ds:schemaRefs>
</ds:datastoreItem>
</file>

<file path=customXml/itemProps2.xml><?xml version="1.0" encoding="utf-8"?>
<ds:datastoreItem xmlns:ds="http://schemas.openxmlformats.org/officeDocument/2006/customXml" ds:itemID="{4730896A-ABA9-45EC-9A84-D7506D20E44E}">
  <ds:schemaRefs>
    <ds:schemaRef ds:uri="http://schemas.microsoft.com/office/2006/metadata/properties"/>
    <ds:schemaRef ds:uri="http://schemas.microsoft.com/office/infopath/2007/PartnerControls"/>
    <ds:schemaRef ds:uri="d30915c5-2446-46fd-befc-6cc3f62684cc"/>
    <ds:schemaRef ds:uri="43e275e3-8228-4251-95de-18700895d8e8"/>
  </ds:schemaRefs>
</ds:datastoreItem>
</file>

<file path=customXml/itemProps3.xml><?xml version="1.0" encoding="utf-8"?>
<ds:datastoreItem xmlns:ds="http://schemas.openxmlformats.org/officeDocument/2006/customXml" ds:itemID="{27E60D6B-B036-4DC5-AA4A-59C5E433928B}"/>
</file>

<file path=customXml/itemProps4.xml><?xml version="1.0" encoding="utf-8"?>
<ds:datastoreItem xmlns:ds="http://schemas.openxmlformats.org/officeDocument/2006/customXml" ds:itemID="{32A5EC8D-E0D6-41BD-B168-583CF351E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Mont</dc:creator>
  <cp:keywords/>
  <dc:description/>
  <cp:lastModifiedBy>LEE Victoria</cp:lastModifiedBy>
  <cp:revision>2</cp:revision>
  <dcterms:created xsi:type="dcterms:W3CDTF">2020-08-24T13:51:00Z</dcterms:created>
  <dcterms:modified xsi:type="dcterms:W3CDTF">2020-08-24T13:51:00Z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palabrasclaveempresa">
    <vt:lpwstr/>
  </property>
  <property fmtid="{D5CDD505-2E9C-101B-9397-08002B2CF9AE}" pid="4" name="palabrasclavesitio">
    <vt:lpwstr/>
  </property>
</Properties>
</file>