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F9C81" w14:textId="77777777" w:rsidR="00B30434" w:rsidRPr="0050205F" w:rsidRDefault="00B30434" w:rsidP="00A2782B">
      <w:pPr>
        <w:pStyle w:val="Heading1"/>
      </w:pPr>
      <w:r w:rsidRPr="0050205F">
        <w:t xml:space="preserve">Article 21 - List of illustrative indicators on </w:t>
      </w:r>
      <w:r w:rsidRPr="00A2782B">
        <w:t>freedom</w:t>
      </w:r>
      <w:r w:rsidRPr="0050205F">
        <w:t xml:space="preserve"> of expression and opinion, and access to information</w:t>
      </w:r>
    </w:p>
    <w:p w14:paraId="74F3EF01" w14:textId="77777777" w:rsidR="00B30434" w:rsidRPr="0050205F" w:rsidRDefault="00B30434" w:rsidP="00A2782B">
      <w:pPr>
        <w:pStyle w:val="Heading1"/>
      </w:pPr>
      <w:r w:rsidRPr="0050205F">
        <w:t>Right to freedom of expression and opinion, and access to information</w:t>
      </w:r>
    </w:p>
    <w:p w14:paraId="4D24FA04" w14:textId="7BD20E3E" w:rsidR="00B30434" w:rsidRPr="00B30434" w:rsidRDefault="00B30434" w:rsidP="00A2782B">
      <w:pPr>
        <w:pStyle w:val="Heading2"/>
      </w:pPr>
      <w:r w:rsidRPr="00A2782B">
        <w:t>Attributes</w:t>
      </w:r>
    </w:p>
    <w:p w14:paraId="51F4E7EF" w14:textId="77777777" w:rsidR="00B30434" w:rsidRPr="00B30434" w:rsidRDefault="00B30434" w:rsidP="00B30434">
      <w:pPr>
        <w:pStyle w:val="ListParagraph"/>
        <w:numPr>
          <w:ilvl w:val="0"/>
          <w:numId w:val="12"/>
        </w:numPr>
        <w:rPr>
          <w:b/>
          <w:sz w:val="18"/>
          <w:szCs w:val="18"/>
        </w:rPr>
      </w:pPr>
      <w:r w:rsidRPr="00B30434">
        <w:rPr>
          <w:b/>
          <w:sz w:val="18"/>
          <w:szCs w:val="18"/>
        </w:rPr>
        <w:t>Freedom of opinion and to impart information</w:t>
      </w:r>
    </w:p>
    <w:p w14:paraId="3B72AE8A" w14:textId="77777777" w:rsidR="00B30434" w:rsidRPr="00B30434" w:rsidRDefault="00B30434" w:rsidP="00B30434">
      <w:pPr>
        <w:pStyle w:val="ListParagraph"/>
        <w:numPr>
          <w:ilvl w:val="0"/>
          <w:numId w:val="12"/>
        </w:numPr>
        <w:rPr>
          <w:b/>
          <w:sz w:val="18"/>
          <w:szCs w:val="18"/>
        </w:rPr>
      </w:pPr>
      <w:r w:rsidRPr="00B30434">
        <w:rPr>
          <w:b/>
          <w:sz w:val="18"/>
          <w:szCs w:val="18"/>
        </w:rPr>
        <w:t>Access to information through accessible means for all persons with disabilities</w:t>
      </w:r>
    </w:p>
    <w:p w14:paraId="399EC17F" w14:textId="77777777" w:rsidR="00B30434" w:rsidRPr="00B30434" w:rsidRDefault="00B30434" w:rsidP="00B30434">
      <w:pPr>
        <w:pStyle w:val="ListParagraph"/>
        <w:numPr>
          <w:ilvl w:val="0"/>
          <w:numId w:val="12"/>
        </w:numPr>
        <w:rPr>
          <w:b/>
          <w:sz w:val="18"/>
          <w:szCs w:val="18"/>
        </w:rPr>
      </w:pPr>
      <w:r w:rsidRPr="00B30434">
        <w:rPr>
          <w:b/>
          <w:sz w:val="18"/>
          <w:szCs w:val="18"/>
        </w:rPr>
        <w:t>Official recognition and development of sign language, Braille and alternative modes of communication</w:t>
      </w:r>
    </w:p>
    <w:p w14:paraId="702ECA6F" w14:textId="77777777" w:rsidR="00B30434" w:rsidRDefault="00B30434" w:rsidP="00B30434">
      <w:pPr>
        <w:pStyle w:val="ListParagraph"/>
        <w:ind w:left="0"/>
        <w:jc w:val="both"/>
        <w:rPr>
          <w:rFonts w:cstheme="minorHAnsi"/>
          <w:b/>
          <w:sz w:val="18"/>
          <w:szCs w:val="18"/>
        </w:rPr>
      </w:pPr>
    </w:p>
    <w:p w14:paraId="1A71E50E" w14:textId="316D99C1" w:rsidR="00B30434" w:rsidRPr="0050205F" w:rsidRDefault="00B30434" w:rsidP="00A2782B">
      <w:pPr>
        <w:pStyle w:val="Heading2"/>
      </w:pPr>
      <w:r w:rsidRPr="0050205F">
        <w:t>Structure</w:t>
      </w:r>
      <w:r>
        <w:t xml:space="preserve"> Indicators</w:t>
      </w:r>
    </w:p>
    <w:p w14:paraId="1E6CFB3E" w14:textId="77777777" w:rsidR="00B30434" w:rsidRPr="0050205F" w:rsidRDefault="00B30434" w:rsidP="00B30434">
      <w:pPr>
        <w:jc w:val="both"/>
        <w:rPr>
          <w:rFonts w:cstheme="minorHAnsi"/>
          <w:sz w:val="18"/>
          <w:szCs w:val="18"/>
        </w:rPr>
      </w:pPr>
      <w:r w:rsidRPr="0050205F">
        <w:rPr>
          <w:rFonts w:cstheme="minorHAnsi"/>
          <w:sz w:val="18"/>
          <w:szCs w:val="18"/>
        </w:rPr>
        <w:t>21.1 Legislation enacted guaranteeing the right of persons with disabilities to freedom of expression and opinion,</w:t>
      </w:r>
      <w:r w:rsidRPr="0050205F">
        <w:rPr>
          <w:rStyle w:val="EndnoteReference"/>
          <w:rFonts w:cstheme="minorHAnsi"/>
          <w:sz w:val="18"/>
          <w:szCs w:val="18"/>
        </w:rPr>
        <w:endnoteReference w:id="1"/>
      </w:r>
      <w:r w:rsidRPr="0050205F">
        <w:rPr>
          <w:rFonts w:cstheme="minorHAnsi"/>
          <w:sz w:val="18"/>
          <w:szCs w:val="18"/>
        </w:rPr>
        <w:t xml:space="preserve"> including the freedom to seek, receive and impart information, with the definition of communication of Article 2 of the CRPD, developed in close consultation with representative organizations of persons with disabilities.</w:t>
      </w:r>
    </w:p>
    <w:p w14:paraId="55EF32FE" w14:textId="77777777" w:rsidR="00B30434" w:rsidRPr="0050205F" w:rsidRDefault="00B30434" w:rsidP="00B30434">
      <w:pPr>
        <w:tabs>
          <w:tab w:val="left" w:pos="1701"/>
        </w:tabs>
        <w:jc w:val="both"/>
        <w:rPr>
          <w:rFonts w:cstheme="minorHAnsi"/>
          <w:sz w:val="18"/>
          <w:szCs w:val="18"/>
        </w:rPr>
      </w:pPr>
      <w:r w:rsidRPr="0050205F">
        <w:rPr>
          <w:rFonts w:cstheme="minorHAnsi"/>
          <w:sz w:val="18"/>
          <w:szCs w:val="18"/>
        </w:rPr>
        <w:t xml:space="preserve">    21.1.1 Legal framework providing for access to information intended for the general public in accessible formats and technologies</w:t>
      </w:r>
      <w:r w:rsidRPr="0050205F">
        <w:rPr>
          <w:sz w:val="18"/>
          <w:szCs w:val="18"/>
        </w:rPr>
        <w:t xml:space="preserve"> </w:t>
      </w:r>
      <w:r w:rsidRPr="0050205F">
        <w:rPr>
          <w:rFonts w:cstheme="minorHAnsi"/>
          <w:sz w:val="18"/>
          <w:szCs w:val="18"/>
        </w:rPr>
        <w:t>in a timely manner for all persons with disabilities and without additional cost.</w:t>
      </w:r>
      <w:r w:rsidRPr="0050205F">
        <w:rPr>
          <w:rStyle w:val="EndnoteReference"/>
          <w:rFonts w:cstheme="minorHAnsi"/>
          <w:sz w:val="18"/>
          <w:szCs w:val="18"/>
        </w:rPr>
        <w:endnoteReference w:id="2"/>
      </w:r>
      <w:r>
        <w:rPr>
          <w:rFonts w:cstheme="minorHAnsi"/>
          <w:sz w:val="18"/>
          <w:szCs w:val="18"/>
        </w:rPr>
        <w:t xml:space="preserve"> (idem 9.4)</w:t>
      </w:r>
    </w:p>
    <w:p w14:paraId="54842053" w14:textId="77777777" w:rsidR="00B30434" w:rsidRPr="0050205F" w:rsidRDefault="00B30434" w:rsidP="00B30434">
      <w:pPr>
        <w:jc w:val="both"/>
        <w:rPr>
          <w:rFonts w:cstheme="minorHAnsi"/>
          <w:sz w:val="18"/>
          <w:szCs w:val="18"/>
        </w:rPr>
      </w:pPr>
      <w:r w:rsidRPr="0050205F">
        <w:rPr>
          <w:rFonts w:cstheme="minorHAnsi"/>
          <w:sz w:val="18"/>
          <w:szCs w:val="18"/>
        </w:rPr>
        <w:t xml:space="preserve">    21.1.2 Legal framework establishing mandatory standards on accessibility of information and communication for both public and private actors that provide information and services to the general public, </w:t>
      </w:r>
      <w:r w:rsidRPr="000B1C43">
        <w:rPr>
          <w:rFonts w:eastAsia="Times New Roman" w:cstheme="minorHAnsi"/>
          <w:sz w:val="18"/>
          <w:szCs w:val="18"/>
        </w:rPr>
        <w:t xml:space="preserve"> including </w:t>
      </w:r>
      <w:r>
        <w:rPr>
          <w:rFonts w:eastAsia="Times New Roman" w:cstheme="minorHAnsi"/>
          <w:sz w:val="18"/>
          <w:szCs w:val="18"/>
        </w:rPr>
        <w:t xml:space="preserve">through </w:t>
      </w:r>
      <w:r w:rsidRPr="000B1C43">
        <w:rPr>
          <w:rFonts w:eastAsia="Times New Roman" w:cstheme="minorHAnsi"/>
          <w:sz w:val="18"/>
          <w:szCs w:val="18"/>
        </w:rPr>
        <w:t>mass media</w:t>
      </w:r>
      <w:r>
        <w:rPr>
          <w:rFonts w:eastAsia="Times New Roman" w:cstheme="minorHAnsi"/>
          <w:sz w:val="18"/>
          <w:szCs w:val="18"/>
        </w:rPr>
        <w:t xml:space="preserve">, encompassing digital and </w:t>
      </w:r>
      <w:r w:rsidRPr="000B1C43">
        <w:rPr>
          <w:rFonts w:eastAsia="Times New Roman" w:cstheme="minorHAnsi"/>
          <w:sz w:val="18"/>
          <w:szCs w:val="18"/>
        </w:rPr>
        <w:t>social media</w:t>
      </w:r>
      <w:r w:rsidRPr="0050205F">
        <w:rPr>
          <w:rFonts w:cstheme="minorHAnsi"/>
          <w:sz w:val="18"/>
          <w:szCs w:val="18"/>
        </w:rPr>
        <w:t>.</w:t>
      </w:r>
      <w:r w:rsidRPr="0050205F">
        <w:rPr>
          <w:rStyle w:val="EndnoteReference"/>
          <w:rFonts w:cstheme="minorHAnsi"/>
          <w:sz w:val="18"/>
          <w:szCs w:val="18"/>
        </w:rPr>
        <w:endnoteReference w:id="3"/>
      </w:r>
      <w:r w:rsidRPr="0050205F">
        <w:rPr>
          <w:rFonts w:cstheme="minorHAnsi"/>
          <w:sz w:val="18"/>
          <w:szCs w:val="18"/>
        </w:rPr>
        <w:t xml:space="preserve"> </w:t>
      </w:r>
    </w:p>
    <w:p w14:paraId="6BD8F920" w14:textId="77777777" w:rsidR="00B30434" w:rsidRPr="0050205F" w:rsidRDefault="00B30434" w:rsidP="00B30434">
      <w:pPr>
        <w:jc w:val="both"/>
        <w:rPr>
          <w:rFonts w:cstheme="minorHAnsi"/>
          <w:sz w:val="18"/>
          <w:szCs w:val="18"/>
        </w:rPr>
      </w:pPr>
      <w:r w:rsidRPr="0050205F">
        <w:rPr>
          <w:rFonts w:cstheme="minorHAnsi"/>
          <w:sz w:val="18"/>
          <w:szCs w:val="18"/>
        </w:rPr>
        <w:t>21.2 National strategy and/or plan to enhance the exercise of persons with disabilities of the right</w:t>
      </w:r>
      <w:r w:rsidRPr="0050205F">
        <w:rPr>
          <w:sz w:val="18"/>
          <w:szCs w:val="18"/>
        </w:rPr>
        <w:t xml:space="preserve"> to freedom of expression and opinion, and access to information</w:t>
      </w:r>
      <w:r w:rsidRPr="0050205F">
        <w:rPr>
          <w:rFonts w:cstheme="minorHAnsi"/>
          <w:sz w:val="18"/>
          <w:szCs w:val="18"/>
        </w:rPr>
        <w:t>, including benchmarks, timeframes and measurable goals.</w:t>
      </w:r>
      <w:r w:rsidRPr="0050205F">
        <w:rPr>
          <w:rStyle w:val="EndnoteReference"/>
          <w:rFonts w:cstheme="minorHAnsi"/>
          <w:sz w:val="18"/>
          <w:szCs w:val="18"/>
        </w:rPr>
        <w:endnoteReference w:id="4"/>
      </w:r>
    </w:p>
    <w:p w14:paraId="7DDA2CD1" w14:textId="77777777" w:rsidR="00B30434" w:rsidRPr="0050205F" w:rsidRDefault="00B30434" w:rsidP="00B30434">
      <w:pPr>
        <w:jc w:val="both"/>
        <w:rPr>
          <w:rFonts w:cstheme="minorHAnsi"/>
          <w:sz w:val="18"/>
          <w:szCs w:val="18"/>
        </w:rPr>
      </w:pPr>
      <w:r w:rsidRPr="0050205F">
        <w:rPr>
          <w:rFonts w:cstheme="minorHAnsi"/>
          <w:sz w:val="18"/>
          <w:szCs w:val="18"/>
        </w:rPr>
        <w:t>21.3 Legislation enacted recognizing sign language as an official language, and ensuring its use in official interaction(s), as chosen/requested by persons with disabilities.</w:t>
      </w:r>
      <w:r w:rsidRPr="0050205F">
        <w:rPr>
          <w:rStyle w:val="EndnoteReference"/>
          <w:rFonts w:cstheme="minorHAnsi"/>
          <w:sz w:val="18"/>
          <w:szCs w:val="18"/>
        </w:rPr>
        <w:endnoteReference w:id="5"/>
      </w:r>
    </w:p>
    <w:p w14:paraId="35F65938" w14:textId="77777777" w:rsidR="00B30434" w:rsidRPr="0050205F" w:rsidRDefault="00B30434" w:rsidP="00B30434">
      <w:pPr>
        <w:jc w:val="both"/>
        <w:rPr>
          <w:rFonts w:cstheme="minorHAnsi"/>
          <w:sz w:val="18"/>
          <w:szCs w:val="18"/>
        </w:rPr>
      </w:pPr>
      <w:r w:rsidRPr="0050205F">
        <w:rPr>
          <w:rFonts w:cstheme="minorHAnsi"/>
          <w:sz w:val="18"/>
          <w:szCs w:val="18"/>
        </w:rPr>
        <w:t>21.4 Legislation enacted recognizing Braille, Easy to Read Format, captioning, tactile communication, support person for communication, and any other accessible means, modes and formats of communication used by persons with disabilities, and ensuring their use in official interaction(s), as chosen/requested by persons with disabilities.</w:t>
      </w:r>
    </w:p>
    <w:p w14:paraId="3C3D5979" w14:textId="096AD92D" w:rsidR="00B30434" w:rsidRPr="00B30434" w:rsidRDefault="00B30434" w:rsidP="00B30434">
      <w:pPr>
        <w:jc w:val="both"/>
        <w:rPr>
          <w:rFonts w:cstheme="minorHAnsi"/>
          <w:sz w:val="18"/>
          <w:szCs w:val="18"/>
        </w:rPr>
      </w:pPr>
      <w:r w:rsidRPr="0050205F">
        <w:rPr>
          <w:rFonts w:cstheme="minorHAnsi"/>
          <w:sz w:val="18"/>
          <w:szCs w:val="18"/>
        </w:rPr>
        <w:t>21.5 National strategy and/or plan to raise awareness about sign language as an official language, Braille, Easy to Read, and  other means, modes and formats of communication used by persons with disabilities, and to support both their development and the development of related professionals (e.g sign language interpreters, translators, human assistance), including benchmarks, timeframes and measurable goals, developed with the active involvement of representative organizations of persons with disabilities.</w:t>
      </w:r>
    </w:p>
    <w:p w14:paraId="189E5226" w14:textId="77777777" w:rsidR="00B30434" w:rsidRPr="0050205F" w:rsidRDefault="00B30434" w:rsidP="00B30434">
      <w:pPr>
        <w:jc w:val="both"/>
        <w:rPr>
          <w:rFonts w:cstheme="minorHAnsi"/>
          <w:sz w:val="18"/>
          <w:szCs w:val="18"/>
        </w:rPr>
      </w:pPr>
      <w:r w:rsidRPr="0050205F">
        <w:rPr>
          <w:rFonts w:cstheme="minorHAnsi"/>
          <w:sz w:val="18"/>
          <w:szCs w:val="18"/>
        </w:rPr>
        <w:t>21.6 Legal requirement to establish a marker on all public spending to ensure freedom of expression and access to information of persons with disabilities.</w:t>
      </w:r>
    </w:p>
    <w:p w14:paraId="0CC23175" w14:textId="77777777" w:rsidR="00B30434" w:rsidRPr="0050205F" w:rsidRDefault="00B30434" w:rsidP="00B30434">
      <w:pPr>
        <w:jc w:val="both"/>
        <w:rPr>
          <w:rFonts w:cstheme="minorHAnsi"/>
          <w:sz w:val="18"/>
          <w:szCs w:val="18"/>
        </w:rPr>
      </w:pPr>
      <w:r w:rsidRPr="0050205F">
        <w:rPr>
          <w:rFonts w:cstheme="minorHAnsi"/>
          <w:sz w:val="18"/>
          <w:szCs w:val="18"/>
        </w:rPr>
        <w:t>21.7 Legal requirement for data collection on measures to ensure freedom of expression and access to information and communication, including for official interactions.</w:t>
      </w:r>
      <w:r w:rsidRPr="0050205F">
        <w:rPr>
          <w:rStyle w:val="EndnoteReference"/>
          <w:rFonts w:cstheme="minorHAnsi"/>
          <w:sz w:val="18"/>
          <w:szCs w:val="18"/>
        </w:rPr>
        <w:endnoteReference w:id="6"/>
      </w:r>
      <w:r w:rsidRPr="0050205F">
        <w:rPr>
          <w:rFonts w:cstheme="minorHAnsi"/>
          <w:sz w:val="18"/>
          <w:szCs w:val="18"/>
        </w:rPr>
        <w:t xml:space="preserve"> </w:t>
      </w:r>
    </w:p>
    <w:p w14:paraId="736ADCB5" w14:textId="77777777" w:rsidR="00B30434" w:rsidRDefault="00B30434" w:rsidP="00B30434">
      <w:pPr>
        <w:jc w:val="both"/>
        <w:rPr>
          <w:rFonts w:cstheme="minorHAnsi"/>
          <w:b/>
          <w:sz w:val="18"/>
          <w:szCs w:val="18"/>
        </w:rPr>
      </w:pPr>
    </w:p>
    <w:p w14:paraId="63E5D33C" w14:textId="12924045" w:rsidR="00B30434" w:rsidRPr="00B30434" w:rsidRDefault="00B30434" w:rsidP="00A2782B">
      <w:pPr>
        <w:pStyle w:val="Heading2"/>
      </w:pPr>
      <w:r w:rsidRPr="0050205F">
        <w:t>Process</w:t>
      </w:r>
      <w:r>
        <w:t xml:space="preserve"> Indicators</w:t>
      </w:r>
    </w:p>
    <w:p w14:paraId="02E57DE4" w14:textId="77777777" w:rsidR="00B30434" w:rsidRPr="0050205F" w:rsidRDefault="00B30434" w:rsidP="00B30434">
      <w:pPr>
        <w:jc w:val="both"/>
        <w:rPr>
          <w:rFonts w:cstheme="minorHAnsi"/>
          <w:sz w:val="18"/>
          <w:szCs w:val="18"/>
        </w:rPr>
      </w:pPr>
      <w:r w:rsidRPr="0050205F">
        <w:rPr>
          <w:rFonts w:cstheme="minorHAnsi"/>
          <w:sz w:val="18"/>
          <w:szCs w:val="18"/>
        </w:rPr>
        <w:t>21.8 Enrolment rate of persons with disabilities in trainings in higher education for professional journalism, and other relevant professions, disaggregated by disability.</w:t>
      </w:r>
    </w:p>
    <w:p w14:paraId="66602EF3" w14:textId="2FD37CD8" w:rsidR="00B30434" w:rsidRPr="0050205F" w:rsidRDefault="00B30434" w:rsidP="00B30434">
      <w:pPr>
        <w:jc w:val="both"/>
        <w:rPr>
          <w:rFonts w:cstheme="minorHAnsi"/>
          <w:sz w:val="18"/>
          <w:szCs w:val="18"/>
        </w:rPr>
      </w:pPr>
      <w:r w:rsidRPr="0050205F">
        <w:rPr>
          <w:rFonts w:cstheme="minorHAnsi"/>
          <w:sz w:val="18"/>
          <w:szCs w:val="18"/>
        </w:rPr>
        <w:t>21.9 Proportion of advance notifications by organizations of persons with disabilities for holding demonstrations and outdoor awareness raising events received by government authorities, out of the total number submitted for the same purposes, disaggregated by constituency represented.</w:t>
      </w:r>
      <w:r w:rsidRPr="0050205F">
        <w:rPr>
          <w:rStyle w:val="EndnoteReference"/>
          <w:rFonts w:cstheme="minorHAnsi"/>
          <w:sz w:val="18"/>
          <w:szCs w:val="18"/>
        </w:rPr>
        <w:endnoteReference w:id="7"/>
      </w:r>
    </w:p>
    <w:p w14:paraId="12F601C3" w14:textId="77777777" w:rsidR="00B30434" w:rsidRPr="0050205F" w:rsidRDefault="00B30434" w:rsidP="00B30434">
      <w:pPr>
        <w:jc w:val="both"/>
        <w:rPr>
          <w:rFonts w:cstheme="minorHAnsi"/>
          <w:sz w:val="18"/>
          <w:szCs w:val="18"/>
        </w:rPr>
      </w:pPr>
      <w:r w:rsidRPr="0050205F">
        <w:rPr>
          <w:rFonts w:cstheme="minorHAnsi"/>
          <w:sz w:val="18"/>
          <w:szCs w:val="18"/>
        </w:rPr>
        <w:t>21.10 Number and proportion of all the relevant public staff with responsibilities in communication and access to information, including those in institutions where detention of persons with disabilities might occur, undergoing training, on access to information for persons with disabilities and alternative formats of communication.</w:t>
      </w:r>
    </w:p>
    <w:p w14:paraId="02AE5562" w14:textId="77777777" w:rsidR="00B30434" w:rsidRPr="0022085D" w:rsidRDefault="00B30434" w:rsidP="00B30434">
      <w:pPr>
        <w:jc w:val="both"/>
        <w:rPr>
          <w:rFonts w:cstheme="minorHAnsi"/>
          <w:sz w:val="18"/>
          <w:szCs w:val="18"/>
        </w:rPr>
      </w:pPr>
      <w:r w:rsidRPr="0050205F">
        <w:rPr>
          <w:rFonts w:cstheme="minorHAnsi"/>
          <w:sz w:val="18"/>
          <w:szCs w:val="18"/>
        </w:rPr>
        <w:t xml:space="preserve">21.11 Awareness raising campaign and activities on accessibility of information and on mandatory accessibility standards for information and communication, directed to both public and private actors, including persons </w:t>
      </w:r>
      <w:r w:rsidRPr="0022085D">
        <w:rPr>
          <w:rFonts w:cstheme="minorHAnsi"/>
          <w:sz w:val="18"/>
          <w:szCs w:val="18"/>
        </w:rPr>
        <w:t>with disabilities and their organizations.</w:t>
      </w:r>
      <w:r w:rsidRPr="0022085D">
        <w:rPr>
          <w:rStyle w:val="EndnoteReference"/>
          <w:rFonts w:cstheme="minorHAnsi"/>
          <w:sz w:val="18"/>
          <w:szCs w:val="18"/>
        </w:rPr>
        <w:endnoteReference w:id="8"/>
      </w:r>
      <w:r w:rsidRPr="0022085D">
        <w:rPr>
          <w:rFonts w:cstheme="minorHAnsi"/>
          <w:sz w:val="18"/>
          <w:szCs w:val="18"/>
        </w:rPr>
        <w:t xml:space="preserve"> </w:t>
      </w:r>
    </w:p>
    <w:p w14:paraId="750E4546" w14:textId="77777777" w:rsidR="00B30434" w:rsidRPr="0022085D" w:rsidRDefault="00B30434" w:rsidP="00B30434">
      <w:pPr>
        <w:jc w:val="both"/>
        <w:rPr>
          <w:rFonts w:cstheme="minorHAnsi"/>
          <w:sz w:val="18"/>
          <w:szCs w:val="18"/>
        </w:rPr>
      </w:pPr>
      <w:r w:rsidRPr="0022085D">
        <w:rPr>
          <w:rFonts w:cstheme="minorHAnsi"/>
          <w:sz w:val="18"/>
          <w:szCs w:val="18"/>
        </w:rPr>
        <w:t>21.12 Number and proportion of private actors providing information and services to the public, notably those which are contracted or granted a license by the State, that have received guidance in order to comply with mandatory accessibility standards.</w:t>
      </w:r>
    </w:p>
    <w:p w14:paraId="3F8482DF" w14:textId="77777777" w:rsidR="00B30434" w:rsidRPr="0022085D" w:rsidRDefault="00B30434" w:rsidP="00B30434">
      <w:pPr>
        <w:jc w:val="both"/>
        <w:rPr>
          <w:rFonts w:cstheme="minorHAnsi"/>
          <w:sz w:val="18"/>
          <w:szCs w:val="18"/>
        </w:rPr>
      </w:pPr>
      <w:r w:rsidRPr="0022085D">
        <w:rPr>
          <w:rFonts w:cstheme="minorHAnsi"/>
          <w:sz w:val="18"/>
          <w:szCs w:val="18"/>
        </w:rPr>
        <w:t>21.13 Proportion of TV broadcasted emissions, and proportion of time which included sign language interpretation, audio description, captioning, and other accessibility related features and means, disaggregated by ownership of media (private/public), type of content (news/other programming, including children’s program</w:t>
      </w:r>
      <w:r>
        <w:rPr>
          <w:rFonts w:cstheme="minorHAnsi"/>
          <w:sz w:val="18"/>
          <w:szCs w:val="18"/>
        </w:rPr>
        <w:t>me</w:t>
      </w:r>
      <w:r w:rsidRPr="0022085D">
        <w:rPr>
          <w:rFonts w:cstheme="minorHAnsi"/>
          <w:sz w:val="18"/>
          <w:szCs w:val="18"/>
        </w:rPr>
        <w:t>s, and accessibility features offered.</w:t>
      </w:r>
      <w:r w:rsidRPr="0022085D">
        <w:rPr>
          <w:rStyle w:val="EndnoteReference"/>
          <w:rFonts w:cstheme="minorHAnsi"/>
          <w:sz w:val="18"/>
          <w:szCs w:val="18"/>
        </w:rPr>
        <w:endnoteReference w:id="9"/>
      </w:r>
    </w:p>
    <w:p w14:paraId="599D79E7" w14:textId="77777777" w:rsidR="00B30434" w:rsidRDefault="00B30434" w:rsidP="00B30434">
      <w:pPr>
        <w:jc w:val="both"/>
        <w:rPr>
          <w:rFonts w:cstheme="minorHAnsi"/>
          <w:sz w:val="18"/>
          <w:szCs w:val="18"/>
        </w:rPr>
      </w:pPr>
      <w:r w:rsidRPr="0022085D">
        <w:rPr>
          <w:rFonts w:cstheme="minorHAnsi"/>
          <w:sz w:val="18"/>
          <w:szCs w:val="18"/>
        </w:rPr>
        <w:t>21.14 Proportion of content available within ‘on-demand’ or non-linear services (e.g. video on-demand services) which includes sign language interpretation, audio description, captioning, and other accessibility related features and means, disaggregated by ownership of media (private/public), and accessibility features offered</w:t>
      </w:r>
      <w:r w:rsidRPr="0050205F">
        <w:rPr>
          <w:rFonts w:cstheme="minorHAnsi"/>
          <w:sz w:val="18"/>
          <w:szCs w:val="18"/>
        </w:rPr>
        <w:t xml:space="preserve"> </w:t>
      </w:r>
    </w:p>
    <w:p w14:paraId="095A8B68" w14:textId="77777777" w:rsidR="00B30434" w:rsidRPr="0050205F" w:rsidRDefault="00B30434" w:rsidP="00B30434">
      <w:pPr>
        <w:jc w:val="both"/>
        <w:rPr>
          <w:rFonts w:cstheme="minorHAnsi"/>
          <w:sz w:val="18"/>
          <w:szCs w:val="18"/>
        </w:rPr>
      </w:pPr>
      <w:r w:rsidRPr="0050205F">
        <w:rPr>
          <w:rFonts w:cstheme="minorHAnsi"/>
          <w:sz w:val="18"/>
          <w:szCs w:val="18"/>
        </w:rPr>
        <w:t>21.1</w:t>
      </w:r>
      <w:r>
        <w:rPr>
          <w:rFonts w:cstheme="minorHAnsi"/>
          <w:sz w:val="18"/>
          <w:szCs w:val="18"/>
        </w:rPr>
        <w:t>5 P</w:t>
      </w:r>
      <w:r w:rsidRPr="0050205F">
        <w:rPr>
          <w:rFonts w:cstheme="minorHAnsi"/>
          <w:sz w:val="18"/>
          <w:szCs w:val="18"/>
        </w:rPr>
        <w:t xml:space="preserve">roportion of </w:t>
      </w:r>
      <w:r>
        <w:rPr>
          <w:rFonts w:cstheme="minorHAnsi"/>
          <w:sz w:val="18"/>
          <w:szCs w:val="18"/>
        </w:rPr>
        <w:t>government</w:t>
      </w:r>
      <w:r w:rsidRPr="0050205F">
        <w:rPr>
          <w:rFonts w:cstheme="minorHAnsi"/>
          <w:sz w:val="18"/>
          <w:szCs w:val="18"/>
        </w:rPr>
        <w:t xml:space="preserve"> websites and apps that comply with accessibility standards.</w:t>
      </w:r>
      <w:r>
        <w:rPr>
          <w:rFonts w:cstheme="minorHAnsi"/>
          <w:sz w:val="18"/>
          <w:szCs w:val="18"/>
        </w:rPr>
        <w:t xml:space="preserve"> (idem 9.12)</w:t>
      </w:r>
    </w:p>
    <w:p w14:paraId="71A2CB40" w14:textId="77777777" w:rsidR="00B30434" w:rsidRDefault="00B30434" w:rsidP="00B30434">
      <w:pPr>
        <w:jc w:val="both"/>
        <w:rPr>
          <w:rFonts w:cstheme="minorHAnsi"/>
          <w:sz w:val="18"/>
          <w:szCs w:val="18"/>
        </w:rPr>
      </w:pPr>
      <w:r w:rsidRPr="0050205F">
        <w:rPr>
          <w:rFonts w:cstheme="minorHAnsi"/>
          <w:sz w:val="18"/>
          <w:szCs w:val="18"/>
        </w:rPr>
        <w:t>21.1</w:t>
      </w:r>
      <w:r>
        <w:rPr>
          <w:rFonts w:cstheme="minorHAnsi"/>
          <w:sz w:val="18"/>
          <w:szCs w:val="18"/>
        </w:rPr>
        <w:t>6</w:t>
      </w:r>
      <w:r w:rsidRPr="0050205F">
        <w:rPr>
          <w:rFonts w:cstheme="minorHAnsi"/>
          <w:sz w:val="18"/>
          <w:szCs w:val="18"/>
        </w:rPr>
        <w:t xml:space="preserve"> </w:t>
      </w:r>
      <w:r w:rsidRPr="000C6C47">
        <w:rPr>
          <w:rFonts w:cstheme="minorHAnsi"/>
          <w:sz w:val="18"/>
          <w:szCs w:val="18"/>
        </w:rPr>
        <w:t xml:space="preserve"> Number of reports</w:t>
      </w:r>
      <w:r>
        <w:rPr>
          <w:rFonts w:cstheme="minorHAnsi"/>
          <w:sz w:val="18"/>
          <w:szCs w:val="18"/>
        </w:rPr>
        <w:t xml:space="preserve"> published by public authorities</w:t>
      </w:r>
      <w:r w:rsidRPr="000C6C47">
        <w:rPr>
          <w:rFonts w:cstheme="minorHAnsi"/>
          <w:sz w:val="18"/>
          <w:szCs w:val="18"/>
        </w:rPr>
        <w:t xml:space="preserve"> intended to the general public in accessible formats, disaggregated by type of format and their proportion out of the total of reports published</w:t>
      </w:r>
      <w:r>
        <w:rPr>
          <w:rFonts w:cstheme="minorHAnsi"/>
          <w:sz w:val="18"/>
          <w:szCs w:val="18"/>
        </w:rPr>
        <w:t xml:space="preserve"> by public authorities</w:t>
      </w:r>
      <w:r w:rsidRPr="000C6C47">
        <w:rPr>
          <w:rFonts w:cstheme="minorHAnsi"/>
          <w:sz w:val="18"/>
          <w:szCs w:val="18"/>
        </w:rPr>
        <w:t>.</w:t>
      </w:r>
      <w:r>
        <w:rPr>
          <w:rFonts w:cstheme="minorHAnsi"/>
          <w:sz w:val="18"/>
          <w:szCs w:val="18"/>
        </w:rPr>
        <w:t xml:space="preserve"> (idem 9.15)</w:t>
      </w:r>
    </w:p>
    <w:p w14:paraId="0D5C587B" w14:textId="77777777" w:rsidR="00B30434" w:rsidRPr="0050205F" w:rsidRDefault="00B30434" w:rsidP="00B30434">
      <w:pPr>
        <w:jc w:val="both"/>
        <w:rPr>
          <w:rFonts w:cstheme="minorHAnsi"/>
          <w:sz w:val="18"/>
          <w:szCs w:val="18"/>
        </w:rPr>
      </w:pPr>
      <w:r w:rsidRPr="0050205F">
        <w:rPr>
          <w:rFonts w:cstheme="minorHAnsi"/>
          <w:sz w:val="18"/>
          <w:szCs w:val="18"/>
        </w:rPr>
        <w:t>2</w:t>
      </w:r>
      <w:r>
        <w:rPr>
          <w:rFonts w:cstheme="minorHAnsi"/>
          <w:sz w:val="18"/>
          <w:szCs w:val="18"/>
        </w:rPr>
        <w:t>2.17</w:t>
      </w:r>
      <w:r w:rsidRPr="0050205F">
        <w:rPr>
          <w:rFonts w:cstheme="minorHAnsi"/>
          <w:sz w:val="18"/>
          <w:szCs w:val="18"/>
        </w:rPr>
        <w:t xml:space="preserve"> Number of sign language interpreters, and other relevant professionals including stenographers and communications supporters for persons with intellectual disabilities, professionally certified and officially authorized to practice, in particular in connection with official interactions, compared to persons with disabilities requiring their services.  </w:t>
      </w:r>
    </w:p>
    <w:p w14:paraId="6526FCBD" w14:textId="64713C3D" w:rsidR="00B30434" w:rsidRPr="00B30434" w:rsidRDefault="00B30434" w:rsidP="00B30434">
      <w:pPr>
        <w:jc w:val="both"/>
        <w:rPr>
          <w:rFonts w:cstheme="minorHAnsi"/>
          <w:sz w:val="18"/>
          <w:szCs w:val="18"/>
        </w:rPr>
      </w:pPr>
      <w:r>
        <w:rPr>
          <w:rFonts w:cstheme="minorHAnsi"/>
          <w:sz w:val="18"/>
          <w:szCs w:val="18"/>
        </w:rPr>
        <w:t>21.18</w:t>
      </w:r>
      <w:r w:rsidRPr="0050205F">
        <w:rPr>
          <w:rFonts w:cstheme="minorHAnsi"/>
          <w:sz w:val="18"/>
          <w:szCs w:val="18"/>
        </w:rPr>
        <w:t xml:space="preserve"> Budget allocated to measures aimed at ensuring access to information of persons with disabilities, disaggregated by kind of measure (e.g. awareness raising, development of capacities, direct provision of accessibility measures, etc.) </w:t>
      </w:r>
    </w:p>
    <w:p w14:paraId="23BAD520" w14:textId="77777777" w:rsidR="00B30434" w:rsidRPr="0050205F" w:rsidRDefault="00B30434" w:rsidP="00B30434">
      <w:pPr>
        <w:jc w:val="both"/>
        <w:rPr>
          <w:rFonts w:cstheme="minorHAnsi"/>
          <w:sz w:val="18"/>
          <w:szCs w:val="18"/>
        </w:rPr>
      </w:pPr>
      <w:r w:rsidRPr="0050205F">
        <w:rPr>
          <w:rFonts w:cstheme="minorHAnsi"/>
          <w:sz w:val="18"/>
          <w:szCs w:val="18"/>
        </w:rPr>
        <w:t>21.1</w:t>
      </w:r>
      <w:r>
        <w:rPr>
          <w:rFonts w:cstheme="minorHAnsi"/>
          <w:sz w:val="18"/>
          <w:szCs w:val="18"/>
        </w:rPr>
        <w:t>9</w:t>
      </w:r>
      <w:r w:rsidRPr="0050205F">
        <w:rPr>
          <w:rFonts w:cstheme="minorHAnsi"/>
          <w:sz w:val="18"/>
          <w:szCs w:val="18"/>
        </w:rPr>
        <w:t xml:space="preserve"> Consultation processes undertaken to ensure active involvement of persons with disabilities, </w:t>
      </w:r>
      <w:r w:rsidRPr="0050205F">
        <w:rPr>
          <w:rFonts w:cstheme="minorHAnsi"/>
          <w:color w:val="444444"/>
          <w:sz w:val="18"/>
          <w:szCs w:val="18"/>
        </w:rPr>
        <w:t>including</w:t>
      </w:r>
      <w:r w:rsidRPr="0050205F">
        <w:rPr>
          <w:rFonts w:cstheme="minorHAnsi"/>
          <w:sz w:val="18"/>
          <w:szCs w:val="18"/>
        </w:rPr>
        <w:t xml:space="preserve"> through their representative organizations, in the design, implementation and monitoring of laws, regulations, policies and program</w:t>
      </w:r>
      <w:r>
        <w:rPr>
          <w:rFonts w:cstheme="minorHAnsi"/>
          <w:sz w:val="18"/>
          <w:szCs w:val="18"/>
        </w:rPr>
        <w:t>me</w:t>
      </w:r>
      <w:r w:rsidRPr="0050205F">
        <w:rPr>
          <w:rFonts w:cstheme="minorHAnsi"/>
          <w:sz w:val="18"/>
          <w:szCs w:val="18"/>
        </w:rPr>
        <w:t>s, related to the r</w:t>
      </w:r>
      <w:r w:rsidRPr="0050205F">
        <w:rPr>
          <w:sz w:val="18"/>
          <w:szCs w:val="18"/>
        </w:rPr>
        <w:t>ight to freedom of expression and opinion, and access to information</w:t>
      </w:r>
      <w:r w:rsidRPr="0050205F">
        <w:rPr>
          <w:rFonts w:cstheme="minorHAnsi"/>
          <w:sz w:val="18"/>
          <w:szCs w:val="18"/>
        </w:rPr>
        <w:t>.</w:t>
      </w:r>
      <w:r w:rsidRPr="0050205F">
        <w:rPr>
          <w:rStyle w:val="EndnoteReference"/>
          <w:rFonts w:cstheme="minorHAnsi"/>
          <w:sz w:val="18"/>
          <w:szCs w:val="18"/>
        </w:rPr>
        <w:endnoteReference w:id="10"/>
      </w:r>
    </w:p>
    <w:p w14:paraId="518EE6C5" w14:textId="6720EBCA" w:rsidR="00B30434" w:rsidRDefault="00B30434" w:rsidP="00B30434">
      <w:pPr>
        <w:jc w:val="both"/>
        <w:rPr>
          <w:rFonts w:cstheme="minorHAnsi"/>
          <w:sz w:val="18"/>
          <w:szCs w:val="18"/>
        </w:rPr>
      </w:pPr>
      <w:r w:rsidRPr="0050205F">
        <w:rPr>
          <w:rFonts w:cstheme="minorHAnsi"/>
          <w:sz w:val="18"/>
          <w:szCs w:val="18"/>
        </w:rPr>
        <w:t>21.</w:t>
      </w:r>
      <w:r>
        <w:rPr>
          <w:rFonts w:cstheme="minorHAnsi"/>
          <w:sz w:val="18"/>
          <w:szCs w:val="18"/>
        </w:rPr>
        <w:t>20</w:t>
      </w:r>
      <w:r w:rsidRPr="0050205F">
        <w:rPr>
          <w:rFonts w:cstheme="minorHAnsi"/>
          <w:sz w:val="18"/>
          <w:szCs w:val="18"/>
        </w:rPr>
        <w:t xml:space="preserve"> </w:t>
      </w:r>
      <w:r>
        <w:rPr>
          <w:rFonts w:cstheme="minorHAnsi"/>
          <w:sz w:val="18"/>
          <w:szCs w:val="18"/>
        </w:rPr>
        <w:t xml:space="preserve">Proportion of received complaints </w:t>
      </w:r>
      <w:r w:rsidRPr="0050205F">
        <w:rPr>
          <w:rFonts w:cstheme="minorHAnsi"/>
          <w:sz w:val="18"/>
          <w:szCs w:val="18"/>
        </w:rPr>
        <w:t>alleging denial or restrictions to the right of freedom of expression and opinion, including the right of access to information of persons with disabilities,</w:t>
      </w:r>
      <w:r>
        <w:rPr>
          <w:rFonts w:cstheme="minorHAnsi"/>
          <w:sz w:val="18"/>
          <w:szCs w:val="18"/>
        </w:rPr>
        <w:t xml:space="preserve"> that have been investigated and adjudicated; proportion of those found in favour of the complainant; and proportion of the latter that have been complied with by the government and/or duty bearer; each disaggregated by kind of mechanism.</w:t>
      </w:r>
    </w:p>
    <w:p w14:paraId="75029958" w14:textId="77777777" w:rsidR="00B30434" w:rsidRPr="0050205F" w:rsidRDefault="00B30434" w:rsidP="00B30434">
      <w:pPr>
        <w:jc w:val="both"/>
        <w:rPr>
          <w:rFonts w:cstheme="minorHAnsi"/>
          <w:sz w:val="18"/>
          <w:szCs w:val="18"/>
        </w:rPr>
      </w:pPr>
    </w:p>
    <w:p w14:paraId="7237EB9B" w14:textId="4512790C" w:rsidR="00B30434" w:rsidRPr="0050205F" w:rsidRDefault="00B30434" w:rsidP="00A2782B">
      <w:pPr>
        <w:pStyle w:val="Heading2"/>
      </w:pPr>
      <w:r w:rsidRPr="0050205F">
        <w:lastRenderedPageBreak/>
        <w:t>Outcome</w:t>
      </w:r>
      <w:r>
        <w:t xml:space="preserve"> Indicators</w:t>
      </w:r>
    </w:p>
    <w:p w14:paraId="6656838E" w14:textId="77777777" w:rsidR="00B30434" w:rsidRPr="0050205F" w:rsidRDefault="00B30434" w:rsidP="00B30434">
      <w:pPr>
        <w:jc w:val="both"/>
        <w:rPr>
          <w:rFonts w:cstheme="minorHAnsi"/>
          <w:sz w:val="18"/>
          <w:szCs w:val="18"/>
        </w:rPr>
      </w:pPr>
      <w:r w:rsidRPr="0050205F">
        <w:rPr>
          <w:rFonts w:cstheme="minorHAnsi"/>
          <w:sz w:val="18"/>
          <w:szCs w:val="18"/>
        </w:rPr>
        <w:t>21.</w:t>
      </w:r>
      <w:r>
        <w:rPr>
          <w:rFonts w:cstheme="minorHAnsi"/>
          <w:sz w:val="18"/>
          <w:szCs w:val="18"/>
        </w:rPr>
        <w:t>21</w:t>
      </w:r>
      <w:r w:rsidRPr="0050205F">
        <w:rPr>
          <w:rFonts w:cstheme="minorHAnsi"/>
          <w:sz w:val="18"/>
          <w:szCs w:val="18"/>
        </w:rPr>
        <w:t xml:space="preserve"> Number and proportion of persons working as journalists who are persons with di</w:t>
      </w:r>
      <w:r>
        <w:rPr>
          <w:rFonts w:cstheme="minorHAnsi"/>
          <w:sz w:val="18"/>
          <w:szCs w:val="18"/>
        </w:rPr>
        <w:t xml:space="preserve">sabilities, disaggregated by </w:t>
      </w:r>
      <w:r w:rsidRPr="0050205F">
        <w:rPr>
          <w:rFonts w:cstheme="minorHAnsi"/>
          <w:sz w:val="18"/>
          <w:szCs w:val="18"/>
        </w:rPr>
        <w:t>sex,</w:t>
      </w:r>
      <w:r>
        <w:rPr>
          <w:rFonts w:cstheme="minorHAnsi"/>
          <w:sz w:val="18"/>
          <w:szCs w:val="18"/>
        </w:rPr>
        <w:t xml:space="preserve"> age,</w:t>
      </w:r>
      <w:r w:rsidRPr="0050205F">
        <w:rPr>
          <w:rFonts w:cstheme="minorHAnsi"/>
          <w:sz w:val="18"/>
          <w:szCs w:val="18"/>
        </w:rPr>
        <w:t xml:space="preserve"> disability, type of media (e.g. TV, radio, etc.), and its ownership (public or private) </w:t>
      </w:r>
    </w:p>
    <w:p w14:paraId="2001CE4E" w14:textId="77777777" w:rsidR="00B30434" w:rsidRPr="00E450C3" w:rsidRDefault="00B30434" w:rsidP="00B30434">
      <w:pPr>
        <w:jc w:val="both"/>
        <w:rPr>
          <w:rFonts w:cstheme="minorHAnsi"/>
          <w:sz w:val="18"/>
          <w:szCs w:val="18"/>
        </w:rPr>
      </w:pPr>
      <w:r>
        <w:rPr>
          <w:rFonts w:cstheme="minorHAnsi"/>
          <w:sz w:val="18"/>
          <w:szCs w:val="18"/>
        </w:rPr>
        <w:t xml:space="preserve">21.22 </w:t>
      </w:r>
      <w:r w:rsidRPr="00E450C3">
        <w:rPr>
          <w:rFonts w:eastAsia="Times New Roman" w:cstheme="minorHAnsi"/>
          <w:sz w:val="18"/>
          <w:szCs w:val="18"/>
          <w:lang w:val="en-GB" w:eastAsia="en-GB"/>
        </w:rPr>
        <w:t>Proportion of different linguistic population groups having access to media broadcasts in their own language, disaggregated by language, including sign language.</w:t>
      </w:r>
    </w:p>
    <w:p w14:paraId="00545983" w14:textId="77777777" w:rsidR="00B30434" w:rsidRPr="0050205F" w:rsidRDefault="00B30434" w:rsidP="00B30434">
      <w:pPr>
        <w:jc w:val="both"/>
        <w:rPr>
          <w:rFonts w:cstheme="minorHAnsi"/>
          <w:sz w:val="18"/>
          <w:szCs w:val="18"/>
        </w:rPr>
      </w:pPr>
      <w:r w:rsidRPr="0050205F">
        <w:rPr>
          <w:rFonts w:cstheme="minorHAnsi"/>
          <w:sz w:val="18"/>
          <w:szCs w:val="18"/>
        </w:rPr>
        <w:t>21.</w:t>
      </w:r>
      <w:r>
        <w:rPr>
          <w:rFonts w:cstheme="minorHAnsi"/>
          <w:sz w:val="18"/>
          <w:szCs w:val="18"/>
        </w:rPr>
        <w:t>23</w:t>
      </w:r>
      <w:r w:rsidRPr="0050205F">
        <w:rPr>
          <w:rFonts w:cstheme="minorHAnsi"/>
          <w:sz w:val="18"/>
          <w:szCs w:val="18"/>
        </w:rPr>
        <w:t xml:space="preserve"> Number and proportion of requests of public information being granted to persons with disabilities in accessible formats, out of the total of requests of public information, disaggregated by respondent public body or agency.</w:t>
      </w:r>
      <w:r>
        <w:rPr>
          <w:rFonts w:cstheme="minorHAnsi"/>
          <w:sz w:val="18"/>
          <w:szCs w:val="18"/>
        </w:rPr>
        <w:t xml:space="preserve"> (idem 31.15)</w:t>
      </w:r>
    </w:p>
    <w:p w14:paraId="2F2D78F1" w14:textId="3EACB5B2" w:rsidR="00B30434" w:rsidRPr="0050205F" w:rsidRDefault="006571C0" w:rsidP="00B30434">
      <w:pPr>
        <w:autoSpaceDE w:val="0"/>
        <w:autoSpaceDN w:val="0"/>
        <w:adjustRightInd w:val="0"/>
        <w:rPr>
          <w:rFonts w:cstheme="minorHAnsi"/>
          <w:sz w:val="18"/>
          <w:szCs w:val="18"/>
          <w:lang w:val="en-GB"/>
        </w:rPr>
      </w:pPr>
      <w:r>
        <w:rPr>
          <w:rFonts w:cstheme="minorHAnsi"/>
          <w:sz w:val="18"/>
          <w:szCs w:val="18"/>
          <w:lang w:val="en-GB"/>
        </w:rPr>
        <w:t>21.24</w:t>
      </w:r>
      <w:r w:rsidR="00B30434" w:rsidRPr="0050205F">
        <w:rPr>
          <w:rFonts w:cstheme="minorHAnsi"/>
          <w:sz w:val="18"/>
          <w:szCs w:val="18"/>
          <w:lang w:val="en-GB"/>
        </w:rPr>
        <w:t xml:space="preserve"> Proportion of population covered by a mobile network, by technology (SDG indicator 9.c.1), and sex</w:t>
      </w:r>
      <w:r w:rsidR="00B30434">
        <w:rPr>
          <w:rFonts w:cstheme="minorHAnsi"/>
          <w:sz w:val="18"/>
          <w:szCs w:val="18"/>
          <w:lang w:val="en-GB"/>
        </w:rPr>
        <w:t>, age and disability.</w:t>
      </w:r>
    </w:p>
    <w:p w14:paraId="7E8570D1" w14:textId="63B1BF99" w:rsidR="00B30434" w:rsidRPr="0050205F" w:rsidRDefault="006571C0" w:rsidP="00B30434">
      <w:pPr>
        <w:jc w:val="both"/>
        <w:rPr>
          <w:rFonts w:ascii="Times New Roman" w:hAnsi="Times New Roman" w:cs="Times New Roman"/>
          <w:sz w:val="18"/>
          <w:szCs w:val="18"/>
          <w:lang w:val="en-GB"/>
        </w:rPr>
      </w:pPr>
      <w:r>
        <w:rPr>
          <w:rFonts w:cstheme="minorHAnsi"/>
          <w:sz w:val="18"/>
          <w:szCs w:val="18"/>
          <w:lang w:val="en-GB"/>
        </w:rPr>
        <w:t>21.25</w:t>
      </w:r>
      <w:r w:rsidR="00B30434" w:rsidRPr="0050205F">
        <w:rPr>
          <w:rFonts w:cstheme="minorHAnsi"/>
          <w:sz w:val="18"/>
          <w:szCs w:val="18"/>
          <w:lang w:val="en-GB"/>
        </w:rPr>
        <w:t xml:space="preserve"> Proportion of individuals using the Internet (SDG indicato</w:t>
      </w:r>
      <w:r w:rsidR="00B30434">
        <w:rPr>
          <w:rFonts w:cstheme="minorHAnsi"/>
          <w:sz w:val="18"/>
          <w:szCs w:val="18"/>
          <w:lang w:val="en-GB"/>
        </w:rPr>
        <w:t xml:space="preserve">r 17.8.1) disaggregated by </w:t>
      </w:r>
      <w:r w:rsidR="00B30434" w:rsidRPr="0050205F">
        <w:rPr>
          <w:rFonts w:cstheme="minorHAnsi"/>
          <w:sz w:val="18"/>
          <w:szCs w:val="18"/>
          <w:lang w:val="en-GB"/>
        </w:rPr>
        <w:t>sex</w:t>
      </w:r>
      <w:r w:rsidR="00B30434">
        <w:rPr>
          <w:rFonts w:cstheme="minorHAnsi"/>
          <w:sz w:val="18"/>
          <w:szCs w:val="18"/>
          <w:lang w:val="en-GB"/>
        </w:rPr>
        <w:t>, age</w:t>
      </w:r>
      <w:r w:rsidR="00B30434" w:rsidRPr="0050205F">
        <w:rPr>
          <w:rFonts w:cstheme="minorHAnsi"/>
          <w:sz w:val="18"/>
          <w:szCs w:val="18"/>
          <w:lang w:val="en-GB"/>
        </w:rPr>
        <w:t xml:space="preserve"> and disability</w:t>
      </w:r>
      <w:r w:rsidR="00B30434" w:rsidRPr="0050205F">
        <w:rPr>
          <w:rFonts w:ascii="Times New Roman" w:hAnsi="Times New Roman" w:cs="Times New Roman"/>
          <w:sz w:val="18"/>
          <w:szCs w:val="18"/>
          <w:lang w:val="en-GB"/>
        </w:rPr>
        <w:t>.</w:t>
      </w:r>
    </w:p>
    <w:p w14:paraId="0ECAB15A" w14:textId="70BAA430" w:rsidR="00875318" w:rsidRDefault="00875318" w:rsidP="00B30434">
      <w:pPr>
        <w:outlineLvl w:val="0"/>
        <w:rPr>
          <w:rFonts w:cstheme="minorHAnsi"/>
          <w:b/>
          <w:sz w:val="18"/>
          <w:szCs w:val="18"/>
        </w:rPr>
      </w:pPr>
    </w:p>
    <w:p w14:paraId="1102766E" w14:textId="77777777" w:rsidR="00875318" w:rsidRDefault="00875318" w:rsidP="002304CD">
      <w:pPr>
        <w:jc w:val="center"/>
        <w:outlineLvl w:val="0"/>
        <w:rPr>
          <w:rFonts w:cstheme="minorHAnsi"/>
          <w:b/>
          <w:sz w:val="18"/>
          <w:szCs w:val="18"/>
        </w:rPr>
      </w:pPr>
    </w:p>
    <w:p w14:paraId="1D8C4919" w14:textId="08D38B70" w:rsidR="00DE431B" w:rsidRPr="0050205F" w:rsidRDefault="0065051C" w:rsidP="00A2782B">
      <w:pPr>
        <w:pStyle w:val="Heading1"/>
      </w:pPr>
      <w:r w:rsidRPr="0050205F">
        <w:t>ANNEX</w:t>
      </w:r>
    </w:p>
    <w:sectPr w:rsidR="00DE431B" w:rsidRPr="0050205F"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F1EC1" w14:textId="77777777" w:rsidR="00273B76" w:rsidRDefault="00273B76" w:rsidP="00CA591E"/>
  </w:endnote>
  <w:endnote w:type="continuationSeparator" w:id="0">
    <w:p w14:paraId="3C6C2001" w14:textId="77777777" w:rsidR="00273B76" w:rsidRDefault="00273B76" w:rsidP="00CA591E">
      <w:r>
        <w:continuationSeparator/>
      </w:r>
    </w:p>
  </w:endnote>
  <w:endnote w:id="1">
    <w:p w14:paraId="6045F5C3" w14:textId="77777777" w:rsidR="00B30434" w:rsidRPr="001905EF" w:rsidRDefault="00B30434">
      <w:pPr>
        <w:pStyle w:val="EndnoteText"/>
        <w:rPr>
          <w:sz w:val="18"/>
          <w:szCs w:val="18"/>
        </w:rPr>
      </w:pPr>
      <w:r w:rsidRPr="001905EF">
        <w:rPr>
          <w:rStyle w:val="EndnoteReference"/>
          <w:sz w:val="18"/>
          <w:szCs w:val="18"/>
        </w:rPr>
        <w:endnoteRef/>
      </w:r>
      <w:r w:rsidRPr="001905EF">
        <w:rPr>
          <w:sz w:val="18"/>
          <w:szCs w:val="18"/>
        </w:rPr>
        <w:t xml:space="preserve"> </w:t>
      </w:r>
      <w:r>
        <w:rPr>
          <w:sz w:val="18"/>
          <w:szCs w:val="18"/>
        </w:rPr>
        <w:t>Regarding</w:t>
      </w:r>
      <w:r w:rsidRPr="001905EF">
        <w:rPr>
          <w:sz w:val="18"/>
          <w:szCs w:val="18"/>
        </w:rPr>
        <w:t xml:space="preserve"> the right to freedom of expression, legislation should:</w:t>
      </w:r>
    </w:p>
    <w:p w14:paraId="76F23325" w14:textId="77777777" w:rsidR="00B30434" w:rsidRPr="001905EF" w:rsidRDefault="00B30434" w:rsidP="006D5AC3">
      <w:pPr>
        <w:pStyle w:val="EndnoteText"/>
        <w:numPr>
          <w:ilvl w:val="0"/>
          <w:numId w:val="11"/>
        </w:numPr>
        <w:rPr>
          <w:sz w:val="18"/>
          <w:szCs w:val="18"/>
        </w:rPr>
      </w:pPr>
      <w:r w:rsidRPr="001905EF">
        <w:rPr>
          <w:sz w:val="18"/>
          <w:szCs w:val="18"/>
        </w:rPr>
        <w:t>Prevent any restriction that directly or indirectly discriminates against persons with disabilities.</w:t>
      </w:r>
    </w:p>
    <w:p w14:paraId="44A11591" w14:textId="77777777" w:rsidR="00B30434" w:rsidRPr="001905EF" w:rsidRDefault="00B30434" w:rsidP="006D5AC3">
      <w:pPr>
        <w:pStyle w:val="EndnoteText"/>
        <w:numPr>
          <w:ilvl w:val="0"/>
          <w:numId w:val="11"/>
        </w:numPr>
        <w:rPr>
          <w:sz w:val="18"/>
          <w:szCs w:val="18"/>
        </w:rPr>
      </w:pPr>
      <w:r w:rsidRPr="001905EF">
        <w:rPr>
          <w:sz w:val="18"/>
          <w:szCs w:val="18"/>
        </w:rPr>
        <w:t xml:space="preserve">Include provisions to protect persons with disabilities from intimidation or reprisals related to the exercise of the right of freedom of expression. </w:t>
      </w:r>
    </w:p>
    <w:p w14:paraId="72C530B7" w14:textId="77777777" w:rsidR="00B30434" w:rsidRPr="001905EF" w:rsidRDefault="00B30434" w:rsidP="00A40B7A">
      <w:pPr>
        <w:pStyle w:val="EndnoteText"/>
        <w:numPr>
          <w:ilvl w:val="0"/>
          <w:numId w:val="11"/>
        </w:numPr>
        <w:rPr>
          <w:sz w:val="18"/>
          <w:szCs w:val="18"/>
        </w:rPr>
      </w:pPr>
      <w:r w:rsidRPr="001905EF">
        <w:rPr>
          <w:sz w:val="18"/>
          <w:szCs w:val="18"/>
        </w:rPr>
        <w:t>Include specific measures to achieve de facto equality in order to include persons with disabilities in media industry in relevant positions for the exercise of freedom of expression, for instance through diversity requirements in requirements to apply for licenses for broadcasting.</w:t>
      </w:r>
    </w:p>
  </w:endnote>
  <w:endnote w:id="2">
    <w:p w14:paraId="11EAE2E8" w14:textId="77777777" w:rsidR="00B30434" w:rsidRPr="001905EF" w:rsidRDefault="00B30434">
      <w:pPr>
        <w:pStyle w:val="EndnoteText"/>
        <w:rPr>
          <w:sz w:val="18"/>
          <w:szCs w:val="18"/>
        </w:rPr>
      </w:pPr>
      <w:r w:rsidRPr="001905EF">
        <w:rPr>
          <w:rStyle w:val="EndnoteReference"/>
          <w:sz w:val="18"/>
          <w:szCs w:val="18"/>
        </w:rPr>
        <w:endnoteRef/>
      </w:r>
      <w:r w:rsidRPr="001905EF">
        <w:rPr>
          <w:sz w:val="18"/>
          <w:szCs w:val="18"/>
        </w:rPr>
        <w:t xml:space="preserve"> Legislation on access to information must ensure that:</w:t>
      </w:r>
    </w:p>
    <w:p w14:paraId="7B0F8CA9" w14:textId="77777777" w:rsidR="00B30434" w:rsidRPr="001905EF" w:rsidRDefault="00B30434" w:rsidP="00C708A5">
      <w:pPr>
        <w:pStyle w:val="EndnoteText"/>
        <w:numPr>
          <w:ilvl w:val="0"/>
          <w:numId w:val="9"/>
        </w:numPr>
        <w:rPr>
          <w:sz w:val="18"/>
          <w:szCs w:val="18"/>
        </w:rPr>
      </w:pPr>
      <w:r w:rsidRPr="001905EF">
        <w:rPr>
          <w:sz w:val="18"/>
          <w:szCs w:val="18"/>
        </w:rPr>
        <w:t>Information intended for the general public and released is disseminated in accessible formats and technologies</w:t>
      </w:r>
      <w:r>
        <w:rPr>
          <w:sz w:val="18"/>
          <w:szCs w:val="18"/>
        </w:rPr>
        <w:t>, and made available in the official and indigenous/minority languages of the country</w:t>
      </w:r>
      <w:r w:rsidRPr="001905EF">
        <w:rPr>
          <w:sz w:val="18"/>
          <w:szCs w:val="18"/>
        </w:rPr>
        <w:t>.</w:t>
      </w:r>
    </w:p>
    <w:p w14:paraId="1E9419F2" w14:textId="77777777" w:rsidR="00B30434" w:rsidRPr="001905EF" w:rsidRDefault="00B30434" w:rsidP="00C708A5">
      <w:pPr>
        <w:pStyle w:val="EndnoteText"/>
        <w:numPr>
          <w:ilvl w:val="0"/>
          <w:numId w:val="9"/>
        </w:numPr>
        <w:rPr>
          <w:sz w:val="18"/>
          <w:szCs w:val="18"/>
        </w:rPr>
      </w:pPr>
      <w:r w:rsidRPr="001905EF">
        <w:rPr>
          <w:sz w:val="18"/>
          <w:szCs w:val="18"/>
        </w:rPr>
        <w:t>Procedures to request public information (not necessarily disseminated to the general public) are accessible and usable by all persons with disabilities.</w:t>
      </w:r>
    </w:p>
    <w:p w14:paraId="32B417C8" w14:textId="77777777" w:rsidR="00B30434" w:rsidRPr="001905EF" w:rsidRDefault="00B30434" w:rsidP="00CD4CE2">
      <w:pPr>
        <w:pStyle w:val="EndnoteText"/>
        <w:numPr>
          <w:ilvl w:val="0"/>
          <w:numId w:val="9"/>
        </w:numPr>
        <w:rPr>
          <w:sz w:val="18"/>
          <w:szCs w:val="18"/>
        </w:rPr>
      </w:pPr>
      <w:r w:rsidRPr="001905EF">
        <w:rPr>
          <w:sz w:val="18"/>
          <w:szCs w:val="18"/>
        </w:rPr>
        <w:t xml:space="preserve">There is no restriction in accessing information on the basis of deprivation of legal capacity </w:t>
      </w:r>
      <w:r>
        <w:rPr>
          <w:sz w:val="18"/>
          <w:szCs w:val="18"/>
        </w:rPr>
        <w:t>contrary to</w:t>
      </w:r>
      <w:r w:rsidRPr="001905EF">
        <w:rPr>
          <w:sz w:val="18"/>
          <w:szCs w:val="18"/>
        </w:rPr>
        <w:t xml:space="preserve"> Article 12 of the CRPD.</w:t>
      </w:r>
    </w:p>
  </w:endnote>
  <w:endnote w:id="3">
    <w:p w14:paraId="42011658" w14:textId="77777777" w:rsidR="00B30434" w:rsidRPr="001905EF" w:rsidRDefault="00B30434" w:rsidP="00567587">
      <w:pPr>
        <w:pStyle w:val="EndnoteText"/>
        <w:rPr>
          <w:sz w:val="18"/>
          <w:szCs w:val="18"/>
        </w:rPr>
      </w:pPr>
      <w:r w:rsidRPr="001905EF">
        <w:rPr>
          <w:rStyle w:val="EndnoteReference"/>
          <w:sz w:val="18"/>
          <w:szCs w:val="18"/>
        </w:rPr>
        <w:endnoteRef/>
      </w:r>
      <w:r w:rsidRPr="001905EF">
        <w:rPr>
          <w:sz w:val="18"/>
          <w:szCs w:val="18"/>
        </w:rPr>
        <w:t xml:space="preserve"> This</w:t>
      </w:r>
      <w:r>
        <w:rPr>
          <w:sz w:val="18"/>
          <w:szCs w:val="18"/>
        </w:rPr>
        <w:t xml:space="preserve"> indicator</w:t>
      </w:r>
      <w:r w:rsidRPr="001905EF">
        <w:rPr>
          <w:sz w:val="18"/>
          <w:szCs w:val="18"/>
        </w:rPr>
        <w:t xml:space="preserve"> refers for instance to provisions on accessibility within</w:t>
      </w:r>
      <w:r>
        <w:rPr>
          <w:sz w:val="18"/>
          <w:szCs w:val="18"/>
        </w:rPr>
        <w:t xml:space="preserve"> telecommunications legislation</w:t>
      </w:r>
      <w:r w:rsidRPr="001905EF">
        <w:rPr>
          <w:sz w:val="18"/>
          <w:szCs w:val="18"/>
        </w:rPr>
        <w:t xml:space="preserve">, broadcasting codes, </w:t>
      </w:r>
      <w:r>
        <w:rPr>
          <w:sz w:val="18"/>
          <w:szCs w:val="18"/>
        </w:rPr>
        <w:t xml:space="preserve">related </w:t>
      </w:r>
      <w:r w:rsidRPr="001905EF">
        <w:rPr>
          <w:sz w:val="18"/>
          <w:szCs w:val="18"/>
        </w:rPr>
        <w:t xml:space="preserve">regulations , </w:t>
      </w:r>
      <w:r>
        <w:rPr>
          <w:sz w:val="18"/>
          <w:szCs w:val="18"/>
        </w:rPr>
        <w:t xml:space="preserve">and addressing </w:t>
      </w:r>
      <w:r w:rsidRPr="00E10AEA">
        <w:rPr>
          <w:rFonts w:cstheme="minorHAnsi"/>
          <w:sz w:val="18"/>
          <w:szCs w:val="18"/>
        </w:rPr>
        <w:t>the Internet,</w:t>
      </w:r>
      <w:r>
        <w:rPr>
          <w:rFonts w:cstheme="minorHAnsi"/>
          <w:sz w:val="18"/>
          <w:szCs w:val="18"/>
        </w:rPr>
        <w:t xml:space="preserve"> </w:t>
      </w:r>
      <w:r w:rsidRPr="00E10AEA">
        <w:rPr>
          <w:rFonts w:cstheme="minorHAnsi"/>
          <w:sz w:val="18"/>
          <w:szCs w:val="18"/>
        </w:rPr>
        <w:t>digital technologies</w:t>
      </w:r>
      <w:r>
        <w:rPr>
          <w:rFonts w:cstheme="minorHAnsi"/>
          <w:sz w:val="18"/>
          <w:szCs w:val="18"/>
        </w:rPr>
        <w:t xml:space="preserve">, telephone, including telecom relay services (see ITU-T F.930 </w:t>
      </w:r>
      <w:r w:rsidRPr="00C77A62">
        <w:rPr>
          <w:rFonts w:cstheme="minorHAnsi"/>
          <w:sz w:val="18"/>
          <w:szCs w:val="18"/>
        </w:rPr>
        <w:t>Multimedia telecommunication relay services</w:t>
      </w:r>
      <w:r>
        <w:rPr>
          <w:rFonts w:cstheme="minorHAnsi"/>
          <w:sz w:val="18"/>
          <w:szCs w:val="18"/>
        </w:rPr>
        <w:t>), and mobile telephony</w:t>
      </w:r>
      <w:r w:rsidRPr="001905EF">
        <w:rPr>
          <w:sz w:val="18"/>
          <w:szCs w:val="18"/>
        </w:rPr>
        <w:t>.</w:t>
      </w:r>
      <w:r>
        <w:rPr>
          <w:sz w:val="18"/>
          <w:szCs w:val="18"/>
        </w:rPr>
        <w:t xml:space="preserve"> “Social Media”</w:t>
      </w:r>
      <w:r w:rsidRPr="001905EF">
        <w:rPr>
          <w:sz w:val="18"/>
          <w:szCs w:val="18"/>
          <w:lang w:val="en-GB"/>
        </w:rPr>
        <w:t xml:space="preserve"> includes websites, </w:t>
      </w:r>
      <w:r>
        <w:rPr>
          <w:sz w:val="18"/>
          <w:szCs w:val="18"/>
        </w:rPr>
        <w:t xml:space="preserve">online </w:t>
      </w:r>
      <w:r w:rsidRPr="001905EF">
        <w:rPr>
          <w:sz w:val="18"/>
          <w:szCs w:val="18"/>
          <w:lang w:val="en-GB"/>
        </w:rPr>
        <w:t>platforms and mobile applications</w:t>
      </w:r>
      <w:r>
        <w:rPr>
          <w:sz w:val="18"/>
          <w:szCs w:val="18"/>
        </w:rPr>
        <w:t>.</w:t>
      </w:r>
    </w:p>
  </w:endnote>
  <w:endnote w:id="4">
    <w:p w14:paraId="3EC2FAC5" w14:textId="77777777" w:rsidR="00B30434" w:rsidRPr="001905EF" w:rsidRDefault="00B30434" w:rsidP="0097758C">
      <w:pPr>
        <w:pStyle w:val="EndnoteText"/>
        <w:rPr>
          <w:sz w:val="18"/>
          <w:szCs w:val="18"/>
        </w:rPr>
      </w:pPr>
      <w:r w:rsidRPr="001905EF">
        <w:rPr>
          <w:rStyle w:val="EndnoteReference"/>
          <w:sz w:val="18"/>
          <w:szCs w:val="18"/>
        </w:rPr>
        <w:endnoteRef/>
      </w:r>
      <w:r w:rsidRPr="001905EF">
        <w:rPr>
          <w:sz w:val="18"/>
          <w:szCs w:val="18"/>
        </w:rPr>
        <w:t xml:space="preserve"> Such plan should </w:t>
      </w:r>
      <w:r w:rsidRPr="001905EF">
        <w:rPr>
          <w:i/>
          <w:sz w:val="18"/>
          <w:szCs w:val="18"/>
        </w:rPr>
        <w:t>inter alia</w:t>
      </w:r>
      <w:r w:rsidRPr="001905EF">
        <w:rPr>
          <w:sz w:val="18"/>
          <w:szCs w:val="18"/>
        </w:rPr>
        <w:t xml:space="preserve"> include:</w:t>
      </w:r>
    </w:p>
    <w:p w14:paraId="591B385F" w14:textId="77777777" w:rsidR="00B30434" w:rsidRPr="001905EF" w:rsidRDefault="00B30434" w:rsidP="00D77EDC">
      <w:pPr>
        <w:pStyle w:val="EndnoteText"/>
        <w:numPr>
          <w:ilvl w:val="0"/>
          <w:numId w:val="9"/>
        </w:numPr>
        <w:rPr>
          <w:sz w:val="18"/>
          <w:szCs w:val="18"/>
        </w:rPr>
      </w:pPr>
      <w:r w:rsidRPr="001905EF">
        <w:rPr>
          <w:sz w:val="18"/>
          <w:szCs w:val="18"/>
        </w:rPr>
        <w:t>Measures to raise awareness among public officials, servants and employees on the diverse alternative modes of communications accessible to persons with disabilities;</w:t>
      </w:r>
    </w:p>
    <w:p w14:paraId="044E886E" w14:textId="77777777" w:rsidR="00B30434" w:rsidRPr="001905EF" w:rsidRDefault="00B30434" w:rsidP="00D77EDC">
      <w:pPr>
        <w:pStyle w:val="EndnoteText"/>
        <w:numPr>
          <w:ilvl w:val="0"/>
          <w:numId w:val="9"/>
        </w:numPr>
        <w:rPr>
          <w:sz w:val="18"/>
          <w:szCs w:val="18"/>
        </w:rPr>
      </w:pPr>
      <w:r w:rsidRPr="001905EF">
        <w:rPr>
          <w:sz w:val="18"/>
          <w:szCs w:val="18"/>
        </w:rPr>
        <w:t>Measures to increase availability of public information in alternative formats;</w:t>
      </w:r>
    </w:p>
    <w:p w14:paraId="53D4975C" w14:textId="77777777" w:rsidR="00B30434" w:rsidRPr="001905EF" w:rsidRDefault="00B30434" w:rsidP="00D77EDC">
      <w:pPr>
        <w:pStyle w:val="EndnoteText"/>
        <w:numPr>
          <w:ilvl w:val="0"/>
          <w:numId w:val="9"/>
        </w:numPr>
        <w:rPr>
          <w:sz w:val="18"/>
          <w:szCs w:val="18"/>
        </w:rPr>
      </w:pPr>
      <w:r w:rsidRPr="001905EF">
        <w:rPr>
          <w:sz w:val="18"/>
          <w:szCs w:val="18"/>
        </w:rPr>
        <w:t>Measures to ensure availability of alternative means of communication for official interactions, including sign language interpreters, Braille printers, communication support, etc.</w:t>
      </w:r>
    </w:p>
    <w:p w14:paraId="1DBF957E" w14:textId="77777777" w:rsidR="00B30434" w:rsidRPr="001905EF" w:rsidRDefault="00B30434" w:rsidP="00A40B7A">
      <w:pPr>
        <w:pStyle w:val="EndnoteText"/>
        <w:numPr>
          <w:ilvl w:val="0"/>
          <w:numId w:val="9"/>
        </w:numPr>
        <w:rPr>
          <w:sz w:val="18"/>
          <w:szCs w:val="18"/>
        </w:rPr>
      </w:pPr>
      <w:r w:rsidRPr="001905EF">
        <w:rPr>
          <w:sz w:val="18"/>
          <w:szCs w:val="18"/>
        </w:rPr>
        <w:t>Measures to promote the inclusion of persons with disabilities as part of journalism work community, including through provision of support and reasonable accommodation during related education and employment, and through specific measures, including affirmative actions, not constit</w:t>
      </w:r>
      <w:r>
        <w:rPr>
          <w:sz w:val="18"/>
          <w:szCs w:val="18"/>
        </w:rPr>
        <w:t>uting discrimination (Article 5(</w:t>
      </w:r>
      <w:r w:rsidRPr="001905EF">
        <w:rPr>
          <w:sz w:val="18"/>
          <w:szCs w:val="18"/>
        </w:rPr>
        <w:t>4</w:t>
      </w:r>
      <w:r>
        <w:rPr>
          <w:sz w:val="18"/>
          <w:szCs w:val="18"/>
        </w:rPr>
        <w:t>)</w:t>
      </w:r>
      <w:r w:rsidRPr="001905EF">
        <w:rPr>
          <w:sz w:val="18"/>
          <w:szCs w:val="18"/>
        </w:rPr>
        <w:t xml:space="preserve"> of the CRPD).</w:t>
      </w:r>
    </w:p>
  </w:endnote>
  <w:endnote w:id="5">
    <w:p w14:paraId="59D6B9EB" w14:textId="77777777" w:rsidR="00B30434" w:rsidRPr="001905EF" w:rsidRDefault="00B30434" w:rsidP="00123EDB">
      <w:pPr>
        <w:pStyle w:val="EndnoteText"/>
        <w:rPr>
          <w:sz w:val="18"/>
          <w:szCs w:val="18"/>
          <w:lang w:val="en-GB"/>
        </w:rPr>
      </w:pPr>
      <w:r w:rsidRPr="001905EF">
        <w:rPr>
          <w:rStyle w:val="EndnoteReference"/>
          <w:sz w:val="18"/>
          <w:szCs w:val="18"/>
        </w:rPr>
        <w:endnoteRef/>
      </w:r>
      <w:r w:rsidRPr="001905EF">
        <w:rPr>
          <w:sz w:val="18"/>
          <w:szCs w:val="18"/>
        </w:rPr>
        <w:t xml:space="preserve"> </w:t>
      </w:r>
      <w:r w:rsidRPr="001905EF">
        <w:rPr>
          <w:sz w:val="18"/>
          <w:szCs w:val="18"/>
          <w:lang w:val="en-GB"/>
        </w:rPr>
        <w:t xml:space="preserve">This should include </w:t>
      </w:r>
      <w:r w:rsidRPr="001905EF">
        <w:rPr>
          <w:sz w:val="18"/>
          <w:szCs w:val="18"/>
        </w:rPr>
        <w:t>all forms or dialects especially in the case of sign languages, and provisions on non-discrimination, provision of reasonable accommodation, and definition of communication.</w:t>
      </w:r>
    </w:p>
  </w:endnote>
  <w:endnote w:id="6">
    <w:p w14:paraId="1DA76096" w14:textId="77777777" w:rsidR="00B30434" w:rsidRPr="001905EF" w:rsidRDefault="00B30434">
      <w:pPr>
        <w:pStyle w:val="EndnoteText"/>
        <w:rPr>
          <w:sz w:val="18"/>
          <w:szCs w:val="18"/>
          <w:lang w:val="en-GB"/>
        </w:rPr>
      </w:pPr>
      <w:r w:rsidRPr="001905EF">
        <w:rPr>
          <w:rStyle w:val="EndnoteReference"/>
          <w:sz w:val="18"/>
          <w:szCs w:val="18"/>
        </w:rPr>
        <w:endnoteRef/>
      </w:r>
      <w:r w:rsidRPr="001905EF">
        <w:rPr>
          <w:sz w:val="18"/>
          <w:szCs w:val="18"/>
        </w:rPr>
        <w:t xml:space="preserve"> </w:t>
      </w:r>
      <w:r w:rsidRPr="001905EF">
        <w:rPr>
          <w:sz w:val="18"/>
          <w:szCs w:val="18"/>
          <w:lang w:val="en-GB"/>
        </w:rPr>
        <w:t>This should include</w:t>
      </w:r>
      <w:r>
        <w:rPr>
          <w:sz w:val="18"/>
          <w:szCs w:val="18"/>
          <w:lang w:val="en-GB"/>
        </w:rPr>
        <w:t xml:space="preserve"> data on</w:t>
      </w:r>
      <w:r w:rsidRPr="001905EF">
        <w:rPr>
          <w:sz w:val="18"/>
          <w:szCs w:val="18"/>
          <w:lang w:val="en-GB"/>
        </w:rPr>
        <w:t>:</w:t>
      </w:r>
    </w:p>
    <w:p w14:paraId="393129C4" w14:textId="77777777" w:rsidR="00B30434" w:rsidRPr="001905EF" w:rsidRDefault="00B30434" w:rsidP="00EE2963">
      <w:pPr>
        <w:ind w:left="720"/>
        <w:jc w:val="both"/>
        <w:rPr>
          <w:rFonts w:cstheme="minorHAnsi"/>
          <w:sz w:val="18"/>
          <w:szCs w:val="18"/>
        </w:rPr>
      </w:pPr>
      <w:r w:rsidRPr="001905EF">
        <w:rPr>
          <w:rFonts w:cstheme="minorHAnsi"/>
          <w:sz w:val="18"/>
          <w:szCs w:val="18"/>
        </w:rPr>
        <w:t xml:space="preserve">a) number and proportion of documents for dissemination of public information to the general public also provided in accessible formats, disaggregated by type of format. </w:t>
      </w:r>
    </w:p>
    <w:p w14:paraId="2E1C24CA" w14:textId="77777777" w:rsidR="00B30434" w:rsidRPr="001905EF" w:rsidRDefault="00B30434" w:rsidP="00EE2963">
      <w:pPr>
        <w:ind w:left="720"/>
        <w:jc w:val="both"/>
        <w:rPr>
          <w:rFonts w:cstheme="minorHAnsi"/>
          <w:sz w:val="18"/>
          <w:szCs w:val="18"/>
        </w:rPr>
      </w:pPr>
      <w:r w:rsidRPr="001905EF">
        <w:rPr>
          <w:rFonts w:cstheme="minorHAnsi"/>
          <w:sz w:val="18"/>
          <w:szCs w:val="18"/>
        </w:rPr>
        <w:t>b) number and proportion of requests for information being granted in accessible formats, out of the total of requests of public information.</w:t>
      </w:r>
    </w:p>
    <w:p w14:paraId="08BC1208" w14:textId="77777777" w:rsidR="00B30434" w:rsidRPr="001905EF" w:rsidRDefault="00B30434" w:rsidP="00EE2963">
      <w:pPr>
        <w:ind w:left="720"/>
        <w:jc w:val="both"/>
        <w:rPr>
          <w:rFonts w:cstheme="minorHAnsi"/>
          <w:sz w:val="18"/>
          <w:szCs w:val="18"/>
        </w:rPr>
      </w:pPr>
      <w:r w:rsidRPr="001905EF">
        <w:rPr>
          <w:rFonts w:cstheme="minorHAnsi"/>
          <w:sz w:val="18"/>
          <w:szCs w:val="18"/>
        </w:rPr>
        <w:t>c)  number and proportion of requests for alternative means of communications in official interactions.</w:t>
      </w:r>
    </w:p>
    <w:p w14:paraId="320C7CAC" w14:textId="77777777" w:rsidR="00B30434" w:rsidRPr="008661A6" w:rsidRDefault="00B30434" w:rsidP="008661A6">
      <w:pPr>
        <w:ind w:left="720"/>
        <w:jc w:val="both"/>
        <w:rPr>
          <w:rFonts w:cstheme="minorHAnsi"/>
          <w:sz w:val="18"/>
          <w:szCs w:val="18"/>
        </w:rPr>
      </w:pPr>
      <w:r w:rsidRPr="001905EF">
        <w:rPr>
          <w:rFonts w:cstheme="minorHAnsi"/>
          <w:sz w:val="18"/>
          <w:szCs w:val="18"/>
        </w:rPr>
        <w:t>d) number and proportion of complaints alleging denial or restrictions to the right of freedom of expression and access to information of persons with disabilities</w:t>
      </w:r>
    </w:p>
  </w:endnote>
  <w:endnote w:id="7">
    <w:p w14:paraId="24179C11" w14:textId="77777777" w:rsidR="00B30434" w:rsidRPr="001905EF" w:rsidRDefault="00B30434" w:rsidP="001124CC">
      <w:pPr>
        <w:pStyle w:val="EndnoteText"/>
        <w:jc w:val="both"/>
        <w:rPr>
          <w:sz w:val="18"/>
          <w:szCs w:val="18"/>
          <w:lang w:val="en-GB"/>
        </w:rPr>
      </w:pPr>
      <w:r w:rsidRPr="001905EF">
        <w:rPr>
          <w:rStyle w:val="EndnoteReference"/>
          <w:sz w:val="18"/>
          <w:szCs w:val="18"/>
        </w:rPr>
        <w:endnoteRef/>
      </w:r>
      <w:r w:rsidRPr="001905EF">
        <w:rPr>
          <w:sz w:val="18"/>
          <w:szCs w:val="18"/>
        </w:rPr>
        <w:t xml:space="preserve"> </w:t>
      </w:r>
      <w:r>
        <w:rPr>
          <w:sz w:val="18"/>
          <w:szCs w:val="18"/>
        </w:rPr>
        <w:t>The reference</w:t>
      </w:r>
      <w:r w:rsidRPr="001905EF">
        <w:rPr>
          <w:sz w:val="18"/>
          <w:szCs w:val="18"/>
        </w:rPr>
        <w:t xml:space="preserve"> “advance notification” </w:t>
      </w:r>
      <w:r>
        <w:rPr>
          <w:sz w:val="18"/>
          <w:szCs w:val="18"/>
        </w:rPr>
        <w:t xml:space="preserve">in this indicator </w:t>
      </w:r>
      <w:r w:rsidRPr="001905EF">
        <w:rPr>
          <w:sz w:val="18"/>
          <w:szCs w:val="18"/>
        </w:rPr>
        <w:t xml:space="preserve">does </w:t>
      </w:r>
      <w:r w:rsidRPr="001905EF">
        <w:rPr>
          <w:sz w:val="18"/>
          <w:szCs w:val="18"/>
          <w:lang w:val="en-GB"/>
        </w:rPr>
        <w:t>not imply that the State has to grant permission for</w:t>
      </w:r>
      <w:r w:rsidRPr="001905EF">
        <w:rPr>
          <w:rFonts w:cstheme="minorHAnsi"/>
          <w:sz w:val="18"/>
          <w:szCs w:val="18"/>
        </w:rPr>
        <w:t xml:space="preserve"> holding a demonstration or an outdoor awareness-raising event. Instead, the requirement of “advance notification” must only have the purpose </w:t>
      </w:r>
      <w:r w:rsidRPr="001905EF">
        <w:rPr>
          <w:sz w:val="18"/>
          <w:szCs w:val="18"/>
          <w:lang w:val="en-GB"/>
        </w:rPr>
        <w:t>of informing public authorities to enable them to put in place the necessary arrangements to facilitate freedom of assembly and to protect public order, public safety and the rights and freedoms of others. In some countries, it is not necessary to seek advance notification, for instance for small protests. Thus, indicato</w:t>
      </w:r>
      <w:r>
        <w:rPr>
          <w:sz w:val="18"/>
          <w:szCs w:val="18"/>
          <w:lang w:val="en-GB"/>
        </w:rPr>
        <w:t>r 21.9</w:t>
      </w:r>
      <w:r w:rsidRPr="001905EF">
        <w:rPr>
          <w:sz w:val="18"/>
          <w:szCs w:val="18"/>
          <w:lang w:val="en-GB"/>
        </w:rPr>
        <w:t xml:space="preserve"> constitutes a proxy indicator. For further information: </w:t>
      </w:r>
      <w:hyperlink r:id="rId1" w:history="1">
        <w:r w:rsidRPr="001905EF">
          <w:rPr>
            <w:rStyle w:val="Hyperlink"/>
            <w:sz w:val="18"/>
            <w:szCs w:val="18"/>
            <w:lang w:val="en-GB"/>
          </w:rPr>
          <w:t>www.osce.org/odihr/73405?download=true</w:t>
        </w:r>
      </w:hyperlink>
      <w:r w:rsidRPr="001905EF">
        <w:rPr>
          <w:sz w:val="18"/>
          <w:szCs w:val="18"/>
          <w:lang w:val="en-GB"/>
        </w:rPr>
        <w:t xml:space="preserve"> </w:t>
      </w:r>
    </w:p>
  </w:endnote>
  <w:endnote w:id="8">
    <w:p w14:paraId="38CAF9E3" w14:textId="77777777" w:rsidR="00B30434" w:rsidRPr="001905EF" w:rsidRDefault="00B30434">
      <w:pPr>
        <w:pStyle w:val="EndnoteText"/>
        <w:rPr>
          <w:sz w:val="18"/>
          <w:szCs w:val="18"/>
        </w:rPr>
      </w:pPr>
      <w:r w:rsidRPr="001905EF">
        <w:rPr>
          <w:rStyle w:val="EndnoteReference"/>
          <w:sz w:val="18"/>
          <w:szCs w:val="18"/>
        </w:rPr>
        <w:endnoteRef/>
      </w:r>
      <w:r w:rsidRPr="001905EF">
        <w:rPr>
          <w:sz w:val="18"/>
          <w:szCs w:val="18"/>
        </w:rPr>
        <w:t xml:space="preserve"> This could include the development of guidance documents on accessibility of information </w:t>
      </w:r>
      <w:r>
        <w:rPr>
          <w:sz w:val="18"/>
          <w:szCs w:val="18"/>
        </w:rPr>
        <w:t xml:space="preserve">for </w:t>
      </w:r>
      <w:r w:rsidRPr="001905EF">
        <w:rPr>
          <w:sz w:val="18"/>
          <w:szCs w:val="18"/>
        </w:rPr>
        <w:t>all relevant stakeholders.</w:t>
      </w:r>
    </w:p>
  </w:endnote>
  <w:endnote w:id="9">
    <w:p w14:paraId="5DE15EC4" w14:textId="77777777" w:rsidR="00B30434" w:rsidRPr="00530ADD" w:rsidRDefault="00B30434" w:rsidP="00212B15">
      <w:pPr>
        <w:pStyle w:val="EndnoteText"/>
      </w:pPr>
      <w:r>
        <w:rPr>
          <w:rStyle w:val="EndnoteReference"/>
        </w:rPr>
        <w:endnoteRef/>
      </w:r>
      <w:r>
        <w:t xml:space="preserve"> </w:t>
      </w:r>
      <w:r w:rsidRPr="00530ADD">
        <w:rPr>
          <w:sz w:val="18"/>
          <w:szCs w:val="18"/>
        </w:rPr>
        <w:t>See ITU-T Recommendation H.702 describing the functions for displaying accessibility information such as caption, sign language and audio description.</w:t>
      </w:r>
    </w:p>
  </w:endnote>
  <w:endnote w:id="10">
    <w:p w14:paraId="29FD7539" w14:textId="6623300C" w:rsidR="00B30434" w:rsidRPr="00DD35DD" w:rsidRDefault="00B30434" w:rsidP="00724E08">
      <w:pPr>
        <w:pStyle w:val="EndnoteText"/>
        <w:jc w:val="both"/>
        <w:rPr>
          <w:sz w:val="18"/>
          <w:szCs w:val="18"/>
        </w:rPr>
      </w:pPr>
      <w:r w:rsidRPr="001905EF">
        <w:rPr>
          <w:rStyle w:val="EndnoteReference"/>
          <w:sz w:val="18"/>
          <w:szCs w:val="18"/>
        </w:rPr>
        <w:endnoteRef/>
      </w:r>
      <w:r w:rsidRPr="001905EF">
        <w:rPr>
          <w:sz w:val="18"/>
          <w:szCs w:val="18"/>
        </w:rP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w:t>
      </w:r>
      <w:r>
        <w:rPr>
          <w:sz w:val="18"/>
          <w:szCs w:val="18"/>
        </w:rPr>
        <w:t>ect them in line with article 4(</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2" w:history="1">
        <w:r w:rsidRPr="002A2F9E">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7B86D462" w14:textId="77777777" w:rsidR="00B30434" w:rsidRPr="00DD35DD" w:rsidRDefault="00B30434" w:rsidP="00724E08">
      <w:pPr>
        <w:pStyle w:val="EndnoteText"/>
        <w:numPr>
          <w:ilvl w:val="0"/>
          <w:numId w:val="3"/>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7E8EBB25" w14:textId="77777777" w:rsidR="00B30434" w:rsidRPr="00DD35DD" w:rsidRDefault="00B30434" w:rsidP="00724E08">
      <w:pPr>
        <w:pStyle w:val="EndnoteText"/>
        <w:numPr>
          <w:ilvl w:val="0"/>
          <w:numId w:val="3"/>
        </w:numPr>
        <w:ind w:left="714" w:hanging="357"/>
        <w:contextualSpacing/>
        <w:rPr>
          <w:sz w:val="18"/>
          <w:szCs w:val="18"/>
        </w:rPr>
      </w:pPr>
      <w:r w:rsidRPr="00DD35DD">
        <w:rPr>
          <w:sz w:val="18"/>
          <w:szCs w:val="18"/>
        </w:rPr>
        <w:t>ensure provision of appropriate and accessible information</w:t>
      </w:r>
      <w:r>
        <w:rPr>
          <w:sz w:val="18"/>
          <w:szCs w:val="18"/>
        </w:rPr>
        <w:t>;</w:t>
      </w:r>
    </w:p>
    <w:p w14:paraId="44AE6AE9" w14:textId="77777777" w:rsidR="00B30434" w:rsidRPr="00DD35DD" w:rsidRDefault="00B30434" w:rsidP="00724E08">
      <w:pPr>
        <w:pStyle w:val="EndnoteText"/>
        <w:numPr>
          <w:ilvl w:val="0"/>
          <w:numId w:val="3"/>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724838D8" w14:textId="77777777" w:rsidR="00B30434" w:rsidRDefault="00B30434" w:rsidP="00724E08">
      <w:pPr>
        <w:pStyle w:val="EndnoteText"/>
        <w:numPr>
          <w:ilvl w:val="0"/>
          <w:numId w:val="3"/>
        </w:numPr>
        <w:ind w:left="714" w:hanging="357"/>
        <w:contextualSpacing/>
        <w:rPr>
          <w:sz w:val="18"/>
          <w:szCs w:val="18"/>
        </w:rPr>
      </w:pPr>
      <w:r w:rsidRPr="00DD35DD">
        <w:rPr>
          <w:sz w:val="18"/>
          <w:szCs w:val="18"/>
        </w:rPr>
        <w:t>include both registered and unregistered organ</w:t>
      </w:r>
      <w:r>
        <w:rPr>
          <w:sz w:val="18"/>
          <w:szCs w:val="18"/>
        </w:rPr>
        <w:t>izations;</w:t>
      </w:r>
    </w:p>
    <w:p w14:paraId="57B9AC41" w14:textId="77777777" w:rsidR="00B30434" w:rsidRDefault="00B30434" w:rsidP="00724E08">
      <w:pPr>
        <w:pStyle w:val="EndnoteText"/>
        <w:numPr>
          <w:ilvl w:val="0"/>
          <w:numId w:val="3"/>
        </w:numPr>
        <w:ind w:left="714" w:hanging="357"/>
        <w:contextualSpacing/>
        <w:rPr>
          <w:sz w:val="18"/>
          <w:szCs w:val="18"/>
        </w:rPr>
      </w:pPr>
      <w:r w:rsidRPr="00724E08">
        <w:rPr>
          <w:sz w:val="18"/>
          <w:szCs w:val="18"/>
        </w:rPr>
        <w:t>ensure early and continuous involvement;</w:t>
      </w:r>
    </w:p>
    <w:p w14:paraId="09122823" w14:textId="77777777" w:rsidR="00B30434" w:rsidRPr="00724E08" w:rsidRDefault="00B30434" w:rsidP="00724E08">
      <w:pPr>
        <w:pStyle w:val="EndnoteText"/>
        <w:numPr>
          <w:ilvl w:val="0"/>
          <w:numId w:val="3"/>
        </w:numPr>
        <w:ind w:left="714" w:hanging="357"/>
        <w:contextualSpacing/>
        <w:rPr>
          <w:sz w:val="18"/>
          <w:szCs w:val="18"/>
        </w:rPr>
      </w:pPr>
      <w:r w:rsidRPr="00724E08">
        <w:rPr>
          <w:rFonts w:cstheme="minorHAnsi"/>
          <w:sz w:val="18"/>
          <w:szCs w:val="18"/>
        </w:rPr>
        <w:t>cover related expenses of participants.</w:t>
      </w:r>
    </w:p>
    <w:p w14:paraId="17FBB1F3" w14:textId="7CF05064" w:rsidR="00B30434" w:rsidRPr="001905EF" w:rsidRDefault="00B30434" w:rsidP="00E916B6">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DB919" w14:textId="77777777" w:rsidR="00273B76" w:rsidRDefault="00273B76" w:rsidP="00CA591E">
      <w:r>
        <w:separator/>
      </w:r>
    </w:p>
  </w:footnote>
  <w:footnote w:type="continuationSeparator" w:id="0">
    <w:p w14:paraId="35CD142D" w14:textId="77777777" w:rsidR="00273B76" w:rsidRDefault="00273B76"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1682ADF"/>
    <w:multiLevelType w:val="hybridMultilevel"/>
    <w:tmpl w:val="42DC76C4"/>
    <w:lvl w:ilvl="0" w:tplc="A3AA44D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7E0B"/>
    <w:multiLevelType w:val="hybridMultilevel"/>
    <w:tmpl w:val="77C41EC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87C07"/>
    <w:multiLevelType w:val="hybridMultilevel"/>
    <w:tmpl w:val="CEAE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9A7BDC"/>
    <w:multiLevelType w:val="hybridMultilevel"/>
    <w:tmpl w:val="26E44422"/>
    <w:lvl w:ilvl="0" w:tplc="5E50AA1A">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6"/>
  </w:num>
  <w:num w:numId="6">
    <w:abstractNumId w:val="11"/>
  </w:num>
  <w:num w:numId="7">
    <w:abstractNumId w:val="9"/>
  </w:num>
  <w:num w:numId="8">
    <w:abstractNumId w:val="1"/>
  </w:num>
  <w:num w:numId="9">
    <w:abstractNumId w:val="10"/>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10501"/>
    <w:rsid w:val="000134AA"/>
    <w:rsid w:val="000241DD"/>
    <w:rsid w:val="00026CE2"/>
    <w:rsid w:val="00050711"/>
    <w:rsid w:val="0005219A"/>
    <w:rsid w:val="00057593"/>
    <w:rsid w:val="00063173"/>
    <w:rsid w:val="000652FA"/>
    <w:rsid w:val="000720D9"/>
    <w:rsid w:val="000726B3"/>
    <w:rsid w:val="00087978"/>
    <w:rsid w:val="000A25BC"/>
    <w:rsid w:val="000A76BA"/>
    <w:rsid w:val="000B3868"/>
    <w:rsid w:val="00101BAD"/>
    <w:rsid w:val="001030AE"/>
    <w:rsid w:val="001124CC"/>
    <w:rsid w:val="001143E6"/>
    <w:rsid w:val="00121ED4"/>
    <w:rsid w:val="00123EDB"/>
    <w:rsid w:val="001423A3"/>
    <w:rsid w:val="00167016"/>
    <w:rsid w:val="00167E3A"/>
    <w:rsid w:val="0017378D"/>
    <w:rsid w:val="0017443D"/>
    <w:rsid w:val="00187B3E"/>
    <w:rsid w:val="001905EF"/>
    <w:rsid w:val="00195062"/>
    <w:rsid w:val="001C1843"/>
    <w:rsid w:val="001E7EA3"/>
    <w:rsid w:val="001F0088"/>
    <w:rsid w:val="001F4273"/>
    <w:rsid w:val="00202A8A"/>
    <w:rsid w:val="00203E7D"/>
    <w:rsid w:val="00211B8B"/>
    <w:rsid w:val="00212B15"/>
    <w:rsid w:val="0022085D"/>
    <w:rsid w:val="0022312E"/>
    <w:rsid w:val="002304CD"/>
    <w:rsid w:val="00240F47"/>
    <w:rsid w:val="00253769"/>
    <w:rsid w:val="00255E20"/>
    <w:rsid w:val="002579F5"/>
    <w:rsid w:val="00264909"/>
    <w:rsid w:val="002671D8"/>
    <w:rsid w:val="00273B76"/>
    <w:rsid w:val="002773AC"/>
    <w:rsid w:val="002836A9"/>
    <w:rsid w:val="002A2F9E"/>
    <w:rsid w:val="002C3801"/>
    <w:rsid w:val="002C6574"/>
    <w:rsid w:val="002D3D29"/>
    <w:rsid w:val="002D5457"/>
    <w:rsid w:val="002F108D"/>
    <w:rsid w:val="002F45D6"/>
    <w:rsid w:val="00301AE4"/>
    <w:rsid w:val="00307F27"/>
    <w:rsid w:val="003106B0"/>
    <w:rsid w:val="00310B42"/>
    <w:rsid w:val="00317267"/>
    <w:rsid w:val="003301F5"/>
    <w:rsid w:val="00335FE8"/>
    <w:rsid w:val="0033655A"/>
    <w:rsid w:val="00340132"/>
    <w:rsid w:val="003448E7"/>
    <w:rsid w:val="00346DAD"/>
    <w:rsid w:val="0036303D"/>
    <w:rsid w:val="003718CF"/>
    <w:rsid w:val="003759C9"/>
    <w:rsid w:val="00381775"/>
    <w:rsid w:val="003A4DB1"/>
    <w:rsid w:val="003A712F"/>
    <w:rsid w:val="003B15A4"/>
    <w:rsid w:val="003B5601"/>
    <w:rsid w:val="003E7407"/>
    <w:rsid w:val="00401880"/>
    <w:rsid w:val="0040765F"/>
    <w:rsid w:val="004149FE"/>
    <w:rsid w:val="004164A5"/>
    <w:rsid w:val="0045550D"/>
    <w:rsid w:val="00461CF2"/>
    <w:rsid w:val="0046687E"/>
    <w:rsid w:val="00493D30"/>
    <w:rsid w:val="00495F18"/>
    <w:rsid w:val="0049767B"/>
    <w:rsid w:val="004A22A0"/>
    <w:rsid w:val="004A42A4"/>
    <w:rsid w:val="004A7DC7"/>
    <w:rsid w:val="004C3801"/>
    <w:rsid w:val="004E592B"/>
    <w:rsid w:val="004F0EC0"/>
    <w:rsid w:val="004F5E50"/>
    <w:rsid w:val="0050205F"/>
    <w:rsid w:val="0051360A"/>
    <w:rsid w:val="00520491"/>
    <w:rsid w:val="00532EBD"/>
    <w:rsid w:val="00542870"/>
    <w:rsid w:val="00567587"/>
    <w:rsid w:val="005676AC"/>
    <w:rsid w:val="00580067"/>
    <w:rsid w:val="005848D2"/>
    <w:rsid w:val="005877AA"/>
    <w:rsid w:val="00591F62"/>
    <w:rsid w:val="005970C3"/>
    <w:rsid w:val="005A3363"/>
    <w:rsid w:val="005B0200"/>
    <w:rsid w:val="005B2EC5"/>
    <w:rsid w:val="005B3669"/>
    <w:rsid w:val="005F266C"/>
    <w:rsid w:val="005F4EC8"/>
    <w:rsid w:val="005F5B19"/>
    <w:rsid w:val="0060075A"/>
    <w:rsid w:val="00607517"/>
    <w:rsid w:val="006079DF"/>
    <w:rsid w:val="006362B7"/>
    <w:rsid w:val="00646403"/>
    <w:rsid w:val="0065051C"/>
    <w:rsid w:val="006519A4"/>
    <w:rsid w:val="006571C0"/>
    <w:rsid w:val="0066569D"/>
    <w:rsid w:val="00670710"/>
    <w:rsid w:val="00670FAB"/>
    <w:rsid w:val="00672036"/>
    <w:rsid w:val="0068399E"/>
    <w:rsid w:val="00685CF4"/>
    <w:rsid w:val="0069027B"/>
    <w:rsid w:val="006951F9"/>
    <w:rsid w:val="00696FC9"/>
    <w:rsid w:val="006A6733"/>
    <w:rsid w:val="006A6FCB"/>
    <w:rsid w:val="006B3FE4"/>
    <w:rsid w:val="006B5CDD"/>
    <w:rsid w:val="006C49A3"/>
    <w:rsid w:val="006C5832"/>
    <w:rsid w:val="006D1DB5"/>
    <w:rsid w:val="006D49BD"/>
    <w:rsid w:val="006D5AC3"/>
    <w:rsid w:val="006E1029"/>
    <w:rsid w:val="006F7AAC"/>
    <w:rsid w:val="0070160D"/>
    <w:rsid w:val="00702448"/>
    <w:rsid w:val="00705361"/>
    <w:rsid w:val="007070D2"/>
    <w:rsid w:val="0071032C"/>
    <w:rsid w:val="0072068D"/>
    <w:rsid w:val="00724E08"/>
    <w:rsid w:val="0073477D"/>
    <w:rsid w:val="00736A44"/>
    <w:rsid w:val="00743EEA"/>
    <w:rsid w:val="007457D0"/>
    <w:rsid w:val="007472F1"/>
    <w:rsid w:val="007529CC"/>
    <w:rsid w:val="00760003"/>
    <w:rsid w:val="00763C2F"/>
    <w:rsid w:val="007647CF"/>
    <w:rsid w:val="00766B7C"/>
    <w:rsid w:val="00773555"/>
    <w:rsid w:val="00790624"/>
    <w:rsid w:val="00792C5D"/>
    <w:rsid w:val="00797920"/>
    <w:rsid w:val="007A7D05"/>
    <w:rsid w:val="007B3BE1"/>
    <w:rsid w:val="007C141B"/>
    <w:rsid w:val="007C2DCA"/>
    <w:rsid w:val="007C5ED4"/>
    <w:rsid w:val="007D0E4D"/>
    <w:rsid w:val="007D4548"/>
    <w:rsid w:val="007D6242"/>
    <w:rsid w:val="007E4AF5"/>
    <w:rsid w:val="007F0393"/>
    <w:rsid w:val="00813049"/>
    <w:rsid w:val="00823FA2"/>
    <w:rsid w:val="008345F5"/>
    <w:rsid w:val="00835340"/>
    <w:rsid w:val="00841566"/>
    <w:rsid w:val="008434A9"/>
    <w:rsid w:val="00855C26"/>
    <w:rsid w:val="00856ED6"/>
    <w:rsid w:val="008661A6"/>
    <w:rsid w:val="00875318"/>
    <w:rsid w:val="00884F8C"/>
    <w:rsid w:val="008858A7"/>
    <w:rsid w:val="00892F6E"/>
    <w:rsid w:val="0089365A"/>
    <w:rsid w:val="00893A92"/>
    <w:rsid w:val="008A30C7"/>
    <w:rsid w:val="008D2892"/>
    <w:rsid w:val="008D5B01"/>
    <w:rsid w:val="008E15CB"/>
    <w:rsid w:val="008E6798"/>
    <w:rsid w:val="0091529D"/>
    <w:rsid w:val="009159FD"/>
    <w:rsid w:val="00921842"/>
    <w:rsid w:val="0092368C"/>
    <w:rsid w:val="009368D1"/>
    <w:rsid w:val="0095075F"/>
    <w:rsid w:val="00952259"/>
    <w:rsid w:val="009545E1"/>
    <w:rsid w:val="00964A5B"/>
    <w:rsid w:val="0096663D"/>
    <w:rsid w:val="00966F2E"/>
    <w:rsid w:val="0097758C"/>
    <w:rsid w:val="009813DF"/>
    <w:rsid w:val="009A4374"/>
    <w:rsid w:val="009A6799"/>
    <w:rsid w:val="009A7F64"/>
    <w:rsid w:val="009B0C95"/>
    <w:rsid w:val="009C7747"/>
    <w:rsid w:val="009D55EF"/>
    <w:rsid w:val="009D6367"/>
    <w:rsid w:val="009E1074"/>
    <w:rsid w:val="009F5C12"/>
    <w:rsid w:val="009F6E73"/>
    <w:rsid w:val="009F7221"/>
    <w:rsid w:val="009F7D61"/>
    <w:rsid w:val="00A0067F"/>
    <w:rsid w:val="00A00F11"/>
    <w:rsid w:val="00A2782B"/>
    <w:rsid w:val="00A36716"/>
    <w:rsid w:val="00A40B7A"/>
    <w:rsid w:val="00A42C44"/>
    <w:rsid w:val="00A60E07"/>
    <w:rsid w:val="00A611AF"/>
    <w:rsid w:val="00A94678"/>
    <w:rsid w:val="00AA54B8"/>
    <w:rsid w:val="00AB045F"/>
    <w:rsid w:val="00AC03AB"/>
    <w:rsid w:val="00AD3349"/>
    <w:rsid w:val="00AE00B9"/>
    <w:rsid w:val="00AE0211"/>
    <w:rsid w:val="00B00AA5"/>
    <w:rsid w:val="00B03396"/>
    <w:rsid w:val="00B03486"/>
    <w:rsid w:val="00B30434"/>
    <w:rsid w:val="00B37BE0"/>
    <w:rsid w:val="00B4198C"/>
    <w:rsid w:val="00B60E8F"/>
    <w:rsid w:val="00B81812"/>
    <w:rsid w:val="00BA1D22"/>
    <w:rsid w:val="00BA22F4"/>
    <w:rsid w:val="00BB1098"/>
    <w:rsid w:val="00BB1A2C"/>
    <w:rsid w:val="00BB4CB4"/>
    <w:rsid w:val="00BC022E"/>
    <w:rsid w:val="00BC0719"/>
    <w:rsid w:val="00BD663E"/>
    <w:rsid w:val="00BF276B"/>
    <w:rsid w:val="00BF77C3"/>
    <w:rsid w:val="00C00627"/>
    <w:rsid w:val="00C02BC2"/>
    <w:rsid w:val="00C10220"/>
    <w:rsid w:val="00C12132"/>
    <w:rsid w:val="00C2125B"/>
    <w:rsid w:val="00C24776"/>
    <w:rsid w:val="00C446D5"/>
    <w:rsid w:val="00C4598B"/>
    <w:rsid w:val="00C51F20"/>
    <w:rsid w:val="00C541CC"/>
    <w:rsid w:val="00C563EB"/>
    <w:rsid w:val="00C708A5"/>
    <w:rsid w:val="00C721CD"/>
    <w:rsid w:val="00C922BF"/>
    <w:rsid w:val="00C92A6B"/>
    <w:rsid w:val="00CA0ACC"/>
    <w:rsid w:val="00CA591E"/>
    <w:rsid w:val="00CB031F"/>
    <w:rsid w:val="00CB6A32"/>
    <w:rsid w:val="00CC3522"/>
    <w:rsid w:val="00CC788A"/>
    <w:rsid w:val="00CD4A47"/>
    <w:rsid w:val="00CD4CE2"/>
    <w:rsid w:val="00CF20D7"/>
    <w:rsid w:val="00D00375"/>
    <w:rsid w:val="00D01F95"/>
    <w:rsid w:val="00D13F5B"/>
    <w:rsid w:val="00D167E3"/>
    <w:rsid w:val="00D418DC"/>
    <w:rsid w:val="00D5408E"/>
    <w:rsid w:val="00D77EDC"/>
    <w:rsid w:val="00D80803"/>
    <w:rsid w:val="00D90E21"/>
    <w:rsid w:val="00D911DD"/>
    <w:rsid w:val="00DA5A6A"/>
    <w:rsid w:val="00DC6868"/>
    <w:rsid w:val="00DD2A83"/>
    <w:rsid w:val="00DE431B"/>
    <w:rsid w:val="00DE4B64"/>
    <w:rsid w:val="00E15075"/>
    <w:rsid w:val="00E232CB"/>
    <w:rsid w:val="00E27296"/>
    <w:rsid w:val="00E27806"/>
    <w:rsid w:val="00E31AF2"/>
    <w:rsid w:val="00E32612"/>
    <w:rsid w:val="00E37407"/>
    <w:rsid w:val="00E450C3"/>
    <w:rsid w:val="00E50CD7"/>
    <w:rsid w:val="00E608B7"/>
    <w:rsid w:val="00E64E57"/>
    <w:rsid w:val="00E65C6D"/>
    <w:rsid w:val="00E90CD1"/>
    <w:rsid w:val="00E916B6"/>
    <w:rsid w:val="00E96C21"/>
    <w:rsid w:val="00EB3E70"/>
    <w:rsid w:val="00EB525B"/>
    <w:rsid w:val="00EB7399"/>
    <w:rsid w:val="00EC0D4A"/>
    <w:rsid w:val="00ED2C1C"/>
    <w:rsid w:val="00ED42B0"/>
    <w:rsid w:val="00ED5AE5"/>
    <w:rsid w:val="00EE255D"/>
    <w:rsid w:val="00EE2963"/>
    <w:rsid w:val="00EE4AB0"/>
    <w:rsid w:val="00EE5CFE"/>
    <w:rsid w:val="00EF207E"/>
    <w:rsid w:val="00EF265F"/>
    <w:rsid w:val="00EF345A"/>
    <w:rsid w:val="00EF73AB"/>
    <w:rsid w:val="00F05557"/>
    <w:rsid w:val="00F63625"/>
    <w:rsid w:val="00F63CBD"/>
    <w:rsid w:val="00F77E96"/>
    <w:rsid w:val="00F96691"/>
    <w:rsid w:val="00F97690"/>
    <w:rsid w:val="00FA3A81"/>
    <w:rsid w:val="00FB1E78"/>
    <w:rsid w:val="00FB2C29"/>
    <w:rsid w:val="00FB33D1"/>
    <w:rsid w:val="00FD39D7"/>
    <w:rsid w:val="00FD6238"/>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82B"/>
    <w:pPr>
      <w:jc w:val="center"/>
      <w:outlineLvl w:val="0"/>
    </w:pPr>
    <w:rPr>
      <w:rFonts w:cstheme="minorHAnsi"/>
      <w:b/>
      <w:sz w:val="18"/>
      <w:szCs w:val="18"/>
    </w:rPr>
  </w:style>
  <w:style w:type="paragraph" w:styleId="Heading2">
    <w:name w:val="heading 2"/>
    <w:basedOn w:val="Normal"/>
    <w:next w:val="Normal"/>
    <w:link w:val="Heading2Char"/>
    <w:uiPriority w:val="9"/>
    <w:unhideWhenUsed/>
    <w:qFormat/>
    <w:rsid w:val="00A2782B"/>
    <w:pPr>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semiHidden/>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71032C"/>
    <w:pPr>
      <w:tabs>
        <w:tab w:val="center" w:pos="4513"/>
        <w:tab w:val="right" w:pos="9026"/>
      </w:tabs>
    </w:pPr>
  </w:style>
  <w:style w:type="character" w:customStyle="1" w:styleId="HeaderChar">
    <w:name w:val="Header Char"/>
    <w:basedOn w:val="DefaultParagraphFont"/>
    <w:link w:val="Header"/>
    <w:uiPriority w:val="99"/>
    <w:rsid w:val="0071032C"/>
  </w:style>
  <w:style w:type="paragraph" w:styleId="Footer">
    <w:name w:val="footer"/>
    <w:basedOn w:val="Normal"/>
    <w:link w:val="FooterChar"/>
    <w:uiPriority w:val="99"/>
    <w:unhideWhenUsed/>
    <w:rsid w:val="0071032C"/>
    <w:pPr>
      <w:tabs>
        <w:tab w:val="center" w:pos="4513"/>
        <w:tab w:val="right" w:pos="9026"/>
      </w:tabs>
    </w:pPr>
  </w:style>
  <w:style w:type="character" w:customStyle="1" w:styleId="FooterChar">
    <w:name w:val="Footer Char"/>
    <w:basedOn w:val="DefaultParagraphFont"/>
    <w:link w:val="Footer"/>
    <w:uiPriority w:val="99"/>
    <w:rsid w:val="0071032C"/>
  </w:style>
  <w:style w:type="character" w:styleId="FollowedHyperlink">
    <w:name w:val="FollowedHyperlink"/>
    <w:basedOn w:val="DefaultParagraphFont"/>
    <w:uiPriority w:val="99"/>
    <w:semiHidden/>
    <w:unhideWhenUsed/>
    <w:rsid w:val="00C12132"/>
    <w:rPr>
      <w:color w:val="954F72" w:themeColor="followedHyperlink"/>
      <w:u w:val="single"/>
    </w:rPr>
  </w:style>
  <w:style w:type="character" w:customStyle="1" w:styleId="highlight">
    <w:name w:val="highlight"/>
    <w:basedOn w:val="DefaultParagraphFont"/>
    <w:rsid w:val="00CC788A"/>
  </w:style>
  <w:style w:type="character" w:customStyle="1" w:styleId="Heading1Char">
    <w:name w:val="Heading 1 Char"/>
    <w:basedOn w:val="DefaultParagraphFont"/>
    <w:link w:val="Heading1"/>
    <w:uiPriority w:val="9"/>
    <w:rsid w:val="00A2782B"/>
    <w:rPr>
      <w:rFonts w:cstheme="minorHAnsi"/>
      <w:b/>
      <w:sz w:val="18"/>
      <w:szCs w:val="18"/>
    </w:rPr>
  </w:style>
  <w:style w:type="character" w:customStyle="1" w:styleId="Heading2Char">
    <w:name w:val="Heading 2 Char"/>
    <w:basedOn w:val="DefaultParagraphFont"/>
    <w:link w:val="Heading2"/>
    <w:uiPriority w:val="9"/>
    <w:rsid w:val="00A2782B"/>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81808">
      <w:bodyDiv w:val="1"/>
      <w:marLeft w:val="0"/>
      <w:marRight w:val="0"/>
      <w:marTop w:val="0"/>
      <w:marBottom w:val="0"/>
      <w:divBdr>
        <w:top w:val="none" w:sz="0" w:space="0" w:color="auto"/>
        <w:left w:val="none" w:sz="0" w:space="0" w:color="auto"/>
        <w:bottom w:val="none" w:sz="0" w:space="0" w:color="auto"/>
        <w:right w:val="none" w:sz="0" w:space="0" w:color="auto"/>
      </w:divBdr>
      <w:divsChild>
        <w:div w:id="1256206285">
          <w:marLeft w:val="0"/>
          <w:marRight w:val="0"/>
          <w:marTop w:val="0"/>
          <w:marBottom w:val="0"/>
          <w:divBdr>
            <w:top w:val="none" w:sz="0" w:space="0" w:color="auto"/>
            <w:left w:val="none" w:sz="0" w:space="0" w:color="auto"/>
            <w:bottom w:val="none" w:sz="0" w:space="0" w:color="auto"/>
            <w:right w:val="none" w:sz="0" w:space="0" w:color="auto"/>
          </w:divBdr>
        </w:div>
        <w:div w:id="1767917460">
          <w:marLeft w:val="0"/>
          <w:marRight w:val="0"/>
          <w:marTop w:val="0"/>
          <w:marBottom w:val="0"/>
          <w:divBdr>
            <w:top w:val="none" w:sz="0" w:space="0" w:color="auto"/>
            <w:left w:val="none" w:sz="0" w:space="0" w:color="auto"/>
            <w:bottom w:val="none" w:sz="0" w:space="0" w:color="auto"/>
            <w:right w:val="none" w:sz="0" w:space="0" w:color="auto"/>
          </w:divBdr>
        </w:div>
        <w:div w:id="646012873">
          <w:marLeft w:val="0"/>
          <w:marRight w:val="0"/>
          <w:marTop w:val="0"/>
          <w:marBottom w:val="0"/>
          <w:divBdr>
            <w:top w:val="none" w:sz="0" w:space="0" w:color="auto"/>
            <w:left w:val="none" w:sz="0" w:space="0" w:color="auto"/>
            <w:bottom w:val="none" w:sz="0" w:space="0" w:color="auto"/>
            <w:right w:val="none" w:sz="0" w:space="0" w:color="auto"/>
          </w:divBdr>
        </w:div>
        <w:div w:id="1138689627">
          <w:marLeft w:val="0"/>
          <w:marRight w:val="0"/>
          <w:marTop w:val="0"/>
          <w:marBottom w:val="0"/>
          <w:divBdr>
            <w:top w:val="none" w:sz="0" w:space="0" w:color="auto"/>
            <w:left w:val="none" w:sz="0" w:space="0" w:color="auto"/>
            <w:bottom w:val="none" w:sz="0" w:space="0" w:color="auto"/>
            <w:right w:val="none" w:sz="0" w:space="0" w:color="auto"/>
          </w:divBdr>
        </w:div>
        <w:div w:id="1683238767">
          <w:marLeft w:val="0"/>
          <w:marRight w:val="0"/>
          <w:marTop w:val="0"/>
          <w:marBottom w:val="0"/>
          <w:divBdr>
            <w:top w:val="none" w:sz="0" w:space="0" w:color="auto"/>
            <w:left w:val="none" w:sz="0" w:space="0" w:color="auto"/>
            <w:bottom w:val="none" w:sz="0" w:space="0" w:color="auto"/>
            <w:right w:val="none" w:sz="0" w:space="0" w:color="auto"/>
          </w:divBdr>
        </w:div>
        <w:div w:id="1130829157">
          <w:marLeft w:val="0"/>
          <w:marRight w:val="0"/>
          <w:marTop w:val="0"/>
          <w:marBottom w:val="0"/>
          <w:divBdr>
            <w:top w:val="none" w:sz="0" w:space="0" w:color="auto"/>
            <w:left w:val="none" w:sz="0" w:space="0" w:color="auto"/>
            <w:bottom w:val="none" w:sz="0" w:space="0" w:color="auto"/>
            <w:right w:val="none" w:sz="0" w:space="0" w:color="auto"/>
          </w:divBdr>
        </w:div>
        <w:div w:id="1465349616">
          <w:marLeft w:val="0"/>
          <w:marRight w:val="0"/>
          <w:marTop w:val="0"/>
          <w:marBottom w:val="0"/>
          <w:divBdr>
            <w:top w:val="none" w:sz="0" w:space="0" w:color="auto"/>
            <w:left w:val="none" w:sz="0" w:space="0" w:color="auto"/>
            <w:bottom w:val="none" w:sz="0" w:space="0" w:color="auto"/>
            <w:right w:val="none" w:sz="0" w:space="0" w:color="auto"/>
          </w:divBdr>
        </w:div>
        <w:div w:id="439763245">
          <w:marLeft w:val="0"/>
          <w:marRight w:val="0"/>
          <w:marTop w:val="0"/>
          <w:marBottom w:val="0"/>
          <w:divBdr>
            <w:top w:val="none" w:sz="0" w:space="0" w:color="auto"/>
            <w:left w:val="none" w:sz="0" w:space="0" w:color="auto"/>
            <w:bottom w:val="none" w:sz="0" w:space="0" w:color="auto"/>
            <w:right w:val="none" w:sz="0" w:space="0" w:color="auto"/>
          </w:divBdr>
        </w:div>
        <w:div w:id="114980480">
          <w:marLeft w:val="0"/>
          <w:marRight w:val="0"/>
          <w:marTop w:val="0"/>
          <w:marBottom w:val="0"/>
          <w:divBdr>
            <w:top w:val="none" w:sz="0" w:space="0" w:color="auto"/>
            <w:left w:val="none" w:sz="0" w:space="0" w:color="auto"/>
            <w:bottom w:val="none" w:sz="0" w:space="0" w:color="auto"/>
            <w:right w:val="none" w:sz="0" w:space="0" w:color="auto"/>
          </w:divBdr>
        </w:div>
        <w:div w:id="1142424021">
          <w:marLeft w:val="0"/>
          <w:marRight w:val="0"/>
          <w:marTop w:val="0"/>
          <w:marBottom w:val="0"/>
          <w:divBdr>
            <w:top w:val="none" w:sz="0" w:space="0" w:color="auto"/>
            <w:left w:val="none" w:sz="0" w:space="0" w:color="auto"/>
            <w:bottom w:val="none" w:sz="0" w:space="0" w:color="auto"/>
            <w:right w:val="none" w:sz="0" w:space="0" w:color="auto"/>
          </w:divBdr>
        </w:div>
        <w:div w:id="1325469421">
          <w:marLeft w:val="0"/>
          <w:marRight w:val="0"/>
          <w:marTop w:val="0"/>
          <w:marBottom w:val="0"/>
          <w:divBdr>
            <w:top w:val="none" w:sz="0" w:space="0" w:color="auto"/>
            <w:left w:val="none" w:sz="0" w:space="0" w:color="auto"/>
            <w:bottom w:val="none" w:sz="0" w:space="0" w:color="auto"/>
            <w:right w:val="none" w:sz="0" w:space="0" w:color="auto"/>
          </w:divBdr>
        </w:div>
      </w:divsChild>
    </w:div>
    <w:div w:id="1349792932">
      <w:bodyDiv w:val="1"/>
      <w:marLeft w:val="0"/>
      <w:marRight w:val="0"/>
      <w:marTop w:val="0"/>
      <w:marBottom w:val="0"/>
      <w:divBdr>
        <w:top w:val="none" w:sz="0" w:space="0" w:color="auto"/>
        <w:left w:val="none" w:sz="0" w:space="0" w:color="auto"/>
        <w:bottom w:val="none" w:sz="0" w:space="0" w:color="auto"/>
        <w:right w:val="none" w:sz="0" w:space="0" w:color="auto"/>
      </w:divBdr>
      <w:divsChild>
        <w:div w:id="1618021689">
          <w:marLeft w:val="0"/>
          <w:marRight w:val="0"/>
          <w:marTop w:val="0"/>
          <w:marBottom w:val="0"/>
          <w:divBdr>
            <w:top w:val="none" w:sz="0" w:space="0" w:color="auto"/>
            <w:left w:val="none" w:sz="0" w:space="0" w:color="auto"/>
            <w:bottom w:val="none" w:sz="0" w:space="0" w:color="auto"/>
            <w:right w:val="none" w:sz="0" w:space="0" w:color="auto"/>
          </w:divBdr>
        </w:div>
        <w:div w:id="1094664590">
          <w:marLeft w:val="0"/>
          <w:marRight w:val="0"/>
          <w:marTop w:val="0"/>
          <w:marBottom w:val="0"/>
          <w:divBdr>
            <w:top w:val="none" w:sz="0" w:space="0" w:color="auto"/>
            <w:left w:val="none" w:sz="0" w:space="0" w:color="auto"/>
            <w:bottom w:val="none" w:sz="0" w:space="0" w:color="auto"/>
            <w:right w:val="none" w:sz="0" w:space="0" w:color="auto"/>
          </w:divBdr>
        </w:div>
        <w:div w:id="1916016553">
          <w:marLeft w:val="0"/>
          <w:marRight w:val="0"/>
          <w:marTop w:val="0"/>
          <w:marBottom w:val="0"/>
          <w:divBdr>
            <w:top w:val="none" w:sz="0" w:space="0" w:color="auto"/>
            <w:left w:val="none" w:sz="0" w:space="0" w:color="auto"/>
            <w:bottom w:val="none" w:sz="0" w:space="0" w:color="auto"/>
            <w:right w:val="none" w:sz="0" w:space="0" w:color="auto"/>
          </w:divBdr>
        </w:div>
        <w:div w:id="1286305434">
          <w:marLeft w:val="0"/>
          <w:marRight w:val="0"/>
          <w:marTop w:val="0"/>
          <w:marBottom w:val="0"/>
          <w:divBdr>
            <w:top w:val="none" w:sz="0" w:space="0" w:color="auto"/>
            <w:left w:val="none" w:sz="0" w:space="0" w:color="auto"/>
            <w:bottom w:val="none" w:sz="0" w:space="0" w:color="auto"/>
            <w:right w:val="none" w:sz="0" w:space="0" w:color="auto"/>
          </w:divBdr>
        </w:div>
        <w:div w:id="702367691">
          <w:marLeft w:val="0"/>
          <w:marRight w:val="0"/>
          <w:marTop w:val="0"/>
          <w:marBottom w:val="0"/>
          <w:divBdr>
            <w:top w:val="none" w:sz="0" w:space="0" w:color="auto"/>
            <w:left w:val="none" w:sz="0" w:space="0" w:color="auto"/>
            <w:bottom w:val="none" w:sz="0" w:space="0" w:color="auto"/>
            <w:right w:val="none" w:sz="0" w:space="0" w:color="auto"/>
          </w:divBdr>
        </w:div>
        <w:div w:id="1303123553">
          <w:marLeft w:val="0"/>
          <w:marRight w:val="0"/>
          <w:marTop w:val="0"/>
          <w:marBottom w:val="0"/>
          <w:divBdr>
            <w:top w:val="none" w:sz="0" w:space="0" w:color="auto"/>
            <w:left w:val="none" w:sz="0" w:space="0" w:color="auto"/>
            <w:bottom w:val="none" w:sz="0" w:space="0" w:color="auto"/>
            <w:right w:val="none" w:sz="0" w:space="0" w:color="auto"/>
          </w:divBdr>
        </w:div>
        <w:div w:id="540827023">
          <w:marLeft w:val="0"/>
          <w:marRight w:val="0"/>
          <w:marTop w:val="0"/>
          <w:marBottom w:val="0"/>
          <w:divBdr>
            <w:top w:val="none" w:sz="0" w:space="0" w:color="auto"/>
            <w:left w:val="none" w:sz="0" w:space="0" w:color="auto"/>
            <w:bottom w:val="none" w:sz="0" w:space="0" w:color="auto"/>
            <w:right w:val="none" w:sz="0" w:space="0" w:color="auto"/>
          </w:divBdr>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1924872721">
      <w:bodyDiv w:val="1"/>
      <w:marLeft w:val="0"/>
      <w:marRight w:val="0"/>
      <w:marTop w:val="0"/>
      <w:marBottom w:val="0"/>
      <w:divBdr>
        <w:top w:val="none" w:sz="0" w:space="0" w:color="auto"/>
        <w:left w:val="none" w:sz="0" w:space="0" w:color="auto"/>
        <w:bottom w:val="none" w:sz="0" w:space="0" w:color="auto"/>
        <w:right w:val="none" w:sz="0" w:space="0" w:color="auto"/>
      </w:divBdr>
      <w:divsChild>
        <w:div w:id="1988195108">
          <w:marLeft w:val="0"/>
          <w:marRight w:val="0"/>
          <w:marTop w:val="0"/>
          <w:marBottom w:val="0"/>
          <w:divBdr>
            <w:top w:val="none" w:sz="0" w:space="0" w:color="auto"/>
            <w:left w:val="none" w:sz="0" w:space="0" w:color="auto"/>
            <w:bottom w:val="none" w:sz="0" w:space="0" w:color="auto"/>
            <w:right w:val="none" w:sz="0" w:space="0" w:color="auto"/>
          </w:divBdr>
        </w:div>
        <w:div w:id="1132869686">
          <w:marLeft w:val="0"/>
          <w:marRight w:val="0"/>
          <w:marTop w:val="0"/>
          <w:marBottom w:val="0"/>
          <w:divBdr>
            <w:top w:val="none" w:sz="0" w:space="0" w:color="auto"/>
            <w:left w:val="none" w:sz="0" w:space="0" w:color="auto"/>
            <w:bottom w:val="none" w:sz="0" w:space="0" w:color="auto"/>
            <w:right w:val="none" w:sz="0" w:space="0" w:color="auto"/>
          </w:divBdr>
        </w:div>
        <w:div w:id="327439571">
          <w:marLeft w:val="0"/>
          <w:marRight w:val="0"/>
          <w:marTop w:val="0"/>
          <w:marBottom w:val="0"/>
          <w:divBdr>
            <w:top w:val="none" w:sz="0" w:space="0" w:color="auto"/>
            <w:left w:val="none" w:sz="0" w:space="0" w:color="auto"/>
            <w:bottom w:val="none" w:sz="0" w:space="0" w:color="auto"/>
            <w:right w:val="none" w:sz="0" w:space="0" w:color="auto"/>
          </w:divBdr>
        </w:div>
        <w:div w:id="1435175772">
          <w:marLeft w:val="0"/>
          <w:marRight w:val="0"/>
          <w:marTop w:val="0"/>
          <w:marBottom w:val="0"/>
          <w:divBdr>
            <w:top w:val="none" w:sz="0" w:space="0" w:color="auto"/>
            <w:left w:val="none" w:sz="0" w:space="0" w:color="auto"/>
            <w:bottom w:val="none" w:sz="0" w:space="0" w:color="auto"/>
            <w:right w:val="none" w:sz="0" w:space="0" w:color="auto"/>
          </w:divBdr>
        </w:div>
        <w:div w:id="1567449575">
          <w:marLeft w:val="0"/>
          <w:marRight w:val="0"/>
          <w:marTop w:val="0"/>
          <w:marBottom w:val="0"/>
          <w:divBdr>
            <w:top w:val="none" w:sz="0" w:space="0" w:color="auto"/>
            <w:left w:val="none" w:sz="0" w:space="0" w:color="auto"/>
            <w:bottom w:val="none" w:sz="0" w:space="0" w:color="auto"/>
            <w:right w:val="none" w:sz="0" w:space="0" w:color="auto"/>
          </w:divBdr>
        </w:div>
        <w:div w:id="1990403972">
          <w:marLeft w:val="0"/>
          <w:marRight w:val="0"/>
          <w:marTop w:val="0"/>
          <w:marBottom w:val="0"/>
          <w:divBdr>
            <w:top w:val="none" w:sz="0" w:space="0" w:color="auto"/>
            <w:left w:val="none" w:sz="0" w:space="0" w:color="auto"/>
            <w:bottom w:val="none" w:sz="0" w:space="0" w:color="auto"/>
            <w:right w:val="none" w:sz="0" w:space="0" w:color="auto"/>
          </w:divBdr>
        </w:div>
        <w:div w:id="14233690">
          <w:marLeft w:val="0"/>
          <w:marRight w:val="0"/>
          <w:marTop w:val="0"/>
          <w:marBottom w:val="0"/>
          <w:divBdr>
            <w:top w:val="none" w:sz="0" w:space="0" w:color="auto"/>
            <w:left w:val="none" w:sz="0" w:space="0" w:color="auto"/>
            <w:bottom w:val="none" w:sz="0" w:space="0" w:color="auto"/>
            <w:right w:val="none" w:sz="0" w:space="0" w:color="auto"/>
          </w:divBdr>
        </w:div>
        <w:div w:id="2132048379">
          <w:marLeft w:val="0"/>
          <w:marRight w:val="0"/>
          <w:marTop w:val="0"/>
          <w:marBottom w:val="0"/>
          <w:divBdr>
            <w:top w:val="none" w:sz="0" w:space="0" w:color="auto"/>
            <w:left w:val="none" w:sz="0" w:space="0" w:color="auto"/>
            <w:bottom w:val="none" w:sz="0" w:space="0" w:color="auto"/>
            <w:right w:val="none" w:sz="0" w:space="0" w:color="auto"/>
          </w:divBdr>
        </w:div>
        <w:div w:id="1024089071">
          <w:marLeft w:val="0"/>
          <w:marRight w:val="0"/>
          <w:marTop w:val="0"/>
          <w:marBottom w:val="0"/>
          <w:divBdr>
            <w:top w:val="none" w:sz="0" w:space="0" w:color="auto"/>
            <w:left w:val="none" w:sz="0" w:space="0" w:color="auto"/>
            <w:bottom w:val="none" w:sz="0" w:space="0" w:color="auto"/>
            <w:right w:val="none" w:sz="0" w:space="0" w:color="auto"/>
          </w:divBdr>
        </w:div>
        <w:div w:id="1993942717">
          <w:marLeft w:val="0"/>
          <w:marRight w:val="0"/>
          <w:marTop w:val="0"/>
          <w:marBottom w:val="0"/>
          <w:divBdr>
            <w:top w:val="none" w:sz="0" w:space="0" w:color="auto"/>
            <w:left w:val="none" w:sz="0" w:space="0" w:color="auto"/>
            <w:bottom w:val="none" w:sz="0" w:space="0" w:color="auto"/>
            <w:right w:val="none" w:sz="0" w:space="0" w:color="auto"/>
          </w:divBdr>
        </w:div>
        <w:div w:id="1098870012">
          <w:marLeft w:val="0"/>
          <w:marRight w:val="0"/>
          <w:marTop w:val="0"/>
          <w:marBottom w:val="0"/>
          <w:divBdr>
            <w:top w:val="none" w:sz="0" w:space="0" w:color="auto"/>
            <w:left w:val="none" w:sz="0" w:space="0" w:color="auto"/>
            <w:bottom w:val="none" w:sz="0" w:space="0" w:color="auto"/>
            <w:right w:val="none" w:sz="0" w:space="0" w:color="auto"/>
          </w:divBdr>
        </w:div>
        <w:div w:id="380859318">
          <w:marLeft w:val="0"/>
          <w:marRight w:val="0"/>
          <w:marTop w:val="0"/>
          <w:marBottom w:val="0"/>
          <w:divBdr>
            <w:top w:val="none" w:sz="0" w:space="0" w:color="auto"/>
            <w:left w:val="none" w:sz="0" w:space="0" w:color="auto"/>
            <w:bottom w:val="none" w:sz="0" w:space="0" w:color="auto"/>
            <w:right w:val="none" w:sz="0" w:space="0" w:color="auto"/>
          </w:divBdr>
        </w:div>
        <w:div w:id="714502356">
          <w:marLeft w:val="0"/>
          <w:marRight w:val="0"/>
          <w:marTop w:val="0"/>
          <w:marBottom w:val="0"/>
          <w:divBdr>
            <w:top w:val="none" w:sz="0" w:space="0" w:color="auto"/>
            <w:left w:val="none" w:sz="0" w:space="0" w:color="auto"/>
            <w:bottom w:val="none" w:sz="0" w:space="0" w:color="auto"/>
            <w:right w:val="none" w:sz="0" w:space="0" w:color="auto"/>
          </w:divBdr>
        </w:div>
        <w:div w:id="564996467">
          <w:marLeft w:val="0"/>
          <w:marRight w:val="0"/>
          <w:marTop w:val="0"/>
          <w:marBottom w:val="0"/>
          <w:divBdr>
            <w:top w:val="none" w:sz="0" w:space="0" w:color="auto"/>
            <w:left w:val="none" w:sz="0" w:space="0" w:color="auto"/>
            <w:bottom w:val="none" w:sz="0" w:space="0" w:color="auto"/>
            <w:right w:val="none" w:sz="0" w:space="0" w:color="auto"/>
          </w:divBdr>
        </w:div>
        <w:div w:id="1201357978">
          <w:marLeft w:val="0"/>
          <w:marRight w:val="0"/>
          <w:marTop w:val="0"/>
          <w:marBottom w:val="0"/>
          <w:divBdr>
            <w:top w:val="none" w:sz="0" w:space="0" w:color="auto"/>
            <w:left w:val="none" w:sz="0" w:space="0" w:color="auto"/>
            <w:bottom w:val="none" w:sz="0" w:space="0" w:color="auto"/>
            <w:right w:val="none" w:sz="0" w:space="0" w:color="auto"/>
          </w:divBdr>
        </w:div>
        <w:div w:id="1488011601">
          <w:marLeft w:val="0"/>
          <w:marRight w:val="0"/>
          <w:marTop w:val="0"/>
          <w:marBottom w:val="0"/>
          <w:divBdr>
            <w:top w:val="none" w:sz="0" w:space="0" w:color="auto"/>
            <w:left w:val="none" w:sz="0" w:space="0" w:color="auto"/>
            <w:bottom w:val="none" w:sz="0" w:space="0" w:color="auto"/>
            <w:right w:val="none" w:sz="0" w:space="0" w:color="auto"/>
          </w:divBdr>
        </w:div>
        <w:div w:id="1769816432">
          <w:marLeft w:val="0"/>
          <w:marRight w:val="0"/>
          <w:marTop w:val="0"/>
          <w:marBottom w:val="0"/>
          <w:divBdr>
            <w:top w:val="none" w:sz="0" w:space="0" w:color="auto"/>
            <w:left w:val="none" w:sz="0" w:space="0" w:color="auto"/>
            <w:bottom w:val="none" w:sz="0" w:space="0" w:color="auto"/>
            <w:right w:val="none" w:sz="0" w:space="0" w:color="auto"/>
          </w:divBdr>
        </w:div>
        <w:div w:id="2983424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www.osce.org/odihr/73405?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6AA04E-F7D7-418E-88A2-F79C39DFEBF6}">
  <ds:schemaRefs>
    <ds:schemaRef ds:uri="http://schemas.openxmlformats.org/officeDocument/2006/bibliography"/>
  </ds:schemaRefs>
</ds:datastoreItem>
</file>

<file path=customXml/itemProps2.xml><?xml version="1.0" encoding="utf-8"?>
<ds:datastoreItem xmlns:ds="http://schemas.openxmlformats.org/officeDocument/2006/customXml" ds:itemID="{E03996D9-8FC5-446D-AC4F-0746B3DDB6BA}"/>
</file>

<file path=customXml/itemProps3.xml><?xml version="1.0" encoding="utf-8"?>
<ds:datastoreItem xmlns:ds="http://schemas.openxmlformats.org/officeDocument/2006/customXml" ds:itemID="{8919127A-A5EE-47FC-94E3-A2DC54670D72}"/>
</file>

<file path=customXml/itemProps4.xml><?xml version="1.0" encoding="utf-8"?>
<ds:datastoreItem xmlns:ds="http://schemas.openxmlformats.org/officeDocument/2006/customXml" ds:itemID="{3CEC1B0D-C282-4012-9DBA-7E0BB5BBAB77}"/>
</file>

<file path=docProps/app.xml><?xml version="1.0" encoding="utf-8"?>
<Properties xmlns="http://schemas.openxmlformats.org/officeDocument/2006/extended-properties" xmlns:vt="http://schemas.openxmlformats.org/officeDocument/2006/docPropsVTypes">
  <Template>Normal.dotm</Template>
  <TotalTime>0</TotalTime>
  <Pages>2</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4</cp:revision>
  <cp:lastPrinted>2018-11-12T09:21:00Z</cp:lastPrinted>
  <dcterms:created xsi:type="dcterms:W3CDTF">2020-08-24T14:18:00Z</dcterms:created>
  <dcterms:modified xsi:type="dcterms:W3CDTF">2021-01-30T20:37:00Z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