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42"/>
        <w:tblW w:w="15442" w:type="dxa"/>
        <w:tblLook w:val="04A0" w:firstRow="1" w:lastRow="0" w:firstColumn="1" w:lastColumn="0" w:noHBand="0" w:noVBand="1"/>
      </w:tblPr>
      <w:tblGrid>
        <w:gridCol w:w="1147"/>
        <w:gridCol w:w="4093"/>
        <w:gridCol w:w="3686"/>
        <w:gridCol w:w="6516"/>
      </w:tblGrid>
      <w:tr w:rsidR="001F4273" w:rsidRPr="0050205F" w14:paraId="67C66155" w14:textId="77777777" w:rsidTr="001F4273">
        <w:tc>
          <w:tcPr>
            <w:tcW w:w="15442" w:type="dxa"/>
            <w:gridSpan w:val="4"/>
            <w:shd w:val="clear" w:color="auto" w:fill="BFBFBF" w:themeFill="background1" w:themeFillShade="BF"/>
          </w:tcPr>
          <w:p w14:paraId="501F9C92" w14:textId="476DD385" w:rsidR="0065051C" w:rsidRPr="0050205F" w:rsidRDefault="0066569D" w:rsidP="001F4273">
            <w:pPr>
              <w:jc w:val="center"/>
              <w:rPr>
                <w:rFonts w:cstheme="minorHAnsi"/>
                <w:b/>
                <w:sz w:val="18"/>
                <w:szCs w:val="18"/>
              </w:rPr>
            </w:pPr>
            <w:r>
              <w:rPr>
                <w:b/>
                <w:sz w:val="18"/>
                <w:szCs w:val="18"/>
              </w:rPr>
              <w:t>Article 21 - Liste d'indicateurs illustratifs sur la liberté d'expression et d'opinion et l'accès à l'information</w:t>
            </w:r>
          </w:p>
        </w:tc>
      </w:tr>
      <w:tr w:rsidR="001F4273" w:rsidRPr="0050205F" w14:paraId="1113D4A1" w14:textId="77777777" w:rsidTr="001F4273">
        <w:tc>
          <w:tcPr>
            <w:tcW w:w="15442" w:type="dxa"/>
            <w:gridSpan w:val="4"/>
            <w:shd w:val="clear" w:color="auto" w:fill="auto"/>
          </w:tcPr>
          <w:p w14:paraId="4090E0FB" w14:textId="42260528" w:rsidR="0065051C" w:rsidRPr="0050205F" w:rsidRDefault="0065051C" w:rsidP="001F4273">
            <w:pPr>
              <w:jc w:val="center"/>
              <w:rPr>
                <w:b/>
                <w:sz w:val="18"/>
                <w:szCs w:val="18"/>
              </w:rPr>
            </w:pPr>
            <w:r>
              <w:rPr>
                <w:b/>
                <w:sz w:val="18"/>
                <w:szCs w:val="18"/>
              </w:rPr>
              <w:t>Droit à la liberté d'expression et d'opinion et accès à l'information</w:t>
            </w:r>
          </w:p>
        </w:tc>
      </w:tr>
      <w:tr w:rsidR="007647CF" w:rsidRPr="0050205F" w14:paraId="10FDE2E4" w14:textId="77777777" w:rsidTr="00AB045F">
        <w:tc>
          <w:tcPr>
            <w:tcW w:w="1147" w:type="dxa"/>
            <w:shd w:val="clear" w:color="auto" w:fill="auto"/>
          </w:tcPr>
          <w:p w14:paraId="40D0D6FD" w14:textId="77777777" w:rsidR="0065051C" w:rsidRPr="0050205F" w:rsidRDefault="0065051C" w:rsidP="001F4273">
            <w:pPr>
              <w:jc w:val="center"/>
              <w:rPr>
                <w:b/>
                <w:sz w:val="18"/>
                <w:szCs w:val="18"/>
              </w:rPr>
            </w:pPr>
            <w:r>
              <w:rPr>
                <w:b/>
                <w:sz w:val="18"/>
                <w:szCs w:val="18"/>
              </w:rPr>
              <w:t>Attributs/</w:t>
            </w:r>
          </w:p>
          <w:p w14:paraId="26D49216" w14:textId="77777777" w:rsidR="0065051C" w:rsidRPr="0050205F" w:rsidRDefault="0065051C" w:rsidP="001F4273">
            <w:pPr>
              <w:jc w:val="center"/>
              <w:rPr>
                <w:b/>
                <w:sz w:val="18"/>
                <w:szCs w:val="18"/>
              </w:rPr>
            </w:pPr>
            <w:r>
              <w:rPr>
                <w:b/>
                <w:sz w:val="18"/>
                <w:szCs w:val="18"/>
              </w:rPr>
              <w:t>Indicateurs</w:t>
            </w:r>
          </w:p>
        </w:tc>
        <w:tc>
          <w:tcPr>
            <w:tcW w:w="4093" w:type="dxa"/>
            <w:shd w:val="clear" w:color="auto" w:fill="auto"/>
          </w:tcPr>
          <w:p w14:paraId="43F5183B" w14:textId="3CDBCA6B" w:rsidR="0065051C" w:rsidRPr="0050205F" w:rsidRDefault="008345F5" w:rsidP="001F4273">
            <w:pPr>
              <w:jc w:val="center"/>
              <w:rPr>
                <w:b/>
                <w:sz w:val="18"/>
                <w:szCs w:val="18"/>
              </w:rPr>
            </w:pPr>
            <w:r>
              <w:rPr>
                <w:b/>
                <w:sz w:val="18"/>
                <w:szCs w:val="18"/>
              </w:rPr>
              <w:t>Liberté d'opinion et de communication d'informations</w:t>
            </w:r>
          </w:p>
        </w:tc>
        <w:tc>
          <w:tcPr>
            <w:tcW w:w="3686" w:type="dxa"/>
            <w:shd w:val="clear" w:color="auto" w:fill="auto"/>
          </w:tcPr>
          <w:p w14:paraId="2CAF58CA" w14:textId="15AC63D8" w:rsidR="0065051C" w:rsidRPr="0050205F" w:rsidRDefault="00A60E07" w:rsidP="0097758C">
            <w:pPr>
              <w:jc w:val="center"/>
              <w:rPr>
                <w:b/>
                <w:sz w:val="18"/>
                <w:szCs w:val="18"/>
              </w:rPr>
            </w:pPr>
            <w:r>
              <w:rPr>
                <w:b/>
                <w:sz w:val="18"/>
                <w:szCs w:val="18"/>
              </w:rPr>
              <w:t xml:space="preserve">Accès à l'information par des moyens accessibles pour toutes les </w:t>
            </w:r>
            <w:r w:rsidR="007D3C1D">
              <w:rPr>
                <w:b/>
                <w:sz w:val="18"/>
                <w:szCs w:val="18"/>
              </w:rPr>
              <w:t>personnes handicapées</w:t>
            </w:r>
          </w:p>
        </w:tc>
        <w:tc>
          <w:tcPr>
            <w:tcW w:w="6516" w:type="dxa"/>
            <w:shd w:val="clear" w:color="auto" w:fill="FFFFFF" w:themeFill="background1"/>
          </w:tcPr>
          <w:p w14:paraId="5DEE108D" w14:textId="7C453F69" w:rsidR="0065051C" w:rsidRPr="0050205F" w:rsidRDefault="008345F5" w:rsidP="001F4273">
            <w:pPr>
              <w:jc w:val="center"/>
              <w:rPr>
                <w:b/>
                <w:sz w:val="18"/>
                <w:szCs w:val="18"/>
              </w:rPr>
            </w:pPr>
            <w:r>
              <w:rPr>
                <w:b/>
                <w:sz w:val="18"/>
                <w:szCs w:val="18"/>
              </w:rPr>
              <w:t>Reconnaissance et développement officiels de la langue des signes, du braille et des modes de communication alternatifs</w:t>
            </w:r>
          </w:p>
        </w:tc>
      </w:tr>
      <w:tr w:rsidR="00EE255D" w:rsidRPr="0050205F" w14:paraId="4ECE9922" w14:textId="77777777" w:rsidTr="00CC3522">
        <w:trPr>
          <w:trHeight w:val="2677"/>
        </w:trPr>
        <w:tc>
          <w:tcPr>
            <w:tcW w:w="1147" w:type="dxa"/>
            <w:vMerge w:val="restart"/>
            <w:shd w:val="clear" w:color="auto" w:fill="auto"/>
          </w:tcPr>
          <w:p w14:paraId="76F60D5B" w14:textId="77777777" w:rsidR="0065051C" w:rsidRPr="0050205F" w:rsidRDefault="0065051C" w:rsidP="001F4273">
            <w:pPr>
              <w:pStyle w:val="ListParagraph"/>
              <w:ind w:left="0"/>
              <w:jc w:val="both"/>
              <w:rPr>
                <w:rFonts w:cstheme="minorHAnsi"/>
                <w:b/>
                <w:sz w:val="18"/>
                <w:szCs w:val="18"/>
              </w:rPr>
            </w:pPr>
            <w:r>
              <w:rPr>
                <w:b/>
                <w:sz w:val="18"/>
                <w:szCs w:val="18"/>
              </w:rPr>
              <w:t>Structure</w:t>
            </w:r>
          </w:p>
        </w:tc>
        <w:tc>
          <w:tcPr>
            <w:tcW w:w="7779" w:type="dxa"/>
            <w:gridSpan w:val="2"/>
            <w:shd w:val="clear" w:color="auto" w:fill="auto"/>
          </w:tcPr>
          <w:p w14:paraId="6E8D2B6B" w14:textId="780F62CE" w:rsidR="0065051C" w:rsidRPr="0050205F" w:rsidRDefault="0066569D" w:rsidP="00A40B7A">
            <w:pPr>
              <w:jc w:val="both"/>
              <w:rPr>
                <w:rFonts w:cstheme="minorHAnsi"/>
                <w:sz w:val="18"/>
                <w:szCs w:val="18"/>
              </w:rPr>
            </w:pPr>
            <w:r>
              <w:rPr>
                <w:sz w:val="18"/>
                <w:szCs w:val="18"/>
              </w:rPr>
              <w:t xml:space="preserve">21.1 Adoption d'une législation garantissant le droit des </w:t>
            </w:r>
            <w:r w:rsidR="007D3C1D">
              <w:rPr>
                <w:sz w:val="18"/>
                <w:szCs w:val="18"/>
              </w:rPr>
              <w:t>personnes handicapées</w:t>
            </w:r>
            <w:r>
              <w:rPr>
                <w:sz w:val="18"/>
                <w:szCs w:val="18"/>
              </w:rPr>
              <w:t xml:space="preserve"> à la liberté d'expression et d'opinion,</w:t>
            </w:r>
            <w:r w:rsidR="006D5AC3" w:rsidRPr="0050205F">
              <w:rPr>
                <w:rStyle w:val="EndnoteReference"/>
                <w:rFonts w:cstheme="minorHAnsi"/>
                <w:sz w:val="18"/>
                <w:szCs w:val="18"/>
              </w:rPr>
              <w:endnoteReference w:id="1"/>
            </w:r>
            <w:r>
              <w:rPr>
                <w:sz w:val="18"/>
                <w:szCs w:val="18"/>
              </w:rPr>
              <w:t xml:space="preserve"> y compris la liberté de rechercher, de recevoir et de communiquer des informations, avec la définition de la communication de l'article 2 de la CDPH, élaborée en étroite consultation avec les organisations représentatives des </w:t>
            </w:r>
            <w:r w:rsidR="007D3C1D">
              <w:rPr>
                <w:sz w:val="18"/>
                <w:szCs w:val="18"/>
              </w:rPr>
              <w:t>personnes handicapées</w:t>
            </w:r>
            <w:r>
              <w:rPr>
                <w:sz w:val="18"/>
                <w:szCs w:val="18"/>
              </w:rPr>
              <w:t>.</w:t>
            </w:r>
          </w:p>
          <w:p w14:paraId="0977F74E" w14:textId="014E77CE" w:rsidR="005A3363" w:rsidRPr="0050205F" w:rsidRDefault="00E80676" w:rsidP="00A40B7A">
            <w:pPr>
              <w:tabs>
                <w:tab w:val="left" w:pos="1701"/>
              </w:tabs>
              <w:jc w:val="both"/>
              <w:rPr>
                <w:rFonts w:cstheme="minorHAnsi"/>
                <w:sz w:val="18"/>
                <w:szCs w:val="18"/>
              </w:rPr>
            </w:pPr>
            <w:r>
              <w:rPr>
                <w:sz w:val="18"/>
                <w:szCs w:val="18"/>
              </w:rPr>
              <w:t xml:space="preserve">  </w:t>
            </w:r>
            <w:r w:rsidR="0097758C">
              <w:rPr>
                <w:sz w:val="18"/>
                <w:szCs w:val="18"/>
              </w:rPr>
              <w:t xml:space="preserve">21.1.1 Cadre juridique prévoyant l'accès à l'information destinée au grand public dans des formats et des technologies accessibles en temps opportun pour toutes les </w:t>
            </w:r>
            <w:r w:rsidR="007D3C1D">
              <w:rPr>
                <w:sz w:val="18"/>
                <w:szCs w:val="18"/>
              </w:rPr>
              <w:t>personnes handicapées</w:t>
            </w:r>
            <w:r w:rsidR="0097758C">
              <w:rPr>
                <w:sz w:val="18"/>
                <w:szCs w:val="18"/>
              </w:rPr>
              <w:t xml:space="preserve"> et sans frais supplémentaires.</w:t>
            </w:r>
            <w:r w:rsidR="00C708A5" w:rsidRPr="0050205F">
              <w:rPr>
                <w:rStyle w:val="EndnoteReference"/>
                <w:rFonts w:cstheme="minorHAnsi"/>
                <w:sz w:val="18"/>
                <w:szCs w:val="18"/>
              </w:rPr>
              <w:endnoteReference w:id="2"/>
            </w:r>
            <w:r w:rsidR="0097758C">
              <w:rPr>
                <w:sz w:val="18"/>
                <w:szCs w:val="18"/>
              </w:rPr>
              <w:t xml:space="preserve"> (idem 9.4)</w:t>
            </w:r>
          </w:p>
          <w:p w14:paraId="739933DD" w14:textId="1DCCBC4C" w:rsidR="007C5ED4" w:rsidRPr="0050205F" w:rsidRDefault="00E80676" w:rsidP="006E1029">
            <w:pPr>
              <w:jc w:val="both"/>
              <w:rPr>
                <w:rFonts w:cstheme="minorHAnsi"/>
                <w:sz w:val="18"/>
                <w:szCs w:val="18"/>
              </w:rPr>
            </w:pPr>
            <w:r>
              <w:rPr>
                <w:sz w:val="18"/>
                <w:szCs w:val="18"/>
              </w:rPr>
              <w:t xml:space="preserve">  </w:t>
            </w:r>
            <w:r w:rsidR="0097758C">
              <w:rPr>
                <w:sz w:val="18"/>
                <w:szCs w:val="18"/>
              </w:rPr>
              <w:t>21.1.2 Cadre juridique établissant des normes obligatoires sur l'accessibilité de l'information et de la communication pour les acteurs publics et privés qui fournissent des informations et des services au grand public, y compris par le biais des médias de masse, englobant les médias numériques et sociaux.</w:t>
            </w:r>
            <w:r w:rsidR="00567587" w:rsidRPr="0050205F">
              <w:rPr>
                <w:rStyle w:val="EndnoteReference"/>
                <w:rFonts w:cstheme="minorHAnsi"/>
                <w:sz w:val="18"/>
                <w:szCs w:val="18"/>
              </w:rPr>
              <w:endnoteReference w:id="3"/>
            </w:r>
            <w:r>
              <w:rPr>
                <w:sz w:val="18"/>
                <w:szCs w:val="18"/>
              </w:rPr>
              <w:t xml:space="preserve"> </w:t>
            </w:r>
          </w:p>
          <w:p w14:paraId="4668BAF9" w14:textId="3A56D88D" w:rsidR="009545E1" w:rsidRPr="0050205F" w:rsidRDefault="0097758C" w:rsidP="006E1029">
            <w:pPr>
              <w:jc w:val="both"/>
              <w:rPr>
                <w:rFonts w:cstheme="minorHAnsi"/>
                <w:sz w:val="18"/>
                <w:szCs w:val="18"/>
              </w:rPr>
            </w:pPr>
            <w:r>
              <w:rPr>
                <w:sz w:val="18"/>
                <w:szCs w:val="18"/>
              </w:rPr>
              <w:t xml:space="preserve">21.2 Stratégie et/ou plan national pour améliorer l'exercice par les </w:t>
            </w:r>
            <w:r w:rsidR="007D3C1D">
              <w:rPr>
                <w:sz w:val="18"/>
                <w:szCs w:val="18"/>
              </w:rPr>
              <w:t>personnes handicapées</w:t>
            </w:r>
            <w:r>
              <w:rPr>
                <w:sz w:val="18"/>
                <w:szCs w:val="18"/>
              </w:rPr>
              <w:t xml:space="preserve"> du droit à la liberté d'expression et d'opinion, et l'accès à l'information, y compris les repères, les délais et les objectifs mesurables.</w:t>
            </w:r>
            <w:r w:rsidRPr="0050205F">
              <w:rPr>
                <w:rStyle w:val="EndnoteReference"/>
                <w:rFonts w:cstheme="minorHAnsi"/>
                <w:sz w:val="18"/>
                <w:szCs w:val="18"/>
              </w:rPr>
              <w:endnoteReference w:id="4"/>
            </w:r>
          </w:p>
        </w:tc>
        <w:tc>
          <w:tcPr>
            <w:tcW w:w="6516" w:type="dxa"/>
            <w:shd w:val="clear" w:color="auto" w:fill="auto"/>
          </w:tcPr>
          <w:p w14:paraId="0BE31902" w14:textId="30BE7456" w:rsidR="00BB1A2C" w:rsidRPr="0050205F" w:rsidRDefault="0066569D" w:rsidP="00835340">
            <w:pPr>
              <w:jc w:val="both"/>
              <w:rPr>
                <w:rFonts w:cstheme="minorHAnsi"/>
                <w:sz w:val="18"/>
                <w:szCs w:val="18"/>
              </w:rPr>
            </w:pPr>
            <w:r>
              <w:rPr>
                <w:sz w:val="18"/>
                <w:szCs w:val="18"/>
              </w:rPr>
              <w:t xml:space="preserve">21.3 Législation adoptée reconnaissant la langue des signes comme langue officielle et garantissant son utilisation dans les interactions officielles, selon le choix/la demande des </w:t>
            </w:r>
            <w:r w:rsidR="007D3C1D">
              <w:rPr>
                <w:sz w:val="18"/>
                <w:szCs w:val="18"/>
              </w:rPr>
              <w:t>personnes handicapées</w:t>
            </w:r>
            <w:r>
              <w:rPr>
                <w:sz w:val="18"/>
                <w:szCs w:val="18"/>
              </w:rPr>
              <w:t>.</w:t>
            </w:r>
            <w:r w:rsidR="00123EDB" w:rsidRPr="0050205F">
              <w:rPr>
                <w:rStyle w:val="EndnoteReference"/>
                <w:rFonts w:cstheme="minorHAnsi"/>
                <w:sz w:val="18"/>
                <w:szCs w:val="18"/>
              </w:rPr>
              <w:endnoteReference w:id="5"/>
            </w:r>
          </w:p>
          <w:p w14:paraId="082DA8C3" w14:textId="4A2097A1" w:rsidR="00835340" w:rsidRPr="0050205F" w:rsidRDefault="00123EDB" w:rsidP="00835340">
            <w:pPr>
              <w:jc w:val="both"/>
              <w:rPr>
                <w:rFonts w:cstheme="minorHAnsi"/>
                <w:sz w:val="18"/>
                <w:szCs w:val="18"/>
              </w:rPr>
            </w:pPr>
            <w:r>
              <w:rPr>
                <w:sz w:val="18"/>
                <w:szCs w:val="18"/>
              </w:rPr>
              <w:t xml:space="preserve">21.4 Législation adoptée reconnaissant le braille, le format facile à lire, le sous-titrage, la communication tactile, la personne de soutien à la communication et tout autre moyen, mode et format de communication accessible utilisé par les </w:t>
            </w:r>
            <w:r w:rsidR="007D3C1D">
              <w:rPr>
                <w:sz w:val="18"/>
                <w:szCs w:val="18"/>
              </w:rPr>
              <w:t>personnes handicapées</w:t>
            </w:r>
            <w:r>
              <w:rPr>
                <w:sz w:val="18"/>
                <w:szCs w:val="18"/>
              </w:rPr>
              <w:t xml:space="preserve">, et garantissant leur utilisation dans les interactions officielles, comme choisi/demandé par les </w:t>
            </w:r>
            <w:r w:rsidR="007D3C1D">
              <w:rPr>
                <w:sz w:val="18"/>
                <w:szCs w:val="18"/>
              </w:rPr>
              <w:t>personnes handicapées</w:t>
            </w:r>
            <w:r>
              <w:rPr>
                <w:sz w:val="18"/>
                <w:szCs w:val="18"/>
              </w:rPr>
              <w:t>.</w:t>
            </w:r>
          </w:p>
          <w:p w14:paraId="3AD9C104" w14:textId="24B8041F" w:rsidR="00CD4A47" w:rsidRPr="0050205F" w:rsidRDefault="006951F9" w:rsidP="006079DF">
            <w:pPr>
              <w:jc w:val="both"/>
              <w:rPr>
                <w:rFonts w:cstheme="minorHAnsi"/>
                <w:sz w:val="18"/>
                <w:szCs w:val="18"/>
              </w:rPr>
            </w:pPr>
            <w:r>
              <w:rPr>
                <w:sz w:val="18"/>
                <w:szCs w:val="18"/>
              </w:rPr>
              <w:t xml:space="preserve">21.5 Stratégie et/ou plan national de sensibilisation à la langue des signes en tant que langue officielle, en braille, facile à lire et aux autres moyens, modes et formats de communication utilisés par les </w:t>
            </w:r>
            <w:r w:rsidR="007D3C1D">
              <w:rPr>
                <w:sz w:val="18"/>
                <w:szCs w:val="18"/>
              </w:rPr>
              <w:t>personnes handicapées</w:t>
            </w:r>
            <w:r>
              <w:rPr>
                <w:sz w:val="18"/>
                <w:szCs w:val="18"/>
              </w:rPr>
              <w:t xml:space="preserve">, et pour soutenir à la fois leur développement et le développement de professionnels (par exemple, interprètes en langue des signes, traducteurs, assistance humaine), y compris les repères, les délais et les objectifs mesurables, élaborés avec la participation active d'organisations représentatives des </w:t>
            </w:r>
            <w:r w:rsidR="007D3C1D">
              <w:rPr>
                <w:sz w:val="18"/>
                <w:szCs w:val="18"/>
              </w:rPr>
              <w:t>personnes handicapées</w:t>
            </w:r>
            <w:r>
              <w:rPr>
                <w:sz w:val="18"/>
                <w:szCs w:val="18"/>
              </w:rPr>
              <w:t>.</w:t>
            </w:r>
          </w:p>
        </w:tc>
      </w:tr>
      <w:tr w:rsidR="001F4273" w:rsidRPr="0050205F" w14:paraId="58098E78" w14:textId="77777777" w:rsidTr="006951F9">
        <w:tc>
          <w:tcPr>
            <w:tcW w:w="1147" w:type="dxa"/>
            <w:vMerge/>
            <w:shd w:val="clear" w:color="auto" w:fill="auto"/>
          </w:tcPr>
          <w:p w14:paraId="66D58FA8" w14:textId="6E2AD505" w:rsidR="0065051C" w:rsidRPr="0050205F" w:rsidRDefault="0065051C" w:rsidP="001F4273">
            <w:pPr>
              <w:pStyle w:val="ListParagraph"/>
              <w:ind w:left="0"/>
              <w:jc w:val="both"/>
              <w:rPr>
                <w:rFonts w:asciiTheme="majorHAnsi" w:hAnsiTheme="majorHAnsi" w:cs="Arial"/>
                <w:b/>
                <w:sz w:val="18"/>
                <w:szCs w:val="18"/>
              </w:rPr>
            </w:pPr>
          </w:p>
        </w:tc>
        <w:tc>
          <w:tcPr>
            <w:tcW w:w="14295" w:type="dxa"/>
            <w:gridSpan w:val="3"/>
            <w:shd w:val="clear" w:color="auto" w:fill="auto"/>
          </w:tcPr>
          <w:p w14:paraId="7EA20734" w14:textId="4282E10B" w:rsidR="004E592B" w:rsidRPr="0050205F" w:rsidRDefault="00CB031F" w:rsidP="00A40B7A">
            <w:pPr>
              <w:jc w:val="both"/>
              <w:rPr>
                <w:rFonts w:cstheme="minorHAnsi"/>
                <w:sz w:val="18"/>
                <w:szCs w:val="18"/>
              </w:rPr>
            </w:pPr>
            <w:r>
              <w:rPr>
                <w:sz w:val="18"/>
                <w:szCs w:val="18"/>
              </w:rPr>
              <w:t xml:space="preserve">21.6 Obligation légale d'établir un marqueur sur toutes les dépenses publiques pour garantir la liberté d'expression et l'accès à l'information des </w:t>
            </w:r>
            <w:r w:rsidR="007D3C1D">
              <w:rPr>
                <w:sz w:val="18"/>
                <w:szCs w:val="18"/>
              </w:rPr>
              <w:t>personnes handicapées</w:t>
            </w:r>
            <w:r>
              <w:rPr>
                <w:sz w:val="18"/>
                <w:szCs w:val="18"/>
              </w:rPr>
              <w:t>.</w:t>
            </w:r>
          </w:p>
          <w:p w14:paraId="37EE9CFE" w14:textId="1A328001" w:rsidR="0065051C" w:rsidRPr="0050205F" w:rsidRDefault="0066569D" w:rsidP="00EF345A">
            <w:pPr>
              <w:jc w:val="both"/>
              <w:rPr>
                <w:rFonts w:cstheme="minorHAnsi"/>
                <w:sz w:val="18"/>
                <w:szCs w:val="18"/>
              </w:rPr>
            </w:pPr>
            <w:r>
              <w:rPr>
                <w:sz w:val="18"/>
                <w:szCs w:val="18"/>
              </w:rPr>
              <w:t>21.7 Obligation légale de collecte de données sur les mesures visant à garantir la liberté d'expression et l'accès à l'information et à la communication, y compris pour les interactions officielles.</w:t>
            </w:r>
            <w:r w:rsidR="00EE2963" w:rsidRPr="0050205F">
              <w:rPr>
                <w:rStyle w:val="EndnoteReference"/>
                <w:rFonts w:cstheme="minorHAnsi"/>
                <w:sz w:val="18"/>
                <w:szCs w:val="18"/>
              </w:rPr>
              <w:endnoteReference w:id="6"/>
            </w:r>
            <w:r>
              <w:rPr>
                <w:sz w:val="18"/>
                <w:szCs w:val="18"/>
              </w:rPr>
              <w:t xml:space="preserve"> </w:t>
            </w:r>
          </w:p>
        </w:tc>
      </w:tr>
      <w:tr w:rsidR="00211B8B" w:rsidRPr="0050205F" w14:paraId="47D1B907" w14:textId="77777777" w:rsidTr="00AB045F">
        <w:trPr>
          <w:trHeight w:val="2781"/>
        </w:trPr>
        <w:tc>
          <w:tcPr>
            <w:tcW w:w="1147" w:type="dxa"/>
            <w:tcBorders>
              <w:bottom w:val="single" w:sz="4" w:space="0" w:color="auto"/>
            </w:tcBorders>
          </w:tcPr>
          <w:p w14:paraId="01AB7567" w14:textId="0C665058" w:rsidR="00EE255D" w:rsidRPr="0050205F" w:rsidRDefault="00EE255D" w:rsidP="001F4273">
            <w:pPr>
              <w:jc w:val="both"/>
              <w:rPr>
                <w:rFonts w:cstheme="minorHAnsi"/>
                <w:b/>
                <w:sz w:val="18"/>
                <w:szCs w:val="18"/>
              </w:rPr>
            </w:pPr>
            <w:r>
              <w:rPr>
                <w:b/>
                <w:sz w:val="18"/>
                <w:szCs w:val="18"/>
              </w:rPr>
              <w:t>Processus</w:t>
            </w:r>
          </w:p>
          <w:p w14:paraId="29C3A1CC" w14:textId="77777777" w:rsidR="00EE255D" w:rsidRPr="0050205F" w:rsidRDefault="00EE255D" w:rsidP="001F4273">
            <w:pPr>
              <w:jc w:val="both"/>
              <w:rPr>
                <w:rFonts w:cstheme="minorHAnsi"/>
                <w:sz w:val="18"/>
                <w:szCs w:val="18"/>
              </w:rPr>
            </w:pPr>
          </w:p>
        </w:tc>
        <w:tc>
          <w:tcPr>
            <w:tcW w:w="4093" w:type="dxa"/>
          </w:tcPr>
          <w:p w14:paraId="44C2E9E3" w14:textId="4E3BEEA3" w:rsidR="00EE255D" w:rsidRPr="0050205F" w:rsidRDefault="00EE255D" w:rsidP="00A40B7A">
            <w:pPr>
              <w:jc w:val="both"/>
              <w:rPr>
                <w:rFonts w:cstheme="minorHAnsi"/>
                <w:sz w:val="18"/>
                <w:szCs w:val="18"/>
              </w:rPr>
            </w:pPr>
            <w:r>
              <w:rPr>
                <w:sz w:val="18"/>
                <w:szCs w:val="18"/>
              </w:rPr>
              <w:t xml:space="preserve">21.8 Taux d'inscription des </w:t>
            </w:r>
            <w:r w:rsidR="007D3C1D">
              <w:rPr>
                <w:sz w:val="18"/>
                <w:szCs w:val="18"/>
              </w:rPr>
              <w:t>personnes handicapées</w:t>
            </w:r>
            <w:r>
              <w:rPr>
                <w:sz w:val="18"/>
                <w:szCs w:val="18"/>
              </w:rPr>
              <w:t xml:space="preserve"> aux formations dans l'enseignement supérieur pour le journalisme professionnel et d'autres professions pertinentes, ventilé par handicap.</w:t>
            </w:r>
          </w:p>
          <w:p w14:paraId="41E970C2" w14:textId="3FE17CFF" w:rsidR="00EE255D" w:rsidRPr="0050205F" w:rsidRDefault="00EF73AB" w:rsidP="00A40B7A">
            <w:pPr>
              <w:jc w:val="both"/>
              <w:rPr>
                <w:rFonts w:cstheme="minorHAnsi"/>
                <w:sz w:val="18"/>
                <w:szCs w:val="18"/>
              </w:rPr>
            </w:pPr>
            <w:r>
              <w:rPr>
                <w:sz w:val="18"/>
                <w:szCs w:val="18"/>
              </w:rPr>
              <w:t xml:space="preserve">21.9 Proportion de notifications préalables par des organisations de </w:t>
            </w:r>
            <w:r w:rsidR="007D3C1D">
              <w:rPr>
                <w:sz w:val="18"/>
                <w:szCs w:val="18"/>
              </w:rPr>
              <w:t>personnes handicapées</w:t>
            </w:r>
            <w:r>
              <w:rPr>
                <w:sz w:val="18"/>
                <w:szCs w:val="18"/>
              </w:rPr>
              <w:t xml:space="preserve"> pour la tenue de manifestations et d'activités de sensibilisation en plein air reçues par les autorités gouvernementales, sur le nombre total soumis aux mêmes fins, ventilée par groupe représenté.</w:t>
            </w:r>
            <w:r w:rsidR="0091529D" w:rsidRPr="0050205F">
              <w:rPr>
                <w:rStyle w:val="EndnoteReference"/>
                <w:rFonts w:cstheme="minorHAnsi"/>
                <w:sz w:val="18"/>
                <w:szCs w:val="18"/>
              </w:rPr>
              <w:endnoteReference w:id="7"/>
            </w:r>
          </w:p>
          <w:p w14:paraId="5122DD7C" w14:textId="19687721" w:rsidR="006D5AC3" w:rsidRPr="0050205F" w:rsidRDefault="006D5AC3" w:rsidP="00A40B7A">
            <w:pPr>
              <w:jc w:val="both"/>
              <w:rPr>
                <w:rFonts w:cstheme="minorHAnsi"/>
                <w:sz w:val="18"/>
                <w:szCs w:val="18"/>
              </w:rPr>
            </w:pPr>
          </w:p>
        </w:tc>
        <w:tc>
          <w:tcPr>
            <w:tcW w:w="10202" w:type="dxa"/>
            <w:gridSpan w:val="2"/>
          </w:tcPr>
          <w:p w14:paraId="1ADB3938" w14:textId="3620C04E" w:rsidR="00EE255D" w:rsidRPr="0050205F" w:rsidRDefault="00EF73AB" w:rsidP="00A40B7A">
            <w:pPr>
              <w:jc w:val="both"/>
              <w:rPr>
                <w:rFonts w:cstheme="minorHAnsi"/>
                <w:sz w:val="18"/>
                <w:szCs w:val="18"/>
              </w:rPr>
            </w:pPr>
            <w:r>
              <w:rPr>
                <w:sz w:val="18"/>
                <w:szCs w:val="18"/>
              </w:rPr>
              <w:t xml:space="preserve">21.10 Nombre et proportion de tout le personnel public concerné ayant des responsabilités en matière de communication et d'accès à l'information, y compris dans les établissements où la détention de </w:t>
            </w:r>
            <w:r w:rsidR="007D3C1D">
              <w:rPr>
                <w:sz w:val="18"/>
                <w:szCs w:val="18"/>
              </w:rPr>
              <w:t>personnes handicapées</w:t>
            </w:r>
            <w:r>
              <w:rPr>
                <w:sz w:val="18"/>
                <w:szCs w:val="18"/>
              </w:rPr>
              <w:t xml:space="preserve"> peut avoir lieu, en cours de formation, sur l'accès à l'information pour les </w:t>
            </w:r>
            <w:r w:rsidR="007D3C1D">
              <w:rPr>
                <w:sz w:val="18"/>
                <w:szCs w:val="18"/>
              </w:rPr>
              <w:t>personnes handicapées</w:t>
            </w:r>
            <w:r>
              <w:rPr>
                <w:sz w:val="18"/>
                <w:szCs w:val="18"/>
              </w:rPr>
              <w:t xml:space="preserve"> et les modes alternatifs de communication.</w:t>
            </w:r>
          </w:p>
          <w:p w14:paraId="5F7A345F" w14:textId="217E2DDB" w:rsidR="00EE255D" w:rsidRPr="0022085D" w:rsidRDefault="00EF73AB" w:rsidP="00A40B7A">
            <w:pPr>
              <w:jc w:val="both"/>
              <w:rPr>
                <w:rFonts w:cstheme="minorHAnsi"/>
                <w:sz w:val="18"/>
                <w:szCs w:val="18"/>
              </w:rPr>
            </w:pPr>
            <w:r>
              <w:rPr>
                <w:sz w:val="18"/>
                <w:szCs w:val="18"/>
              </w:rPr>
              <w:t xml:space="preserve">21.11 Activités et campagne de sensibilisation sur l'accessibilité de l'information et sur les normes d'accessibilité obligatoires pour l'information et la communication, destinées aux acteurs publics et privés, y compris les </w:t>
            </w:r>
            <w:r w:rsidR="007D3C1D">
              <w:rPr>
                <w:sz w:val="18"/>
                <w:szCs w:val="18"/>
              </w:rPr>
              <w:t>personnes handicapées</w:t>
            </w:r>
            <w:r>
              <w:rPr>
                <w:sz w:val="18"/>
                <w:szCs w:val="18"/>
              </w:rPr>
              <w:t xml:space="preserve"> et leurs organisations.</w:t>
            </w:r>
            <w:r w:rsidR="00670710" w:rsidRPr="0022085D">
              <w:rPr>
                <w:rStyle w:val="EndnoteReference"/>
                <w:rFonts w:cstheme="minorHAnsi"/>
                <w:sz w:val="18"/>
                <w:szCs w:val="18"/>
              </w:rPr>
              <w:endnoteReference w:id="8"/>
            </w:r>
            <w:r>
              <w:rPr>
                <w:sz w:val="18"/>
                <w:szCs w:val="18"/>
              </w:rPr>
              <w:t xml:space="preserve"> </w:t>
            </w:r>
          </w:p>
          <w:p w14:paraId="0F7547C6" w14:textId="63498C7D" w:rsidR="002579F5" w:rsidRPr="0022085D" w:rsidRDefault="00EF73AB" w:rsidP="00A40B7A">
            <w:pPr>
              <w:jc w:val="both"/>
              <w:rPr>
                <w:rFonts w:cstheme="minorHAnsi"/>
                <w:sz w:val="18"/>
                <w:szCs w:val="18"/>
              </w:rPr>
            </w:pPr>
            <w:r>
              <w:rPr>
                <w:sz w:val="18"/>
                <w:szCs w:val="18"/>
              </w:rPr>
              <w:t>21.12 Nombre et proportion d'acteurs privés fournissant des informations et des services au public, notamment ceux auxquels l'État a accordé un contrat ou une licence, qui ont reçu des conseils afin de se conformer aux normes d'accessibilité obligatoires.</w:t>
            </w:r>
          </w:p>
          <w:p w14:paraId="098266A3" w14:textId="5A985394" w:rsidR="00212B15" w:rsidRPr="0022085D" w:rsidRDefault="00212B15" w:rsidP="00212B15">
            <w:pPr>
              <w:jc w:val="both"/>
              <w:rPr>
                <w:rFonts w:cstheme="minorHAnsi"/>
                <w:sz w:val="18"/>
                <w:szCs w:val="18"/>
              </w:rPr>
            </w:pPr>
            <w:r>
              <w:rPr>
                <w:sz w:val="18"/>
                <w:szCs w:val="18"/>
              </w:rPr>
              <w:t>21.13 Proportion d'émissions télévisées et proportion de temps incluant l'interprétation en langue des signes, l'audiodescription, le sous-titrage et d'autres caractéristiques et moyens liés à l'accessibilité, ventilée par propriété des médias (privés/publics), type de contenu (actualités/autres programmes, y compris les programmes pour enfants et les fonctionnalités d'accessibilité proposées.</w:t>
            </w:r>
            <w:r w:rsidRPr="0022085D">
              <w:rPr>
                <w:rStyle w:val="EndnoteReference"/>
                <w:rFonts w:cstheme="minorHAnsi"/>
                <w:sz w:val="18"/>
                <w:szCs w:val="18"/>
              </w:rPr>
              <w:endnoteReference w:id="9"/>
            </w:r>
          </w:p>
          <w:p w14:paraId="3FBE7306" w14:textId="6C8750F6" w:rsidR="00212B15" w:rsidRDefault="00212B15" w:rsidP="00212B15">
            <w:pPr>
              <w:jc w:val="both"/>
              <w:rPr>
                <w:rFonts w:cstheme="minorHAnsi"/>
                <w:sz w:val="18"/>
                <w:szCs w:val="18"/>
              </w:rPr>
            </w:pPr>
            <w:r>
              <w:rPr>
                <w:sz w:val="18"/>
                <w:szCs w:val="18"/>
              </w:rPr>
              <w:t xml:space="preserve">21.14 Proportion de contenu disponible dans les services « à la demande » ou non linéaires (par exemple, les services de vidéo à la demande) qui comprennent l'interprétation en langue des signes, l'audiodescription, le sous-titrage et d'autres fonctionnalités et moyens liés à l'accessibilité, ventilé par propriété des médias (privés/public) et les fonctionnalités d'accessibilité proposées </w:t>
            </w:r>
          </w:p>
          <w:p w14:paraId="351A8E01" w14:textId="16F09A4E" w:rsidR="00CB031F" w:rsidRPr="0050205F" w:rsidRDefault="00CB031F" w:rsidP="00212B15">
            <w:pPr>
              <w:jc w:val="both"/>
              <w:rPr>
                <w:rFonts w:cstheme="minorHAnsi"/>
                <w:sz w:val="18"/>
                <w:szCs w:val="18"/>
              </w:rPr>
            </w:pPr>
            <w:r>
              <w:rPr>
                <w:sz w:val="18"/>
                <w:szCs w:val="18"/>
              </w:rPr>
              <w:t>21.15 Proportion de sites Web et d'applications gouvernementaux conformes aux normes d'accessibilité. (idem 9.12)</w:t>
            </w:r>
          </w:p>
          <w:p w14:paraId="43EC8DB1" w14:textId="5149E3E4" w:rsidR="00EB3E70" w:rsidRDefault="00CB031F" w:rsidP="00A40B7A">
            <w:pPr>
              <w:jc w:val="both"/>
              <w:rPr>
                <w:rFonts w:cstheme="minorHAnsi"/>
                <w:sz w:val="18"/>
                <w:szCs w:val="18"/>
              </w:rPr>
            </w:pPr>
            <w:r>
              <w:rPr>
                <w:sz w:val="18"/>
                <w:szCs w:val="18"/>
              </w:rPr>
              <w:t>21.16 Nombre de rapports publiés par les autorités publiques destinés au grand public dans des formats accessibles, ventilés par type de format et leur proportion par rapport au total des rapports publiés par les autorités publiques. (idem 9.15)</w:t>
            </w:r>
          </w:p>
          <w:p w14:paraId="27C2E439" w14:textId="12E9026C" w:rsidR="002F108D" w:rsidRPr="0050205F" w:rsidRDefault="00211B8B" w:rsidP="00A40B7A">
            <w:pPr>
              <w:jc w:val="both"/>
              <w:rPr>
                <w:rFonts w:cstheme="minorHAnsi"/>
                <w:sz w:val="18"/>
                <w:szCs w:val="18"/>
              </w:rPr>
            </w:pPr>
            <w:r>
              <w:rPr>
                <w:sz w:val="18"/>
                <w:szCs w:val="18"/>
              </w:rPr>
              <w:t xml:space="preserve">22.17 Nombre d'interprètes en langue des signes et d'autres professionnels concernés, y compris les sténographes et les aides à la communication pour les </w:t>
            </w:r>
            <w:r w:rsidR="007D3C1D">
              <w:rPr>
                <w:sz w:val="18"/>
                <w:szCs w:val="18"/>
              </w:rPr>
              <w:t>personnes handicapées</w:t>
            </w:r>
            <w:r>
              <w:rPr>
                <w:sz w:val="18"/>
                <w:szCs w:val="18"/>
              </w:rPr>
              <w:t xml:space="preserve"> </w:t>
            </w:r>
            <w:r w:rsidR="00C52159">
              <w:rPr>
                <w:sz w:val="18"/>
                <w:szCs w:val="18"/>
              </w:rPr>
              <w:t>intellectuelles</w:t>
            </w:r>
            <w:r>
              <w:rPr>
                <w:sz w:val="18"/>
                <w:szCs w:val="18"/>
              </w:rPr>
              <w:t xml:space="preserve">, professionnellement certifiés et officiellement autorisés à pratiquer, en particulier en relation avec les interactions officielles, par rapport aux </w:t>
            </w:r>
            <w:r w:rsidR="007D3C1D">
              <w:rPr>
                <w:sz w:val="18"/>
                <w:szCs w:val="18"/>
              </w:rPr>
              <w:t>personnes handicapées</w:t>
            </w:r>
            <w:r>
              <w:rPr>
                <w:sz w:val="18"/>
                <w:szCs w:val="18"/>
              </w:rPr>
              <w:t xml:space="preserve"> nécessitant leurs services.</w:t>
            </w:r>
            <w:r w:rsidR="00E80676">
              <w:rPr>
                <w:sz w:val="18"/>
                <w:szCs w:val="18"/>
              </w:rPr>
              <w:t xml:space="preserve"> </w:t>
            </w:r>
          </w:p>
          <w:p w14:paraId="5BF7ADC1" w14:textId="100EAE3F" w:rsidR="00EE255D" w:rsidRPr="0050205F" w:rsidRDefault="00212B15" w:rsidP="00A40B7A">
            <w:pPr>
              <w:jc w:val="both"/>
              <w:rPr>
                <w:rFonts w:cstheme="minorHAnsi"/>
                <w:sz w:val="18"/>
                <w:szCs w:val="18"/>
              </w:rPr>
            </w:pPr>
            <w:r>
              <w:rPr>
                <w:sz w:val="18"/>
                <w:szCs w:val="18"/>
              </w:rPr>
              <w:t xml:space="preserve">21.18 Budget alloué aux mesures visant à garantir l'accès à l'information des </w:t>
            </w:r>
            <w:r w:rsidR="007D3C1D">
              <w:rPr>
                <w:sz w:val="18"/>
                <w:szCs w:val="18"/>
              </w:rPr>
              <w:t>personnes handicapées</w:t>
            </w:r>
            <w:r>
              <w:rPr>
                <w:sz w:val="18"/>
                <w:szCs w:val="18"/>
              </w:rPr>
              <w:t xml:space="preserve">, ventilé par type de mesure (par exemple, sensibilisation, développement des capacités, fourniture directe de mesures d'accessibilité, etc.) </w:t>
            </w:r>
          </w:p>
        </w:tc>
      </w:tr>
      <w:tr w:rsidR="001124CC" w:rsidRPr="0050205F" w14:paraId="27A9BE72" w14:textId="77777777" w:rsidTr="001124CC">
        <w:trPr>
          <w:trHeight w:val="554"/>
        </w:trPr>
        <w:tc>
          <w:tcPr>
            <w:tcW w:w="1147" w:type="dxa"/>
            <w:tcBorders>
              <w:bottom w:val="single" w:sz="4" w:space="0" w:color="auto"/>
            </w:tcBorders>
          </w:tcPr>
          <w:p w14:paraId="4DFC1DDC" w14:textId="77777777" w:rsidR="001124CC" w:rsidRPr="0050205F" w:rsidRDefault="001124CC" w:rsidP="001F4273">
            <w:pPr>
              <w:jc w:val="both"/>
              <w:rPr>
                <w:rFonts w:cstheme="minorHAnsi"/>
                <w:b/>
                <w:sz w:val="18"/>
                <w:szCs w:val="18"/>
              </w:rPr>
            </w:pPr>
          </w:p>
        </w:tc>
        <w:tc>
          <w:tcPr>
            <w:tcW w:w="14295" w:type="dxa"/>
            <w:gridSpan w:val="3"/>
            <w:tcBorders>
              <w:bottom w:val="single" w:sz="4" w:space="0" w:color="auto"/>
            </w:tcBorders>
          </w:tcPr>
          <w:p w14:paraId="2EBD13AA" w14:textId="2E1455A2" w:rsidR="00E916B6" w:rsidRPr="0050205F" w:rsidRDefault="00EF73AB" w:rsidP="00A40B7A">
            <w:pPr>
              <w:jc w:val="both"/>
              <w:rPr>
                <w:rFonts w:cstheme="minorHAnsi"/>
                <w:sz w:val="18"/>
                <w:szCs w:val="18"/>
              </w:rPr>
            </w:pPr>
            <w:r>
              <w:rPr>
                <w:sz w:val="18"/>
                <w:szCs w:val="18"/>
              </w:rPr>
              <w:t xml:space="preserve">21.19 Processus de consultation entrepris pour assurer la participation active des </w:t>
            </w:r>
            <w:r w:rsidR="007D3C1D">
              <w:rPr>
                <w:sz w:val="18"/>
                <w:szCs w:val="18"/>
              </w:rPr>
              <w:t>personnes handicapées</w:t>
            </w:r>
            <w:r w:rsidRPr="007D3C1D">
              <w:rPr>
                <w:sz w:val="18"/>
                <w:szCs w:val="18"/>
              </w:rPr>
              <w:t xml:space="preserve">, </w:t>
            </w:r>
            <w:r w:rsidRPr="00020CD8">
              <w:rPr>
                <w:sz w:val="18"/>
                <w:szCs w:val="18"/>
              </w:rPr>
              <w:t>y compris</w:t>
            </w:r>
            <w:r w:rsidRPr="007D3C1D">
              <w:rPr>
                <w:sz w:val="18"/>
                <w:szCs w:val="18"/>
              </w:rPr>
              <w:t xml:space="preserve"> </w:t>
            </w:r>
            <w:r>
              <w:rPr>
                <w:sz w:val="18"/>
                <w:szCs w:val="18"/>
              </w:rPr>
              <w:t>par l</w:t>
            </w:r>
            <w:r w:rsidR="007D3C1D">
              <w:rPr>
                <w:sz w:val="18"/>
                <w:szCs w:val="18"/>
              </w:rPr>
              <w:t xml:space="preserve">’intermédiaire </w:t>
            </w:r>
            <w:r>
              <w:rPr>
                <w:sz w:val="18"/>
                <w:szCs w:val="18"/>
              </w:rPr>
              <w:t>de</w:t>
            </w:r>
            <w:r w:rsidR="007D3C1D">
              <w:rPr>
                <w:sz w:val="18"/>
                <w:szCs w:val="18"/>
              </w:rPr>
              <w:t>s</w:t>
            </w:r>
            <w:r>
              <w:rPr>
                <w:sz w:val="18"/>
                <w:szCs w:val="18"/>
              </w:rPr>
              <w:t xml:space="preserve"> organisations</w:t>
            </w:r>
            <w:r w:rsidR="007D3C1D">
              <w:rPr>
                <w:sz w:val="18"/>
                <w:szCs w:val="18"/>
              </w:rPr>
              <w:t xml:space="preserve"> qui les</w:t>
            </w:r>
            <w:r>
              <w:rPr>
                <w:sz w:val="18"/>
                <w:szCs w:val="18"/>
              </w:rPr>
              <w:t xml:space="preserve"> représent</w:t>
            </w:r>
            <w:r w:rsidR="007D3C1D">
              <w:rPr>
                <w:sz w:val="18"/>
                <w:szCs w:val="18"/>
              </w:rPr>
              <w:t>ent</w:t>
            </w:r>
            <w:r>
              <w:rPr>
                <w:sz w:val="18"/>
                <w:szCs w:val="18"/>
              </w:rPr>
              <w:t>, à la conception, à la mise en œuvre et au suivi des lois, règlements, politiques et programmes relatifs au droit à la liberté d'expression et d'opinion et à l'accès à l'information.</w:t>
            </w:r>
            <w:r w:rsidR="00E916B6" w:rsidRPr="0050205F">
              <w:rPr>
                <w:rStyle w:val="EndnoteReference"/>
                <w:rFonts w:cstheme="minorHAnsi"/>
                <w:sz w:val="18"/>
                <w:szCs w:val="18"/>
              </w:rPr>
              <w:endnoteReference w:id="10"/>
            </w:r>
          </w:p>
          <w:p w14:paraId="48C77A40" w14:textId="5D25E511" w:rsidR="001124CC" w:rsidRPr="0050205F" w:rsidRDefault="001124CC" w:rsidP="0045550D">
            <w:pPr>
              <w:jc w:val="both"/>
              <w:rPr>
                <w:rFonts w:cstheme="minorHAnsi"/>
                <w:sz w:val="18"/>
                <w:szCs w:val="18"/>
              </w:rPr>
            </w:pPr>
            <w:r>
              <w:rPr>
                <w:sz w:val="18"/>
                <w:szCs w:val="18"/>
              </w:rPr>
              <w:t xml:space="preserve">21.20 Proportion de plaintes reçues alléguant un déni ou des restrictions au droit à la liberté d'expression et d'opinion, y compris le droit d'accès à l'information des </w:t>
            </w:r>
            <w:r w:rsidR="007D3C1D">
              <w:rPr>
                <w:sz w:val="18"/>
                <w:szCs w:val="18"/>
              </w:rPr>
              <w:t>personnes handicapées</w:t>
            </w:r>
            <w:r>
              <w:rPr>
                <w:sz w:val="18"/>
                <w:szCs w:val="18"/>
              </w:rPr>
              <w:t>, qui ont fait l'objet d'une enquête et d'une décision ; proportion de celles jugées en faveur du plaignant ; et proportion de ces dernières qui ont été respectées par le gouvernement et/ou le détenteur d'obligations ; à chaque fois ventilée par type de mécanisme.</w:t>
            </w:r>
          </w:p>
        </w:tc>
      </w:tr>
      <w:tr w:rsidR="001124CC" w:rsidRPr="0050205F" w14:paraId="067674B4" w14:textId="77777777" w:rsidTr="00AB045F">
        <w:trPr>
          <w:trHeight w:val="274"/>
        </w:trPr>
        <w:tc>
          <w:tcPr>
            <w:tcW w:w="1147" w:type="dxa"/>
            <w:tcBorders>
              <w:top w:val="single" w:sz="4" w:space="0" w:color="auto"/>
              <w:left w:val="single" w:sz="4" w:space="0" w:color="auto"/>
              <w:right w:val="single" w:sz="4" w:space="0" w:color="auto"/>
            </w:tcBorders>
          </w:tcPr>
          <w:p w14:paraId="6C4B207F" w14:textId="7EDF8A7D" w:rsidR="001124CC" w:rsidRPr="0050205F" w:rsidRDefault="001124CC" w:rsidP="001F4273">
            <w:pPr>
              <w:jc w:val="both"/>
              <w:rPr>
                <w:rFonts w:cstheme="minorHAnsi"/>
                <w:b/>
                <w:sz w:val="18"/>
                <w:szCs w:val="18"/>
              </w:rPr>
            </w:pPr>
            <w:r>
              <w:rPr>
                <w:b/>
                <w:sz w:val="18"/>
                <w:szCs w:val="18"/>
              </w:rPr>
              <w:t>Résultats</w:t>
            </w:r>
          </w:p>
        </w:tc>
        <w:tc>
          <w:tcPr>
            <w:tcW w:w="4093" w:type="dxa"/>
            <w:tcBorders>
              <w:top w:val="single" w:sz="4" w:space="0" w:color="auto"/>
              <w:left w:val="single" w:sz="4" w:space="0" w:color="auto"/>
              <w:right w:val="single" w:sz="4" w:space="0" w:color="auto"/>
            </w:tcBorders>
          </w:tcPr>
          <w:p w14:paraId="192A94B6" w14:textId="11D1A661" w:rsidR="001124CC" w:rsidRPr="0050205F" w:rsidRDefault="00EF73AB" w:rsidP="006D49BD">
            <w:pPr>
              <w:jc w:val="both"/>
              <w:rPr>
                <w:rFonts w:cstheme="minorHAnsi"/>
                <w:sz w:val="18"/>
                <w:szCs w:val="18"/>
              </w:rPr>
            </w:pPr>
            <w:r>
              <w:rPr>
                <w:sz w:val="18"/>
                <w:szCs w:val="18"/>
              </w:rPr>
              <w:t xml:space="preserve">21.21 Nombre et proportion de personnes travaillant comme journalistes qui sont des </w:t>
            </w:r>
            <w:r w:rsidR="007D3C1D">
              <w:rPr>
                <w:sz w:val="18"/>
                <w:szCs w:val="18"/>
              </w:rPr>
              <w:t>personnes handicapées</w:t>
            </w:r>
            <w:r>
              <w:rPr>
                <w:sz w:val="18"/>
                <w:szCs w:val="18"/>
              </w:rPr>
              <w:t xml:space="preserve">, ventilés par sexe, âge, handicap, type </w:t>
            </w:r>
            <w:r>
              <w:rPr>
                <w:sz w:val="18"/>
                <w:szCs w:val="18"/>
              </w:rPr>
              <w:lastRenderedPageBreak/>
              <w:t xml:space="preserve">de média (par exemple TV, radio, etc.) et sa propriété (publique ou privée) </w:t>
            </w:r>
          </w:p>
        </w:tc>
        <w:tc>
          <w:tcPr>
            <w:tcW w:w="10202" w:type="dxa"/>
            <w:gridSpan w:val="2"/>
            <w:tcBorders>
              <w:top w:val="single" w:sz="4" w:space="0" w:color="auto"/>
              <w:left w:val="single" w:sz="4" w:space="0" w:color="auto"/>
              <w:right w:val="single" w:sz="4" w:space="0" w:color="auto"/>
            </w:tcBorders>
          </w:tcPr>
          <w:p w14:paraId="3ACA96EA" w14:textId="04BE239D" w:rsidR="002304CD" w:rsidRPr="00E450C3" w:rsidRDefault="00212B15" w:rsidP="00A40B7A">
            <w:pPr>
              <w:jc w:val="both"/>
              <w:rPr>
                <w:rFonts w:cstheme="minorHAnsi"/>
                <w:sz w:val="18"/>
                <w:szCs w:val="18"/>
              </w:rPr>
            </w:pPr>
            <w:r>
              <w:rPr>
                <w:sz w:val="18"/>
                <w:szCs w:val="18"/>
              </w:rPr>
              <w:lastRenderedPageBreak/>
              <w:t>21.22 Proportion de différents groupes de population linguistique ayant accès à des émissions médiatiques dans leur propre langue, ventilée par langue, y compris la langue des signes.</w:t>
            </w:r>
          </w:p>
          <w:p w14:paraId="2960669B" w14:textId="32E88B9D" w:rsidR="001124CC" w:rsidRPr="0050205F" w:rsidRDefault="001124CC" w:rsidP="00A40B7A">
            <w:pPr>
              <w:jc w:val="both"/>
              <w:rPr>
                <w:rFonts w:cstheme="minorHAnsi"/>
                <w:sz w:val="18"/>
                <w:szCs w:val="18"/>
              </w:rPr>
            </w:pPr>
            <w:r>
              <w:rPr>
                <w:sz w:val="18"/>
                <w:szCs w:val="18"/>
              </w:rPr>
              <w:t xml:space="preserve">21.23 Nombre et proportion de demandes d'informations publiques accordées aux </w:t>
            </w:r>
            <w:r w:rsidR="007D3C1D">
              <w:rPr>
                <w:sz w:val="18"/>
                <w:szCs w:val="18"/>
              </w:rPr>
              <w:t>personnes handicapées</w:t>
            </w:r>
            <w:r>
              <w:rPr>
                <w:sz w:val="18"/>
                <w:szCs w:val="18"/>
              </w:rPr>
              <w:t xml:space="preserve"> dans des formats accessibles, sur le total des demandes d'informations publiques, ventilées par organisme ou établissement public répondant. (idem 31.15)</w:t>
            </w:r>
          </w:p>
          <w:p w14:paraId="47332C91" w14:textId="4DBB48A2" w:rsidR="001124CC" w:rsidRPr="0050205F" w:rsidRDefault="006A17F3" w:rsidP="00A40B7A">
            <w:pPr>
              <w:autoSpaceDE w:val="0"/>
              <w:autoSpaceDN w:val="0"/>
              <w:adjustRightInd w:val="0"/>
              <w:rPr>
                <w:rFonts w:cstheme="minorHAnsi"/>
                <w:sz w:val="18"/>
                <w:szCs w:val="18"/>
              </w:rPr>
            </w:pPr>
            <w:r>
              <w:rPr>
                <w:sz w:val="18"/>
                <w:szCs w:val="18"/>
              </w:rPr>
              <w:lastRenderedPageBreak/>
              <w:t>21.24</w:t>
            </w:r>
            <w:r w:rsidR="00212B15">
              <w:rPr>
                <w:sz w:val="18"/>
                <w:szCs w:val="18"/>
              </w:rPr>
              <w:t xml:space="preserve"> P</w:t>
            </w:r>
            <w:r w:rsidR="007D3C1D" w:rsidRPr="007D3C1D">
              <w:rPr>
                <w:sz w:val="18"/>
                <w:szCs w:val="18"/>
              </w:rPr>
              <w:t xml:space="preserve">roportion de la population ayant accès à un réseau mobile, par type de technologie </w:t>
            </w:r>
            <w:r w:rsidR="00212B15">
              <w:rPr>
                <w:sz w:val="18"/>
                <w:szCs w:val="18"/>
              </w:rPr>
              <w:t>(indicateur ODD 9.c.1), sexe, âge et handicap.</w:t>
            </w:r>
          </w:p>
          <w:p w14:paraId="1197C53D" w14:textId="05237DB3" w:rsidR="001124CC" w:rsidRPr="0050205F" w:rsidRDefault="006A17F3" w:rsidP="00020CD8">
            <w:pPr>
              <w:jc w:val="both"/>
              <w:rPr>
                <w:rFonts w:ascii="Times New Roman" w:hAnsi="Times New Roman" w:cs="Times New Roman"/>
                <w:sz w:val="18"/>
                <w:szCs w:val="18"/>
              </w:rPr>
            </w:pPr>
            <w:r>
              <w:rPr>
                <w:sz w:val="18"/>
                <w:szCs w:val="18"/>
              </w:rPr>
              <w:t>21.25</w:t>
            </w:r>
            <w:bookmarkStart w:id="0" w:name="_GoBack"/>
            <w:bookmarkEnd w:id="0"/>
            <w:r w:rsidR="00212B15">
              <w:rPr>
                <w:sz w:val="18"/>
                <w:szCs w:val="18"/>
              </w:rPr>
              <w:t xml:space="preserve"> Proportion </w:t>
            </w:r>
            <w:r w:rsidR="007D3C1D">
              <w:rPr>
                <w:sz w:val="18"/>
                <w:szCs w:val="18"/>
              </w:rPr>
              <w:t xml:space="preserve">de la population </w:t>
            </w:r>
            <w:r w:rsidR="00212B15">
              <w:rPr>
                <w:sz w:val="18"/>
                <w:szCs w:val="18"/>
              </w:rPr>
              <w:t xml:space="preserve">utilisant Internet (indicateur </w:t>
            </w:r>
            <w:r w:rsidR="007D3C1D">
              <w:rPr>
                <w:sz w:val="18"/>
                <w:szCs w:val="18"/>
              </w:rPr>
              <w:t xml:space="preserve">ODD </w:t>
            </w:r>
            <w:r w:rsidR="00212B15">
              <w:rPr>
                <w:sz w:val="18"/>
                <w:szCs w:val="18"/>
              </w:rPr>
              <w:t>17.8.1), ventilée par sexe, âge et handicap.</w:t>
            </w:r>
          </w:p>
        </w:tc>
      </w:tr>
    </w:tbl>
    <w:p w14:paraId="1102766E" w14:textId="77777777" w:rsidR="00875318" w:rsidRDefault="00875318" w:rsidP="00626D6B">
      <w:pPr>
        <w:outlineLvl w:val="0"/>
        <w:rPr>
          <w:rFonts w:cstheme="minorHAnsi"/>
          <w:b/>
          <w:sz w:val="18"/>
          <w:szCs w:val="18"/>
        </w:rPr>
      </w:pPr>
    </w:p>
    <w:sectPr w:rsidR="00875318"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4DFFB" w14:textId="77777777" w:rsidR="008A1259" w:rsidRDefault="008A1259" w:rsidP="00CA591E"/>
  </w:endnote>
  <w:endnote w:type="continuationSeparator" w:id="0">
    <w:p w14:paraId="143AC584" w14:textId="77777777" w:rsidR="008A1259" w:rsidRDefault="008A1259" w:rsidP="00CA591E">
      <w:r>
        <w:continuationSeparator/>
      </w:r>
    </w:p>
  </w:endnote>
  <w:endnote w:id="1">
    <w:p w14:paraId="15FF9BC4" w14:textId="339737CC" w:rsidR="006D5AC3" w:rsidRPr="001905EF" w:rsidRDefault="006D5AC3">
      <w:pPr>
        <w:pStyle w:val="EndnoteText"/>
        <w:rPr>
          <w:sz w:val="18"/>
          <w:szCs w:val="18"/>
        </w:rPr>
      </w:pPr>
      <w:r>
        <w:rPr>
          <w:rStyle w:val="EndnoteReference"/>
          <w:sz w:val="18"/>
          <w:szCs w:val="18"/>
        </w:rPr>
        <w:endnoteRef/>
      </w:r>
      <w:r>
        <w:t xml:space="preserve"> </w:t>
      </w:r>
      <w:r>
        <w:rPr>
          <w:sz w:val="18"/>
          <w:szCs w:val="18"/>
        </w:rPr>
        <w:t>Concernant le droit à la liberté d'expression, la législation devrait :</w:t>
      </w:r>
    </w:p>
    <w:p w14:paraId="4CE1D35D" w14:textId="3F4945F8" w:rsidR="006D5AC3" w:rsidRPr="001905EF" w:rsidRDefault="006D5AC3" w:rsidP="006D5AC3">
      <w:pPr>
        <w:pStyle w:val="EndnoteText"/>
        <w:numPr>
          <w:ilvl w:val="0"/>
          <w:numId w:val="11"/>
        </w:numPr>
        <w:rPr>
          <w:sz w:val="18"/>
          <w:szCs w:val="18"/>
        </w:rPr>
      </w:pPr>
      <w:r>
        <w:rPr>
          <w:sz w:val="18"/>
          <w:szCs w:val="18"/>
        </w:rPr>
        <w:t xml:space="preserve">Empêcher toute restriction qui discrimine directement ou indirectement les </w:t>
      </w:r>
      <w:r w:rsidR="007D3C1D">
        <w:rPr>
          <w:sz w:val="18"/>
          <w:szCs w:val="18"/>
        </w:rPr>
        <w:t>personnes handicapées</w:t>
      </w:r>
      <w:r>
        <w:rPr>
          <w:sz w:val="18"/>
          <w:szCs w:val="18"/>
        </w:rPr>
        <w:t>.</w:t>
      </w:r>
    </w:p>
    <w:p w14:paraId="541A1CD6" w14:textId="790E227E" w:rsidR="00797920" w:rsidRPr="001905EF" w:rsidRDefault="00797920" w:rsidP="006D5AC3">
      <w:pPr>
        <w:pStyle w:val="EndnoteText"/>
        <w:numPr>
          <w:ilvl w:val="0"/>
          <w:numId w:val="11"/>
        </w:numPr>
        <w:rPr>
          <w:sz w:val="18"/>
          <w:szCs w:val="18"/>
        </w:rPr>
      </w:pPr>
      <w:r>
        <w:rPr>
          <w:sz w:val="18"/>
          <w:szCs w:val="18"/>
        </w:rPr>
        <w:t xml:space="preserve">Inclure des dispositions pour protéger les </w:t>
      </w:r>
      <w:r w:rsidR="007D3C1D">
        <w:rPr>
          <w:sz w:val="18"/>
          <w:szCs w:val="18"/>
        </w:rPr>
        <w:t>personnes handicapées</w:t>
      </w:r>
      <w:r>
        <w:rPr>
          <w:sz w:val="18"/>
          <w:szCs w:val="18"/>
        </w:rPr>
        <w:t xml:space="preserve"> contre l'intimidation ou les représailles liées à l'exercice du droit à la liberté d'expression. </w:t>
      </w:r>
    </w:p>
    <w:p w14:paraId="016867B6" w14:textId="2E4E2F17" w:rsidR="006D5AC3" w:rsidRPr="001905EF" w:rsidRDefault="004E592B" w:rsidP="00A40B7A">
      <w:pPr>
        <w:pStyle w:val="EndnoteText"/>
        <w:numPr>
          <w:ilvl w:val="0"/>
          <w:numId w:val="11"/>
        </w:numPr>
        <w:rPr>
          <w:sz w:val="18"/>
          <w:szCs w:val="18"/>
        </w:rPr>
      </w:pPr>
      <w:r>
        <w:rPr>
          <w:sz w:val="18"/>
          <w:szCs w:val="18"/>
        </w:rPr>
        <w:t xml:space="preserve">Inclure des mesures spécifiques pour réaliser l'égalité de facto afin d'inclure les </w:t>
      </w:r>
      <w:r w:rsidR="007D3C1D">
        <w:rPr>
          <w:sz w:val="18"/>
          <w:szCs w:val="18"/>
        </w:rPr>
        <w:t>personnes handicapées</w:t>
      </w:r>
      <w:r>
        <w:rPr>
          <w:sz w:val="18"/>
          <w:szCs w:val="18"/>
        </w:rPr>
        <w:t xml:space="preserve"> dans l'industrie des médias aux postes appropriés pour l'exercice de la liberté d'expression, par exemple par le biais d'exigences de diversité dans les exigences de demande de licences de radiodiffusion.</w:t>
      </w:r>
    </w:p>
  </w:endnote>
  <w:endnote w:id="2">
    <w:p w14:paraId="101BF8C4" w14:textId="15D0D6E6" w:rsidR="00C708A5" w:rsidRPr="001905EF" w:rsidRDefault="00C708A5">
      <w:pPr>
        <w:pStyle w:val="EndnoteText"/>
        <w:rPr>
          <w:sz w:val="18"/>
          <w:szCs w:val="18"/>
        </w:rPr>
      </w:pPr>
      <w:r>
        <w:rPr>
          <w:rStyle w:val="EndnoteReference"/>
          <w:sz w:val="18"/>
          <w:szCs w:val="18"/>
        </w:rPr>
        <w:endnoteRef/>
      </w:r>
      <w:r>
        <w:t xml:space="preserve"> </w:t>
      </w:r>
      <w:r>
        <w:rPr>
          <w:sz w:val="18"/>
          <w:szCs w:val="18"/>
        </w:rPr>
        <w:t>La législation sur l'accès à l'information doit garantir que :</w:t>
      </w:r>
    </w:p>
    <w:p w14:paraId="277A31AF" w14:textId="2196378B" w:rsidR="00C708A5" w:rsidRPr="001905EF" w:rsidRDefault="00C708A5" w:rsidP="00C708A5">
      <w:pPr>
        <w:pStyle w:val="EndnoteText"/>
        <w:numPr>
          <w:ilvl w:val="0"/>
          <w:numId w:val="9"/>
        </w:numPr>
        <w:rPr>
          <w:sz w:val="18"/>
          <w:szCs w:val="18"/>
        </w:rPr>
      </w:pPr>
      <w:r>
        <w:rPr>
          <w:sz w:val="18"/>
          <w:szCs w:val="18"/>
        </w:rPr>
        <w:t>Les informations destinées au grand public et diffusées sont diffusées dans des formats et des technologies accessibles et mises à disposition dans les langues officielles et autochtones/minoritaires du pays.</w:t>
      </w:r>
    </w:p>
    <w:p w14:paraId="6C29BEFB" w14:textId="08714DD1" w:rsidR="00C708A5" w:rsidRPr="001905EF" w:rsidRDefault="00C708A5" w:rsidP="00C708A5">
      <w:pPr>
        <w:pStyle w:val="EndnoteText"/>
        <w:numPr>
          <w:ilvl w:val="0"/>
          <w:numId w:val="9"/>
        </w:numPr>
        <w:rPr>
          <w:sz w:val="18"/>
          <w:szCs w:val="18"/>
        </w:rPr>
      </w:pPr>
      <w:r>
        <w:rPr>
          <w:sz w:val="18"/>
          <w:szCs w:val="18"/>
        </w:rPr>
        <w:t xml:space="preserve">Les procédures de demande d'informations publiques (pas nécessairement diffusées auprès du grand public) sont accessibles et utilisables par toutes les </w:t>
      </w:r>
      <w:r w:rsidR="007D3C1D">
        <w:rPr>
          <w:sz w:val="18"/>
          <w:szCs w:val="18"/>
        </w:rPr>
        <w:t>personnes handicapées</w:t>
      </w:r>
      <w:r>
        <w:rPr>
          <w:sz w:val="18"/>
          <w:szCs w:val="18"/>
        </w:rPr>
        <w:t>.</w:t>
      </w:r>
    </w:p>
    <w:p w14:paraId="4EDE6855" w14:textId="0054D647" w:rsidR="00CD4CE2" w:rsidRPr="001905EF" w:rsidRDefault="00CD4CE2" w:rsidP="00CD4CE2">
      <w:pPr>
        <w:pStyle w:val="EndnoteText"/>
        <w:numPr>
          <w:ilvl w:val="0"/>
          <w:numId w:val="9"/>
        </w:numPr>
        <w:rPr>
          <w:sz w:val="18"/>
          <w:szCs w:val="18"/>
        </w:rPr>
      </w:pPr>
      <w:r>
        <w:rPr>
          <w:sz w:val="18"/>
          <w:szCs w:val="18"/>
        </w:rPr>
        <w:t>Il n'y a aucune restriction à l'accès aux informations sur la base de la privation de la capacité juridique contraire à l'article 12 de la CDPH.</w:t>
      </w:r>
    </w:p>
  </w:endnote>
  <w:endnote w:id="3">
    <w:p w14:paraId="41F16F6D" w14:textId="77777777" w:rsidR="00567587" w:rsidRPr="001905EF" w:rsidRDefault="00567587" w:rsidP="00567587">
      <w:pPr>
        <w:pStyle w:val="EndnoteText"/>
        <w:rPr>
          <w:sz w:val="18"/>
          <w:szCs w:val="18"/>
        </w:rPr>
      </w:pPr>
      <w:r>
        <w:rPr>
          <w:rStyle w:val="EndnoteReference"/>
          <w:sz w:val="18"/>
          <w:szCs w:val="18"/>
        </w:rPr>
        <w:endnoteRef/>
      </w:r>
      <w:r>
        <w:t xml:space="preserve"> </w:t>
      </w:r>
      <w:r>
        <w:rPr>
          <w:sz w:val="18"/>
          <w:szCs w:val="18"/>
        </w:rPr>
        <w:t>Cet indicateur fait référence, par exemple, aux dispositions sur l'accessibilité dans le cadre de la législation sur les télécommunications, les codes de radiodiffusion et les réglementations connexes, et concernant Internet, les technologies numériques, le téléphone, y compris les services de relais de télécommunications (voir UIT-T F.930 Services de relais de télécommunications multimédias), et la téléphonie mobile. Les « médias sociaux » comprennent les sites Web, les plateformes en ligne et les applications mobiles.</w:t>
      </w:r>
    </w:p>
  </w:endnote>
  <w:endnote w:id="4">
    <w:p w14:paraId="22F3C99C" w14:textId="2981B136" w:rsidR="0097758C" w:rsidRPr="001905EF" w:rsidRDefault="0097758C" w:rsidP="0097758C">
      <w:pPr>
        <w:pStyle w:val="EndnoteText"/>
        <w:rPr>
          <w:sz w:val="18"/>
          <w:szCs w:val="18"/>
        </w:rPr>
      </w:pPr>
      <w:r>
        <w:rPr>
          <w:rStyle w:val="EndnoteReference"/>
          <w:sz w:val="18"/>
          <w:szCs w:val="18"/>
        </w:rPr>
        <w:endnoteRef/>
      </w:r>
      <w:r>
        <w:t xml:space="preserve"> </w:t>
      </w:r>
      <w:r>
        <w:rPr>
          <w:sz w:val="18"/>
          <w:szCs w:val="18"/>
        </w:rPr>
        <w:t xml:space="preserve">Ce plan devrait </w:t>
      </w:r>
      <w:r>
        <w:rPr>
          <w:i/>
          <w:sz w:val="18"/>
          <w:szCs w:val="18"/>
        </w:rPr>
        <w:t>notamment</w:t>
      </w:r>
      <w:r>
        <w:rPr>
          <w:sz w:val="18"/>
          <w:szCs w:val="18"/>
        </w:rPr>
        <w:t xml:space="preserve"> comprendre :</w:t>
      </w:r>
    </w:p>
    <w:p w14:paraId="2B461990" w14:textId="7DC2F0D6" w:rsidR="00D77EDC" w:rsidRPr="001905EF" w:rsidRDefault="00D77EDC" w:rsidP="00D77EDC">
      <w:pPr>
        <w:pStyle w:val="EndnoteText"/>
        <w:numPr>
          <w:ilvl w:val="0"/>
          <w:numId w:val="9"/>
        </w:numPr>
        <w:rPr>
          <w:sz w:val="18"/>
          <w:szCs w:val="18"/>
        </w:rPr>
      </w:pPr>
      <w:r>
        <w:rPr>
          <w:sz w:val="18"/>
          <w:szCs w:val="18"/>
        </w:rPr>
        <w:t xml:space="preserve">Des mesures de sensibilisation des fonctionnaires, agents et employés aux différents modes de communication alternatifs accessibles aux </w:t>
      </w:r>
      <w:r w:rsidR="007D3C1D">
        <w:rPr>
          <w:sz w:val="18"/>
          <w:szCs w:val="18"/>
        </w:rPr>
        <w:t>personnes handicapées</w:t>
      </w:r>
      <w:r>
        <w:rPr>
          <w:sz w:val="18"/>
          <w:szCs w:val="18"/>
        </w:rPr>
        <w:t> ;</w:t>
      </w:r>
    </w:p>
    <w:p w14:paraId="2061B1DA" w14:textId="6FB4E91D" w:rsidR="00D77EDC" w:rsidRPr="001905EF" w:rsidRDefault="00D77EDC" w:rsidP="00D77EDC">
      <w:pPr>
        <w:pStyle w:val="EndnoteText"/>
        <w:numPr>
          <w:ilvl w:val="0"/>
          <w:numId w:val="9"/>
        </w:numPr>
        <w:rPr>
          <w:sz w:val="18"/>
          <w:szCs w:val="18"/>
        </w:rPr>
      </w:pPr>
      <w:r>
        <w:rPr>
          <w:sz w:val="18"/>
          <w:szCs w:val="18"/>
        </w:rPr>
        <w:t>Des mesures visant à accroître la disponibilité des informations publiques dans des formats alternatifs ;</w:t>
      </w:r>
    </w:p>
    <w:p w14:paraId="5AB18E23" w14:textId="66F8B409" w:rsidR="00D77EDC" w:rsidRPr="001905EF" w:rsidRDefault="00D77EDC" w:rsidP="00D77EDC">
      <w:pPr>
        <w:pStyle w:val="EndnoteText"/>
        <w:numPr>
          <w:ilvl w:val="0"/>
          <w:numId w:val="9"/>
        </w:numPr>
        <w:rPr>
          <w:sz w:val="18"/>
          <w:szCs w:val="18"/>
        </w:rPr>
      </w:pPr>
      <w:r>
        <w:rPr>
          <w:sz w:val="18"/>
          <w:szCs w:val="18"/>
        </w:rPr>
        <w:t>Des mesures visant à garantir la disponibilité d'autres moyens de communication pour les interactions officielles, y compris des interprètes en langue des signes, des imprimantes braille, un soutien à la communication, etc.</w:t>
      </w:r>
    </w:p>
    <w:p w14:paraId="1C3FD443" w14:textId="3A9E3E80" w:rsidR="001124CC" w:rsidRPr="001905EF" w:rsidRDefault="00D77EDC" w:rsidP="00A40B7A">
      <w:pPr>
        <w:pStyle w:val="EndnoteText"/>
        <w:numPr>
          <w:ilvl w:val="0"/>
          <w:numId w:val="9"/>
        </w:numPr>
        <w:rPr>
          <w:sz w:val="18"/>
          <w:szCs w:val="18"/>
        </w:rPr>
      </w:pPr>
      <w:r>
        <w:rPr>
          <w:sz w:val="18"/>
          <w:szCs w:val="18"/>
        </w:rPr>
        <w:t xml:space="preserve">Des mesures visant à promouvoir l'inclusion des </w:t>
      </w:r>
      <w:r w:rsidR="007D3C1D">
        <w:rPr>
          <w:sz w:val="18"/>
          <w:szCs w:val="18"/>
        </w:rPr>
        <w:t>personnes handicapées</w:t>
      </w:r>
      <w:r>
        <w:rPr>
          <w:sz w:val="18"/>
          <w:szCs w:val="18"/>
        </w:rPr>
        <w:t xml:space="preserve"> dans le milieu du travail journalistique, y compris par la fourniture d'un soutien et d'aménagements raisonnables pendant l'éducation et l'emploi connexes, et par des mesures spécifiques, y compris des actions positives, ne constituant pas une discrimination (article 5, paragraphe 4, de la CDPH).</w:t>
      </w:r>
    </w:p>
  </w:endnote>
  <w:endnote w:id="5">
    <w:p w14:paraId="284C3426" w14:textId="77777777" w:rsidR="00123EDB" w:rsidRPr="001905EF" w:rsidRDefault="00123EDB" w:rsidP="00123EDB">
      <w:pPr>
        <w:pStyle w:val="EndnoteText"/>
        <w:rPr>
          <w:sz w:val="18"/>
          <w:szCs w:val="18"/>
        </w:rPr>
      </w:pPr>
      <w:r>
        <w:rPr>
          <w:rStyle w:val="EndnoteReference"/>
          <w:sz w:val="18"/>
          <w:szCs w:val="18"/>
        </w:rPr>
        <w:endnoteRef/>
      </w:r>
      <w:r>
        <w:t xml:space="preserve"> </w:t>
      </w:r>
      <w:r>
        <w:rPr>
          <w:sz w:val="18"/>
          <w:szCs w:val="18"/>
        </w:rPr>
        <w:t>Cela devrait inclure toutes les formes ou tous les dialectes, en particulier dans le cas des langues des signes et des dispositions sur la non-discrimination, la fourniture d'aménagements raisonnables et la définition de la communication.</w:t>
      </w:r>
    </w:p>
  </w:endnote>
  <w:endnote w:id="6">
    <w:p w14:paraId="11B325BD" w14:textId="5DEC1424" w:rsidR="00EE2963" w:rsidRPr="001905EF" w:rsidRDefault="00EE2963">
      <w:pPr>
        <w:pStyle w:val="EndnoteText"/>
        <w:rPr>
          <w:sz w:val="18"/>
          <w:szCs w:val="18"/>
        </w:rPr>
      </w:pPr>
      <w:r>
        <w:rPr>
          <w:rStyle w:val="EndnoteReference"/>
          <w:sz w:val="18"/>
          <w:szCs w:val="18"/>
        </w:rPr>
        <w:endnoteRef/>
      </w:r>
      <w:r>
        <w:t xml:space="preserve"> </w:t>
      </w:r>
      <w:r>
        <w:rPr>
          <w:sz w:val="18"/>
          <w:szCs w:val="18"/>
        </w:rPr>
        <w:t>Cela devrait inclure des données sur :</w:t>
      </w:r>
    </w:p>
    <w:p w14:paraId="228731B2" w14:textId="1E6B455B" w:rsidR="00EE2963" w:rsidRPr="001905EF" w:rsidRDefault="00EE2963" w:rsidP="00EE2963">
      <w:pPr>
        <w:ind w:left="720"/>
        <w:jc w:val="both"/>
        <w:rPr>
          <w:rFonts w:cstheme="minorHAnsi"/>
          <w:sz w:val="18"/>
          <w:szCs w:val="18"/>
        </w:rPr>
      </w:pPr>
      <w:r>
        <w:rPr>
          <w:sz w:val="18"/>
          <w:szCs w:val="18"/>
        </w:rPr>
        <w:t xml:space="preserve">a) le nombre et la proportion de documents destinés à diffuser des informations publiques au grand public également fournis dans des formats accessibles, ventilés par type de format. </w:t>
      </w:r>
    </w:p>
    <w:p w14:paraId="378A517B" w14:textId="77777777" w:rsidR="00EE2963" w:rsidRPr="001905EF" w:rsidRDefault="00EE2963" w:rsidP="00EE2963">
      <w:pPr>
        <w:ind w:left="720"/>
        <w:jc w:val="both"/>
        <w:rPr>
          <w:rFonts w:cstheme="minorHAnsi"/>
          <w:sz w:val="18"/>
          <w:szCs w:val="18"/>
        </w:rPr>
      </w:pPr>
      <w:r>
        <w:rPr>
          <w:sz w:val="18"/>
          <w:szCs w:val="18"/>
        </w:rPr>
        <w:t>b) le nombre et la proportion de demandes d'informations accordées dans des formats accessibles, sur le total des demandes d'informations publiques.</w:t>
      </w:r>
    </w:p>
    <w:p w14:paraId="5064B107" w14:textId="77777777" w:rsidR="00EE2963" w:rsidRPr="001905EF" w:rsidRDefault="00EE2963" w:rsidP="00EE2963">
      <w:pPr>
        <w:ind w:left="720"/>
        <w:jc w:val="both"/>
        <w:rPr>
          <w:rFonts w:cstheme="minorHAnsi"/>
          <w:sz w:val="18"/>
          <w:szCs w:val="18"/>
        </w:rPr>
      </w:pPr>
      <w:r>
        <w:rPr>
          <w:sz w:val="18"/>
          <w:szCs w:val="18"/>
        </w:rPr>
        <w:t>c) le nombre et la proportion de demandes de moyens de communication alternatifs dans les interactions officielles.</w:t>
      </w:r>
    </w:p>
    <w:p w14:paraId="41D85023" w14:textId="63D0789C" w:rsidR="00EE2963" w:rsidRPr="008661A6" w:rsidRDefault="00EE2963" w:rsidP="008661A6">
      <w:pPr>
        <w:ind w:left="720"/>
        <w:jc w:val="both"/>
        <w:rPr>
          <w:rFonts w:cstheme="minorHAnsi"/>
          <w:sz w:val="18"/>
          <w:szCs w:val="18"/>
        </w:rPr>
      </w:pPr>
      <w:r>
        <w:rPr>
          <w:sz w:val="18"/>
          <w:szCs w:val="18"/>
        </w:rPr>
        <w:t xml:space="preserve">d) le nombre et la proportion de plaintes alléguant un déni ou des restrictions au droit à la liberté d'expression et à l'accès à l'information des </w:t>
      </w:r>
      <w:r w:rsidR="007D3C1D">
        <w:rPr>
          <w:sz w:val="18"/>
          <w:szCs w:val="18"/>
        </w:rPr>
        <w:t>personnes handicapées</w:t>
      </w:r>
    </w:p>
  </w:endnote>
  <w:endnote w:id="7">
    <w:p w14:paraId="7FF2910E" w14:textId="3F8240C3" w:rsidR="00CB6A32" w:rsidRPr="001905EF" w:rsidRDefault="0091529D" w:rsidP="001124CC">
      <w:pPr>
        <w:pStyle w:val="EndnoteText"/>
        <w:jc w:val="both"/>
        <w:rPr>
          <w:sz w:val="18"/>
          <w:szCs w:val="18"/>
        </w:rPr>
      </w:pPr>
      <w:r>
        <w:rPr>
          <w:rStyle w:val="EndnoteReference"/>
          <w:sz w:val="18"/>
          <w:szCs w:val="18"/>
        </w:rPr>
        <w:endnoteRef/>
      </w:r>
      <w:r>
        <w:t xml:space="preserve"> </w:t>
      </w:r>
      <w:r>
        <w:rPr>
          <w:sz w:val="18"/>
          <w:szCs w:val="18"/>
        </w:rPr>
        <w:t xml:space="preserve">La référence à la « notification préalable » dans cet indicateur n'implique pas que l'État doit autoriser la tenue d'une manifestation ou d'un événement de sensibilisation en plein air. Au lieu de cela, l'exigence de « notification préalable » ne doit avoir pour objet que d'informer les autorités publiques pour leur permettre de mettre en place les dispositions nécessaires pour faciliter la liberté de réunion et protéger l'ordre public, la sécurité publique et les droits et libertés d'autrui. Dans certains pays, il n'est pas nécessaire de demander une notification préalable, par exemple pour de petites manifestations. Ainsi, l'indicateur 21.9 constitue un indicateur indirect. Pour plus d'informations : </w:t>
      </w:r>
      <w:hyperlink r:id="rId1" w:history="1">
        <w:r>
          <w:rPr>
            <w:rStyle w:val="Hyperlink"/>
            <w:sz w:val="18"/>
            <w:szCs w:val="18"/>
          </w:rPr>
          <w:t>www.osce.org/odihr/73405?download=true</w:t>
        </w:r>
      </w:hyperlink>
      <w:r>
        <w:rPr>
          <w:sz w:val="18"/>
          <w:szCs w:val="18"/>
        </w:rPr>
        <w:t xml:space="preserve"> </w:t>
      </w:r>
    </w:p>
  </w:endnote>
  <w:endnote w:id="8">
    <w:p w14:paraId="49443015" w14:textId="56CA2B6B" w:rsidR="00670710" w:rsidRPr="001905EF" w:rsidRDefault="00670710">
      <w:pPr>
        <w:pStyle w:val="EndnoteText"/>
        <w:rPr>
          <w:sz w:val="18"/>
          <w:szCs w:val="18"/>
        </w:rPr>
      </w:pPr>
      <w:r>
        <w:rPr>
          <w:rStyle w:val="EndnoteReference"/>
          <w:sz w:val="18"/>
          <w:szCs w:val="18"/>
        </w:rPr>
        <w:endnoteRef/>
      </w:r>
      <w:r>
        <w:t xml:space="preserve"> </w:t>
      </w:r>
      <w:r>
        <w:rPr>
          <w:sz w:val="18"/>
          <w:szCs w:val="18"/>
        </w:rPr>
        <w:t>Cela pourrait inclure l'élaboration de documents d'orientation sur l'accessibilité de l'information pour toutes les parties prenantes concernées.</w:t>
      </w:r>
    </w:p>
  </w:endnote>
  <w:endnote w:id="9">
    <w:p w14:paraId="50C67177" w14:textId="77777777" w:rsidR="00212B15" w:rsidRPr="00530ADD" w:rsidRDefault="00212B15" w:rsidP="00212B15">
      <w:pPr>
        <w:pStyle w:val="EndnoteText"/>
      </w:pPr>
      <w:r>
        <w:rPr>
          <w:rStyle w:val="EndnoteReference"/>
        </w:rPr>
        <w:endnoteRef/>
      </w:r>
      <w:r>
        <w:t xml:space="preserve"> </w:t>
      </w:r>
      <w:r>
        <w:rPr>
          <w:sz w:val="18"/>
          <w:szCs w:val="18"/>
        </w:rPr>
        <w:t>Voir la Recommandation UIT-T H.702 décrivant les fonctions d'affichage des informations d'accessibilité telles que les sous-titres, la langue des signes et l'audiodescription.</w:t>
      </w:r>
    </w:p>
  </w:endnote>
  <w:endnote w:id="10">
    <w:p w14:paraId="26ADDAA6" w14:textId="1330A772" w:rsidR="00724E08" w:rsidRPr="00DD35DD" w:rsidRDefault="00E916B6" w:rsidP="00724E08">
      <w:pPr>
        <w:pStyle w:val="EndnoteText"/>
        <w:jc w:val="both"/>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w:t>
      </w:r>
      <w:r w:rsidR="007D3C1D">
        <w:rPr>
          <w:sz w:val="18"/>
          <w:szCs w:val="18"/>
        </w:rPr>
        <w:t xml:space="preserve">faire participer </w:t>
      </w:r>
      <w:r>
        <w:rPr>
          <w:sz w:val="18"/>
          <w:szCs w:val="18"/>
        </w:rPr>
        <w:t xml:space="preserve">les </w:t>
      </w:r>
      <w:r w:rsidR="007D3C1D">
        <w:rPr>
          <w:sz w:val="18"/>
          <w:szCs w:val="18"/>
        </w:rPr>
        <w:t>personnes handicapées</w:t>
      </w:r>
      <w:r>
        <w:rPr>
          <w:sz w:val="18"/>
          <w:szCs w:val="18"/>
        </w:rPr>
        <w:t xml:space="preserve"> dans les processus décisionnels liés aux questions qui les affectent directement ou indirectement conformément à l'article 4 (3) de la CDPH et à </w:t>
      </w:r>
      <w:hyperlink r:id="rId2" w:history="1">
        <w:r w:rsidRPr="00774E8D">
          <w:rPr>
            <w:rStyle w:val="Hyperlink"/>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76A9C7BA" w14:textId="77777777" w:rsidR="00724E08" w:rsidRPr="00DD35DD" w:rsidRDefault="00724E08" w:rsidP="00724E08">
      <w:pPr>
        <w:pStyle w:val="EndnoteText"/>
        <w:numPr>
          <w:ilvl w:val="0"/>
          <w:numId w:val="3"/>
        </w:numPr>
        <w:ind w:left="714" w:hanging="357"/>
        <w:contextualSpacing/>
        <w:rPr>
          <w:sz w:val="18"/>
          <w:szCs w:val="18"/>
        </w:rPr>
      </w:pPr>
      <w:r>
        <w:rPr>
          <w:sz w:val="18"/>
          <w:szCs w:val="18"/>
        </w:rPr>
        <w:t>veiller à ce que les processus de consultation soient transparents et accessibles ;</w:t>
      </w:r>
    </w:p>
    <w:p w14:paraId="6A6017F7" w14:textId="77777777" w:rsidR="00724E08" w:rsidRPr="00DD35DD" w:rsidRDefault="00724E08" w:rsidP="00724E08">
      <w:pPr>
        <w:pStyle w:val="EndnoteText"/>
        <w:numPr>
          <w:ilvl w:val="0"/>
          <w:numId w:val="3"/>
        </w:numPr>
        <w:ind w:left="714" w:hanging="357"/>
        <w:contextualSpacing/>
        <w:rPr>
          <w:sz w:val="18"/>
          <w:szCs w:val="18"/>
        </w:rPr>
      </w:pPr>
      <w:r>
        <w:rPr>
          <w:sz w:val="18"/>
          <w:szCs w:val="18"/>
        </w:rPr>
        <w:t>assurer la fourniture d'informations appropriées et accessibles ;</w:t>
      </w:r>
    </w:p>
    <w:p w14:paraId="03844011" w14:textId="23098BB8" w:rsidR="00724E08" w:rsidRPr="00DD35DD" w:rsidRDefault="00724E08" w:rsidP="00724E08">
      <w:pPr>
        <w:pStyle w:val="EndnoteText"/>
        <w:numPr>
          <w:ilvl w:val="0"/>
          <w:numId w:val="3"/>
        </w:numPr>
        <w:ind w:left="714" w:hanging="357"/>
        <w:contextualSpacing/>
        <w:rPr>
          <w:sz w:val="18"/>
          <w:szCs w:val="18"/>
        </w:rPr>
      </w:pPr>
      <w:r>
        <w:rPr>
          <w:sz w:val="18"/>
          <w:szCs w:val="18"/>
        </w:rPr>
        <w:t xml:space="preserve">ne pas retenir d'informations, conditionner ou empêcher les organisations de </w:t>
      </w:r>
      <w:r w:rsidR="007D3C1D">
        <w:rPr>
          <w:sz w:val="18"/>
          <w:szCs w:val="18"/>
        </w:rPr>
        <w:t>personnes handicapées</w:t>
      </w:r>
      <w:r>
        <w:rPr>
          <w:sz w:val="18"/>
          <w:szCs w:val="18"/>
        </w:rPr>
        <w:t xml:space="preserve"> d'exprimer librement leurs opinions ;</w:t>
      </w:r>
    </w:p>
    <w:p w14:paraId="232C8B70" w14:textId="77777777" w:rsidR="00724E08" w:rsidRDefault="00724E08" w:rsidP="00724E08">
      <w:pPr>
        <w:pStyle w:val="EndnoteText"/>
        <w:numPr>
          <w:ilvl w:val="0"/>
          <w:numId w:val="3"/>
        </w:numPr>
        <w:ind w:left="714" w:hanging="357"/>
        <w:contextualSpacing/>
        <w:rPr>
          <w:sz w:val="18"/>
          <w:szCs w:val="18"/>
        </w:rPr>
      </w:pPr>
      <w:r>
        <w:rPr>
          <w:sz w:val="18"/>
          <w:szCs w:val="18"/>
        </w:rPr>
        <w:t>inclure à la fois les organisations enregistrées et non enregistrées ;</w:t>
      </w:r>
    </w:p>
    <w:p w14:paraId="3565CAF4" w14:textId="4041D4AE" w:rsidR="00724E08" w:rsidRDefault="00724E08" w:rsidP="00724E08">
      <w:pPr>
        <w:pStyle w:val="EndnoteText"/>
        <w:numPr>
          <w:ilvl w:val="0"/>
          <w:numId w:val="3"/>
        </w:numPr>
        <w:ind w:left="714" w:hanging="357"/>
        <w:contextualSpacing/>
        <w:rPr>
          <w:sz w:val="18"/>
          <w:szCs w:val="18"/>
        </w:rPr>
      </w:pPr>
      <w:r>
        <w:rPr>
          <w:sz w:val="18"/>
          <w:szCs w:val="18"/>
        </w:rPr>
        <w:t xml:space="preserve">assurer une </w:t>
      </w:r>
      <w:r w:rsidR="007D3C1D">
        <w:rPr>
          <w:sz w:val="18"/>
          <w:szCs w:val="18"/>
        </w:rPr>
        <w:t xml:space="preserve">participation </w:t>
      </w:r>
      <w:r>
        <w:rPr>
          <w:sz w:val="18"/>
          <w:szCs w:val="18"/>
        </w:rPr>
        <w:t>précoce et continue ;</w:t>
      </w:r>
    </w:p>
    <w:p w14:paraId="1900A5FC" w14:textId="48EC6F24" w:rsidR="00724E08" w:rsidRPr="00724E08" w:rsidRDefault="00724E08" w:rsidP="00724E08">
      <w:pPr>
        <w:pStyle w:val="EndnoteText"/>
        <w:numPr>
          <w:ilvl w:val="0"/>
          <w:numId w:val="3"/>
        </w:numPr>
        <w:ind w:left="714" w:hanging="357"/>
        <w:contextualSpacing/>
        <w:rPr>
          <w:sz w:val="18"/>
          <w:szCs w:val="18"/>
        </w:rPr>
      </w:pPr>
      <w:r>
        <w:rPr>
          <w:sz w:val="18"/>
          <w:szCs w:val="18"/>
        </w:rPr>
        <w:t>couvrir les dépenses connexes des participants.</w:t>
      </w:r>
    </w:p>
    <w:p w14:paraId="67C51AEE" w14:textId="11535981" w:rsidR="00E916B6" w:rsidRPr="001905EF" w:rsidRDefault="00E916B6" w:rsidP="00E916B6">
      <w:pPr>
        <w:pStyle w:val="EndnoteTex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79BAE" w14:textId="77777777" w:rsidR="008A1259" w:rsidRDefault="008A1259" w:rsidP="00CA591E">
      <w:r>
        <w:separator/>
      </w:r>
    </w:p>
  </w:footnote>
  <w:footnote w:type="continuationSeparator" w:id="0">
    <w:p w14:paraId="694F1921" w14:textId="77777777" w:rsidR="008A1259" w:rsidRDefault="008A1259"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31682ADF"/>
    <w:multiLevelType w:val="hybridMultilevel"/>
    <w:tmpl w:val="42DC76C4"/>
    <w:lvl w:ilvl="0" w:tplc="A3AA44D0">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C7E0B"/>
    <w:multiLevelType w:val="hybridMultilevel"/>
    <w:tmpl w:val="77C41EC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9A7BDC"/>
    <w:multiLevelType w:val="hybridMultilevel"/>
    <w:tmpl w:val="26E44422"/>
    <w:lvl w:ilvl="0" w:tplc="5E50AA1A">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5"/>
  </w:num>
  <w:num w:numId="6">
    <w:abstractNumId w:val="10"/>
  </w:num>
  <w:num w:numId="7">
    <w:abstractNumId w:val="8"/>
  </w:num>
  <w:num w:numId="8">
    <w:abstractNumId w:val="1"/>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10501"/>
    <w:rsid w:val="000134AA"/>
    <w:rsid w:val="00020CD8"/>
    <w:rsid w:val="000241DD"/>
    <w:rsid w:val="00026CE2"/>
    <w:rsid w:val="00050711"/>
    <w:rsid w:val="0005219A"/>
    <w:rsid w:val="00057593"/>
    <w:rsid w:val="00063173"/>
    <w:rsid w:val="000652FA"/>
    <w:rsid w:val="000720D9"/>
    <w:rsid w:val="000726B3"/>
    <w:rsid w:val="00087978"/>
    <w:rsid w:val="000A25BC"/>
    <w:rsid w:val="000A76BA"/>
    <w:rsid w:val="000B3868"/>
    <w:rsid w:val="00101BAD"/>
    <w:rsid w:val="001030AE"/>
    <w:rsid w:val="001124CC"/>
    <w:rsid w:val="001143E6"/>
    <w:rsid w:val="00121ED4"/>
    <w:rsid w:val="00123EDB"/>
    <w:rsid w:val="001423A3"/>
    <w:rsid w:val="00167016"/>
    <w:rsid w:val="00167E3A"/>
    <w:rsid w:val="0017378D"/>
    <w:rsid w:val="0017443D"/>
    <w:rsid w:val="00187B3E"/>
    <w:rsid w:val="001905EF"/>
    <w:rsid w:val="00195062"/>
    <w:rsid w:val="001C1843"/>
    <w:rsid w:val="001E7EA3"/>
    <w:rsid w:val="001F0088"/>
    <w:rsid w:val="001F4273"/>
    <w:rsid w:val="00202A8A"/>
    <w:rsid w:val="00203E7D"/>
    <w:rsid w:val="00211B8B"/>
    <w:rsid w:val="00212B15"/>
    <w:rsid w:val="0022085D"/>
    <w:rsid w:val="0022312E"/>
    <w:rsid w:val="002304CD"/>
    <w:rsid w:val="00240F47"/>
    <w:rsid w:val="00253769"/>
    <w:rsid w:val="00255E20"/>
    <w:rsid w:val="002579F5"/>
    <w:rsid w:val="00264909"/>
    <w:rsid w:val="002671D8"/>
    <w:rsid w:val="002773AC"/>
    <w:rsid w:val="002836A9"/>
    <w:rsid w:val="002C3801"/>
    <w:rsid w:val="002C6574"/>
    <w:rsid w:val="002D3D29"/>
    <w:rsid w:val="002D5457"/>
    <w:rsid w:val="002F108D"/>
    <w:rsid w:val="002F45D6"/>
    <w:rsid w:val="00301AE4"/>
    <w:rsid w:val="00307F27"/>
    <w:rsid w:val="003106B0"/>
    <w:rsid w:val="00310B42"/>
    <w:rsid w:val="00317267"/>
    <w:rsid w:val="003301F5"/>
    <w:rsid w:val="00335FE8"/>
    <w:rsid w:val="0033655A"/>
    <w:rsid w:val="00340132"/>
    <w:rsid w:val="003448E7"/>
    <w:rsid w:val="00346DAD"/>
    <w:rsid w:val="0036303D"/>
    <w:rsid w:val="003718CF"/>
    <w:rsid w:val="003759C9"/>
    <w:rsid w:val="00381775"/>
    <w:rsid w:val="003A4DB1"/>
    <w:rsid w:val="003A712F"/>
    <w:rsid w:val="003B15A4"/>
    <w:rsid w:val="003B5601"/>
    <w:rsid w:val="003E7407"/>
    <w:rsid w:val="00401880"/>
    <w:rsid w:val="0040765F"/>
    <w:rsid w:val="004149FE"/>
    <w:rsid w:val="004164A5"/>
    <w:rsid w:val="0045550D"/>
    <w:rsid w:val="00461CF2"/>
    <w:rsid w:val="0046687E"/>
    <w:rsid w:val="00493D30"/>
    <w:rsid w:val="00495F18"/>
    <w:rsid w:val="0049767B"/>
    <w:rsid w:val="004A22A0"/>
    <w:rsid w:val="004A42A4"/>
    <w:rsid w:val="004A7DC7"/>
    <w:rsid w:val="004C3801"/>
    <w:rsid w:val="004E592B"/>
    <w:rsid w:val="004F0EC0"/>
    <w:rsid w:val="0050205F"/>
    <w:rsid w:val="0051360A"/>
    <w:rsid w:val="00520491"/>
    <w:rsid w:val="00532EBD"/>
    <w:rsid w:val="00542870"/>
    <w:rsid w:val="00567587"/>
    <w:rsid w:val="005676AC"/>
    <w:rsid w:val="00580067"/>
    <w:rsid w:val="005848D2"/>
    <w:rsid w:val="005877AA"/>
    <w:rsid w:val="00591F62"/>
    <w:rsid w:val="005970C3"/>
    <w:rsid w:val="005A3363"/>
    <w:rsid w:val="005B0200"/>
    <w:rsid w:val="005B2EC5"/>
    <w:rsid w:val="005B3669"/>
    <w:rsid w:val="005F266C"/>
    <w:rsid w:val="005F4EC8"/>
    <w:rsid w:val="005F5B19"/>
    <w:rsid w:val="0060075A"/>
    <w:rsid w:val="00607517"/>
    <w:rsid w:val="006079DF"/>
    <w:rsid w:val="00626D6B"/>
    <w:rsid w:val="006362B7"/>
    <w:rsid w:val="00646403"/>
    <w:rsid w:val="0065051C"/>
    <w:rsid w:val="006519A4"/>
    <w:rsid w:val="0066569D"/>
    <w:rsid w:val="00670710"/>
    <w:rsid w:val="00670FAB"/>
    <w:rsid w:val="00672036"/>
    <w:rsid w:val="0068399E"/>
    <w:rsid w:val="00685CF4"/>
    <w:rsid w:val="0069027B"/>
    <w:rsid w:val="006951F9"/>
    <w:rsid w:val="00696FC9"/>
    <w:rsid w:val="006A17F3"/>
    <w:rsid w:val="006A6733"/>
    <w:rsid w:val="006A6FCB"/>
    <w:rsid w:val="006B3FE4"/>
    <w:rsid w:val="006B5CDD"/>
    <w:rsid w:val="006C49A3"/>
    <w:rsid w:val="006C5832"/>
    <w:rsid w:val="006D1DB5"/>
    <w:rsid w:val="006D49BD"/>
    <w:rsid w:val="006D5AC3"/>
    <w:rsid w:val="006E1029"/>
    <w:rsid w:val="006F7AAC"/>
    <w:rsid w:val="0070160D"/>
    <w:rsid w:val="00702448"/>
    <w:rsid w:val="00705361"/>
    <w:rsid w:val="007070D2"/>
    <w:rsid w:val="0071032C"/>
    <w:rsid w:val="0072068D"/>
    <w:rsid w:val="00724E08"/>
    <w:rsid w:val="0073477D"/>
    <w:rsid w:val="00736A44"/>
    <w:rsid w:val="00743EEA"/>
    <w:rsid w:val="007457D0"/>
    <w:rsid w:val="007472F1"/>
    <w:rsid w:val="007529CC"/>
    <w:rsid w:val="00760003"/>
    <w:rsid w:val="00763C2F"/>
    <w:rsid w:val="007647CF"/>
    <w:rsid w:val="00766B7C"/>
    <w:rsid w:val="00773555"/>
    <w:rsid w:val="00774E8D"/>
    <w:rsid w:val="00790624"/>
    <w:rsid w:val="00792C5D"/>
    <w:rsid w:val="00797920"/>
    <w:rsid w:val="007A7D05"/>
    <w:rsid w:val="007B3BE1"/>
    <w:rsid w:val="007C141B"/>
    <w:rsid w:val="007C2DCA"/>
    <w:rsid w:val="007C5ED4"/>
    <w:rsid w:val="007D0E4D"/>
    <w:rsid w:val="007D3C1D"/>
    <w:rsid w:val="007D4548"/>
    <w:rsid w:val="007D6242"/>
    <w:rsid w:val="007E4AF5"/>
    <w:rsid w:val="007F0393"/>
    <w:rsid w:val="00813049"/>
    <w:rsid w:val="00823FA2"/>
    <w:rsid w:val="008345F5"/>
    <w:rsid w:val="00835340"/>
    <w:rsid w:val="00841566"/>
    <w:rsid w:val="008434A9"/>
    <w:rsid w:val="00855C26"/>
    <w:rsid w:val="00856ED6"/>
    <w:rsid w:val="008661A6"/>
    <w:rsid w:val="00875318"/>
    <w:rsid w:val="00884F8C"/>
    <w:rsid w:val="008858A7"/>
    <w:rsid w:val="00892F6E"/>
    <w:rsid w:val="0089365A"/>
    <w:rsid w:val="00893A92"/>
    <w:rsid w:val="008A1259"/>
    <w:rsid w:val="008A30C7"/>
    <w:rsid w:val="008D2892"/>
    <w:rsid w:val="008D5B01"/>
    <w:rsid w:val="008E15CB"/>
    <w:rsid w:val="008E6798"/>
    <w:rsid w:val="0091529D"/>
    <w:rsid w:val="009159FD"/>
    <w:rsid w:val="00921842"/>
    <w:rsid w:val="0092368C"/>
    <w:rsid w:val="009368D1"/>
    <w:rsid w:val="0095075F"/>
    <w:rsid w:val="00952259"/>
    <w:rsid w:val="009545E1"/>
    <w:rsid w:val="00964A5B"/>
    <w:rsid w:val="0096663D"/>
    <w:rsid w:val="00966F2E"/>
    <w:rsid w:val="0097758C"/>
    <w:rsid w:val="009813DF"/>
    <w:rsid w:val="009A4374"/>
    <w:rsid w:val="009A6799"/>
    <w:rsid w:val="009A7F64"/>
    <w:rsid w:val="009B0C95"/>
    <w:rsid w:val="009C7747"/>
    <w:rsid w:val="009D55EF"/>
    <w:rsid w:val="009D6367"/>
    <w:rsid w:val="009E1074"/>
    <w:rsid w:val="009F5C12"/>
    <w:rsid w:val="009F6E73"/>
    <w:rsid w:val="009F7221"/>
    <w:rsid w:val="009F7D61"/>
    <w:rsid w:val="00A0067F"/>
    <w:rsid w:val="00A00F11"/>
    <w:rsid w:val="00A36716"/>
    <w:rsid w:val="00A40B7A"/>
    <w:rsid w:val="00A42C44"/>
    <w:rsid w:val="00A60E07"/>
    <w:rsid w:val="00A94678"/>
    <w:rsid w:val="00AA54B8"/>
    <w:rsid w:val="00AB045F"/>
    <w:rsid w:val="00AC03AB"/>
    <w:rsid w:val="00AD3349"/>
    <w:rsid w:val="00AE00B9"/>
    <w:rsid w:val="00AE0211"/>
    <w:rsid w:val="00B00AA5"/>
    <w:rsid w:val="00B03396"/>
    <w:rsid w:val="00B03486"/>
    <w:rsid w:val="00B37BE0"/>
    <w:rsid w:val="00B4198C"/>
    <w:rsid w:val="00B60E8F"/>
    <w:rsid w:val="00B81812"/>
    <w:rsid w:val="00BA1D22"/>
    <w:rsid w:val="00BA22F4"/>
    <w:rsid w:val="00BB1098"/>
    <w:rsid w:val="00BB1A2C"/>
    <w:rsid w:val="00BB4CB4"/>
    <w:rsid w:val="00BC022E"/>
    <w:rsid w:val="00BC0719"/>
    <w:rsid w:val="00BD663E"/>
    <w:rsid w:val="00BF276B"/>
    <w:rsid w:val="00BF77C3"/>
    <w:rsid w:val="00C00627"/>
    <w:rsid w:val="00C02BC2"/>
    <w:rsid w:val="00C10220"/>
    <w:rsid w:val="00C12132"/>
    <w:rsid w:val="00C2125B"/>
    <w:rsid w:val="00C24776"/>
    <w:rsid w:val="00C446D5"/>
    <w:rsid w:val="00C4598B"/>
    <w:rsid w:val="00C51F20"/>
    <w:rsid w:val="00C52159"/>
    <w:rsid w:val="00C541CC"/>
    <w:rsid w:val="00C563EB"/>
    <w:rsid w:val="00C708A5"/>
    <w:rsid w:val="00C721CD"/>
    <w:rsid w:val="00C922BF"/>
    <w:rsid w:val="00C92A6B"/>
    <w:rsid w:val="00CA0ACC"/>
    <w:rsid w:val="00CA591E"/>
    <w:rsid w:val="00CB031F"/>
    <w:rsid w:val="00CB6A32"/>
    <w:rsid w:val="00CC3522"/>
    <w:rsid w:val="00CC788A"/>
    <w:rsid w:val="00CD4A47"/>
    <w:rsid w:val="00CD4CE2"/>
    <w:rsid w:val="00CF20D7"/>
    <w:rsid w:val="00D00375"/>
    <w:rsid w:val="00D01F95"/>
    <w:rsid w:val="00D13F5B"/>
    <w:rsid w:val="00D167E3"/>
    <w:rsid w:val="00D418DC"/>
    <w:rsid w:val="00D5408E"/>
    <w:rsid w:val="00D77EDC"/>
    <w:rsid w:val="00D80803"/>
    <w:rsid w:val="00D90E21"/>
    <w:rsid w:val="00D911DD"/>
    <w:rsid w:val="00DA5A6A"/>
    <w:rsid w:val="00DC6868"/>
    <w:rsid w:val="00DD2A83"/>
    <w:rsid w:val="00DE431B"/>
    <w:rsid w:val="00DE4B64"/>
    <w:rsid w:val="00E15075"/>
    <w:rsid w:val="00E232CB"/>
    <w:rsid w:val="00E27296"/>
    <w:rsid w:val="00E27806"/>
    <w:rsid w:val="00E31AF2"/>
    <w:rsid w:val="00E32612"/>
    <w:rsid w:val="00E37407"/>
    <w:rsid w:val="00E450C3"/>
    <w:rsid w:val="00E50CD7"/>
    <w:rsid w:val="00E608B7"/>
    <w:rsid w:val="00E64E57"/>
    <w:rsid w:val="00E65C6D"/>
    <w:rsid w:val="00E80676"/>
    <w:rsid w:val="00E90CD1"/>
    <w:rsid w:val="00E916B6"/>
    <w:rsid w:val="00E96C21"/>
    <w:rsid w:val="00EB3E70"/>
    <w:rsid w:val="00EB525B"/>
    <w:rsid w:val="00EB7399"/>
    <w:rsid w:val="00EC0D4A"/>
    <w:rsid w:val="00ED2C1C"/>
    <w:rsid w:val="00ED42B0"/>
    <w:rsid w:val="00ED5AE5"/>
    <w:rsid w:val="00EE255D"/>
    <w:rsid w:val="00EE2963"/>
    <w:rsid w:val="00EE4AB0"/>
    <w:rsid w:val="00EE5CFE"/>
    <w:rsid w:val="00EF207E"/>
    <w:rsid w:val="00EF265F"/>
    <w:rsid w:val="00EF345A"/>
    <w:rsid w:val="00EF73AB"/>
    <w:rsid w:val="00F05557"/>
    <w:rsid w:val="00F63625"/>
    <w:rsid w:val="00F63CBD"/>
    <w:rsid w:val="00F77E96"/>
    <w:rsid w:val="00F97690"/>
    <w:rsid w:val="00FA3A81"/>
    <w:rsid w:val="00FB1E78"/>
    <w:rsid w:val="00FB2C29"/>
    <w:rsid w:val="00FB33D1"/>
    <w:rsid w:val="00FD39D7"/>
    <w:rsid w:val="00FD6238"/>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CA591E"/>
    <w:rPr>
      <w:sz w:val="20"/>
      <w:szCs w:val="20"/>
    </w:rPr>
  </w:style>
  <w:style w:type="character" w:customStyle="1" w:styleId="FootnoteTextChar">
    <w:name w:val="Footnote Text Char"/>
    <w:basedOn w:val="DefaultParagraphFont"/>
    <w:link w:val="FootnoteText"/>
    <w:uiPriority w:val="99"/>
    <w:semiHidden/>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semiHidden/>
    <w:unhideWhenUsed/>
    <w:rsid w:val="00DE431B"/>
    <w:pPr>
      <w:spacing w:after="200"/>
    </w:pPr>
    <w:rPr>
      <w:sz w:val="20"/>
      <w:szCs w:val="20"/>
    </w:rPr>
  </w:style>
  <w:style w:type="character" w:customStyle="1" w:styleId="CommentTextChar">
    <w:name w:val="Comment Text Char"/>
    <w:basedOn w:val="DefaultParagraphFont"/>
    <w:link w:val="CommentText"/>
    <w:uiPriority w:val="99"/>
    <w:semiHidden/>
    <w:rsid w:val="00DE431B"/>
    <w:rPr>
      <w:sz w:val="20"/>
      <w:szCs w:val="20"/>
      <w:lang w:val="fr-FR"/>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fr-FR"/>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paragraph" w:styleId="Header">
    <w:name w:val="header"/>
    <w:basedOn w:val="Normal"/>
    <w:link w:val="HeaderChar"/>
    <w:uiPriority w:val="99"/>
    <w:unhideWhenUsed/>
    <w:rsid w:val="0071032C"/>
    <w:pPr>
      <w:tabs>
        <w:tab w:val="center" w:pos="4513"/>
        <w:tab w:val="right" w:pos="9026"/>
      </w:tabs>
    </w:pPr>
  </w:style>
  <w:style w:type="character" w:customStyle="1" w:styleId="HeaderChar">
    <w:name w:val="Header Char"/>
    <w:basedOn w:val="DefaultParagraphFont"/>
    <w:link w:val="Header"/>
    <w:uiPriority w:val="99"/>
    <w:rsid w:val="0071032C"/>
  </w:style>
  <w:style w:type="paragraph" w:styleId="Footer">
    <w:name w:val="footer"/>
    <w:basedOn w:val="Normal"/>
    <w:link w:val="FooterChar"/>
    <w:uiPriority w:val="99"/>
    <w:unhideWhenUsed/>
    <w:rsid w:val="0071032C"/>
    <w:pPr>
      <w:tabs>
        <w:tab w:val="center" w:pos="4513"/>
        <w:tab w:val="right" w:pos="9026"/>
      </w:tabs>
    </w:pPr>
  </w:style>
  <w:style w:type="character" w:customStyle="1" w:styleId="FooterChar">
    <w:name w:val="Footer Char"/>
    <w:basedOn w:val="DefaultParagraphFont"/>
    <w:link w:val="Footer"/>
    <w:uiPriority w:val="99"/>
    <w:rsid w:val="0071032C"/>
  </w:style>
  <w:style w:type="character" w:styleId="FollowedHyperlink">
    <w:name w:val="FollowedHyperlink"/>
    <w:basedOn w:val="DefaultParagraphFont"/>
    <w:uiPriority w:val="99"/>
    <w:semiHidden/>
    <w:unhideWhenUsed/>
    <w:rsid w:val="00C12132"/>
    <w:rPr>
      <w:color w:val="954F72" w:themeColor="followedHyperlink"/>
      <w:u w:val="single"/>
    </w:rPr>
  </w:style>
  <w:style w:type="character" w:customStyle="1" w:styleId="highlight">
    <w:name w:val="highlight"/>
    <w:basedOn w:val="DefaultParagraphFont"/>
    <w:rsid w:val="00CC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81808">
      <w:bodyDiv w:val="1"/>
      <w:marLeft w:val="0"/>
      <w:marRight w:val="0"/>
      <w:marTop w:val="0"/>
      <w:marBottom w:val="0"/>
      <w:divBdr>
        <w:top w:val="none" w:sz="0" w:space="0" w:color="auto"/>
        <w:left w:val="none" w:sz="0" w:space="0" w:color="auto"/>
        <w:bottom w:val="none" w:sz="0" w:space="0" w:color="auto"/>
        <w:right w:val="none" w:sz="0" w:space="0" w:color="auto"/>
      </w:divBdr>
      <w:divsChild>
        <w:div w:id="1256206285">
          <w:marLeft w:val="0"/>
          <w:marRight w:val="0"/>
          <w:marTop w:val="0"/>
          <w:marBottom w:val="0"/>
          <w:divBdr>
            <w:top w:val="none" w:sz="0" w:space="0" w:color="auto"/>
            <w:left w:val="none" w:sz="0" w:space="0" w:color="auto"/>
            <w:bottom w:val="none" w:sz="0" w:space="0" w:color="auto"/>
            <w:right w:val="none" w:sz="0" w:space="0" w:color="auto"/>
          </w:divBdr>
        </w:div>
        <w:div w:id="1767917460">
          <w:marLeft w:val="0"/>
          <w:marRight w:val="0"/>
          <w:marTop w:val="0"/>
          <w:marBottom w:val="0"/>
          <w:divBdr>
            <w:top w:val="none" w:sz="0" w:space="0" w:color="auto"/>
            <w:left w:val="none" w:sz="0" w:space="0" w:color="auto"/>
            <w:bottom w:val="none" w:sz="0" w:space="0" w:color="auto"/>
            <w:right w:val="none" w:sz="0" w:space="0" w:color="auto"/>
          </w:divBdr>
        </w:div>
        <w:div w:id="646012873">
          <w:marLeft w:val="0"/>
          <w:marRight w:val="0"/>
          <w:marTop w:val="0"/>
          <w:marBottom w:val="0"/>
          <w:divBdr>
            <w:top w:val="none" w:sz="0" w:space="0" w:color="auto"/>
            <w:left w:val="none" w:sz="0" w:space="0" w:color="auto"/>
            <w:bottom w:val="none" w:sz="0" w:space="0" w:color="auto"/>
            <w:right w:val="none" w:sz="0" w:space="0" w:color="auto"/>
          </w:divBdr>
        </w:div>
        <w:div w:id="1138689627">
          <w:marLeft w:val="0"/>
          <w:marRight w:val="0"/>
          <w:marTop w:val="0"/>
          <w:marBottom w:val="0"/>
          <w:divBdr>
            <w:top w:val="none" w:sz="0" w:space="0" w:color="auto"/>
            <w:left w:val="none" w:sz="0" w:space="0" w:color="auto"/>
            <w:bottom w:val="none" w:sz="0" w:space="0" w:color="auto"/>
            <w:right w:val="none" w:sz="0" w:space="0" w:color="auto"/>
          </w:divBdr>
        </w:div>
        <w:div w:id="1683238767">
          <w:marLeft w:val="0"/>
          <w:marRight w:val="0"/>
          <w:marTop w:val="0"/>
          <w:marBottom w:val="0"/>
          <w:divBdr>
            <w:top w:val="none" w:sz="0" w:space="0" w:color="auto"/>
            <w:left w:val="none" w:sz="0" w:space="0" w:color="auto"/>
            <w:bottom w:val="none" w:sz="0" w:space="0" w:color="auto"/>
            <w:right w:val="none" w:sz="0" w:space="0" w:color="auto"/>
          </w:divBdr>
        </w:div>
        <w:div w:id="1130829157">
          <w:marLeft w:val="0"/>
          <w:marRight w:val="0"/>
          <w:marTop w:val="0"/>
          <w:marBottom w:val="0"/>
          <w:divBdr>
            <w:top w:val="none" w:sz="0" w:space="0" w:color="auto"/>
            <w:left w:val="none" w:sz="0" w:space="0" w:color="auto"/>
            <w:bottom w:val="none" w:sz="0" w:space="0" w:color="auto"/>
            <w:right w:val="none" w:sz="0" w:space="0" w:color="auto"/>
          </w:divBdr>
        </w:div>
        <w:div w:id="1465349616">
          <w:marLeft w:val="0"/>
          <w:marRight w:val="0"/>
          <w:marTop w:val="0"/>
          <w:marBottom w:val="0"/>
          <w:divBdr>
            <w:top w:val="none" w:sz="0" w:space="0" w:color="auto"/>
            <w:left w:val="none" w:sz="0" w:space="0" w:color="auto"/>
            <w:bottom w:val="none" w:sz="0" w:space="0" w:color="auto"/>
            <w:right w:val="none" w:sz="0" w:space="0" w:color="auto"/>
          </w:divBdr>
        </w:div>
        <w:div w:id="439763245">
          <w:marLeft w:val="0"/>
          <w:marRight w:val="0"/>
          <w:marTop w:val="0"/>
          <w:marBottom w:val="0"/>
          <w:divBdr>
            <w:top w:val="none" w:sz="0" w:space="0" w:color="auto"/>
            <w:left w:val="none" w:sz="0" w:space="0" w:color="auto"/>
            <w:bottom w:val="none" w:sz="0" w:space="0" w:color="auto"/>
            <w:right w:val="none" w:sz="0" w:space="0" w:color="auto"/>
          </w:divBdr>
        </w:div>
        <w:div w:id="114980480">
          <w:marLeft w:val="0"/>
          <w:marRight w:val="0"/>
          <w:marTop w:val="0"/>
          <w:marBottom w:val="0"/>
          <w:divBdr>
            <w:top w:val="none" w:sz="0" w:space="0" w:color="auto"/>
            <w:left w:val="none" w:sz="0" w:space="0" w:color="auto"/>
            <w:bottom w:val="none" w:sz="0" w:space="0" w:color="auto"/>
            <w:right w:val="none" w:sz="0" w:space="0" w:color="auto"/>
          </w:divBdr>
        </w:div>
        <w:div w:id="1142424021">
          <w:marLeft w:val="0"/>
          <w:marRight w:val="0"/>
          <w:marTop w:val="0"/>
          <w:marBottom w:val="0"/>
          <w:divBdr>
            <w:top w:val="none" w:sz="0" w:space="0" w:color="auto"/>
            <w:left w:val="none" w:sz="0" w:space="0" w:color="auto"/>
            <w:bottom w:val="none" w:sz="0" w:space="0" w:color="auto"/>
            <w:right w:val="none" w:sz="0" w:space="0" w:color="auto"/>
          </w:divBdr>
        </w:div>
        <w:div w:id="1325469421">
          <w:marLeft w:val="0"/>
          <w:marRight w:val="0"/>
          <w:marTop w:val="0"/>
          <w:marBottom w:val="0"/>
          <w:divBdr>
            <w:top w:val="none" w:sz="0" w:space="0" w:color="auto"/>
            <w:left w:val="none" w:sz="0" w:space="0" w:color="auto"/>
            <w:bottom w:val="none" w:sz="0" w:space="0" w:color="auto"/>
            <w:right w:val="none" w:sz="0" w:space="0" w:color="auto"/>
          </w:divBdr>
        </w:div>
      </w:divsChild>
    </w:div>
    <w:div w:id="1349792932">
      <w:bodyDiv w:val="1"/>
      <w:marLeft w:val="0"/>
      <w:marRight w:val="0"/>
      <w:marTop w:val="0"/>
      <w:marBottom w:val="0"/>
      <w:divBdr>
        <w:top w:val="none" w:sz="0" w:space="0" w:color="auto"/>
        <w:left w:val="none" w:sz="0" w:space="0" w:color="auto"/>
        <w:bottom w:val="none" w:sz="0" w:space="0" w:color="auto"/>
        <w:right w:val="none" w:sz="0" w:space="0" w:color="auto"/>
      </w:divBdr>
      <w:divsChild>
        <w:div w:id="1618021689">
          <w:marLeft w:val="0"/>
          <w:marRight w:val="0"/>
          <w:marTop w:val="0"/>
          <w:marBottom w:val="0"/>
          <w:divBdr>
            <w:top w:val="none" w:sz="0" w:space="0" w:color="auto"/>
            <w:left w:val="none" w:sz="0" w:space="0" w:color="auto"/>
            <w:bottom w:val="none" w:sz="0" w:space="0" w:color="auto"/>
            <w:right w:val="none" w:sz="0" w:space="0" w:color="auto"/>
          </w:divBdr>
        </w:div>
        <w:div w:id="1094664590">
          <w:marLeft w:val="0"/>
          <w:marRight w:val="0"/>
          <w:marTop w:val="0"/>
          <w:marBottom w:val="0"/>
          <w:divBdr>
            <w:top w:val="none" w:sz="0" w:space="0" w:color="auto"/>
            <w:left w:val="none" w:sz="0" w:space="0" w:color="auto"/>
            <w:bottom w:val="none" w:sz="0" w:space="0" w:color="auto"/>
            <w:right w:val="none" w:sz="0" w:space="0" w:color="auto"/>
          </w:divBdr>
        </w:div>
        <w:div w:id="1916016553">
          <w:marLeft w:val="0"/>
          <w:marRight w:val="0"/>
          <w:marTop w:val="0"/>
          <w:marBottom w:val="0"/>
          <w:divBdr>
            <w:top w:val="none" w:sz="0" w:space="0" w:color="auto"/>
            <w:left w:val="none" w:sz="0" w:space="0" w:color="auto"/>
            <w:bottom w:val="none" w:sz="0" w:space="0" w:color="auto"/>
            <w:right w:val="none" w:sz="0" w:space="0" w:color="auto"/>
          </w:divBdr>
        </w:div>
        <w:div w:id="1286305434">
          <w:marLeft w:val="0"/>
          <w:marRight w:val="0"/>
          <w:marTop w:val="0"/>
          <w:marBottom w:val="0"/>
          <w:divBdr>
            <w:top w:val="none" w:sz="0" w:space="0" w:color="auto"/>
            <w:left w:val="none" w:sz="0" w:space="0" w:color="auto"/>
            <w:bottom w:val="none" w:sz="0" w:space="0" w:color="auto"/>
            <w:right w:val="none" w:sz="0" w:space="0" w:color="auto"/>
          </w:divBdr>
        </w:div>
        <w:div w:id="702367691">
          <w:marLeft w:val="0"/>
          <w:marRight w:val="0"/>
          <w:marTop w:val="0"/>
          <w:marBottom w:val="0"/>
          <w:divBdr>
            <w:top w:val="none" w:sz="0" w:space="0" w:color="auto"/>
            <w:left w:val="none" w:sz="0" w:space="0" w:color="auto"/>
            <w:bottom w:val="none" w:sz="0" w:space="0" w:color="auto"/>
            <w:right w:val="none" w:sz="0" w:space="0" w:color="auto"/>
          </w:divBdr>
        </w:div>
        <w:div w:id="1303123553">
          <w:marLeft w:val="0"/>
          <w:marRight w:val="0"/>
          <w:marTop w:val="0"/>
          <w:marBottom w:val="0"/>
          <w:divBdr>
            <w:top w:val="none" w:sz="0" w:space="0" w:color="auto"/>
            <w:left w:val="none" w:sz="0" w:space="0" w:color="auto"/>
            <w:bottom w:val="none" w:sz="0" w:space="0" w:color="auto"/>
            <w:right w:val="none" w:sz="0" w:space="0" w:color="auto"/>
          </w:divBdr>
        </w:div>
        <w:div w:id="540827023">
          <w:marLeft w:val="0"/>
          <w:marRight w:val="0"/>
          <w:marTop w:val="0"/>
          <w:marBottom w:val="0"/>
          <w:divBdr>
            <w:top w:val="none" w:sz="0" w:space="0" w:color="auto"/>
            <w:left w:val="none" w:sz="0" w:space="0" w:color="auto"/>
            <w:bottom w:val="none" w:sz="0" w:space="0" w:color="auto"/>
            <w:right w:val="none" w:sz="0" w:space="0" w:color="auto"/>
          </w:divBdr>
        </w:div>
      </w:divsChild>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1924872721">
      <w:bodyDiv w:val="1"/>
      <w:marLeft w:val="0"/>
      <w:marRight w:val="0"/>
      <w:marTop w:val="0"/>
      <w:marBottom w:val="0"/>
      <w:divBdr>
        <w:top w:val="none" w:sz="0" w:space="0" w:color="auto"/>
        <w:left w:val="none" w:sz="0" w:space="0" w:color="auto"/>
        <w:bottom w:val="none" w:sz="0" w:space="0" w:color="auto"/>
        <w:right w:val="none" w:sz="0" w:space="0" w:color="auto"/>
      </w:divBdr>
      <w:divsChild>
        <w:div w:id="1988195108">
          <w:marLeft w:val="0"/>
          <w:marRight w:val="0"/>
          <w:marTop w:val="0"/>
          <w:marBottom w:val="0"/>
          <w:divBdr>
            <w:top w:val="none" w:sz="0" w:space="0" w:color="auto"/>
            <w:left w:val="none" w:sz="0" w:space="0" w:color="auto"/>
            <w:bottom w:val="none" w:sz="0" w:space="0" w:color="auto"/>
            <w:right w:val="none" w:sz="0" w:space="0" w:color="auto"/>
          </w:divBdr>
        </w:div>
        <w:div w:id="1132869686">
          <w:marLeft w:val="0"/>
          <w:marRight w:val="0"/>
          <w:marTop w:val="0"/>
          <w:marBottom w:val="0"/>
          <w:divBdr>
            <w:top w:val="none" w:sz="0" w:space="0" w:color="auto"/>
            <w:left w:val="none" w:sz="0" w:space="0" w:color="auto"/>
            <w:bottom w:val="none" w:sz="0" w:space="0" w:color="auto"/>
            <w:right w:val="none" w:sz="0" w:space="0" w:color="auto"/>
          </w:divBdr>
        </w:div>
        <w:div w:id="327439571">
          <w:marLeft w:val="0"/>
          <w:marRight w:val="0"/>
          <w:marTop w:val="0"/>
          <w:marBottom w:val="0"/>
          <w:divBdr>
            <w:top w:val="none" w:sz="0" w:space="0" w:color="auto"/>
            <w:left w:val="none" w:sz="0" w:space="0" w:color="auto"/>
            <w:bottom w:val="none" w:sz="0" w:space="0" w:color="auto"/>
            <w:right w:val="none" w:sz="0" w:space="0" w:color="auto"/>
          </w:divBdr>
        </w:div>
        <w:div w:id="1435175772">
          <w:marLeft w:val="0"/>
          <w:marRight w:val="0"/>
          <w:marTop w:val="0"/>
          <w:marBottom w:val="0"/>
          <w:divBdr>
            <w:top w:val="none" w:sz="0" w:space="0" w:color="auto"/>
            <w:left w:val="none" w:sz="0" w:space="0" w:color="auto"/>
            <w:bottom w:val="none" w:sz="0" w:space="0" w:color="auto"/>
            <w:right w:val="none" w:sz="0" w:space="0" w:color="auto"/>
          </w:divBdr>
        </w:div>
        <w:div w:id="1567449575">
          <w:marLeft w:val="0"/>
          <w:marRight w:val="0"/>
          <w:marTop w:val="0"/>
          <w:marBottom w:val="0"/>
          <w:divBdr>
            <w:top w:val="none" w:sz="0" w:space="0" w:color="auto"/>
            <w:left w:val="none" w:sz="0" w:space="0" w:color="auto"/>
            <w:bottom w:val="none" w:sz="0" w:space="0" w:color="auto"/>
            <w:right w:val="none" w:sz="0" w:space="0" w:color="auto"/>
          </w:divBdr>
        </w:div>
        <w:div w:id="1990403972">
          <w:marLeft w:val="0"/>
          <w:marRight w:val="0"/>
          <w:marTop w:val="0"/>
          <w:marBottom w:val="0"/>
          <w:divBdr>
            <w:top w:val="none" w:sz="0" w:space="0" w:color="auto"/>
            <w:left w:val="none" w:sz="0" w:space="0" w:color="auto"/>
            <w:bottom w:val="none" w:sz="0" w:space="0" w:color="auto"/>
            <w:right w:val="none" w:sz="0" w:space="0" w:color="auto"/>
          </w:divBdr>
        </w:div>
        <w:div w:id="14233690">
          <w:marLeft w:val="0"/>
          <w:marRight w:val="0"/>
          <w:marTop w:val="0"/>
          <w:marBottom w:val="0"/>
          <w:divBdr>
            <w:top w:val="none" w:sz="0" w:space="0" w:color="auto"/>
            <w:left w:val="none" w:sz="0" w:space="0" w:color="auto"/>
            <w:bottom w:val="none" w:sz="0" w:space="0" w:color="auto"/>
            <w:right w:val="none" w:sz="0" w:space="0" w:color="auto"/>
          </w:divBdr>
        </w:div>
        <w:div w:id="2132048379">
          <w:marLeft w:val="0"/>
          <w:marRight w:val="0"/>
          <w:marTop w:val="0"/>
          <w:marBottom w:val="0"/>
          <w:divBdr>
            <w:top w:val="none" w:sz="0" w:space="0" w:color="auto"/>
            <w:left w:val="none" w:sz="0" w:space="0" w:color="auto"/>
            <w:bottom w:val="none" w:sz="0" w:space="0" w:color="auto"/>
            <w:right w:val="none" w:sz="0" w:space="0" w:color="auto"/>
          </w:divBdr>
        </w:div>
        <w:div w:id="1024089071">
          <w:marLeft w:val="0"/>
          <w:marRight w:val="0"/>
          <w:marTop w:val="0"/>
          <w:marBottom w:val="0"/>
          <w:divBdr>
            <w:top w:val="none" w:sz="0" w:space="0" w:color="auto"/>
            <w:left w:val="none" w:sz="0" w:space="0" w:color="auto"/>
            <w:bottom w:val="none" w:sz="0" w:space="0" w:color="auto"/>
            <w:right w:val="none" w:sz="0" w:space="0" w:color="auto"/>
          </w:divBdr>
        </w:div>
        <w:div w:id="1993942717">
          <w:marLeft w:val="0"/>
          <w:marRight w:val="0"/>
          <w:marTop w:val="0"/>
          <w:marBottom w:val="0"/>
          <w:divBdr>
            <w:top w:val="none" w:sz="0" w:space="0" w:color="auto"/>
            <w:left w:val="none" w:sz="0" w:space="0" w:color="auto"/>
            <w:bottom w:val="none" w:sz="0" w:space="0" w:color="auto"/>
            <w:right w:val="none" w:sz="0" w:space="0" w:color="auto"/>
          </w:divBdr>
        </w:div>
        <w:div w:id="1098870012">
          <w:marLeft w:val="0"/>
          <w:marRight w:val="0"/>
          <w:marTop w:val="0"/>
          <w:marBottom w:val="0"/>
          <w:divBdr>
            <w:top w:val="none" w:sz="0" w:space="0" w:color="auto"/>
            <w:left w:val="none" w:sz="0" w:space="0" w:color="auto"/>
            <w:bottom w:val="none" w:sz="0" w:space="0" w:color="auto"/>
            <w:right w:val="none" w:sz="0" w:space="0" w:color="auto"/>
          </w:divBdr>
        </w:div>
        <w:div w:id="380859318">
          <w:marLeft w:val="0"/>
          <w:marRight w:val="0"/>
          <w:marTop w:val="0"/>
          <w:marBottom w:val="0"/>
          <w:divBdr>
            <w:top w:val="none" w:sz="0" w:space="0" w:color="auto"/>
            <w:left w:val="none" w:sz="0" w:space="0" w:color="auto"/>
            <w:bottom w:val="none" w:sz="0" w:space="0" w:color="auto"/>
            <w:right w:val="none" w:sz="0" w:space="0" w:color="auto"/>
          </w:divBdr>
        </w:div>
        <w:div w:id="714502356">
          <w:marLeft w:val="0"/>
          <w:marRight w:val="0"/>
          <w:marTop w:val="0"/>
          <w:marBottom w:val="0"/>
          <w:divBdr>
            <w:top w:val="none" w:sz="0" w:space="0" w:color="auto"/>
            <w:left w:val="none" w:sz="0" w:space="0" w:color="auto"/>
            <w:bottom w:val="none" w:sz="0" w:space="0" w:color="auto"/>
            <w:right w:val="none" w:sz="0" w:space="0" w:color="auto"/>
          </w:divBdr>
        </w:div>
        <w:div w:id="564996467">
          <w:marLeft w:val="0"/>
          <w:marRight w:val="0"/>
          <w:marTop w:val="0"/>
          <w:marBottom w:val="0"/>
          <w:divBdr>
            <w:top w:val="none" w:sz="0" w:space="0" w:color="auto"/>
            <w:left w:val="none" w:sz="0" w:space="0" w:color="auto"/>
            <w:bottom w:val="none" w:sz="0" w:space="0" w:color="auto"/>
            <w:right w:val="none" w:sz="0" w:space="0" w:color="auto"/>
          </w:divBdr>
        </w:div>
        <w:div w:id="1201357978">
          <w:marLeft w:val="0"/>
          <w:marRight w:val="0"/>
          <w:marTop w:val="0"/>
          <w:marBottom w:val="0"/>
          <w:divBdr>
            <w:top w:val="none" w:sz="0" w:space="0" w:color="auto"/>
            <w:left w:val="none" w:sz="0" w:space="0" w:color="auto"/>
            <w:bottom w:val="none" w:sz="0" w:space="0" w:color="auto"/>
            <w:right w:val="none" w:sz="0" w:space="0" w:color="auto"/>
          </w:divBdr>
        </w:div>
        <w:div w:id="1488011601">
          <w:marLeft w:val="0"/>
          <w:marRight w:val="0"/>
          <w:marTop w:val="0"/>
          <w:marBottom w:val="0"/>
          <w:divBdr>
            <w:top w:val="none" w:sz="0" w:space="0" w:color="auto"/>
            <w:left w:val="none" w:sz="0" w:space="0" w:color="auto"/>
            <w:bottom w:val="none" w:sz="0" w:space="0" w:color="auto"/>
            <w:right w:val="none" w:sz="0" w:space="0" w:color="auto"/>
          </w:divBdr>
        </w:div>
        <w:div w:id="1769816432">
          <w:marLeft w:val="0"/>
          <w:marRight w:val="0"/>
          <w:marTop w:val="0"/>
          <w:marBottom w:val="0"/>
          <w:divBdr>
            <w:top w:val="none" w:sz="0" w:space="0" w:color="auto"/>
            <w:left w:val="none" w:sz="0" w:space="0" w:color="auto"/>
            <w:bottom w:val="none" w:sz="0" w:space="0" w:color="auto"/>
            <w:right w:val="none" w:sz="0" w:space="0" w:color="auto"/>
          </w:divBdr>
        </w:div>
        <w:div w:id="29834248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www.osce.org/odihr/73405?downloa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28D04-1314-4CFD-BC14-F84D7BDE21E1}">
  <ds:schemaRefs>
    <ds:schemaRef ds:uri="http://schemas.microsoft.com/sharepoint/v3/contenttype/forms"/>
  </ds:schemaRefs>
</ds:datastoreItem>
</file>

<file path=customXml/itemProps2.xml><?xml version="1.0" encoding="utf-8"?>
<ds:datastoreItem xmlns:ds="http://schemas.openxmlformats.org/officeDocument/2006/customXml" ds:itemID="{A0523530-F4E2-4B38-BE98-0A031047CBD2}"/>
</file>

<file path=customXml/itemProps3.xml><?xml version="1.0" encoding="utf-8"?>
<ds:datastoreItem xmlns:ds="http://schemas.openxmlformats.org/officeDocument/2006/customXml" ds:itemID="{B2A5ABFA-3709-44A2-85C4-60E45492AC17}">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4.xml><?xml version="1.0" encoding="utf-8"?>
<ds:datastoreItem xmlns:ds="http://schemas.openxmlformats.org/officeDocument/2006/customXml" ds:itemID="{C2A21E5B-9231-4C06-9F19-93EA80C0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3</cp:revision>
  <cp:lastPrinted>2018-11-12T09:21:00Z</cp:lastPrinted>
  <dcterms:created xsi:type="dcterms:W3CDTF">2020-08-24T14:18:00Z</dcterms:created>
  <dcterms:modified xsi:type="dcterms:W3CDTF">2020-10-19T12:07:00Z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