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E7CCC" w14:textId="77777777" w:rsidR="00602B64" w:rsidRDefault="00602B64" w:rsidP="00DF2C3D">
      <w:pPr>
        <w:pStyle w:val="NoSpacing"/>
        <w:jc w:val="center"/>
        <w:rPr>
          <w:rFonts w:cstheme="minorHAnsi"/>
          <w:b/>
          <w:sz w:val="18"/>
          <w:szCs w:val="18"/>
        </w:rPr>
      </w:pPr>
    </w:p>
    <w:p w14:paraId="4A8505FA" w14:textId="796B7BF8" w:rsidR="00DF2C3D" w:rsidRPr="00651D18" w:rsidRDefault="00DF2C3D" w:rsidP="0070525F">
      <w:pPr>
        <w:pStyle w:val="Heading1"/>
      </w:pPr>
      <w:r w:rsidRPr="00651D18">
        <w:t>Article 24 - Illustrative indicators on education</w:t>
      </w:r>
      <w:r w:rsidR="000534F0">
        <w:t>*</w:t>
      </w:r>
    </w:p>
    <w:p w14:paraId="6C4334EA" w14:textId="77777777" w:rsidR="00DF2C3D" w:rsidRPr="00651D18" w:rsidRDefault="00DF2C3D" w:rsidP="0070525F">
      <w:pPr>
        <w:pStyle w:val="Heading1"/>
      </w:pPr>
      <w:r w:rsidRPr="00651D18">
        <w:t>Full development of human potential, sense of dignity and self-worth enabling persons with disabilities to participate effectively in a free society</w:t>
      </w:r>
    </w:p>
    <w:p w14:paraId="1236F388" w14:textId="77777777" w:rsidR="00602B64" w:rsidRDefault="00602B64" w:rsidP="00DF2C3D">
      <w:pPr>
        <w:pStyle w:val="ListParagraph"/>
        <w:spacing w:after="0" w:line="240" w:lineRule="auto"/>
        <w:ind w:left="0"/>
        <w:rPr>
          <w:rFonts w:cstheme="minorHAnsi"/>
          <w:b/>
          <w:sz w:val="18"/>
          <w:szCs w:val="18"/>
        </w:rPr>
      </w:pPr>
    </w:p>
    <w:p w14:paraId="6951E0D4" w14:textId="028A6450" w:rsidR="00DF2C3D" w:rsidRPr="00DD35DD" w:rsidRDefault="00602B64" w:rsidP="0070525F">
      <w:pPr>
        <w:pStyle w:val="Heading2"/>
      </w:pPr>
      <w:proofErr w:type="spellStart"/>
      <w:r w:rsidRPr="0070525F">
        <w:t>Attributes</w:t>
      </w:r>
      <w:proofErr w:type="spellEnd"/>
    </w:p>
    <w:p w14:paraId="5FB34FE2" w14:textId="77777777" w:rsidR="00DF2C3D" w:rsidRPr="00602B64" w:rsidRDefault="00DF2C3D" w:rsidP="00602B64">
      <w:pPr>
        <w:pStyle w:val="ListParagraph"/>
        <w:numPr>
          <w:ilvl w:val="0"/>
          <w:numId w:val="14"/>
        </w:numPr>
        <w:spacing w:after="0" w:line="240" w:lineRule="auto"/>
        <w:rPr>
          <w:rFonts w:cstheme="minorHAnsi"/>
          <w:b/>
          <w:sz w:val="18"/>
          <w:szCs w:val="18"/>
        </w:rPr>
      </w:pPr>
      <w:r w:rsidRPr="00602B64">
        <w:rPr>
          <w:rFonts w:cstheme="minorHAnsi"/>
          <w:b/>
          <w:sz w:val="18"/>
          <w:szCs w:val="18"/>
        </w:rPr>
        <w:t>Inclusive education system</w:t>
      </w:r>
    </w:p>
    <w:p w14:paraId="7D0C6864" w14:textId="77777777" w:rsidR="00DF2C3D" w:rsidRPr="00602B64" w:rsidRDefault="00DF2C3D" w:rsidP="00602B64">
      <w:pPr>
        <w:pStyle w:val="ListParagraph"/>
        <w:numPr>
          <w:ilvl w:val="0"/>
          <w:numId w:val="14"/>
        </w:numPr>
        <w:spacing w:after="0" w:line="240" w:lineRule="auto"/>
        <w:rPr>
          <w:rFonts w:cstheme="minorHAnsi"/>
          <w:b/>
          <w:sz w:val="18"/>
          <w:szCs w:val="18"/>
        </w:rPr>
      </w:pPr>
      <w:r w:rsidRPr="00602B64">
        <w:rPr>
          <w:rFonts w:cstheme="minorHAnsi"/>
          <w:b/>
          <w:sz w:val="18"/>
          <w:szCs w:val="18"/>
        </w:rPr>
        <w:t xml:space="preserve">Quality and free primary and secondary education </w:t>
      </w:r>
    </w:p>
    <w:p w14:paraId="600DB59E" w14:textId="77777777" w:rsidR="00DF2C3D" w:rsidRPr="00602B64" w:rsidRDefault="00DF2C3D" w:rsidP="00602B64">
      <w:pPr>
        <w:pStyle w:val="ListParagraph"/>
        <w:numPr>
          <w:ilvl w:val="0"/>
          <w:numId w:val="14"/>
        </w:numPr>
        <w:spacing w:after="0" w:line="240" w:lineRule="auto"/>
        <w:rPr>
          <w:rFonts w:cstheme="minorHAnsi"/>
          <w:b/>
          <w:sz w:val="18"/>
          <w:szCs w:val="18"/>
        </w:rPr>
      </w:pPr>
      <w:r w:rsidRPr="00602B64">
        <w:rPr>
          <w:rFonts w:cstheme="minorHAnsi"/>
          <w:b/>
          <w:sz w:val="18"/>
          <w:szCs w:val="18"/>
        </w:rPr>
        <w:t>Access to tertiary, vocational training and lifelong learning</w:t>
      </w:r>
    </w:p>
    <w:p w14:paraId="08FD60D1" w14:textId="77777777" w:rsidR="00DF2C3D" w:rsidRPr="00602B64" w:rsidRDefault="00DF2C3D" w:rsidP="00602B64">
      <w:pPr>
        <w:pStyle w:val="ListParagraph"/>
        <w:numPr>
          <w:ilvl w:val="0"/>
          <w:numId w:val="14"/>
        </w:numPr>
        <w:spacing w:after="0" w:line="240" w:lineRule="auto"/>
        <w:rPr>
          <w:rFonts w:cstheme="minorHAnsi"/>
          <w:b/>
          <w:sz w:val="18"/>
          <w:szCs w:val="18"/>
        </w:rPr>
      </w:pPr>
      <w:r w:rsidRPr="00602B64">
        <w:rPr>
          <w:rFonts w:cstheme="minorHAnsi"/>
          <w:b/>
          <w:sz w:val="18"/>
          <w:szCs w:val="18"/>
        </w:rPr>
        <w:t>Inclusive teaching</w:t>
      </w:r>
    </w:p>
    <w:p w14:paraId="7B21625B" w14:textId="77777777" w:rsidR="00602B64" w:rsidRDefault="00602B64" w:rsidP="00DF2C3D">
      <w:pPr>
        <w:spacing w:after="0" w:line="240" w:lineRule="auto"/>
        <w:jc w:val="both"/>
        <w:rPr>
          <w:rFonts w:cstheme="minorHAnsi"/>
          <w:b/>
          <w:sz w:val="18"/>
          <w:szCs w:val="18"/>
        </w:rPr>
      </w:pPr>
    </w:p>
    <w:p w14:paraId="7B77F369" w14:textId="207D2002" w:rsidR="00DF2C3D" w:rsidRPr="00602B64" w:rsidRDefault="00DF2C3D" w:rsidP="0070525F">
      <w:pPr>
        <w:pStyle w:val="Heading2"/>
      </w:pPr>
      <w:r w:rsidRPr="00602B64">
        <w:t>Structure</w:t>
      </w:r>
      <w:r w:rsidR="00602B64" w:rsidRPr="00602B64">
        <w:t xml:space="preserve"> </w:t>
      </w:r>
      <w:r w:rsidR="00602B64" w:rsidRPr="0070525F">
        <w:t>Indicators</w:t>
      </w:r>
    </w:p>
    <w:p w14:paraId="43C1F9E8" w14:textId="77777777" w:rsidR="00DF2C3D" w:rsidRPr="00651D18" w:rsidRDefault="00DF2C3D" w:rsidP="00DF2C3D">
      <w:pPr>
        <w:spacing w:after="0" w:line="240" w:lineRule="auto"/>
        <w:jc w:val="both"/>
        <w:rPr>
          <w:rFonts w:cstheme="minorHAnsi"/>
          <w:sz w:val="18"/>
          <w:szCs w:val="18"/>
        </w:rPr>
      </w:pPr>
      <w:r w:rsidRPr="00651D18">
        <w:rPr>
          <w:rFonts w:cstheme="minorHAnsi"/>
          <w:sz w:val="18"/>
          <w:szCs w:val="18"/>
        </w:rPr>
        <w:t xml:space="preserve">24.1 Legislation enacted that ensures inclusive education for all students, including </w:t>
      </w:r>
      <w:r>
        <w:rPr>
          <w:rFonts w:cstheme="minorHAnsi"/>
          <w:sz w:val="18"/>
          <w:szCs w:val="18"/>
        </w:rPr>
        <w:t>students</w:t>
      </w:r>
      <w:r w:rsidRPr="00651D18">
        <w:rPr>
          <w:rFonts w:cstheme="minorHAnsi"/>
          <w:sz w:val="18"/>
          <w:szCs w:val="18"/>
        </w:rPr>
        <w:t xml:space="preserve"> with disabilities in public and private settings across all levels of education.</w:t>
      </w:r>
      <w:r w:rsidRPr="00651D18">
        <w:rPr>
          <w:rStyle w:val="EndnoteReference"/>
          <w:rFonts w:cstheme="minorHAnsi"/>
          <w:sz w:val="18"/>
          <w:szCs w:val="18"/>
        </w:rPr>
        <w:endnoteReference w:id="1"/>
      </w:r>
    </w:p>
    <w:p w14:paraId="039D0F61" w14:textId="77777777" w:rsidR="00DF2C3D" w:rsidRPr="00651D18" w:rsidRDefault="00DF2C3D" w:rsidP="00DF2C3D">
      <w:pPr>
        <w:spacing w:after="0" w:line="240" w:lineRule="auto"/>
        <w:jc w:val="both"/>
        <w:rPr>
          <w:rFonts w:cstheme="minorHAnsi"/>
          <w:sz w:val="18"/>
          <w:szCs w:val="18"/>
        </w:rPr>
      </w:pPr>
      <w:r w:rsidRPr="00651D18">
        <w:rPr>
          <w:rFonts w:cstheme="minorHAnsi"/>
          <w:sz w:val="18"/>
          <w:szCs w:val="18"/>
        </w:rPr>
        <w:t>24</w:t>
      </w:r>
      <w:r w:rsidRPr="005841C1">
        <w:rPr>
          <w:rFonts w:cstheme="minorHAnsi"/>
          <w:sz w:val="18"/>
          <w:szCs w:val="18"/>
        </w:rPr>
        <w:t>.2</w:t>
      </w:r>
      <w:r w:rsidRPr="00651D18">
        <w:rPr>
          <w:rFonts w:cstheme="minorHAnsi"/>
          <w:sz w:val="18"/>
          <w:szCs w:val="18"/>
        </w:rPr>
        <w:t xml:space="preserve"> No provision in legislation excludes </w:t>
      </w:r>
      <w:r>
        <w:rPr>
          <w:rFonts w:cstheme="minorHAnsi"/>
          <w:sz w:val="18"/>
          <w:szCs w:val="18"/>
        </w:rPr>
        <w:t xml:space="preserve">any person on the basis of disability </w:t>
      </w:r>
      <w:r w:rsidRPr="00651D18">
        <w:rPr>
          <w:rFonts w:cstheme="minorHAnsi"/>
          <w:sz w:val="18"/>
          <w:szCs w:val="18"/>
        </w:rPr>
        <w:t>from any form or level</w:t>
      </w:r>
      <w:r>
        <w:rPr>
          <w:rFonts w:cstheme="minorHAnsi"/>
          <w:sz w:val="18"/>
          <w:szCs w:val="18"/>
        </w:rPr>
        <w:t xml:space="preserve"> </w:t>
      </w:r>
      <w:r w:rsidRPr="00651D18">
        <w:rPr>
          <w:rFonts w:cstheme="minorHAnsi"/>
          <w:sz w:val="18"/>
          <w:szCs w:val="18"/>
        </w:rPr>
        <w:t>of education</w:t>
      </w:r>
      <w:r>
        <w:rPr>
          <w:rFonts w:cstheme="minorHAnsi"/>
          <w:sz w:val="18"/>
          <w:szCs w:val="18"/>
        </w:rPr>
        <w:t>,</w:t>
      </w:r>
      <w:r w:rsidRPr="00651D18">
        <w:rPr>
          <w:rFonts w:cstheme="minorHAnsi"/>
          <w:sz w:val="18"/>
          <w:szCs w:val="18"/>
        </w:rPr>
        <w:t xml:space="preserve"> field of study</w:t>
      </w:r>
      <w:r>
        <w:rPr>
          <w:rFonts w:cstheme="minorHAnsi"/>
          <w:sz w:val="18"/>
          <w:szCs w:val="18"/>
        </w:rPr>
        <w:t>,</w:t>
      </w:r>
      <w:r w:rsidRPr="00651D18">
        <w:rPr>
          <w:rFonts w:cstheme="minorHAnsi"/>
          <w:sz w:val="18"/>
          <w:szCs w:val="18"/>
        </w:rPr>
        <w:t xml:space="preserve"> or </w:t>
      </w:r>
      <w:r>
        <w:rPr>
          <w:rFonts w:cstheme="minorHAnsi"/>
          <w:sz w:val="18"/>
          <w:szCs w:val="18"/>
        </w:rPr>
        <w:t>from obtaining certification on an equal basis with others</w:t>
      </w:r>
      <w:r w:rsidRPr="00651D18">
        <w:rPr>
          <w:rFonts w:cstheme="minorHAnsi"/>
          <w:sz w:val="18"/>
          <w:szCs w:val="18"/>
        </w:rPr>
        <w:t>.</w:t>
      </w:r>
    </w:p>
    <w:p w14:paraId="3B63A467" w14:textId="77777777" w:rsidR="00DF2C3D" w:rsidRPr="00DD35DD" w:rsidRDefault="00DF2C3D" w:rsidP="00DF2C3D">
      <w:pPr>
        <w:spacing w:after="0" w:line="240" w:lineRule="auto"/>
        <w:jc w:val="both"/>
        <w:rPr>
          <w:rFonts w:cstheme="minorHAnsi"/>
          <w:sz w:val="18"/>
          <w:szCs w:val="18"/>
        </w:rPr>
      </w:pPr>
      <w:r w:rsidRPr="00DD35DD">
        <w:rPr>
          <w:rFonts w:cstheme="minorHAnsi"/>
          <w:sz w:val="18"/>
          <w:szCs w:val="18"/>
        </w:rPr>
        <w:t xml:space="preserve">24.3 National strategy/plan led by the Ministry of Education </w:t>
      </w:r>
      <w:r>
        <w:rPr>
          <w:rFonts w:cstheme="minorHAnsi"/>
          <w:sz w:val="18"/>
          <w:szCs w:val="18"/>
        </w:rPr>
        <w:t>to</w:t>
      </w:r>
      <w:r w:rsidRPr="00DD35DD">
        <w:rPr>
          <w:rFonts w:cstheme="minorHAnsi"/>
          <w:sz w:val="18"/>
          <w:szCs w:val="18"/>
        </w:rPr>
        <w:t xml:space="preserve"> transition to an inclusive education system.</w:t>
      </w:r>
      <w:r>
        <w:rPr>
          <w:rStyle w:val="EndnoteReference"/>
          <w:rFonts w:cstheme="minorHAnsi"/>
          <w:sz w:val="18"/>
          <w:szCs w:val="18"/>
        </w:rPr>
        <w:endnoteReference w:id="2"/>
      </w:r>
    </w:p>
    <w:p w14:paraId="78A6C4AD" w14:textId="77777777" w:rsidR="00DF2C3D" w:rsidRPr="00DD35DD" w:rsidRDefault="00DF2C3D" w:rsidP="00DF2C3D">
      <w:pPr>
        <w:spacing w:after="0" w:line="240" w:lineRule="auto"/>
        <w:jc w:val="both"/>
        <w:rPr>
          <w:rFonts w:cstheme="minorHAnsi"/>
          <w:color w:val="000000"/>
          <w:sz w:val="18"/>
          <w:szCs w:val="18"/>
        </w:rPr>
      </w:pPr>
      <w:r w:rsidRPr="00DD35DD">
        <w:rPr>
          <w:rFonts w:cstheme="minorHAnsi"/>
          <w:sz w:val="18"/>
          <w:szCs w:val="18"/>
        </w:rPr>
        <w:t>24.4 Program</w:t>
      </w:r>
      <w:r>
        <w:rPr>
          <w:rFonts w:cstheme="minorHAnsi"/>
          <w:sz w:val="18"/>
          <w:szCs w:val="18"/>
        </w:rPr>
        <w:t>me</w:t>
      </w:r>
      <w:r w:rsidRPr="00DD35DD">
        <w:rPr>
          <w:rFonts w:cstheme="minorHAnsi"/>
          <w:sz w:val="18"/>
          <w:szCs w:val="18"/>
        </w:rPr>
        <w:t>s established for</w:t>
      </w:r>
      <w:r>
        <w:rPr>
          <w:rFonts w:cstheme="minorHAnsi"/>
          <w:sz w:val="18"/>
          <w:szCs w:val="18"/>
        </w:rPr>
        <w:t xml:space="preserve"> the</w:t>
      </w:r>
      <w:r w:rsidRPr="00DD35DD">
        <w:rPr>
          <w:rFonts w:cstheme="minorHAnsi"/>
          <w:sz w:val="18"/>
          <w:szCs w:val="18"/>
        </w:rPr>
        <w:t xml:space="preserve"> early identification of children with disabilities and their support needs for their effective participation in mainstream schools.</w:t>
      </w:r>
    </w:p>
    <w:p w14:paraId="30D42912" w14:textId="77777777" w:rsidR="00DF2C3D" w:rsidRPr="00DD35DD" w:rsidRDefault="00DF2C3D" w:rsidP="00DF2C3D">
      <w:pPr>
        <w:spacing w:after="0" w:line="240" w:lineRule="auto"/>
        <w:jc w:val="both"/>
        <w:rPr>
          <w:rFonts w:cstheme="minorHAnsi"/>
          <w:sz w:val="18"/>
          <w:szCs w:val="18"/>
        </w:rPr>
      </w:pPr>
      <w:r w:rsidRPr="00DD35DD">
        <w:rPr>
          <w:rFonts w:cstheme="minorHAnsi"/>
          <w:sz w:val="18"/>
          <w:szCs w:val="18"/>
        </w:rPr>
        <w:t>24.5 National strategy/plan</w:t>
      </w:r>
      <w:r>
        <w:rPr>
          <w:rFonts w:cstheme="minorHAnsi"/>
          <w:sz w:val="18"/>
          <w:szCs w:val="18"/>
        </w:rPr>
        <w:t xml:space="preserve"> </w:t>
      </w:r>
      <w:r w:rsidRPr="00DD35DD">
        <w:rPr>
          <w:rFonts w:cstheme="minorHAnsi"/>
          <w:sz w:val="18"/>
          <w:szCs w:val="18"/>
        </w:rPr>
        <w:t xml:space="preserve">on vocational and technical education </w:t>
      </w:r>
      <w:r w:rsidRPr="003374AB">
        <w:rPr>
          <w:rFonts w:cstheme="minorHAnsi"/>
          <w:color w:val="000000" w:themeColor="text1"/>
          <w:sz w:val="18"/>
          <w:szCs w:val="18"/>
        </w:rPr>
        <w:t xml:space="preserve">and lifelong learning, involving both informal </w:t>
      </w:r>
      <w:r>
        <w:rPr>
          <w:rFonts w:cstheme="minorHAnsi"/>
          <w:color w:val="000000" w:themeColor="text1"/>
          <w:sz w:val="18"/>
          <w:szCs w:val="18"/>
        </w:rPr>
        <w:t>and non-</w:t>
      </w:r>
      <w:r w:rsidRPr="003374AB">
        <w:rPr>
          <w:rFonts w:cstheme="minorHAnsi"/>
          <w:color w:val="000000" w:themeColor="text1"/>
          <w:sz w:val="18"/>
          <w:szCs w:val="18"/>
        </w:rPr>
        <w:t xml:space="preserve">formal learning, which </w:t>
      </w:r>
      <w:r w:rsidRPr="00DD35DD">
        <w:rPr>
          <w:rFonts w:cstheme="minorHAnsi"/>
          <w:sz w:val="18"/>
          <w:szCs w:val="18"/>
        </w:rPr>
        <w:t>explicitly refers to and is inclusive of persons with disabilities.</w:t>
      </w:r>
    </w:p>
    <w:p w14:paraId="1B4D6255" w14:textId="713A7C97" w:rsidR="00DF2C3D" w:rsidRPr="00602B64" w:rsidRDefault="00DF2C3D" w:rsidP="00DF2C3D">
      <w:pPr>
        <w:spacing w:after="0" w:line="240" w:lineRule="auto"/>
        <w:jc w:val="both"/>
        <w:rPr>
          <w:rFonts w:cstheme="minorHAnsi"/>
          <w:sz w:val="18"/>
          <w:szCs w:val="18"/>
        </w:rPr>
      </w:pPr>
      <w:r>
        <w:rPr>
          <w:rFonts w:cstheme="minorHAnsi"/>
          <w:sz w:val="18"/>
          <w:szCs w:val="18"/>
        </w:rPr>
        <w:t>24.6</w:t>
      </w:r>
      <w:r w:rsidRPr="00DD35DD">
        <w:rPr>
          <w:rFonts w:cstheme="minorHAnsi"/>
          <w:sz w:val="18"/>
          <w:szCs w:val="18"/>
        </w:rPr>
        <w:t xml:space="preserve"> Mandatory pre- and in- service training </w:t>
      </w:r>
      <w:r>
        <w:rPr>
          <w:rFonts w:cstheme="minorHAnsi"/>
          <w:sz w:val="18"/>
          <w:szCs w:val="18"/>
        </w:rPr>
        <w:t>for</w:t>
      </w:r>
      <w:r w:rsidRPr="00DD35DD">
        <w:rPr>
          <w:rFonts w:cstheme="minorHAnsi"/>
          <w:sz w:val="18"/>
          <w:szCs w:val="18"/>
        </w:rPr>
        <w:t xml:space="preserve"> inclusive education for all teachers and personnel</w:t>
      </w:r>
      <w:r>
        <w:rPr>
          <w:rFonts w:cstheme="minorHAnsi"/>
          <w:sz w:val="18"/>
          <w:szCs w:val="18"/>
        </w:rPr>
        <w:t xml:space="preserve"> at all levels of education</w:t>
      </w:r>
      <w:r w:rsidRPr="00DD35DD">
        <w:rPr>
          <w:rFonts w:cstheme="minorHAnsi"/>
          <w:sz w:val="18"/>
          <w:szCs w:val="18"/>
        </w:rPr>
        <w:t>.</w:t>
      </w:r>
      <w:r w:rsidRPr="00DD35DD">
        <w:rPr>
          <w:rStyle w:val="EndnoteReference"/>
          <w:rFonts w:cstheme="minorHAnsi"/>
          <w:sz w:val="18"/>
          <w:szCs w:val="18"/>
        </w:rPr>
        <w:endnoteReference w:id="3"/>
      </w:r>
    </w:p>
    <w:p w14:paraId="02C22A34" w14:textId="77777777" w:rsidR="00DF2C3D" w:rsidRPr="00651D18" w:rsidRDefault="00DF2C3D" w:rsidP="00DF2C3D">
      <w:pPr>
        <w:spacing w:after="0" w:line="240" w:lineRule="auto"/>
        <w:jc w:val="both"/>
        <w:rPr>
          <w:rFonts w:cstheme="minorHAnsi"/>
          <w:sz w:val="18"/>
          <w:szCs w:val="18"/>
        </w:rPr>
      </w:pPr>
      <w:r>
        <w:rPr>
          <w:rFonts w:cstheme="minorHAnsi"/>
          <w:sz w:val="18"/>
          <w:szCs w:val="18"/>
        </w:rPr>
        <w:t>24.7</w:t>
      </w:r>
      <w:r w:rsidRPr="00651D18">
        <w:rPr>
          <w:rFonts w:cstheme="minorHAnsi"/>
          <w:sz w:val="18"/>
          <w:szCs w:val="18"/>
        </w:rPr>
        <w:t xml:space="preserve"> </w:t>
      </w:r>
      <w:r w:rsidRPr="00651D18">
        <w:rPr>
          <w:rFonts w:eastAsia="Times New Roman" w:cstheme="minorHAnsi"/>
          <w:sz w:val="18"/>
          <w:szCs w:val="18"/>
          <w:lang w:val="en-US"/>
        </w:rPr>
        <w:t>National curriculum incorporates inclusive education standards that reflect the diversity of learning needs of all learners and allows for modifications and adaptations to curricula tailored to each learner</w:t>
      </w:r>
      <w:r w:rsidRPr="00651D18">
        <w:rPr>
          <w:rFonts w:cstheme="minorHAnsi"/>
          <w:sz w:val="18"/>
          <w:szCs w:val="18"/>
        </w:rPr>
        <w:t>.</w:t>
      </w:r>
    </w:p>
    <w:p w14:paraId="6DD9BFC4" w14:textId="77777777" w:rsidR="00DF2C3D" w:rsidRPr="00651D18" w:rsidRDefault="00DF2C3D" w:rsidP="00DF2C3D">
      <w:pPr>
        <w:spacing w:after="0" w:line="240" w:lineRule="auto"/>
        <w:jc w:val="both"/>
        <w:rPr>
          <w:rFonts w:cstheme="minorHAnsi"/>
          <w:sz w:val="18"/>
          <w:szCs w:val="18"/>
        </w:rPr>
      </w:pPr>
      <w:r>
        <w:rPr>
          <w:rFonts w:cstheme="minorHAnsi"/>
          <w:sz w:val="18"/>
          <w:szCs w:val="18"/>
        </w:rPr>
        <w:t>24.8</w:t>
      </w:r>
      <w:r w:rsidRPr="00651D18">
        <w:rPr>
          <w:rFonts w:cstheme="minorHAnsi"/>
          <w:sz w:val="18"/>
          <w:szCs w:val="18"/>
        </w:rPr>
        <w:t xml:space="preserve"> National accessibility standards established and </w:t>
      </w:r>
      <w:r>
        <w:rPr>
          <w:rFonts w:cstheme="minorHAnsi"/>
          <w:sz w:val="18"/>
          <w:szCs w:val="18"/>
        </w:rPr>
        <w:t>applied to</w:t>
      </w:r>
      <w:r w:rsidRPr="00651D18">
        <w:rPr>
          <w:rFonts w:cstheme="minorHAnsi"/>
          <w:sz w:val="18"/>
          <w:szCs w:val="18"/>
        </w:rPr>
        <w:t xml:space="preserve"> all educational environments and materials</w:t>
      </w:r>
      <w:r>
        <w:rPr>
          <w:rFonts w:cstheme="minorHAnsi"/>
          <w:sz w:val="18"/>
          <w:szCs w:val="18"/>
        </w:rPr>
        <w:t>,</w:t>
      </w:r>
      <w:r w:rsidRPr="00651D18">
        <w:rPr>
          <w:rStyle w:val="EndnoteReference"/>
          <w:rFonts w:cstheme="minorHAnsi"/>
          <w:sz w:val="18"/>
          <w:szCs w:val="18"/>
        </w:rPr>
        <w:endnoteReference w:id="4"/>
      </w:r>
      <w:r w:rsidRPr="00651D18">
        <w:rPr>
          <w:rFonts w:cstheme="minorHAnsi"/>
          <w:sz w:val="18"/>
          <w:szCs w:val="18"/>
        </w:rPr>
        <w:t xml:space="preserve"> including for extra-curricular activities.</w:t>
      </w:r>
    </w:p>
    <w:p w14:paraId="559EA8DB" w14:textId="77777777" w:rsidR="00DF2C3D" w:rsidRPr="00651D18" w:rsidRDefault="00DF2C3D" w:rsidP="00DF2C3D">
      <w:pPr>
        <w:spacing w:after="0" w:line="240" w:lineRule="auto"/>
        <w:jc w:val="both"/>
        <w:rPr>
          <w:rFonts w:cstheme="minorHAnsi"/>
          <w:sz w:val="18"/>
          <w:szCs w:val="18"/>
        </w:rPr>
      </w:pPr>
      <w:r>
        <w:rPr>
          <w:rFonts w:cstheme="minorHAnsi"/>
          <w:sz w:val="18"/>
          <w:szCs w:val="18"/>
        </w:rPr>
        <w:t>24.9</w:t>
      </w:r>
      <w:r w:rsidRPr="00651D18">
        <w:rPr>
          <w:rFonts w:cstheme="minorHAnsi"/>
          <w:sz w:val="18"/>
          <w:szCs w:val="18"/>
        </w:rPr>
        <w:t xml:space="preserve"> Legislation enacted that prohibits violence, </w:t>
      </w:r>
      <w:r>
        <w:rPr>
          <w:rFonts w:cstheme="minorHAnsi"/>
          <w:sz w:val="18"/>
          <w:szCs w:val="18"/>
        </w:rPr>
        <w:t xml:space="preserve">corporal punishment, </w:t>
      </w:r>
      <w:r w:rsidRPr="00651D18">
        <w:rPr>
          <w:rFonts w:cstheme="minorHAnsi"/>
          <w:sz w:val="18"/>
          <w:szCs w:val="18"/>
        </w:rPr>
        <w:t>bullying and harassment in educational environments including on the basis of disability</w:t>
      </w:r>
      <w:r>
        <w:rPr>
          <w:rFonts w:cstheme="minorHAnsi"/>
          <w:sz w:val="18"/>
          <w:szCs w:val="18"/>
        </w:rPr>
        <w:t>.</w:t>
      </w:r>
    </w:p>
    <w:p w14:paraId="5852964C" w14:textId="77777777" w:rsidR="00602B64" w:rsidRDefault="00602B64" w:rsidP="00DF2C3D">
      <w:pPr>
        <w:spacing w:after="0" w:line="240" w:lineRule="auto"/>
        <w:jc w:val="both"/>
        <w:rPr>
          <w:rFonts w:cstheme="minorHAnsi"/>
          <w:b/>
          <w:sz w:val="18"/>
          <w:szCs w:val="18"/>
        </w:rPr>
      </w:pPr>
    </w:p>
    <w:p w14:paraId="42C0C4A2" w14:textId="4989E5B0" w:rsidR="00DF2C3D" w:rsidRPr="00DD35DD" w:rsidRDefault="00DF2C3D" w:rsidP="0070525F">
      <w:pPr>
        <w:pStyle w:val="Heading2"/>
      </w:pPr>
      <w:r w:rsidRPr="0070525F">
        <w:t>Process</w:t>
      </w:r>
      <w:r w:rsidR="00602B64">
        <w:t xml:space="preserve"> </w:t>
      </w:r>
      <w:r w:rsidR="00602B64" w:rsidRPr="000534F0">
        <w:t>Indicators</w:t>
      </w:r>
    </w:p>
    <w:p w14:paraId="784443FA"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24.10 Percentage of children aged 3-5 years who are attending an early childhood education programme (</w:t>
      </w:r>
      <w:r w:rsidRPr="002C23BE">
        <w:rPr>
          <w:rStyle w:val="Hyperlink"/>
          <w:color w:val="auto"/>
          <w:sz w:val="18"/>
          <w:szCs w:val="18"/>
          <w:u w:val="none"/>
        </w:rPr>
        <w:t>UNICEF MICS</w:t>
      </w:r>
      <w:r w:rsidRPr="002C23BE">
        <w:rPr>
          <w:rFonts w:cstheme="minorHAnsi"/>
          <w:sz w:val="18"/>
          <w:szCs w:val="18"/>
        </w:rPr>
        <w:t xml:space="preserve"> indicator) disaggregated by</w:t>
      </w:r>
      <w:r>
        <w:rPr>
          <w:rFonts w:cstheme="minorHAnsi"/>
          <w:sz w:val="18"/>
          <w:szCs w:val="18"/>
        </w:rPr>
        <w:t xml:space="preserve"> </w:t>
      </w:r>
      <w:r w:rsidRPr="002C23BE">
        <w:rPr>
          <w:rFonts w:cstheme="minorHAnsi"/>
          <w:sz w:val="18"/>
          <w:szCs w:val="18"/>
        </w:rPr>
        <w:t>sex</w:t>
      </w:r>
      <w:r>
        <w:rPr>
          <w:rFonts w:cstheme="minorHAnsi"/>
          <w:sz w:val="18"/>
          <w:szCs w:val="18"/>
        </w:rPr>
        <w:t>, age</w:t>
      </w:r>
      <w:r w:rsidRPr="002C23BE">
        <w:rPr>
          <w:rFonts w:cstheme="minorHAnsi"/>
          <w:sz w:val="18"/>
          <w:szCs w:val="18"/>
        </w:rPr>
        <w:t xml:space="preserve"> and disability.</w:t>
      </w:r>
    </w:p>
    <w:p w14:paraId="6DF0D8CF"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 xml:space="preserve">24.11 </w:t>
      </w:r>
      <w:r w:rsidRPr="002C23BE">
        <w:rPr>
          <w:rFonts w:cstheme="minorHAnsi"/>
          <w:sz w:val="18"/>
          <w:szCs w:val="18"/>
          <w:lang w:val="en-US"/>
        </w:rPr>
        <w:t xml:space="preserve">Proportion of schools with access to: (a) electricity; (b) the Internet for pedagogical purposes; (c) computers for pedagogical purposes; (d) adapted infrastructure and materials for students with disabilities; (e) basic drinking water; (f) single- sex basic sanitation facilities; and (g) basic handwashing facilities (as per the WASH indicator definitions) </w:t>
      </w:r>
      <w:r w:rsidRPr="002C23BE">
        <w:rPr>
          <w:rFonts w:cstheme="minorHAnsi"/>
          <w:sz w:val="18"/>
          <w:szCs w:val="18"/>
        </w:rPr>
        <w:t>(SDG indicator 4.a.1).</w:t>
      </w:r>
      <w:r w:rsidRPr="002C23BE">
        <w:rPr>
          <w:rStyle w:val="EndnoteReference"/>
          <w:rFonts w:cstheme="minorHAnsi"/>
          <w:sz w:val="18"/>
          <w:szCs w:val="18"/>
        </w:rPr>
        <w:endnoteReference w:id="5"/>
      </w:r>
    </w:p>
    <w:p w14:paraId="4BBA7B4E" w14:textId="77777777" w:rsidR="00DF2C3D" w:rsidRPr="002C23BE" w:rsidRDefault="00DF2C3D" w:rsidP="00DF2C3D">
      <w:pPr>
        <w:spacing w:after="0" w:line="240" w:lineRule="auto"/>
        <w:jc w:val="both"/>
        <w:rPr>
          <w:rFonts w:eastAsia="Times New Roman" w:cstheme="minorHAnsi"/>
          <w:sz w:val="18"/>
          <w:szCs w:val="18"/>
          <w:lang w:eastAsia="en-GB"/>
        </w:rPr>
      </w:pPr>
      <w:r w:rsidRPr="002C23BE">
        <w:rPr>
          <w:rFonts w:eastAsia="Times New Roman" w:cstheme="minorHAnsi"/>
          <w:sz w:val="18"/>
          <w:szCs w:val="18"/>
          <w:lang w:eastAsia="en-GB"/>
        </w:rPr>
        <w:t>24.12 Percentage of schools that provide life skills-based HIV and sexuality education inclusive of students with disabilities (UNESCO indicator).</w:t>
      </w:r>
    </w:p>
    <w:p w14:paraId="4C192DC9" w14:textId="77777777" w:rsidR="00DF2C3D" w:rsidRPr="002C23BE" w:rsidRDefault="00DF2C3D" w:rsidP="00DF2C3D">
      <w:pPr>
        <w:pStyle w:val="EndnoteText"/>
        <w:jc w:val="both"/>
        <w:rPr>
          <w:sz w:val="18"/>
          <w:szCs w:val="18"/>
        </w:rPr>
      </w:pPr>
      <w:r w:rsidRPr="002C23BE">
        <w:rPr>
          <w:rFonts w:eastAsia="Times New Roman" w:cstheme="minorHAnsi"/>
          <w:sz w:val="18"/>
          <w:szCs w:val="18"/>
          <w:lang w:eastAsia="en-GB"/>
        </w:rPr>
        <w:t>24.13 Percentage of students experiencing bullying, corporal punishment, harassment, violence, sexual discrimination and abuse (UNESCO indicator)</w:t>
      </w:r>
      <w:r w:rsidRPr="002C23BE">
        <w:rPr>
          <w:rFonts w:eastAsia="Times New Roman" w:cs="Arial"/>
          <w:sz w:val="18"/>
          <w:szCs w:val="18"/>
          <w:lang w:eastAsia="en-GB"/>
        </w:rPr>
        <w:t xml:space="preserve"> by sex,</w:t>
      </w:r>
      <w:r>
        <w:rPr>
          <w:rFonts w:eastAsia="Times New Roman" w:cs="Arial"/>
          <w:sz w:val="18"/>
          <w:szCs w:val="18"/>
          <w:lang w:eastAsia="en-GB"/>
        </w:rPr>
        <w:t xml:space="preserve"> age,</w:t>
      </w:r>
      <w:r w:rsidRPr="002C23BE">
        <w:rPr>
          <w:rFonts w:eastAsia="Times New Roman" w:cs="Arial"/>
          <w:sz w:val="18"/>
          <w:szCs w:val="18"/>
          <w:lang w:eastAsia="en-GB"/>
        </w:rPr>
        <w:t xml:space="preserve"> disability, type of educational institution (public/private, primary/secondary/tertiary/vocational).</w:t>
      </w:r>
      <w:r w:rsidRPr="002C23BE">
        <w:rPr>
          <w:rFonts w:eastAsia="Times New Roman" w:cstheme="minorHAnsi"/>
          <w:sz w:val="18"/>
          <w:szCs w:val="18"/>
          <w:u w:val="single"/>
          <w:lang w:eastAsia="en-GB"/>
        </w:rPr>
        <w:t xml:space="preserve"> </w:t>
      </w:r>
    </w:p>
    <w:p w14:paraId="7CFE58AC" w14:textId="77777777" w:rsidR="00DF2C3D" w:rsidRPr="002C23BE" w:rsidRDefault="00DF2C3D" w:rsidP="00DF2C3D">
      <w:pPr>
        <w:spacing w:after="0" w:line="240" w:lineRule="auto"/>
        <w:jc w:val="both"/>
        <w:rPr>
          <w:rFonts w:eastAsia="Times New Roman" w:cstheme="minorHAnsi"/>
          <w:sz w:val="18"/>
          <w:szCs w:val="18"/>
          <w:lang w:eastAsia="en-GB"/>
        </w:rPr>
      </w:pPr>
      <w:r w:rsidRPr="002C23BE">
        <w:rPr>
          <w:rFonts w:eastAsia="Times New Roman" w:cstheme="minorHAnsi"/>
          <w:sz w:val="18"/>
          <w:szCs w:val="18"/>
          <w:lang w:eastAsia="en-GB"/>
        </w:rPr>
        <w:t>24.14 Education expenditure per student by level of education and source of funding (UNESCO indicator</w:t>
      </w:r>
      <w:r>
        <w:rPr>
          <w:rFonts w:eastAsia="Times New Roman" w:cstheme="minorHAnsi"/>
          <w:sz w:val="18"/>
          <w:szCs w:val="18"/>
          <w:lang w:eastAsia="en-GB"/>
        </w:rPr>
        <w:t xml:space="preserve">) by </w:t>
      </w:r>
      <w:r w:rsidRPr="002C23BE">
        <w:rPr>
          <w:rFonts w:eastAsia="Times New Roman" w:cstheme="minorHAnsi"/>
          <w:sz w:val="18"/>
          <w:szCs w:val="18"/>
          <w:lang w:eastAsia="en-GB"/>
        </w:rPr>
        <w:t>sex,</w:t>
      </w:r>
      <w:r>
        <w:rPr>
          <w:rFonts w:eastAsia="Times New Roman" w:cstheme="minorHAnsi"/>
          <w:sz w:val="18"/>
          <w:szCs w:val="18"/>
          <w:lang w:eastAsia="en-GB"/>
        </w:rPr>
        <w:t xml:space="preserve"> age,</w:t>
      </w:r>
      <w:r w:rsidRPr="002C23BE">
        <w:rPr>
          <w:rFonts w:eastAsia="Times New Roman" w:cstheme="minorHAnsi"/>
          <w:sz w:val="18"/>
          <w:szCs w:val="18"/>
          <w:lang w:eastAsia="en-GB"/>
        </w:rPr>
        <w:t xml:space="preserve"> disability.</w:t>
      </w:r>
    </w:p>
    <w:p w14:paraId="449CCAD3"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24.15 Number of mainstream schools compared to number of special schools.</w:t>
      </w:r>
    </w:p>
    <w:p w14:paraId="4E1DE2BC"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24.16 Proportion of students with disabilities</w:t>
      </w:r>
      <w:r w:rsidRPr="002C23BE" w:rsidDel="00254A4F">
        <w:rPr>
          <w:rFonts w:cstheme="minorHAnsi"/>
          <w:sz w:val="18"/>
          <w:szCs w:val="18"/>
        </w:rPr>
        <w:t xml:space="preserve"> </w:t>
      </w:r>
      <w:r w:rsidRPr="002C23BE">
        <w:rPr>
          <w:rFonts w:cstheme="minorHAnsi"/>
          <w:sz w:val="18"/>
          <w:szCs w:val="18"/>
        </w:rPr>
        <w:t>benefitting from individual education plans, support measures and other accommodations,</w:t>
      </w:r>
      <w:r w:rsidRPr="002C23BE">
        <w:rPr>
          <w:rStyle w:val="EndnoteReference"/>
          <w:rFonts w:cstheme="minorHAnsi"/>
          <w:sz w:val="18"/>
          <w:szCs w:val="18"/>
        </w:rPr>
        <w:endnoteReference w:id="6"/>
      </w:r>
      <w:r w:rsidRPr="002C23BE">
        <w:rPr>
          <w:rFonts w:cstheme="minorHAnsi"/>
          <w:sz w:val="18"/>
          <w:szCs w:val="18"/>
        </w:rPr>
        <w:t xml:space="preserve">  disaggregated </w:t>
      </w:r>
      <w:r w:rsidRPr="002C23BE">
        <w:rPr>
          <w:sz w:val="18"/>
          <w:szCs w:val="18"/>
        </w:rPr>
        <w:t xml:space="preserve">by </w:t>
      </w:r>
      <w:r>
        <w:rPr>
          <w:sz w:val="18"/>
          <w:szCs w:val="18"/>
        </w:rPr>
        <w:t>sex, age,</w:t>
      </w:r>
      <w:r w:rsidRPr="002C23BE">
        <w:rPr>
          <w:sz w:val="18"/>
          <w:szCs w:val="18"/>
        </w:rPr>
        <w:t xml:space="preserve"> disability and geographical location.</w:t>
      </w:r>
    </w:p>
    <w:p w14:paraId="6B901738"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 xml:space="preserve">24.17 Proportion of deaf students receiving education in sign language. </w:t>
      </w:r>
    </w:p>
    <w:p w14:paraId="11D79FC8"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24.18 Proportion of certified sign language interpreters employed in mainstream educational facilities.</w:t>
      </w:r>
    </w:p>
    <w:p w14:paraId="217BCC07" w14:textId="31B4A047" w:rsidR="00DF2C3D" w:rsidRPr="002C23BE" w:rsidRDefault="00DF2C3D" w:rsidP="00DF2C3D">
      <w:pPr>
        <w:spacing w:after="0" w:line="240" w:lineRule="auto"/>
        <w:jc w:val="both"/>
        <w:rPr>
          <w:rFonts w:cstheme="minorHAnsi"/>
          <w:sz w:val="18"/>
          <w:szCs w:val="18"/>
        </w:rPr>
      </w:pPr>
      <w:r w:rsidRPr="002C23BE">
        <w:rPr>
          <w:rFonts w:cstheme="minorHAnsi"/>
          <w:sz w:val="18"/>
          <w:szCs w:val="18"/>
        </w:rPr>
        <w:t xml:space="preserve">24.19 Proportion of students with visual impairments benefitting from educational materials in formats that are readily accessible. </w:t>
      </w:r>
    </w:p>
    <w:p w14:paraId="374A7E56" w14:textId="3E77731E" w:rsidR="00DF2C3D" w:rsidRPr="00602B64" w:rsidRDefault="00DF2C3D" w:rsidP="00DF2C3D">
      <w:pPr>
        <w:spacing w:after="0" w:line="240" w:lineRule="auto"/>
        <w:jc w:val="both"/>
        <w:rPr>
          <w:rFonts w:eastAsia="Times New Roman" w:cstheme="minorHAnsi"/>
          <w:sz w:val="18"/>
          <w:szCs w:val="18"/>
          <w:lang w:eastAsia="en-GB"/>
        </w:rPr>
      </w:pPr>
      <w:r w:rsidRPr="002C23BE">
        <w:rPr>
          <w:rFonts w:eastAsia="Times New Roman" w:cstheme="minorHAnsi"/>
          <w:sz w:val="18"/>
          <w:szCs w:val="18"/>
          <w:lang w:eastAsia="en-GB"/>
        </w:rPr>
        <w:t>24.20 Participation rate of youth and adults in formal and non-formal education and training in the previous 12 months, by sex (SDG indicator 4.3.1) and disability.</w:t>
      </w:r>
    </w:p>
    <w:p w14:paraId="2D376E1E" w14:textId="0E24D117" w:rsidR="00DF2C3D" w:rsidRPr="00602B64" w:rsidRDefault="00DF2C3D" w:rsidP="00DF2C3D">
      <w:pPr>
        <w:spacing w:after="0" w:line="240" w:lineRule="auto"/>
        <w:jc w:val="both"/>
        <w:rPr>
          <w:sz w:val="18"/>
          <w:szCs w:val="18"/>
        </w:rPr>
      </w:pPr>
      <w:r w:rsidRPr="002C23BE">
        <w:rPr>
          <w:rFonts w:cstheme="minorHAnsi"/>
          <w:sz w:val="18"/>
          <w:szCs w:val="18"/>
        </w:rPr>
        <w:t>24.21 Proportion of teachers and school staff at all levels trained for inclusive education and the provision of reasonable accommodation.</w:t>
      </w:r>
    </w:p>
    <w:p w14:paraId="7EE32120" w14:textId="10AE652C" w:rsidR="00DF2C3D" w:rsidRPr="00602B64" w:rsidRDefault="00DF2C3D" w:rsidP="00DF2C3D">
      <w:pPr>
        <w:spacing w:after="0" w:line="240" w:lineRule="auto"/>
        <w:jc w:val="both"/>
        <w:rPr>
          <w:rFonts w:cstheme="minorHAnsi"/>
          <w:sz w:val="18"/>
          <w:szCs w:val="18"/>
        </w:rPr>
      </w:pPr>
      <w:r w:rsidRPr="002C23BE">
        <w:rPr>
          <w:rFonts w:cstheme="minorHAnsi"/>
          <w:sz w:val="18"/>
          <w:szCs w:val="18"/>
        </w:rPr>
        <w:t>24.22 Proportion of teachers with disabilities disaggregated by sex,</w:t>
      </w:r>
      <w:r>
        <w:rPr>
          <w:rFonts w:cstheme="minorHAnsi"/>
          <w:sz w:val="18"/>
          <w:szCs w:val="18"/>
        </w:rPr>
        <w:t xml:space="preserve"> age,</w:t>
      </w:r>
      <w:r w:rsidRPr="002C23BE">
        <w:rPr>
          <w:rFonts w:cstheme="minorHAnsi"/>
          <w:sz w:val="18"/>
          <w:szCs w:val="18"/>
        </w:rPr>
        <w:t xml:space="preserve"> disability</w:t>
      </w:r>
      <w:r>
        <w:rPr>
          <w:rFonts w:cstheme="minorHAnsi"/>
          <w:sz w:val="18"/>
          <w:szCs w:val="18"/>
        </w:rPr>
        <w:t>,</w:t>
      </w:r>
      <w:r w:rsidRPr="002C23BE">
        <w:rPr>
          <w:rFonts w:cstheme="minorHAnsi"/>
          <w:sz w:val="18"/>
          <w:szCs w:val="18"/>
        </w:rPr>
        <w:t xml:space="preserve"> </w:t>
      </w:r>
      <w:r>
        <w:rPr>
          <w:rFonts w:cstheme="minorHAnsi"/>
          <w:sz w:val="18"/>
          <w:szCs w:val="18"/>
        </w:rPr>
        <w:t xml:space="preserve">minority or indigenous background, </w:t>
      </w:r>
      <w:r w:rsidRPr="002C23BE">
        <w:rPr>
          <w:rFonts w:cstheme="minorHAnsi"/>
          <w:sz w:val="18"/>
          <w:szCs w:val="18"/>
        </w:rPr>
        <w:t>and type of educational institution where employed.</w:t>
      </w:r>
      <w:r w:rsidRPr="002C23BE">
        <w:rPr>
          <w:rStyle w:val="EndnoteReference"/>
          <w:rFonts w:cstheme="minorHAnsi"/>
          <w:sz w:val="18"/>
          <w:szCs w:val="18"/>
        </w:rPr>
        <w:endnoteReference w:id="7"/>
      </w:r>
      <w:r w:rsidRPr="002C23BE">
        <w:rPr>
          <w:rFonts w:cstheme="minorHAnsi"/>
          <w:sz w:val="18"/>
          <w:szCs w:val="18"/>
        </w:rPr>
        <w:t xml:space="preserve"> </w:t>
      </w:r>
    </w:p>
    <w:p w14:paraId="6A7AD111"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24.23 Awareness raising campaigns and activities to promote inclusive education and inform students, education staff, families and the general public of the duty to provide, and the right to inclusive education and related benefits for society.</w:t>
      </w:r>
    </w:p>
    <w:p w14:paraId="04B3708A"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 xml:space="preserve">24.24 Budget allocated to ensure the right of persons with disabilities to inclusive education in mainstream settings, as compared to budget allocated to segregated/separated education settings, whether in mainstream or special schools. </w:t>
      </w:r>
    </w:p>
    <w:p w14:paraId="72F11F2B"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24.25</w:t>
      </w:r>
      <w:r w:rsidRPr="002C23BE">
        <w:rPr>
          <w:rFonts w:cstheme="minorHAnsi"/>
          <w:b/>
          <w:sz w:val="18"/>
          <w:szCs w:val="18"/>
        </w:rPr>
        <w:t xml:space="preserve"> </w:t>
      </w:r>
      <w:r w:rsidRPr="002C23BE">
        <w:rPr>
          <w:rFonts w:cstheme="minorHAnsi"/>
          <w:sz w:val="18"/>
          <w:szCs w:val="18"/>
        </w:rPr>
        <w:t xml:space="preserve">Consultation processes undertaken to ensure the active involvement of persons with disabilities, notably children with disabilities, </w:t>
      </w:r>
      <w:r w:rsidRPr="00EA56A0">
        <w:rPr>
          <w:rFonts w:cstheme="minorHAnsi"/>
          <w:color w:val="444444"/>
          <w:sz w:val="18"/>
          <w:szCs w:val="18"/>
        </w:rPr>
        <w:t>including</w:t>
      </w:r>
      <w:r w:rsidRPr="002C23BE">
        <w:rPr>
          <w:rFonts w:cstheme="minorHAnsi"/>
          <w:sz w:val="18"/>
          <w:szCs w:val="18"/>
        </w:rPr>
        <w:t xml:space="preserve"> through their representative organizations, in the design, implementation and monitoring of laws, regulations, policies and program</w:t>
      </w:r>
      <w:r>
        <w:rPr>
          <w:rFonts w:cstheme="minorHAnsi"/>
          <w:sz w:val="18"/>
          <w:szCs w:val="18"/>
        </w:rPr>
        <w:t>me</w:t>
      </w:r>
      <w:r w:rsidRPr="002C23BE">
        <w:rPr>
          <w:rFonts w:cstheme="minorHAnsi"/>
          <w:sz w:val="18"/>
          <w:szCs w:val="18"/>
        </w:rPr>
        <w:t>s, related to education initiatives and reform.</w:t>
      </w:r>
      <w:r w:rsidRPr="002C23BE">
        <w:rPr>
          <w:rStyle w:val="EndnoteReference"/>
          <w:rFonts w:cstheme="minorHAnsi"/>
          <w:sz w:val="18"/>
          <w:szCs w:val="18"/>
        </w:rPr>
        <w:t xml:space="preserve"> </w:t>
      </w:r>
      <w:r w:rsidRPr="002C23BE">
        <w:rPr>
          <w:rStyle w:val="EndnoteReference"/>
          <w:rFonts w:cstheme="minorHAnsi"/>
          <w:sz w:val="18"/>
          <w:szCs w:val="18"/>
        </w:rPr>
        <w:endnoteReference w:id="8"/>
      </w:r>
    </w:p>
    <w:p w14:paraId="2745A7F0" w14:textId="4D09CC45" w:rsidR="00DF2C3D" w:rsidRDefault="00DF2C3D" w:rsidP="00DF2C3D">
      <w:pPr>
        <w:spacing w:after="0" w:line="240" w:lineRule="auto"/>
        <w:jc w:val="both"/>
        <w:rPr>
          <w:rFonts w:cstheme="minorHAnsi"/>
          <w:sz w:val="18"/>
          <w:szCs w:val="18"/>
        </w:rPr>
      </w:pPr>
      <w:r w:rsidRPr="002C23BE">
        <w:rPr>
          <w:rFonts w:cstheme="minorHAnsi"/>
          <w:sz w:val="18"/>
          <w:szCs w:val="18"/>
        </w:rPr>
        <w:t xml:space="preserve">24.26 </w:t>
      </w:r>
      <w:r w:rsidRPr="004E036F">
        <w:rPr>
          <w:rFonts w:cstheme="minorHAnsi"/>
          <w:sz w:val="18"/>
          <w:szCs w:val="18"/>
        </w:rPr>
        <w:t>Proportion of received complaints on the right to education alleging discrimination on the basis of disability and/or involving children and adults with disabilities that have been investigated and adjudica</w:t>
      </w:r>
      <w:r>
        <w:rPr>
          <w:rFonts w:cstheme="minorHAnsi"/>
          <w:sz w:val="18"/>
          <w:szCs w:val="18"/>
        </w:rPr>
        <w:t xml:space="preserve">ted; proportion of those found </w:t>
      </w:r>
      <w:r w:rsidRPr="004E036F">
        <w:rPr>
          <w:rFonts w:cstheme="minorHAnsi"/>
          <w:sz w:val="18"/>
          <w:szCs w:val="18"/>
        </w:rPr>
        <w:t>in favour of the complainant; and proportion of the latter that have been complied with by the government and/or duty bearer (</w:t>
      </w:r>
      <w:proofErr w:type="gramStart"/>
      <w:r w:rsidRPr="004E036F">
        <w:rPr>
          <w:rFonts w:cstheme="minorHAnsi"/>
          <w:sz w:val="18"/>
          <w:szCs w:val="18"/>
        </w:rPr>
        <w:t>e.g.</w:t>
      </w:r>
      <w:proofErr w:type="gramEnd"/>
      <w:r w:rsidRPr="004E036F">
        <w:rPr>
          <w:rFonts w:cstheme="minorHAnsi"/>
          <w:sz w:val="18"/>
          <w:szCs w:val="18"/>
        </w:rPr>
        <w:t xml:space="preserve"> private school); each disaggregated by kind of mechanism.</w:t>
      </w:r>
    </w:p>
    <w:p w14:paraId="0BEE49B0" w14:textId="77777777" w:rsidR="00602B64" w:rsidRPr="002C23BE" w:rsidRDefault="00602B64" w:rsidP="00DF2C3D">
      <w:pPr>
        <w:spacing w:after="0" w:line="240" w:lineRule="auto"/>
        <w:jc w:val="both"/>
        <w:rPr>
          <w:rFonts w:cstheme="minorHAnsi"/>
          <w:sz w:val="18"/>
          <w:szCs w:val="18"/>
        </w:rPr>
      </w:pPr>
    </w:p>
    <w:p w14:paraId="36486AA5" w14:textId="096CE608" w:rsidR="00DF2C3D" w:rsidRPr="00DD35DD" w:rsidRDefault="00602B64" w:rsidP="0070525F">
      <w:pPr>
        <w:pStyle w:val="Heading2"/>
      </w:pPr>
      <w:r>
        <w:t xml:space="preserve">Outcome </w:t>
      </w:r>
      <w:r w:rsidRPr="000534F0">
        <w:t>Indicators</w:t>
      </w:r>
    </w:p>
    <w:p w14:paraId="13300839"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 xml:space="preserve">24.27 Rates of persons with disabilities relating to children with disabilities out of school, rate of enrolment, attendance, </w:t>
      </w:r>
      <w:r w:rsidRPr="002C23BE">
        <w:rPr>
          <w:sz w:val="18"/>
          <w:szCs w:val="18"/>
        </w:rPr>
        <w:t>promotion by grade</w:t>
      </w:r>
      <w:r w:rsidRPr="002C23BE">
        <w:rPr>
          <w:rFonts w:cstheme="minorHAnsi"/>
          <w:sz w:val="18"/>
          <w:szCs w:val="18"/>
        </w:rPr>
        <w:t>, completion,</w:t>
      </w:r>
      <w:r w:rsidRPr="002C23BE">
        <w:rPr>
          <w:rStyle w:val="EndnoteReference"/>
          <w:rFonts w:cstheme="minorHAnsi"/>
          <w:sz w:val="18"/>
          <w:szCs w:val="18"/>
        </w:rPr>
        <w:endnoteReference w:id="9"/>
      </w:r>
      <w:r w:rsidRPr="002C23BE">
        <w:rPr>
          <w:rFonts w:cstheme="minorHAnsi"/>
          <w:sz w:val="18"/>
          <w:szCs w:val="18"/>
        </w:rPr>
        <w:t xml:space="preserve"> and drop out in mainstream primary, secondary, tertiary educational institutions, vocational training, lifelong learning courses, as compared to others, disaggregated by sex, age, disability,</w:t>
      </w:r>
      <w:r>
        <w:rPr>
          <w:rFonts w:cstheme="minorHAnsi"/>
          <w:sz w:val="18"/>
          <w:szCs w:val="18"/>
        </w:rPr>
        <w:t xml:space="preserve"> minority or indigenous background,</w:t>
      </w:r>
      <w:r w:rsidRPr="002C23BE">
        <w:rPr>
          <w:rFonts w:cstheme="minorHAnsi"/>
          <w:sz w:val="18"/>
          <w:szCs w:val="18"/>
        </w:rPr>
        <w:t xml:space="preserve"> grade and level of education.  </w:t>
      </w:r>
    </w:p>
    <w:p w14:paraId="34B822BD"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24.28 Proportion of children and young people: (a) in grades 2/3; (b) at the end of primary; and (c) at the end of lower secondary achieving at least a minimum proficiency level in (</w:t>
      </w:r>
      <w:proofErr w:type="spellStart"/>
      <w:r w:rsidRPr="002C23BE">
        <w:rPr>
          <w:rFonts w:cstheme="minorHAnsi"/>
          <w:sz w:val="18"/>
          <w:szCs w:val="18"/>
        </w:rPr>
        <w:t>i</w:t>
      </w:r>
      <w:proofErr w:type="spellEnd"/>
      <w:r w:rsidRPr="002C23BE">
        <w:rPr>
          <w:rFonts w:cstheme="minorHAnsi"/>
          <w:sz w:val="18"/>
          <w:szCs w:val="18"/>
        </w:rPr>
        <w:t>) reading and</w:t>
      </w:r>
    </w:p>
    <w:p w14:paraId="171970B3" w14:textId="77777777" w:rsidR="00DF2C3D" w:rsidRPr="002C23BE" w:rsidRDefault="00DF2C3D" w:rsidP="00DF2C3D">
      <w:pPr>
        <w:spacing w:after="0" w:line="240" w:lineRule="auto"/>
        <w:jc w:val="both"/>
        <w:rPr>
          <w:rFonts w:cstheme="minorHAnsi"/>
          <w:sz w:val="18"/>
          <w:szCs w:val="18"/>
        </w:rPr>
      </w:pPr>
      <w:r w:rsidRPr="002C23BE">
        <w:rPr>
          <w:rFonts w:cstheme="minorHAnsi"/>
          <w:sz w:val="18"/>
          <w:szCs w:val="18"/>
        </w:rPr>
        <w:t>(ii) mathematics, by sex (SDG indicator 4.1.1) disability</w:t>
      </w:r>
      <w:r>
        <w:rPr>
          <w:rFonts w:cstheme="minorHAnsi"/>
          <w:sz w:val="18"/>
          <w:szCs w:val="18"/>
        </w:rPr>
        <w:t xml:space="preserve"> and minority or indigenous background. (Idem 7.25)</w:t>
      </w:r>
    </w:p>
    <w:p w14:paraId="460533CE" w14:textId="136C92C4" w:rsidR="00DF2C3D" w:rsidRPr="002C23BE" w:rsidRDefault="00DF2C3D" w:rsidP="00DF2C3D">
      <w:pPr>
        <w:spacing w:after="0" w:line="240" w:lineRule="auto"/>
        <w:ind w:hanging="25"/>
        <w:jc w:val="both"/>
        <w:rPr>
          <w:rFonts w:eastAsia="Times New Roman" w:cstheme="minorHAnsi"/>
          <w:sz w:val="18"/>
          <w:szCs w:val="18"/>
          <w:lang w:eastAsia="en-GB"/>
        </w:rPr>
      </w:pPr>
      <w:r w:rsidRPr="002C23BE">
        <w:rPr>
          <w:rFonts w:eastAsia="Times New Roman" w:cstheme="minorHAnsi"/>
          <w:sz w:val="18"/>
          <w:szCs w:val="18"/>
          <w:lang w:eastAsia="en-GB"/>
        </w:rPr>
        <w:t xml:space="preserve">24.29 </w:t>
      </w:r>
      <w:r w:rsidR="00B75D4D">
        <w:rPr>
          <w:rFonts w:eastAsia="Times New Roman" w:cstheme="minorHAnsi"/>
          <w:sz w:val="18"/>
          <w:szCs w:val="18"/>
          <w:lang w:eastAsia="en-GB"/>
        </w:rPr>
        <w:t>Proportion</w:t>
      </w:r>
      <w:r w:rsidRPr="002C23BE">
        <w:rPr>
          <w:rFonts w:eastAsia="Times New Roman" w:cstheme="minorHAnsi"/>
          <w:sz w:val="18"/>
          <w:szCs w:val="18"/>
          <w:lang w:eastAsia="en-GB"/>
        </w:rPr>
        <w:t xml:space="preserve"> of population in a given age group achieving at least a fixed level of proficiency in functional literacy and numeracy skills, by sex (SDG indicator 4.6.1)</w:t>
      </w:r>
      <w:r>
        <w:rPr>
          <w:rFonts w:eastAsia="Times New Roman" w:cstheme="minorHAnsi"/>
          <w:sz w:val="18"/>
          <w:szCs w:val="18"/>
          <w:lang w:eastAsia="en-GB"/>
        </w:rPr>
        <w:t xml:space="preserve">, </w:t>
      </w:r>
      <w:r w:rsidRPr="002C23BE">
        <w:rPr>
          <w:rFonts w:eastAsia="Times New Roman" w:cstheme="minorHAnsi"/>
          <w:sz w:val="18"/>
          <w:szCs w:val="18"/>
          <w:lang w:eastAsia="en-GB"/>
        </w:rPr>
        <w:t>disability</w:t>
      </w:r>
      <w:r>
        <w:rPr>
          <w:rFonts w:eastAsia="Times New Roman" w:cstheme="minorHAnsi"/>
          <w:sz w:val="18"/>
          <w:szCs w:val="18"/>
          <w:lang w:eastAsia="en-GB"/>
        </w:rPr>
        <w:t xml:space="preserve"> and minority or indigenous background</w:t>
      </w:r>
      <w:r w:rsidRPr="002C23BE">
        <w:rPr>
          <w:rFonts w:eastAsia="Times New Roman" w:cstheme="minorHAnsi"/>
          <w:sz w:val="18"/>
          <w:szCs w:val="18"/>
          <w:lang w:eastAsia="en-GB"/>
        </w:rPr>
        <w:t>.</w:t>
      </w:r>
    </w:p>
    <w:p w14:paraId="50A14931" w14:textId="77777777" w:rsidR="00DF2C3D" w:rsidRPr="002C23BE" w:rsidRDefault="00DF2C3D" w:rsidP="00DF2C3D">
      <w:pPr>
        <w:pStyle w:val="NoSpacing"/>
        <w:jc w:val="both"/>
        <w:rPr>
          <w:rFonts w:eastAsia="Times New Roman" w:cstheme="minorHAnsi"/>
          <w:sz w:val="18"/>
          <w:szCs w:val="18"/>
          <w:lang w:eastAsia="en-GB"/>
        </w:rPr>
      </w:pPr>
      <w:r w:rsidRPr="002C23BE">
        <w:rPr>
          <w:rFonts w:cstheme="minorHAnsi"/>
          <w:sz w:val="18"/>
          <w:szCs w:val="18"/>
          <w:lang w:eastAsia="en-GB"/>
        </w:rPr>
        <w:lastRenderedPageBreak/>
        <w:t>24.30 Proportion of youth and adults with information and communications technology (ICT) skills, by type of skill (SDG indicator 4.4.1) disaggregated by</w:t>
      </w:r>
      <w:r>
        <w:rPr>
          <w:rFonts w:cstheme="minorHAnsi"/>
          <w:sz w:val="18"/>
          <w:szCs w:val="18"/>
          <w:lang w:eastAsia="en-GB"/>
        </w:rPr>
        <w:t xml:space="preserve"> </w:t>
      </w:r>
      <w:r w:rsidRPr="002C23BE">
        <w:rPr>
          <w:rFonts w:cstheme="minorHAnsi"/>
          <w:sz w:val="18"/>
          <w:szCs w:val="18"/>
          <w:lang w:eastAsia="en-GB"/>
        </w:rPr>
        <w:t>sex</w:t>
      </w:r>
      <w:r>
        <w:rPr>
          <w:rFonts w:cstheme="minorHAnsi"/>
          <w:sz w:val="18"/>
          <w:szCs w:val="18"/>
          <w:lang w:eastAsia="en-GB"/>
        </w:rPr>
        <w:t>, age</w:t>
      </w:r>
      <w:r w:rsidRPr="002C23BE">
        <w:rPr>
          <w:rFonts w:cstheme="minorHAnsi"/>
          <w:sz w:val="18"/>
          <w:szCs w:val="18"/>
          <w:lang w:eastAsia="en-GB"/>
        </w:rPr>
        <w:t xml:space="preserve"> and disability.</w:t>
      </w:r>
      <w:r w:rsidRPr="002C23BE">
        <w:rPr>
          <w:rFonts w:eastAsia="Times New Roman" w:cstheme="minorHAnsi"/>
          <w:sz w:val="18"/>
          <w:szCs w:val="18"/>
          <w:lang w:eastAsia="en-GB"/>
        </w:rPr>
        <w:t xml:space="preserve"> </w:t>
      </w:r>
    </w:p>
    <w:p w14:paraId="33F749E8" w14:textId="77777777" w:rsidR="00D856CB" w:rsidRPr="00097871" w:rsidRDefault="00D856CB" w:rsidP="00097871">
      <w:pPr>
        <w:spacing w:after="0" w:line="240" w:lineRule="auto"/>
        <w:contextualSpacing/>
        <w:rPr>
          <w:rFonts w:cstheme="minorHAnsi"/>
          <w:sz w:val="18"/>
          <w:szCs w:val="18"/>
        </w:rPr>
      </w:pPr>
    </w:p>
    <w:p w14:paraId="1875FFD9" w14:textId="2B7FE0B7" w:rsidR="007A5986" w:rsidRDefault="00D856CB" w:rsidP="0070525F">
      <w:pPr>
        <w:pStyle w:val="Heading1"/>
      </w:pPr>
      <w:r w:rsidRPr="00097871">
        <w:t>ANNEX</w:t>
      </w:r>
    </w:p>
    <w:p w14:paraId="63DC9DA0" w14:textId="2CE14811" w:rsidR="000534F0" w:rsidRPr="000534F0" w:rsidRDefault="000534F0" w:rsidP="000534F0">
      <w:pPr>
        <w:spacing w:after="0" w:line="240" w:lineRule="auto"/>
        <w:contextualSpacing/>
        <w:rPr>
          <w:sz w:val="18"/>
          <w:szCs w:val="18"/>
        </w:rPr>
      </w:pPr>
      <w:r>
        <w:rPr>
          <w:rFonts w:cstheme="minorHAnsi"/>
          <w:sz w:val="18"/>
          <w:szCs w:val="18"/>
        </w:rPr>
        <w:t xml:space="preserve">*See CRPD Committee’s </w:t>
      </w:r>
      <w:hyperlink r:id="rId8" w:history="1">
        <w:r w:rsidRPr="00B15D08">
          <w:rPr>
            <w:rStyle w:val="Hyperlink"/>
            <w:rFonts w:cstheme="minorHAnsi"/>
            <w:sz w:val="18"/>
            <w:szCs w:val="18"/>
          </w:rPr>
          <w:t>general comment no 4</w:t>
        </w:r>
      </w:hyperlink>
      <w:r>
        <w:rPr>
          <w:rFonts w:cstheme="minorHAnsi"/>
          <w:sz w:val="18"/>
          <w:szCs w:val="18"/>
        </w:rPr>
        <w:t xml:space="preserve"> on the right to inclusive education.</w:t>
      </w:r>
    </w:p>
    <w:sectPr w:rsidR="000534F0" w:rsidRPr="000534F0" w:rsidSect="00097871">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F2504" w14:textId="77777777" w:rsidR="00E07451" w:rsidRDefault="00E07451" w:rsidP="00CD1CE5">
      <w:pPr>
        <w:spacing w:after="0" w:line="240" w:lineRule="auto"/>
      </w:pPr>
      <w:r>
        <w:separator/>
      </w:r>
    </w:p>
  </w:endnote>
  <w:endnote w:type="continuationSeparator" w:id="0">
    <w:p w14:paraId="30D86581" w14:textId="77777777" w:rsidR="00E07451" w:rsidRDefault="00E07451" w:rsidP="00CD1CE5">
      <w:pPr>
        <w:spacing w:after="0" w:line="240" w:lineRule="auto"/>
      </w:pPr>
      <w:r>
        <w:continuationSeparator/>
      </w:r>
    </w:p>
  </w:endnote>
  <w:endnote w:id="1">
    <w:p w14:paraId="5681B118" w14:textId="77777777" w:rsidR="00DF2C3D" w:rsidRPr="00DD35DD" w:rsidRDefault="00DF2C3D" w:rsidP="00C4208D">
      <w:pPr>
        <w:pStyle w:val="EndnoteText"/>
        <w:rPr>
          <w:sz w:val="18"/>
          <w:szCs w:val="18"/>
        </w:rPr>
      </w:pPr>
      <w:r w:rsidRPr="00DD35DD">
        <w:rPr>
          <w:rStyle w:val="EndnoteReference"/>
          <w:sz w:val="18"/>
          <w:szCs w:val="18"/>
        </w:rPr>
        <w:endnoteRef/>
      </w:r>
      <w:r w:rsidRPr="00DD35DD">
        <w:rPr>
          <w:sz w:val="18"/>
          <w:szCs w:val="18"/>
        </w:rPr>
        <w:t xml:space="preserve"> All levels of education include</w:t>
      </w:r>
      <w:r>
        <w:rPr>
          <w:sz w:val="18"/>
          <w:szCs w:val="18"/>
        </w:rPr>
        <w:t xml:space="preserve"> early childhood,</w:t>
      </w:r>
      <w:r w:rsidRPr="00DD35DD">
        <w:rPr>
          <w:sz w:val="18"/>
          <w:szCs w:val="18"/>
        </w:rPr>
        <w:t xml:space="preserve"> primary, secondary, tertiary, vocational, adult education and lifelong learning. The following elements should be included in the legislation:</w:t>
      </w:r>
    </w:p>
    <w:p w14:paraId="4873CCD2" w14:textId="77777777" w:rsidR="00DF2C3D" w:rsidRPr="00DD35DD" w:rsidRDefault="00DF2C3D" w:rsidP="00C4208D">
      <w:pPr>
        <w:pStyle w:val="ListParagraph"/>
        <w:numPr>
          <w:ilvl w:val="0"/>
          <w:numId w:val="8"/>
        </w:numPr>
        <w:spacing w:after="0" w:line="240" w:lineRule="auto"/>
        <w:contextualSpacing w:val="0"/>
        <w:jc w:val="both"/>
        <w:rPr>
          <w:sz w:val="18"/>
          <w:szCs w:val="18"/>
        </w:rPr>
      </w:pPr>
      <w:r w:rsidRPr="00DD35DD">
        <w:rPr>
          <w:sz w:val="18"/>
          <w:szCs w:val="18"/>
        </w:rPr>
        <w:t xml:space="preserve">a clear definition of inclusive education consistent with the Convention on the Rights of Persons with </w:t>
      </w:r>
      <w:proofErr w:type="gramStart"/>
      <w:r w:rsidRPr="00DD35DD">
        <w:rPr>
          <w:sz w:val="18"/>
          <w:szCs w:val="18"/>
        </w:rPr>
        <w:t>Disabilities;</w:t>
      </w:r>
      <w:proofErr w:type="gramEnd"/>
    </w:p>
    <w:p w14:paraId="1D856BBC" w14:textId="77777777" w:rsidR="00DF2C3D" w:rsidRPr="00DD35DD" w:rsidRDefault="00DF2C3D" w:rsidP="00C4208D">
      <w:pPr>
        <w:pStyle w:val="ListParagraph"/>
        <w:numPr>
          <w:ilvl w:val="0"/>
          <w:numId w:val="8"/>
        </w:numPr>
        <w:spacing w:after="0" w:line="240" w:lineRule="auto"/>
        <w:contextualSpacing w:val="0"/>
        <w:jc w:val="both"/>
        <w:rPr>
          <w:sz w:val="18"/>
          <w:szCs w:val="18"/>
        </w:rPr>
      </w:pPr>
      <w:r w:rsidRPr="00DD35DD">
        <w:rPr>
          <w:sz w:val="18"/>
          <w:szCs w:val="18"/>
        </w:rPr>
        <w:t>the prohibition of discrimination on the basis of</w:t>
      </w:r>
      <w:r>
        <w:rPr>
          <w:sz w:val="18"/>
          <w:szCs w:val="18"/>
        </w:rPr>
        <w:t xml:space="preserve"> actual or perceived</w:t>
      </w:r>
      <w:r w:rsidRPr="00DD35DD">
        <w:rPr>
          <w:sz w:val="18"/>
          <w:szCs w:val="18"/>
        </w:rPr>
        <w:t xml:space="preserve"> </w:t>
      </w:r>
      <w:proofErr w:type="gramStart"/>
      <w:r w:rsidRPr="00DD35DD">
        <w:rPr>
          <w:sz w:val="18"/>
          <w:szCs w:val="18"/>
        </w:rPr>
        <w:t>impairment;</w:t>
      </w:r>
      <w:proofErr w:type="gramEnd"/>
    </w:p>
    <w:p w14:paraId="2282BDCD" w14:textId="77777777" w:rsidR="00DF2C3D" w:rsidRPr="00DD35DD" w:rsidRDefault="00DF2C3D" w:rsidP="00C4208D">
      <w:pPr>
        <w:pStyle w:val="ListParagraph"/>
        <w:numPr>
          <w:ilvl w:val="0"/>
          <w:numId w:val="8"/>
        </w:numPr>
        <w:spacing w:after="0" w:line="240" w:lineRule="auto"/>
        <w:contextualSpacing w:val="0"/>
        <w:jc w:val="both"/>
        <w:rPr>
          <w:sz w:val="18"/>
          <w:szCs w:val="18"/>
        </w:rPr>
      </w:pPr>
      <w:r w:rsidRPr="00DD35DD">
        <w:rPr>
          <w:sz w:val="18"/>
          <w:szCs w:val="18"/>
        </w:rPr>
        <w:t xml:space="preserve">a “non-rejection” </w:t>
      </w:r>
      <w:proofErr w:type="gramStart"/>
      <w:r w:rsidRPr="00DD35DD">
        <w:rPr>
          <w:sz w:val="18"/>
          <w:szCs w:val="18"/>
        </w:rPr>
        <w:t>clause;</w:t>
      </w:r>
      <w:proofErr w:type="gramEnd"/>
    </w:p>
    <w:p w14:paraId="0CB82549" w14:textId="77777777" w:rsidR="00DF2C3D" w:rsidRPr="00DD35DD" w:rsidRDefault="00DF2C3D" w:rsidP="00C4208D">
      <w:pPr>
        <w:pStyle w:val="ListParagraph"/>
        <w:numPr>
          <w:ilvl w:val="0"/>
          <w:numId w:val="8"/>
        </w:numPr>
        <w:spacing w:after="0" w:line="240" w:lineRule="auto"/>
        <w:ind w:left="714" w:hanging="357"/>
        <w:contextualSpacing w:val="0"/>
        <w:jc w:val="both"/>
        <w:rPr>
          <w:sz w:val="18"/>
          <w:szCs w:val="18"/>
        </w:rPr>
      </w:pPr>
      <w:r w:rsidRPr="00DD35DD">
        <w:rPr>
          <w:sz w:val="18"/>
          <w:szCs w:val="18"/>
        </w:rPr>
        <w:t xml:space="preserve">the obligation to provide reasonable accommodation and </w:t>
      </w:r>
      <w:proofErr w:type="gramStart"/>
      <w:r w:rsidRPr="00DD35DD">
        <w:rPr>
          <w:sz w:val="18"/>
          <w:szCs w:val="18"/>
        </w:rPr>
        <w:t>support;</w:t>
      </w:r>
      <w:proofErr w:type="gramEnd"/>
    </w:p>
    <w:p w14:paraId="0F7B23C2" w14:textId="77777777" w:rsidR="00DF2C3D" w:rsidRPr="00B77209" w:rsidRDefault="00DF2C3D" w:rsidP="00C4208D">
      <w:pPr>
        <w:pStyle w:val="ListParagraph"/>
        <w:numPr>
          <w:ilvl w:val="0"/>
          <w:numId w:val="8"/>
        </w:numPr>
        <w:spacing w:after="0" w:line="240" w:lineRule="auto"/>
        <w:ind w:left="714" w:hanging="357"/>
        <w:contextualSpacing w:val="0"/>
        <w:jc w:val="both"/>
        <w:rPr>
          <w:sz w:val="18"/>
          <w:szCs w:val="18"/>
        </w:rPr>
      </w:pPr>
      <w:r w:rsidRPr="00B77209">
        <w:rPr>
          <w:sz w:val="18"/>
          <w:szCs w:val="18"/>
        </w:rPr>
        <w:t>designating the responsibility for all children, including children with disabilities, under the Ministry of Education; and</w:t>
      </w:r>
    </w:p>
    <w:p w14:paraId="021792D6" w14:textId="77777777" w:rsidR="00DF2C3D" w:rsidRPr="00B77209" w:rsidRDefault="00DF2C3D" w:rsidP="00C4208D">
      <w:pPr>
        <w:pStyle w:val="ListParagraph"/>
        <w:numPr>
          <w:ilvl w:val="0"/>
          <w:numId w:val="8"/>
        </w:numPr>
        <w:spacing w:after="0" w:line="240" w:lineRule="auto"/>
        <w:ind w:left="714" w:hanging="357"/>
        <w:contextualSpacing w:val="0"/>
        <w:jc w:val="both"/>
        <w:rPr>
          <w:sz w:val="18"/>
          <w:szCs w:val="18"/>
        </w:rPr>
      </w:pPr>
      <w:r w:rsidRPr="00B77209">
        <w:rPr>
          <w:sz w:val="18"/>
          <w:szCs w:val="18"/>
        </w:rPr>
        <w:t>the right of all learners to be taught in their mother tongue, including sign language</w:t>
      </w:r>
      <w:r w:rsidRPr="00D10DB6">
        <w:rPr>
          <w:sz w:val="18"/>
          <w:szCs w:val="18"/>
        </w:rPr>
        <w:t xml:space="preserve">, </w:t>
      </w:r>
      <w:r w:rsidRPr="00B77209">
        <w:rPr>
          <w:sz w:val="18"/>
          <w:szCs w:val="18"/>
        </w:rPr>
        <w:t>indigenous</w:t>
      </w:r>
      <w:r w:rsidRPr="00D10DB6">
        <w:rPr>
          <w:sz w:val="18"/>
          <w:szCs w:val="18"/>
        </w:rPr>
        <w:t>/minority</w:t>
      </w:r>
      <w:r w:rsidRPr="00B77209">
        <w:rPr>
          <w:sz w:val="18"/>
          <w:szCs w:val="18"/>
        </w:rPr>
        <w:t xml:space="preserve"> languages.</w:t>
      </w:r>
    </w:p>
  </w:endnote>
  <w:endnote w:id="2">
    <w:p w14:paraId="5D68C88C" w14:textId="77777777" w:rsidR="00DF2C3D" w:rsidRPr="003374AB" w:rsidRDefault="00DF2C3D">
      <w:pPr>
        <w:pStyle w:val="EndnoteText"/>
        <w:rPr>
          <w:sz w:val="18"/>
          <w:szCs w:val="18"/>
          <w:lang w:val="en-US"/>
        </w:rPr>
      </w:pPr>
      <w:r w:rsidRPr="00B77209">
        <w:rPr>
          <w:rStyle w:val="EndnoteReference"/>
          <w:sz w:val="18"/>
          <w:szCs w:val="18"/>
        </w:rPr>
        <w:endnoteRef/>
      </w:r>
      <w:r w:rsidRPr="00B77209">
        <w:rPr>
          <w:sz w:val="18"/>
          <w:szCs w:val="18"/>
        </w:rPr>
        <w:t xml:space="preserve"> </w:t>
      </w:r>
      <w:r w:rsidRPr="00B77209">
        <w:rPr>
          <w:sz w:val="18"/>
          <w:szCs w:val="18"/>
          <w:lang w:val="en-US"/>
        </w:rPr>
        <w:t>Such a plan should include clear targets, benchmarks, coverage and timeframe, with measures to engage teachers</w:t>
      </w:r>
      <w:r w:rsidRPr="003374AB">
        <w:rPr>
          <w:sz w:val="18"/>
          <w:szCs w:val="18"/>
          <w:lang w:val="en-US"/>
        </w:rPr>
        <w:t>, students, parents of both children with disabilities and others, and the wider community as part of awareness-raising efforts for the promotion of inclusive education.</w:t>
      </w:r>
    </w:p>
  </w:endnote>
  <w:endnote w:id="3">
    <w:p w14:paraId="17E29488" w14:textId="77777777" w:rsidR="00DF2C3D" w:rsidRPr="00606A35" w:rsidRDefault="00DF2C3D" w:rsidP="00C4208D">
      <w:pPr>
        <w:pStyle w:val="EndnoteText"/>
        <w:rPr>
          <w:rFonts w:ascii="Calibri" w:hAnsi="Calibri"/>
          <w:sz w:val="18"/>
          <w:szCs w:val="18"/>
        </w:rPr>
      </w:pPr>
      <w:r w:rsidRPr="00DD35DD">
        <w:rPr>
          <w:rStyle w:val="EndnoteReference"/>
          <w:sz w:val="18"/>
          <w:szCs w:val="18"/>
        </w:rPr>
        <w:endnoteRef/>
      </w:r>
      <w:r w:rsidRPr="00DD35DD">
        <w:rPr>
          <w:sz w:val="18"/>
          <w:szCs w:val="18"/>
        </w:rPr>
        <w:t xml:space="preserve"> </w:t>
      </w:r>
      <w:r>
        <w:rPr>
          <w:sz w:val="18"/>
          <w:szCs w:val="18"/>
        </w:rPr>
        <w:t>Training should be provided to administration staff and teachers of all kinds (</w:t>
      </w:r>
      <w:proofErr w:type="gramStart"/>
      <w:r>
        <w:rPr>
          <w:sz w:val="18"/>
          <w:szCs w:val="18"/>
        </w:rPr>
        <w:t>e.g.</w:t>
      </w:r>
      <w:proofErr w:type="gramEnd"/>
      <w:r>
        <w:rPr>
          <w:sz w:val="18"/>
          <w:szCs w:val="18"/>
        </w:rPr>
        <w:t xml:space="preserve"> physical education, sexuality education, etc.) and at all levels; </w:t>
      </w:r>
      <w:r w:rsidRPr="00DD35DD">
        <w:rPr>
          <w:rFonts w:ascii="Calibri" w:hAnsi="Calibri"/>
          <w:sz w:val="18"/>
          <w:szCs w:val="18"/>
        </w:rPr>
        <w:t>primary</w:t>
      </w:r>
      <w:r>
        <w:rPr>
          <w:rFonts w:ascii="Calibri" w:hAnsi="Calibri"/>
          <w:sz w:val="18"/>
          <w:szCs w:val="18"/>
        </w:rPr>
        <w:t>,</w:t>
      </w:r>
      <w:r w:rsidRPr="00DD35DD">
        <w:rPr>
          <w:rFonts w:ascii="Calibri" w:hAnsi="Calibri"/>
          <w:sz w:val="18"/>
          <w:szCs w:val="18"/>
        </w:rPr>
        <w:t xml:space="preserve"> secondary</w:t>
      </w:r>
      <w:r>
        <w:rPr>
          <w:rFonts w:ascii="Calibri" w:hAnsi="Calibri"/>
          <w:sz w:val="18"/>
          <w:szCs w:val="18"/>
        </w:rPr>
        <w:t>, tertiary</w:t>
      </w:r>
      <w:r w:rsidRPr="00DD35DD">
        <w:rPr>
          <w:rFonts w:ascii="Calibri" w:hAnsi="Calibri"/>
          <w:sz w:val="18"/>
          <w:szCs w:val="18"/>
        </w:rPr>
        <w:t>, technical and vocational education</w:t>
      </w:r>
      <w:r>
        <w:rPr>
          <w:rFonts w:ascii="Calibri" w:hAnsi="Calibri"/>
          <w:sz w:val="18"/>
          <w:szCs w:val="18"/>
        </w:rPr>
        <w:t xml:space="preserve"> </w:t>
      </w:r>
      <w:r w:rsidRPr="00DD35DD">
        <w:rPr>
          <w:rFonts w:ascii="Calibri" w:hAnsi="Calibri"/>
          <w:sz w:val="18"/>
          <w:szCs w:val="18"/>
        </w:rPr>
        <w:t>(</w:t>
      </w:r>
      <w:proofErr w:type="spellStart"/>
      <w:r w:rsidRPr="00DD35DD">
        <w:rPr>
          <w:rFonts w:ascii="Calibri" w:hAnsi="Calibri"/>
          <w:sz w:val="18"/>
          <w:szCs w:val="18"/>
        </w:rPr>
        <w:t>tVET</w:t>
      </w:r>
      <w:proofErr w:type="spellEnd"/>
      <w:r w:rsidRPr="00DD35DD">
        <w:rPr>
          <w:rFonts w:ascii="Calibri" w:hAnsi="Calibri"/>
          <w:sz w:val="18"/>
          <w:szCs w:val="18"/>
        </w:rPr>
        <w:t>) and training teachers.</w:t>
      </w:r>
      <w:r>
        <w:rPr>
          <w:rFonts w:ascii="Calibri" w:hAnsi="Calibri"/>
          <w:sz w:val="18"/>
          <w:szCs w:val="18"/>
        </w:rPr>
        <w:t xml:space="preserve"> P</w:t>
      </w:r>
      <w:r w:rsidRPr="00DD35DD">
        <w:rPr>
          <w:rFonts w:ascii="Calibri" w:hAnsi="Calibri"/>
          <w:sz w:val="18"/>
          <w:szCs w:val="18"/>
        </w:rPr>
        <w:t>re-service education training</w:t>
      </w:r>
      <w:r>
        <w:rPr>
          <w:rFonts w:ascii="Calibri" w:hAnsi="Calibri"/>
          <w:sz w:val="18"/>
          <w:szCs w:val="18"/>
        </w:rPr>
        <w:t xml:space="preserve"> refers to courses to become a teacher, </w:t>
      </w:r>
      <w:proofErr w:type="gramStart"/>
      <w:r>
        <w:rPr>
          <w:rFonts w:ascii="Calibri" w:hAnsi="Calibri"/>
          <w:sz w:val="18"/>
          <w:szCs w:val="18"/>
        </w:rPr>
        <w:t>e.g.</w:t>
      </w:r>
      <w:proofErr w:type="gramEnd"/>
      <w:r>
        <w:rPr>
          <w:rFonts w:ascii="Calibri" w:hAnsi="Calibri"/>
          <w:sz w:val="18"/>
          <w:szCs w:val="18"/>
        </w:rPr>
        <w:t xml:space="preserve"> in universities, and should include mandatory courses on inclusive education in their curricula</w:t>
      </w:r>
      <w:r w:rsidRPr="00606A35">
        <w:rPr>
          <w:rFonts w:ascii="Calibri" w:hAnsi="Calibri"/>
          <w:sz w:val="18"/>
          <w:szCs w:val="18"/>
        </w:rPr>
        <w:t xml:space="preserve">. In-service training </w:t>
      </w:r>
      <w:r>
        <w:rPr>
          <w:rFonts w:ascii="Calibri" w:hAnsi="Calibri"/>
          <w:sz w:val="18"/>
          <w:szCs w:val="18"/>
        </w:rPr>
        <w:t xml:space="preserve">refers to </w:t>
      </w:r>
      <w:r w:rsidRPr="00606A35">
        <w:rPr>
          <w:rFonts w:ascii="Calibri" w:hAnsi="Calibri"/>
          <w:sz w:val="18"/>
          <w:szCs w:val="18"/>
        </w:rPr>
        <w:t>education or training a teacher re</w:t>
      </w:r>
      <w:r>
        <w:rPr>
          <w:rFonts w:ascii="Calibri" w:hAnsi="Calibri"/>
          <w:sz w:val="18"/>
          <w:szCs w:val="18"/>
        </w:rPr>
        <w:t>ceives after they have obtained</w:t>
      </w:r>
      <w:r w:rsidRPr="00606A35">
        <w:rPr>
          <w:rFonts w:ascii="Calibri" w:hAnsi="Calibri"/>
          <w:sz w:val="18"/>
          <w:szCs w:val="18"/>
        </w:rPr>
        <w:t xml:space="preserve"> their teaching degree and are </w:t>
      </w:r>
      <w:r>
        <w:rPr>
          <w:rFonts w:ascii="Calibri" w:hAnsi="Calibri"/>
          <w:sz w:val="18"/>
          <w:szCs w:val="18"/>
        </w:rPr>
        <w:t>exercising the profession</w:t>
      </w:r>
      <w:r w:rsidRPr="00606A35">
        <w:rPr>
          <w:rFonts w:ascii="Calibri" w:hAnsi="Calibri"/>
          <w:sz w:val="18"/>
          <w:szCs w:val="18"/>
        </w:rPr>
        <w:t xml:space="preserve">. This can include professional development trainings, refresher courses and other education training opportunities. </w:t>
      </w:r>
      <w:r>
        <w:rPr>
          <w:rFonts w:ascii="Calibri" w:hAnsi="Calibri"/>
          <w:sz w:val="18"/>
          <w:szCs w:val="18"/>
        </w:rPr>
        <w:t>These mandatory courses should</w:t>
      </w:r>
      <w:r w:rsidRPr="00606A35">
        <w:rPr>
          <w:rFonts w:ascii="Calibri" w:hAnsi="Calibri"/>
          <w:sz w:val="18"/>
          <w:szCs w:val="18"/>
        </w:rPr>
        <w:t xml:space="preserve"> address:  </w:t>
      </w:r>
    </w:p>
    <w:p w14:paraId="6A68DE93" w14:textId="77777777" w:rsidR="00DF2C3D" w:rsidRPr="005841C1" w:rsidRDefault="00DF2C3D" w:rsidP="00C4208D">
      <w:pPr>
        <w:pStyle w:val="EndnoteText"/>
        <w:numPr>
          <w:ilvl w:val="0"/>
          <w:numId w:val="3"/>
        </w:numPr>
        <w:rPr>
          <w:sz w:val="18"/>
          <w:szCs w:val="18"/>
        </w:rPr>
      </w:pPr>
      <w:r w:rsidRPr="00606A35">
        <w:rPr>
          <w:rFonts w:ascii="Calibri" w:hAnsi="Calibri"/>
          <w:sz w:val="18"/>
          <w:szCs w:val="18"/>
        </w:rPr>
        <w:t>inclusive education pedagogy (for teachers mainly</w:t>
      </w:r>
      <w:proofErr w:type="gramStart"/>
      <w:r w:rsidRPr="00606A35">
        <w:rPr>
          <w:rFonts w:ascii="Calibri" w:hAnsi="Calibri"/>
          <w:sz w:val="18"/>
          <w:szCs w:val="18"/>
        </w:rPr>
        <w:t>)</w:t>
      </w:r>
      <w:r>
        <w:rPr>
          <w:rFonts w:ascii="Calibri" w:hAnsi="Calibri"/>
          <w:sz w:val="18"/>
          <w:szCs w:val="18"/>
        </w:rPr>
        <w:t>;</w:t>
      </w:r>
      <w:proofErr w:type="gramEnd"/>
    </w:p>
    <w:p w14:paraId="542F9DF2" w14:textId="77777777" w:rsidR="00DF2C3D" w:rsidRPr="005841C1" w:rsidRDefault="00DF2C3D" w:rsidP="00C4208D">
      <w:pPr>
        <w:pStyle w:val="EndnoteText"/>
        <w:numPr>
          <w:ilvl w:val="0"/>
          <w:numId w:val="3"/>
        </w:numPr>
        <w:rPr>
          <w:sz w:val="18"/>
          <w:szCs w:val="18"/>
        </w:rPr>
      </w:pPr>
      <w:r>
        <w:rPr>
          <w:rFonts w:ascii="Calibri" w:hAnsi="Calibri"/>
          <w:sz w:val="18"/>
          <w:szCs w:val="18"/>
        </w:rPr>
        <w:t xml:space="preserve">the human </w:t>
      </w:r>
      <w:proofErr w:type="gramStart"/>
      <w:r>
        <w:rPr>
          <w:rFonts w:ascii="Calibri" w:hAnsi="Calibri"/>
          <w:sz w:val="18"/>
          <w:szCs w:val="18"/>
        </w:rPr>
        <w:t>rights based</w:t>
      </w:r>
      <w:proofErr w:type="gramEnd"/>
      <w:r>
        <w:rPr>
          <w:rFonts w:ascii="Calibri" w:hAnsi="Calibri"/>
          <w:sz w:val="18"/>
          <w:szCs w:val="18"/>
        </w:rPr>
        <w:t xml:space="preserve"> approach to disability under the CRPD</w:t>
      </w:r>
      <w:r w:rsidRPr="005841C1">
        <w:rPr>
          <w:sz w:val="18"/>
          <w:szCs w:val="18"/>
        </w:rPr>
        <w:t>;</w:t>
      </w:r>
    </w:p>
    <w:p w14:paraId="41CB2002" w14:textId="77777777" w:rsidR="00DF2C3D" w:rsidRPr="005841C1" w:rsidRDefault="00DF2C3D" w:rsidP="005841C1">
      <w:pPr>
        <w:pStyle w:val="EndnoteText"/>
        <w:numPr>
          <w:ilvl w:val="0"/>
          <w:numId w:val="3"/>
        </w:numPr>
        <w:rPr>
          <w:sz w:val="18"/>
          <w:szCs w:val="18"/>
        </w:rPr>
      </w:pPr>
      <w:r w:rsidRPr="00606A35">
        <w:rPr>
          <w:rFonts w:ascii="Calibri" w:hAnsi="Calibri"/>
          <w:sz w:val="18"/>
          <w:szCs w:val="18"/>
        </w:rPr>
        <w:t>accessibility</w:t>
      </w:r>
      <w:r>
        <w:rPr>
          <w:rFonts w:ascii="Calibri" w:hAnsi="Calibri"/>
          <w:sz w:val="18"/>
          <w:szCs w:val="18"/>
        </w:rPr>
        <w:t xml:space="preserve"> of the classroom and school </w:t>
      </w:r>
      <w:proofErr w:type="gramStart"/>
      <w:r>
        <w:rPr>
          <w:rFonts w:ascii="Calibri" w:hAnsi="Calibri"/>
          <w:sz w:val="18"/>
          <w:szCs w:val="18"/>
        </w:rPr>
        <w:t>environment</w:t>
      </w:r>
      <w:r w:rsidRPr="00606A35">
        <w:rPr>
          <w:rFonts w:ascii="Calibri" w:hAnsi="Calibri"/>
          <w:sz w:val="18"/>
          <w:szCs w:val="18"/>
        </w:rPr>
        <w:t>;</w:t>
      </w:r>
      <w:proofErr w:type="gramEnd"/>
    </w:p>
    <w:p w14:paraId="2897D76D" w14:textId="77777777" w:rsidR="00DF2C3D" w:rsidRPr="00606A35" w:rsidRDefault="00DF2C3D" w:rsidP="00C4208D">
      <w:pPr>
        <w:pStyle w:val="EndnoteText"/>
        <w:numPr>
          <w:ilvl w:val="0"/>
          <w:numId w:val="3"/>
        </w:numPr>
        <w:rPr>
          <w:sz w:val="18"/>
          <w:szCs w:val="18"/>
        </w:rPr>
      </w:pPr>
      <w:r w:rsidRPr="00606A35">
        <w:rPr>
          <w:rFonts w:ascii="Calibri" w:hAnsi="Calibri"/>
          <w:sz w:val="18"/>
          <w:szCs w:val="18"/>
        </w:rPr>
        <w:t xml:space="preserve">provision of reasonable </w:t>
      </w:r>
      <w:proofErr w:type="gramStart"/>
      <w:r w:rsidRPr="00606A35">
        <w:rPr>
          <w:rFonts w:ascii="Calibri" w:hAnsi="Calibri"/>
          <w:sz w:val="18"/>
          <w:szCs w:val="18"/>
        </w:rPr>
        <w:t>accommodation;</w:t>
      </w:r>
      <w:proofErr w:type="gramEnd"/>
      <w:r w:rsidRPr="00606A35">
        <w:rPr>
          <w:rFonts w:ascii="Calibri" w:hAnsi="Calibri"/>
          <w:sz w:val="18"/>
          <w:szCs w:val="18"/>
        </w:rPr>
        <w:t xml:space="preserve"> </w:t>
      </w:r>
    </w:p>
    <w:p w14:paraId="64303D3F" w14:textId="77777777" w:rsidR="00DF2C3D" w:rsidRPr="00606A35" w:rsidRDefault="00DF2C3D" w:rsidP="00C4208D">
      <w:pPr>
        <w:pStyle w:val="EndnoteText"/>
        <w:numPr>
          <w:ilvl w:val="0"/>
          <w:numId w:val="3"/>
        </w:numPr>
        <w:ind w:left="714" w:hanging="357"/>
        <w:rPr>
          <w:sz w:val="18"/>
          <w:szCs w:val="18"/>
        </w:rPr>
      </w:pPr>
      <w:proofErr w:type="gramStart"/>
      <w:r w:rsidRPr="00606A35">
        <w:rPr>
          <w:rFonts w:ascii="Calibri" w:hAnsi="Calibri"/>
          <w:sz w:val="18"/>
          <w:szCs w:val="18"/>
        </w:rPr>
        <w:t>the use of appropriate augmentative and alternative modes,</w:t>
      </w:r>
      <w:proofErr w:type="gramEnd"/>
      <w:r w:rsidRPr="00606A35">
        <w:rPr>
          <w:rFonts w:ascii="Calibri" w:hAnsi="Calibri"/>
          <w:sz w:val="18"/>
          <w:szCs w:val="18"/>
        </w:rPr>
        <w:t xml:space="preserve"> means and formats of communication, educational techniques and materials to support </w:t>
      </w:r>
      <w:r>
        <w:rPr>
          <w:rFonts w:ascii="Calibri" w:hAnsi="Calibri"/>
          <w:sz w:val="18"/>
          <w:szCs w:val="18"/>
        </w:rPr>
        <w:t>students</w:t>
      </w:r>
      <w:r w:rsidRPr="00606A35">
        <w:rPr>
          <w:rFonts w:ascii="Calibri" w:hAnsi="Calibri"/>
          <w:sz w:val="18"/>
          <w:szCs w:val="18"/>
        </w:rPr>
        <w:t xml:space="preserve"> with disabilities.</w:t>
      </w:r>
    </w:p>
  </w:endnote>
  <w:endnote w:id="4">
    <w:p w14:paraId="29AA931F" w14:textId="77777777" w:rsidR="00DF2C3D" w:rsidRPr="00DD35DD" w:rsidRDefault="00DF2C3D" w:rsidP="00C4208D">
      <w:pPr>
        <w:pStyle w:val="EndnoteText"/>
        <w:rPr>
          <w:sz w:val="18"/>
          <w:szCs w:val="18"/>
        </w:rPr>
      </w:pPr>
      <w:r w:rsidRPr="00606A35">
        <w:rPr>
          <w:rStyle w:val="EndnoteReference"/>
          <w:sz w:val="18"/>
          <w:szCs w:val="18"/>
        </w:rPr>
        <w:endnoteRef/>
      </w:r>
      <w:r w:rsidRPr="00606A35">
        <w:rPr>
          <w:sz w:val="18"/>
          <w:szCs w:val="18"/>
        </w:rPr>
        <w:t xml:space="preserve"> including buildings, classrooms, </w:t>
      </w:r>
      <w:r>
        <w:rPr>
          <w:sz w:val="18"/>
          <w:szCs w:val="18"/>
        </w:rPr>
        <w:t xml:space="preserve">library, gym, </w:t>
      </w:r>
      <w:r w:rsidRPr="00606A35">
        <w:rPr>
          <w:sz w:val="18"/>
          <w:szCs w:val="18"/>
        </w:rPr>
        <w:t>playground</w:t>
      </w:r>
      <w:r w:rsidRPr="00DD35DD">
        <w:rPr>
          <w:sz w:val="18"/>
          <w:szCs w:val="18"/>
        </w:rPr>
        <w:t xml:space="preserve">, </w:t>
      </w:r>
      <w:r>
        <w:rPr>
          <w:sz w:val="18"/>
          <w:szCs w:val="18"/>
        </w:rPr>
        <w:t xml:space="preserve">canteen, </w:t>
      </w:r>
      <w:r w:rsidRPr="00DD35DD">
        <w:rPr>
          <w:sz w:val="18"/>
          <w:szCs w:val="18"/>
        </w:rPr>
        <w:t>sanitation</w:t>
      </w:r>
      <w:r>
        <w:rPr>
          <w:sz w:val="18"/>
          <w:szCs w:val="18"/>
        </w:rPr>
        <w:t xml:space="preserve"> facilities</w:t>
      </w:r>
      <w:r w:rsidRPr="00DD35DD">
        <w:rPr>
          <w:sz w:val="18"/>
          <w:szCs w:val="18"/>
        </w:rPr>
        <w:t>, transport,</w:t>
      </w:r>
      <w:r>
        <w:rPr>
          <w:sz w:val="18"/>
          <w:szCs w:val="18"/>
        </w:rPr>
        <w:t xml:space="preserve"> equipment and forms of</w:t>
      </w:r>
      <w:r w:rsidRPr="00DD35DD">
        <w:rPr>
          <w:sz w:val="18"/>
          <w:szCs w:val="18"/>
        </w:rPr>
        <w:t xml:space="preserve"> communication.</w:t>
      </w:r>
    </w:p>
  </w:endnote>
  <w:endnote w:id="5">
    <w:p w14:paraId="0FDAE20F" w14:textId="77777777" w:rsidR="00DF2C3D" w:rsidRPr="00DB61F9" w:rsidRDefault="00DF2C3D" w:rsidP="00A419E7">
      <w:pPr>
        <w:pStyle w:val="EndnoteText"/>
        <w:rPr>
          <w:lang w:val="en-US"/>
        </w:rPr>
      </w:pPr>
      <w:r w:rsidRPr="00DB61F9">
        <w:rPr>
          <w:rStyle w:val="EndnoteReference"/>
          <w:sz w:val="18"/>
          <w:szCs w:val="18"/>
        </w:rPr>
        <w:endnoteRef/>
      </w:r>
      <w:r w:rsidRPr="00DB61F9">
        <w:rPr>
          <w:sz w:val="18"/>
          <w:szCs w:val="18"/>
        </w:rPr>
        <w:t xml:space="preserve"> This includes handwashing facilities and menstrual hygiene facilities</w:t>
      </w:r>
      <w:r>
        <w:rPr>
          <w:sz w:val="18"/>
          <w:szCs w:val="18"/>
        </w:rPr>
        <w:t>.</w:t>
      </w:r>
      <w:r w:rsidRPr="00DB61F9">
        <w:rPr>
          <w:sz w:val="18"/>
          <w:szCs w:val="18"/>
        </w:rPr>
        <w:t xml:space="preserve"> </w:t>
      </w:r>
      <w:r>
        <w:rPr>
          <w:sz w:val="18"/>
          <w:szCs w:val="18"/>
        </w:rPr>
        <w:t>S</w:t>
      </w:r>
      <w:r w:rsidRPr="00DB61F9">
        <w:rPr>
          <w:sz w:val="18"/>
          <w:szCs w:val="18"/>
        </w:rPr>
        <w:t xml:space="preserve">ee </w:t>
      </w:r>
      <w:hyperlink r:id="rId1" w:history="1">
        <w:r w:rsidRPr="00DB61F9">
          <w:rPr>
            <w:rStyle w:val="Hyperlink"/>
            <w:sz w:val="18"/>
            <w:szCs w:val="18"/>
          </w:rPr>
          <w:t>www.unicef.org/wash/files/4_WSSCC_JMP_Fact_Sheets_4_UK_LoRes.pdf</w:t>
        </w:r>
      </w:hyperlink>
      <w:r>
        <w:t xml:space="preserve"> </w:t>
      </w:r>
    </w:p>
  </w:endnote>
  <w:endnote w:id="6">
    <w:p w14:paraId="5B1F0C19" w14:textId="77777777" w:rsidR="00DF2C3D" w:rsidRPr="00DD35DD" w:rsidRDefault="00DF2C3D" w:rsidP="00C36CD8">
      <w:pPr>
        <w:spacing w:after="0" w:line="240" w:lineRule="auto"/>
        <w:rPr>
          <w:sz w:val="18"/>
          <w:szCs w:val="18"/>
        </w:rPr>
      </w:pPr>
      <w:r w:rsidRPr="00DD35DD">
        <w:rPr>
          <w:rStyle w:val="EndnoteReference"/>
          <w:sz w:val="18"/>
          <w:szCs w:val="18"/>
        </w:rPr>
        <w:endnoteRef/>
      </w:r>
      <w:r>
        <w:rPr>
          <w:sz w:val="18"/>
          <w:szCs w:val="18"/>
        </w:rPr>
        <w:t xml:space="preserve"> T</w:t>
      </w:r>
      <w:r w:rsidRPr="00DD35DD">
        <w:rPr>
          <w:sz w:val="18"/>
          <w:szCs w:val="18"/>
        </w:rPr>
        <w:t>his includes:</w:t>
      </w:r>
    </w:p>
    <w:p w14:paraId="51201331" w14:textId="77777777" w:rsidR="00DF2C3D" w:rsidRPr="00DD35DD" w:rsidRDefault="00DF2C3D" w:rsidP="00C36CD8">
      <w:pPr>
        <w:pStyle w:val="ListParagraph"/>
        <w:numPr>
          <w:ilvl w:val="0"/>
          <w:numId w:val="9"/>
        </w:numPr>
        <w:spacing w:after="0" w:line="240" w:lineRule="auto"/>
        <w:contextualSpacing w:val="0"/>
        <w:rPr>
          <w:sz w:val="18"/>
          <w:szCs w:val="18"/>
        </w:rPr>
      </w:pPr>
      <w:r w:rsidRPr="00DD35DD">
        <w:rPr>
          <w:sz w:val="18"/>
          <w:szCs w:val="18"/>
        </w:rPr>
        <w:t>adapted and/or modified curricula/</w:t>
      </w:r>
      <w:proofErr w:type="gramStart"/>
      <w:r w:rsidRPr="00DD35DD">
        <w:rPr>
          <w:sz w:val="18"/>
          <w:szCs w:val="18"/>
        </w:rPr>
        <w:t>assessments;</w:t>
      </w:r>
      <w:proofErr w:type="gramEnd"/>
    </w:p>
    <w:p w14:paraId="568D1F28" w14:textId="77777777" w:rsidR="00DF2C3D" w:rsidRPr="00DD35DD" w:rsidRDefault="00DF2C3D" w:rsidP="00C36CD8">
      <w:pPr>
        <w:pStyle w:val="ListParagraph"/>
        <w:numPr>
          <w:ilvl w:val="0"/>
          <w:numId w:val="9"/>
        </w:numPr>
        <w:spacing w:after="0" w:line="240" w:lineRule="auto"/>
        <w:contextualSpacing w:val="0"/>
        <w:rPr>
          <w:sz w:val="18"/>
          <w:szCs w:val="18"/>
        </w:rPr>
      </w:pPr>
      <w:r w:rsidRPr="00DD35DD">
        <w:rPr>
          <w:sz w:val="18"/>
          <w:szCs w:val="18"/>
        </w:rPr>
        <w:t xml:space="preserve">assistive </w:t>
      </w:r>
      <w:proofErr w:type="gramStart"/>
      <w:r w:rsidRPr="00DD35DD">
        <w:rPr>
          <w:sz w:val="18"/>
          <w:szCs w:val="18"/>
        </w:rPr>
        <w:t>devices;</w:t>
      </w:r>
      <w:proofErr w:type="gramEnd"/>
    </w:p>
    <w:p w14:paraId="7EF131FF" w14:textId="77777777" w:rsidR="00DF2C3D" w:rsidRPr="00DD35DD" w:rsidRDefault="00DF2C3D" w:rsidP="00C36CD8">
      <w:pPr>
        <w:pStyle w:val="ListParagraph"/>
        <w:numPr>
          <w:ilvl w:val="0"/>
          <w:numId w:val="9"/>
        </w:numPr>
        <w:spacing w:after="0" w:line="240" w:lineRule="auto"/>
        <w:contextualSpacing w:val="0"/>
        <w:rPr>
          <w:sz w:val="18"/>
          <w:szCs w:val="18"/>
        </w:rPr>
      </w:pPr>
      <w:r w:rsidRPr="00DD35DD">
        <w:rPr>
          <w:sz w:val="18"/>
          <w:szCs w:val="18"/>
        </w:rPr>
        <w:t xml:space="preserve">augmentative and alternative modes, means and formats of </w:t>
      </w:r>
      <w:proofErr w:type="gramStart"/>
      <w:r w:rsidRPr="00DD35DD">
        <w:rPr>
          <w:sz w:val="18"/>
          <w:szCs w:val="18"/>
        </w:rPr>
        <w:t>communication;</w:t>
      </w:r>
      <w:proofErr w:type="gramEnd"/>
    </w:p>
    <w:p w14:paraId="0617F622" w14:textId="77777777" w:rsidR="00DF2C3D" w:rsidRPr="00DD35DD" w:rsidRDefault="00DF2C3D" w:rsidP="00C36CD8">
      <w:pPr>
        <w:pStyle w:val="ListParagraph"/>
        <w:numPr>
          <w:ilvl w:val="0"/>
          <w:numId w:val="9"/>
        </w:numPr>
        <w:spacing w:after="0" w:line="240" w:lineRule="auto"/>
        <w:ind w:left="714" w:hanging="357"/>
        <w:contextualSpacing w:val="0"/>
        <w:rPr>
          <w:sz w:val="18"/>
          <w:szCs w:val="18"/>
        </w:rPr>
      </w:pPr>
      <w:r w:rsidRPr="00DD35DD">
        <w:rPr>
          <w:sz w:val="18"/>
          <w:szCs w:val="18"/>
        </w:rPr>
        <w:t>live support.</w:t>
      </w:r>
    </w:p>
  </w:endnote>
  <w:endnote w:id="7">
    <w:p w14:paraId="604A1871" w14:textId="77777777" w:rsidR="00DF2C3D" w:rsidRPr="00DB61F9" w:rsidRDefault="00DF2C3D" w:rsidP="00C4208D">
      <w:pPr>
        <w:spacing w:after="0" w:line="240" w:lineRule="auto"/>
        <w:rPr>
          <w:sz w:val="18"/>
          <w:szCs w:val="18"/>
        </w:rPr>
      </w:pPr>
      <w:r w:rsidRPr="00DD35DD">
        <w:rPr>
          <w:rStyle w:val="EndnoteReference"/>
          <w:sz w:val="18"/>
          <w:szCs w:val="18"/>
        </w:rPr>
        <w:endnoteRef/>
      </w:r>
      <w:r w:rsidRPr="00DD35DD">
        <w:rPr>
          <w:sz w:val="18"/>
          <w:szCs w:val="18"/>
        </w:rPr>
        <w:t xml:space="preserve"> public/private, primary/secondary/tertiary/vocational.</w:t>
      </w:r>
    </w:p>
  </w:endnote>
  <w:endnote w:id="8">
    <w:p w14:paraId="159899B2" w14:textId="2AB1EB64" w:rsidR="00DF2C3D" w:rsidRPr="00DD35DD" w:rsidRDefault="00DF2C3D" w:rsidP="00C4208D">
      <w:pPr>
        <w:pStyle w:val="EndnoteText"/>
        <w:jc w:val="both"/>
        <w:rPr>
          <w:sz w:val="18"/>
          <w:szCs w:val="18"/>
        </w:rPr>
      </w:pPr>
      <w:r w:rsidRPr="00DD35DD">
        <w:rPr>
          <w:rStyle w:val="EndnoteReference"/>
          <w:sz w:val="18"/>
          <w:szCs w:val="18"/>
        </w:rPr>
        <w:endnoteRef/>
      </w:r>
      <w:r w:rsidRPr="00DD35DD">
        <w:rPr>
          <w:sz w:val="18"/>
          <w:szCs w:val="18"/>
        </w:rPr>
        <w:t xml:space="preserve"> This indicator requires verifying concrete activities undertaken by public authorities to involve persons with disabilities in decision-making processes related to issues that directly or indirectly aff</w:t>
      </w:r>
      <w:r>
        <w:rPr>
          <w:sz w:val="18"/>
          <w:szCs w:val="18"/>
        </w:rPr>
        <w:t>ect them in line with article 4(</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2" w:history="1">
        <w:r w:rsidRPr="000534F0">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1A4CF1B2" w14:textId="77777777" w:rsidR="00DF2C3D" w:rsidRPr="00DD35DD" w:rsidRDefault="00DF2C3D" w:rsidP="00C4208D">
      <w:pPr>
        <w:pStyle w:val="EndnoteText"/>
        <w:numPr>
          <w:ilvl w:val="0"/>
          <w:numId w:val="4"/>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w:t>
      </w:r>
      <w:proofErr w:type="gramStart"/>
      <w:r w:rsidRPr="00EA25DD">
        <w:rPr>
          <w:rFonts w:cstheme="minorHAnsi"/>
          <w:sz w:val="18"/>
          <w:szCs w:val="18"/>
        </w:rPr>
        <w:t>accessible</w:t>
      </w:r>
      <w:r>
        <w:rPr>
          <w:rFonts w:cstheme="minorHAnsi"/>
          <w:sz w:val="18"/>
          <w:szCs w:val="18"/>
        </w:rPr>
        <w:t>;</w:t>
      </w:r>
      <w:proofErr w:type="gramEnd"/>
    </w:p>
    <w:p w14:paraId="14E0FDB4" w14:textId="77777777" w:rsidR="00DF2C3D" w:rsidRPr="00DD35DD" w:rsidRDefault="00DF2C3D" w:rsidP="00C4208D">
      <w:pPr>
        <w:pStyle w:val="EndnoteText"/>
        <w:numPr>
          <w:ilvl w:val="0"/>
          <w:numId w:val="4"/>
        </w:numPr>
        <w:ind w:left="714" w:hanging="357"/>
        <w:contextualSpacing/>
        <w:rPr>
          <w:sz w:val="18"/>
          <w:szCs w:val="18"/>
        </w:rPr>
      </w:pPr>
      <w:r w:rsidRPr="00DD35DD">
        <w:rPr>
          <w:sz w:val="18"/>
          <w:szCs w:val="18"/>
        </w:rPr>
        <w:t xml:space="preserve">ensure provision of appropriate and accessible </w:t>
      </w:r>
      <w:proofErr w:type="gramStart"/>
      <w:r w:rsidRPr="00DD35DD">
        <w:rPr>
          <w:sz w:val="18"/>
          <w:szCs w:val="18"/>
        </w:rPr>
        <w:t>information</w:t>
      </w:r>
      <w:r>
        <w:rPr>
          <w:sz w:val="18"/>
          <w:szCs w:val="18"/>
        </w:rPr>
        <w:t>;</w:t>
      </w:r>
      <w:proofErr w:type="gramEnd"/>
    </w:p>
    <w:p w14:paraId="1671932C" w14:textId="77777777" w:rsidR="00DF2C3D" w:rsidRPr="00DD35DD" w:rsidRDefault="00DF2C3D" w:rsidP="00C4208D">
      <w:pPr>
        <w:pStyle w:val="EndnoteText"/>
        <w:numPr>
          <w:ilvl w:val="0"/>
          <w:numId w:val="4"/>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 xml:space="preserve">reely expressing their </w:t>
      </w:r>
      <w:proofErr w:type="gramStart"/>
      <w:r>
        <w:rPr>
          <w:sz w:val="18"/>
          <w:szCs w:val="18"/>
        </w:rPr>
        <w:t>opinions;</w:t>
      </w:r>
      <w:proofErr w:type="gramEnd"/>
    </w:p>
    <w:p w14:paraId="1E27BBFA" w14:textId="77777777" w:rsidR="00DF2C3D" w:rsidRPr="00DD35DD" w:rsidRDefault="00DF2C3D" w:rsidP="00C4208D">
      <w:pPr>
        <w:pStyle w:val="EndnoteText"/>
        <w:numPr>
          <w:ilvl w:val="0"/>
          <w:numId w:val="4"/>
        </w:numPr>
        <w:ind w:left="714" w:hanging="357"/>
        <w:contextualSpacing/>
        <w:rPr>
          <w:sz w:val="18"/>
          <w:szCs w:val="18"/>
        </w:rPr>
      </w:pPr>
      <w:r w:rsidRPr="00DD35DD">
        <w:rPr>
          <w:sz w:val="18"/>
          <w:szCs w:val="18"/>
        </w:rPr>
        <w:t xml:space="preserve">include both registered and unregistered </w:t>
      </w:r>
      <w:proofErr w:type="gramStart"/>
      <w:r w:rsidRPr="00DD35DD">
        <w:rPr>
          <w:sz w:val="18"/>
          <w:szCs w:val="18"/>
        </w:rPr>
        <w:t>organ</w:t>
      </w:r>
      <w:r>
        <w:rPr>
          <w:sz w:val="18"/>
          <w:szCs w:val="18"/>
        </w:rPr>
        <w:t>izations;</w:t>
      </w:r>
      <w:proofErr w:type="gramEnd"/>
    </w:p>
    <w:p w14:paraId="75633A1D" w14:textId="77777777" w:rsidR="00DF2C3D" w:rsidRPr="00DD35DD" w:rsidRDefault="00DF2C3D" w:rsidP="00C4208D">
      <w:pPr>
        <w:pStyle w:val="EndnoteText"/>
        <w:numPr>
          <w:ilvl w:val="0"/>
          <w:numId w:val="4"/>
        </w:numPr>
        <w:ind w:left="714" w:hanging="357"/>
        <w:contextualSpacing/>
        <w:rPr>
          <w:sz w:val="18"/>
          <w:szCs w:val="18"/>
        </w:rPr>
      </w:pPr>
      <w:r w:rsidRPr="00DD35DD">
        <w:rPr>
          <w:sz w:val="18"/>
          <w:szCs w:val="18"/>
        </w:rPr>
        <w:t>ensure ea</w:t>
      </w:r>
      <w:r>
        <w:rPr>
          <w:sz w:val="18"/>
          <w:szCs w:val="18"/>
        </w:rPr>
        <w:t xml:space="preserve">rly and continuous </w:t>
      </w:r>
      <w:proofErr w:type="gramStart"/>
      <w:r>
        <w:rPr>
          <w:sz w:val="18"/>
          <w:szCs w:val="18"/>
        </w:rPr>
        <w:t>involvement;</w:t>
      </w:r>
      <w:proofErr w:type="gramEnd"/>
    </w:p>
    <w:p w14:paraId="7AB951A2" w14:textId="77777777" w:rsidR="00DF2C3D" w:rsidRPr="00B31CDA" w:rsidRDefault="00DF2C3D" w:rsidP="00A77842">
      <w:pPr>
        <w:pStyle w:val="EndnoteText"/>
        <w:numPr>
          <w:ilvl w:val="0"/>
          <w:numId w:val="4"/>
        </w:numPr>
        <w:ind w:left="714" w:hanging="357"/>
        <w:contextualSpacing/>
        <w:rPr>
          <w:sz w:val="18"/>
          <w:szCs w:val="18"/>
        </w:rPr>
      </w:pPr>
      <w:r w:rsidRPr="00643503">
        <w:rPr>
          <w:rFonts w:cstheme="minorHAnsi"/>
          <w:sz w:val="18"/>
          <w:szCs w:val="18"/>
        </w:rPr>
        <w:t>cover related expenses of participants</w:t>
      </w:r>
      <w:r>
        <w:rPr>
          <w:rFonts w:cstheme="minorHAnsi"/>
          <w:sz w:val="18"/>
          <w:szCs w:val="18"/>
        </w:rPr>
        <w:t>.</w:t>
      </w:r>
      <w:r w:rsidRPr="00643503">
        <w:rPr>
          <w:rFonts w:cstheme="minorHAnsi"/>
          <w:sz w:val="18"/>
          <w:szCs w:val="18"/>
        </w:rPr>
        <w:t xml:space="preserve"> </w:t>
      </w:r>
    </w:p>
  </w:endnote>
  <w:endnote w:id="9">
    <w:p w14:paraId="327DB1A8" w14:textId="77777777" w:rsidR="00DF2C3D" w:rsidRPr="00B31CDA" w:rsidRDefault="00DF2C3D" w:rsidP="008D6A7F">
      <w:pPr>
        <w:pStyle w:val="EndnoteText"/>
        <w:jc w:val="both"/>
        <w:rPr>
          <w:lang w:val="en-US"/>
        </w:rPr>
      </w:pPr>
      <w:r w:rsidRPr="00B31CDA">
        <w:rPr>
          <w:rStyle w:val="EndnoteReference"/>
          <w:sz w:val="18"/>
          <w:szCs w:val="18"/>
        </w:rPr>
        <w:endnoteRef/>
      </w:r>
      <w:r>
        <w:rPr>
          <w:sz w:val="18"/>
          <w:szCs w:val="18"/>
        </w:rPr>
        <w:t xml:space="preserve"> Completion should also encompass </w:t>
      </w:r>
      <w:r>
        <w:rPr>
          <w:sz w:val="18"/>
          <w:szCs w:val="18"/>
          <w:lang w:val="en-US"/>
        </w:rPr>
        <w:t xml:space="preserve">cases in which </w:t>
      </w:r>
      <w:r w:rsidRPr="00B31CDA">
        <w:rPr>
          <w:sz w:val="18"/>
          <w:szCs w:val="18"/>
          <w:lang w:val="en-US"/>
        </w:rPr>
        <w:t xml:space="preserve">persons with </w:t>
      </w:r>
      <w:r>
        <w:rPr>
          <w:sz w:val="18"/>
          <w:szCs w:val="18"/>
          <w:lang w:val="en-US"/>
        </w:rPr>
        <w:t>disabilities fulfil</w:t>
      </w:r>
      <w:r w:rsidRPr="00B31CDA">
        <w:rPr>
          <w:sz w:val="18"/>
          <w:szCs w:val="18"/>
          <w:lang w:val="en-US"/>
        </w:rPr>
        <w:t xml:space="preserve"> a level of education under an Individual Education Plan </w:t>
      </w:r>
      <w:r>
        <w:rPr>
          <w:sz w:val="18"/>
          <w:szCs w:val="18"/>
          <w:lang w:val="en-US"/>
        </w:rPr>
        <w:t xml:space="preserve">which include </w:t>
      </w:r>
      <w:r w:rsidRPr="00B31CDA">
        <w:rPr>
          <w:sz w:val="18"/>
          <w:szCs w:val="18"/>
          <w:lang w:val="en-US"/>
        </w:rPr>
        <w:t xml:space="preserve">specific goals tailored to the </w:t>
      </w:r>
      <w:r>
        <w:rPr>
          <w:sz w:val="18"/>
          <w:szCs w:val="18"/>
          <w:lang w:val="en-US"/>
        </w:rPr>
        <w:t xml:space="preserve">student. </w:t>
      </w:r>
      <w:r w:rsidRPr="00B31CDA">
        <w:rPr>
          <w:sz w:val="18"/>
          <w:szCs w:val="18"/>
          <w:lang w:val="en-US"/>
        </w:rPr>
        <w:t>Certification of completion of the level must be provide</w:t>
      </w:r>
      <w:r>
        <w:rPr>
          <w:sz w:val="18"/>
          <w:szCs w:val="18"/>
          <w:lang w:val="en-US"/>
        </w:rPr>
        <w:t>d and permit pursuing further studies on an equal basis with others</w:t>
      </w:r>
      <w:r w:rsidRPr="00B31CDA">
        <w:rPr>
          <w:sz w:val="18"/>
          <w:szCs w:val="18"/>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9382C" w14:textId="77777777" w:rsidR="00E07451" w:rsidRDefault="00E07451" w:rsidP="00CD1CE5">
      <w:pPr>
        <w:spacing w:after="0" w:line="240" w:lineRule="auto"/>
      </w:pPr>
      <w:r>
        <w:separator/>
      </w:r>
    </w:p>
  </w:footnote>
  <w:footnote w:type="continuationSeparator" w:id="0">
    <w:p w14:paraId="1AEAB25E" w14:textId="77777777" w:rsidR="00E07451" w:rsidRDefault="00E07451" w:rsidP="00CD1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1121"/>
    <w:multiLevelType w:val="hybridMultilevel"/>
    <w:tmpl w:val="B3403A7C"/>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63BE"/>
    <w:multiLevelType w:val="hybridMultilevel"/>
    <w:tmpl w:val="439C1AD6"/>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21A3"/>
    <w:multiLevelType w:val="hybridMultilevel"/>
    <w:tmpl w:val="32786F4E"/>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26DEB"/>
    <w:multiLevelType w:val="multilevel"/>
    <w:tmpl w:val="47CA8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14656A"/>
    <w:multiLevelType w:val="hybridMultilevel"/>
    <w:tmpl w:val="D166BD56"/>
    <w:lvl w:ilvl="0" w:tplc="937200B0">
      <w:start w:val="16"/>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BC6084"/>
    <w:multiLevelType w:val="hybridMultilevel"/>
    <w:tmpl w:val="943AFF6A"/>
    <w:lvl w:ilvl="0" w:tplc="1C068340">
      <w:start w:val="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C5676"/>
    <w:multiLevelType w:val="hybridMultilevel"/>
    <w:tmpl w:val="A1ACD69A"/>
    <w:lvl w:ilvl="0" w:tplc="4BDC9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0013E"/>
    <w:multiLevelType w:val="hybridMultilevel"/>
    <w:tmpl w:val="A2C4A40A"/>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80DE7"/>
    <w:multiLevelType w:val="hybridMultilevel"/>
    <w:tmpl w:val="F2A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37FE8"/>
    <w:multiLevelType w:val="multilevel"/>
    <w:tmpl w:val="99386922"/>
    <w:lvl w:ilvl="0">
      <w:start w:val="24"/>
      <w:numFmt w:val="decimal"/>
      <w:lvlText w:val="%1"/>
      <w:lvlJc w:val="left"/>
      <w:pPr>
        <w:ind w:left="405" w:hanging="405"/>
      </w:pPr>
      <w:rPr>
        <w:rFonts w:cstheme="minorHAnsi" w:hint="default"/>
      </w:rPr>
    </w:lvl>
    <w:lvl w:ilvl="1">
      <w:start w:val="34"/>
      <w:numFmt w:val="decimal"/>
      <w:lvlText w:val="%1.%2"/>
      <w:lvlJc w:val="left"/>
      <w:pPr>
        <w:ind w:left="405" w:hanging="405"/>
      </w:pPr>
      <w:rPr>
        <w:rFonts w:cstheme="minorHAnsi" w:hint="default"/>
      </w:rPr>
    </w:lvl>
    <w:lvl w:ilvl="2">
      <w:start w:val="1"/>
      <w:numFmt w:val="decimal"/>
      <w:lvlText w:val="%1.%2.%3"/>
      <w:lvlJc w:val="left"/>
      <w:pPr>
        <w:ind w:left="405" w:hanging="405"/>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2" w15:restartNumberingAfterBreak="0">
    <w:nsid w:val="759059AC"/>
    <w:multiLevelType w:val="multilevel"/>
    <w:tmpl w:val="CC7A1C34"/>
    <w:lvl w:ilvl="0">
      <w:start w:val="2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71060FE"/>
    <w:multiLevelType w:val="hybridMultilevel"/>
    <w:tmpl w:val="6756D7BE"/>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7"/>
  </w:num>
  <w:num w:numId="6">
    <w:abstractNumId w:val="12"/>
  </w:num>
  <w:num w:numId="7">
    <w:abstractNumId w:val="9"/>
  </w:num>
  <w:num w:numId="8">
    <w:abstractNumId w:val="2"/>
  </w:num>
  <w:num w:numId="9">
    <w:abstractNumId w:val="0"/>
  </w:num>
  <w:num w:numId="10">
    <w:abstractNumId w:val="13"/>
  </w:num>
  <w:num w:numId="11">
    <w:abstractNumId w:val="6"/>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34"/>
    <w:rsid w:val="00002A9F"/>
    <w:rsid w:val="00007041"/>
    <w:rsid w:val="00007659"/>
    <w:rsid w:val="000269A1"/>
    <w:rsid w:val="00033836"/>
    <w:rsid w:val="00050B94"/>
    <w:rsid w:val="000534F0"/>
    <w:rsid w:val="000624C2"/>
    <w:rsid w:val="00074039"/>
    <w:rsid w:val="00082717"/>
    <w:rsid w:val="00094F61"/>
    <w:rsid w:val="00097871"/>
    <w:rsid w:val="000C13FA"/>
    <w:rsid w:val="000D2575"/>
    <w:rsid w:val="000D3C2C"/>
    <w:rsid w:val="000F68A5"/>
    <w:rsid w:val="00113078"/>
    <w:rsid w:val="00123FB8"/>
    <w:rsid w:val="0012422B"/>
    <w:rsid w:val="00124B4D"/>
    <w:rsid w:val="00126419"/>
    <w:rsid w:val="001479CA"/>
    <w:rsid w:val="001630E7"/>
    <w:rsid w:val="0017471B"/>
    <w:rsid w:val="001820A7"/>
    <w:rsid w:val="00186358"/>
    <w:rsid w:val="001951A7"/>
    <w:rsid w:val="00197EC1"/>
    <w:rsid w:val="001A3AA2"/>
    <w:rsid w:val="001A760D"/>
    <w:rsid w:val="001B0A1B"/>
    <w:rsid w:val="001C4795"/>
    <w:rsid w:val="001E134C"/>
    <w:rsid w:val="001E7BD4"/>
    <w:rsid w:val="001F3219"/>
    <w:rsid w:val="00222570"/>
    <w:rsid w:val="0023291C"/>
    <w:rsid w:val="0023386C"/>
    <w:rsid w:val="00235352"/>
    <w:rsid w:val="00243136"/>
    <w:rsid w:val="00254A4F"/>
    <w:rsid w:val="0025785E"/>
    <w:rsid w:val="00270C2A"/>
    <w:rsid w:val="00271CCF"/>
    <w:rsid w:val="00273887"/>
    <w:rsid w:val="0028463E"/>
    <w:rsid w:val="0028481F"/>
    <w:rsid w:val="002848DD"/>
    <w:rsid w:val="002949AF"/>
    <w:rsid w:val="002C23BE"/>
    <w:rsid w:val="002E11DE"/>
    <w:rsid w:val="002E4FE9"/>
    <w:rsid w:val="002F16CB"/>
    <w:rsid w:val="002F7573"/>
    <w:rsid w:val="002F75EB"/>
    <w:rsid w:val="00302537"/>
    <w:rsid w:val="0030255B"/>
    <w:rsid w:val="00304EEF"/>
    <w:rsid w:val="003135FA"/>
    <w:rsid w:val="003201EE"/>
    <w:rsid w:val="00325B73"/>
    <w:rsid w:val="00335A51"/>
    <w:rsid w:val="003374AB"/>
    <w:rsid w:val="00347972"/>
    <w:rsid w:val="003533F5"/>
    <w:rsid w:val="00363949"/>
    <w:rsid w:val="003759C9"/>
    <w:rsid w:val="00380AFF"/>
    <w:rsid w:val="00396319"/>
    <w:rsid w:val="003A4282"/>
    <w:rsid w:val="003D19DD"/>
    <w:rsid w:val="003D4787"/>
    <w:rsid w:val="003E6EDF"/>
    <w:rsid w:val="003F23E0"/>
    <w:rsid w:val="00430BCB"/>
    <w:rsid w:val="0044463B"/>
    <w:rsid w:val="00444642"/>
    <w:rsid w:val="00451F44"/>
    <w:rsid w:val="004644B2"/>
    <w:rsid w:val="0047780E"/>
    <w:rsid w:val="004965DA"/>
    <w:rsid w:val="004B45D8"/>
    <w:rsid w:val="004B46FD"/>
    <w:rsid w:val="004D0342"/>
    <w:rsid w:val="004D0417"/>
    <w:rsid w:val="004D1724"/>
    <w:rsid w:val="004E036F"/>
    <w:rsid w:val="004E57A6"/>
    <w:rsid w:val="004F5D40"/>
    <w:rsid w:val="005034AB"/>
    <w:rsid w:val="00505321"/>
    <w:rsid w:val="0051452B"/>
    <w:rsid w:val="005179F0"/>
    <w:rsid w:val="00522273"/>
    <w:rsid w:val="005429C1"/>
    <w:rsid w:val="00556E11"/>
    <w:rsid w:val="00570DE8"/>
    <w:rsid w:val="005717A5"/>
    <w:rsid w:val="00573910"/>
    <w:rsid w:val="005841C1"/>
    <w:rsid w:val="00585894"/>
    <w:rsid w:val="00592D86"/>
    <w:rsid w:val="005B1718"/>
    <w:rsid w:val="005B49AA"/>
    <w:rsid w:val="005B63B8"/>
    <w:rsid w:val="005E3408"/>
    <w:rsid w:val="005E718E"/>
    <w:rsid w:val="005F470A"/>
    <w:rsid w:val="00602B64"/>
    <w:rsid w:val="0060491A"/>
    <w:rsid w:val="00604CEE"/>
    <w:rsid w:val="00606A35"/>
    <w:rsid w:val="006132C6"/>
    <w:rsid w:val="00620C5E"/>
    <w:rsid w:val="00632212"/>
    <w:rsid w:val="00640C65"/>
    <w:rsid w:val="00642E25"/>
    <w:rsid w:val="00643503"/>
    <w:rsid w:val="006475D4"/>
    <w:rsid w:val="00647B4D"/>
    <w:rsid w:val="00651D18"/>
    <w:rsid w:val="006628E1"/>
    <w:rsid w:val="00672E93"/>
    <w:rsid w:val="006810C4"/>
    <w:rsid w:val="00685795"/>
    <w:rsid w:val="00696D16"/>
    <w:rsid w:val="006B5CDD"/>
    <w:rsid w:val="006C3157"/>
    <w:rsid w:val="006D3D7F"/>
    <w:rsid w:val="006F424B"/>
    <w:rsid w:val="00704E77"/>
    <w:rsid w:val="0070525F"/>
    <w:rsid w:val="007103F7"/>
    <w:rsid w:val="00710472"/>
    <w:rsid w:val="00711D68"/>
    <w:rsid w:val="00715784"/>
    <w:rsid w:val="007330D8"/>
    <w:rsid w:val="007372C1"/>
    <w:rsid w:val="007740A6"/>
    <w:rsid w:val="0077518F"/>
    <w:rsid w:val="00777573"/>
    <w:rsid w:val="00780868"/>
    <w:rsid w:val="007A13FB"/>
    <w:rsid w:val="007A5986"/>
    <w:rsid w:val="007B0677"/>
    <w:rsid w:val="007B6CC7"/>
    <w:rsid w:val="007D16F9"/>
    <w:rsid w:val="007D1FA7"/>
    <w:rsid w:val="007E0422"/>
    <w:rsid w:val="007F4DBB"/>
    <w:rsid w:val="00801A75"/>
    <w:rsid w:val="008245A7"/>
    <w:rsid w:val="00836069"/>
    <w:rsid w:val="00837542"/>
    <w:rsid w:val="00846844"/>
    <w:rsid w:val="008531CD"/>
    <w:rsid w:val="008536F4"/>
    <w:rsid w:val="00870898"/>
    <w:rsid w:val="008745C1"/>
    <w:rsid w:val="00881227"/>
    <w:rsid w:val="00890B0E"/>
    <w:rsid w:val="0089727F"/>
    <w:rsid w:val="008A6A18"/>
    <w:rsid w:val="008C33DD"/>
    <w:rsid w:val="008C4202"/>
    <w:rsid w:val="008C50D7"/>
    <w:rsid w:val="008D0554"/>
    <w:rsid w:val="008D6A7F"/>
    <w:rsid w:val="008F5983"/>
    <w:rsid w:val="0091017B"/>
    <w:rsid w:val="00936D00"/>
    <w:rsid w:val="00945B36"/>
    <w:rsid w:val="00956017"/>
    <w:rsid w:val="00976ACD"/>
    <w:rsid w:val="00983D73"/>
    <w:rsid w:val="009911AD"/>
    <w:rsid w:val="00993307"/>
    <w:rsid w:val="0099414E"/>
    <w:rsid w:val="009A22DC"/>
    <w:rsid w:val="009B1669"/>
    <w:rsid w:val="009B2F6C"/>
    <w:rsid w:val="009B33B0"/>
    <w:rsid w:val="009D24C8"/>
    <w:rsid w:val="009D4634"/>
    <w:rsid w:val="009D69E2"/>
    <w:rsid w:val="009F4608"/>
    <w:rsid w:val="009F6E73"/>
    <w:rsid w:val="00A001F9"/>
    <w:rsid w:val="00A0025E"/>
    <w:rsid w:val="00A32475"/>
    <w:rsid w:val="00A33B75"/>
    <w:rsid w:val="00A419E7"/>
    <w:rsid w:val="00A5200A"/>
    <w:rsid w:val="00A76071"/>
    <w:rsid w:val="00A87003"/>
    <w:rsid w:val="00A90255"/>
    <w:rsid w:val="00A9144A"/>
    <w:rsid w:val="00A962A8"/>
    <w:rsid w:val="00AB2477"/>
    <w:rsid w:val="00AC6F49"/>
    <w:rsid w:val="00AD4E55"/>
    <w:rsid w:val="00AD51A5"/>
    <w:rsid w:val="00AD5EF6"/>
    <w:rsid w:val="00AE0FEC"/>
    <w:rsid w:val="00AF244F"/>
    <w:rsid w:val="00B06633"/>
    <w:rsid w:val="00B13855"/>
    <w:rsid w:val="00B14EAC"/>
    <w:rsid w:val="00B26B56"/>
    <w:rsid w:val="00B31CDA"/>
    <w:rsid w:val="00B57E28"/>
    <w:rsid w:val="00B6339B"/>
    <w:rsid w:val="00B71343"/>
    <w:rsid w:val="00B75D4D"/>
    <w:rsid w:val="00B77209"/>
    <w:rsid w:val="00B8698E"/>
    <w:rsid w:val="00B94030"/>
    <w:rsid w:val="00B951E8"/>
    <w:rsid w:val="00BA51E3"/>
    <w:rsid w:val="00BC5479"/>
    <w:rsid w:val="00BD68FE"/>
    <w:rsid w:val="00C023E1"/>
    <w:rsid w:val="00C057AD"/>
    <w:rsid w:val="00C06B63"/>
    <w:rsid w:val="00C15266"/>
    <w:rsid w:val="00C270A9"/>
    <w:rsid w:val="00C30488"/>
    <w:rsid w:val="00C36CD8"/>
    <w:rsid w:val="00C4208D"/>
    <w:rsid w:val="00C50932"/>
    <w:rsid w:val="00C54C06"/>
    <w:rsid w:val="00C56288"/>
    <w:rsid w:val="00C769D1"/>
    <w:rsid w:val="00C773FF"/>
    <w:rsid w:val="00C809B6"/>
    <w:rsid w:val="00C8125D"/>
    <w:rsid w:val="00CA7C85"/>
    <w:rsid w:val="00CC25BD"/>
    <w:rsid w:val="00CC7E85"/>
    <w:rsid w:val="00CD1CE5"/>
    <w:rsid w:val="00CD5BBC"/>
    <w:rsid w:val="00CE0DEE"/>
    <w:rsid w:val="00CE4CD3"/>
    <w:rsid w:val="00CF05D3"/>
    <w:rsid w:val="00D10601"/>
    <w:rsid w:val="00D10DB6"/>
    <w:rsid w:val="00D341C8"/>
    <w:rsid w:val="00D34339"/>
    <w:rsid w:val="00D34F2F"/>
    <w:rsid w:val="00D5707D"/>
    <w:rsid w:val="00D61451"/>
    <w:rsid w:val="00D73606"/>
    <w:rsid w:val="00D856CB"/>
    <w:rsid w:val="00DA78C6"/>
    <w:rsid w:val="00DB61F9"/>
    <w:rsid w:val="00DC00C5"/>
    <w:rsid w:val="00DC15B9"/>
    <w:rsid w:val="00DC5951"/>
    <w:rsid w:val="00DC653D"/>
    <w:rsid w:val="00DC69AB"/>
    <w:rsid w:val="00DD0591"/>
    <w:rsid w:val="00DD2612"/>
    <w:rsid w:val="00DD35DD"/>
    <w:rsid w:val="00DD5EC8"/>
    <w:rsid w:val="00DE25EE"/>
    <w:rsid w:val="00DE3A56"/>
    <w:rsid w:val="00DF142C"/>
    <w:rsid w:val="00DF2823"/>
    <w:rsid w:val="00DF2C3D"/>
    <w:rsid w:val="00DF3B2E"/>
    <w:rsid w:val="00E02D14"/>
    <w:rsid w:val="00E07451"/>
    <w:rsid w:val="00E10E96"/>
    <w:rsid w:val="00E24966"/>
    <w:rsid w:val="00E31D12"/>
    <w:rsid w:val="00E34ABB"/>
    <w:rsid w:val="00E4301F"/>
    <w:rsid w:val="00E63522"/>
    <w:rsid w:val="00E7373E"/>
    <w:rsid w:val="00E85A8A"/>
    <w:rsid w:val="00E85C5C"/>
    <w:rsid w:val="00E96222"/>
    <w:rsid w:val="00EA120B"/>
    <w:rsid w:val="00EA25DD"/>
    <w:rsid w:val="00EA56A0"/>
    <w:rsid w:val="00EA5769"/>
    <w:rsid w:val="00EB14F1"/>
    <w:rsid w:val="00EC5414"/>
    <w:rsid w:val="00ED10C3"/>
    <w:rsid w:val="00ED1B4A"/>
    <w:rsid w:val="00EF40DD"/>
    <w:rsid w:val="00F01A67"/>
    <w:rsid w:val="00F27155"/>
    <w:rsid w:val="00F4095D"/>
    <w:rsid w:val="00F43F12"/>
    <w:rsid w:val="00F46D04"/>
    <w:rsid w:val="00F62139"/>
    <w:rsid w:val="00F63625"/>
    <w:rsid w:val="00F768F9"/>
    <w:rsid w:val="00F77341"/>
    <w:rsid w:val="00F77ACA"/>
    <w:rsid w:val="00F806E5"/>
    <w:rsid w:val="00F921B7"/>
    <w:rsid w:val="00FA150F"/>
    <w:rsid w:val="00FA702A"/>
    <w:rsid w:val="00FB2A5D"/>
    <w:rsid w:val="00FC17F9"/>
    <w:rsid w:val="00FC3F09"/>
    <w:rsid w:val="00FD0B7E"/>
    <w:rsid w:val="00FE04A6"/>
    <w:rsid w:val="00FE22A3"/>
    <w:rsid w:val="00FF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BD99"/>
  <w14:defaultImageDpi w14:val="32767"/>
  <w15:chartTrackingRefBased/>
  <w15:docId w15:val="{F9A17F57-D268-1E4B-86FF-05F9A1D9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34"/>
    <w:pPr>
      <w:spacing w:after="200" w:line="276" w:lineRule="auto"/>
    </w:pPr>
    <w:rPr>
      <w:sz w:val="22"/>
      <w:szCs w:val="22"/>
      <w:lang w:val="en-GB"/>
    </w:rPr>
  </w:style>
  <w:style w:type="paragraph" w:styleId="Heading1">
    <w:name w:val="heading 1"/>
    <w:basedOn w:val="NoSpacing"/>
    <w:next w:val="Normal"/>
    <w:link w:val="Heading1Char"/>
    <w:uiPriority w:val="9"/>
    <w:qFormat/>
    <w:rsid w:val="0070525F"/>
    <w:pPr>
      <w:jc w:val="center"/>
      <w:outlineLvl w:val="0"/>
    </w:pPr>
    <w:rPr>
      <w:rFonts w:cstheme="minorHAnsi"/>
      <w:b/>
      <w:sz w:val="18"/>
      <w:szCs w:val="18"/>
    </w:rPr>
  </w:style>
  <w:style w:type="paragraph" w:styleId="Heading2">
    <w:name w:val="heading 2"/>
    <w:basedOn w:val="Normal"/>
    <w:next w:val="Normal"/>
    <w:link w:val="Heading2Char"/>
    <w:uiPriority w:val="9"/>
    <w:unhideWhenUsed/>
    <w:qFormat/>
    <w:rsid w:val="0070525F"/>
    <w:pPr>
      <w:spacing w:after="0" w:line="240" w:lineRule="auto"/>
      <w:jc w:val="both"/>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634"/>
    <w:pPr>
      <w:ind w:left="720"/>
      <w:contextualSpacing/>
    </w:pPr>
  </w:style>
  <w:style w:type="table" w:styleId="TableGrid">
    <w:name w:val="Table Grid"/>
    <w:basedOn w:val="TableNormal"/>
    <w:uiPriority w:val="39"/>
    <w:rsid w:val="009D4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718"/>
    <w:rPr>
      <w:rFonts w:ascii="Segoe UI" w:hAnsi="Segoe UI" w:cs="Segoe UI"/>
      <w:sz w:val="18"/>
      <w:szCs w:val="18"/>
      <w:lang w:val="en-GB"/>
    </w:rPr>
  </w:style>
  <w:style w:type="paragraph" w:styleId="Header">
    <w:name w:val="header"/>
    <w:basedOn w:val="Normal"/>
    <w:link w:val="HeaderChar"/>
    <w:uiPriority w:val="99"/>
    <w:unhideWhenUsed/>
    <w:rsid w:val="00CD1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CE5"/>
    <w:rPr>
      <w:sz w:val="22"/>
      <w:szCs w:val="22"/>
      <w:lang w:val="en-GB"/>
    </w:rPr>
  </w:style>
  <w:style w:type="paragraph" w:styleId="Footer">
    <w:name w:val="footer"/>
    <w:basedOn w:val="Normal"/>
    <w:link w:val="FooterChar"/>
    <w:uiPriority w:val="99"/>
    <w:unhideWhenUsed/>
    <w:rsid w:val="00CD1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CE5"/>
    <w:rPr>
      <w:sz w:val="22"/>
      <w:szCs w:val="22"/>
      <w:lang w:val="en-GB"/>
    </w:rPr>
  </w:style>
  <w:style w:type="character" w:styleId="CommentReference">
    <w:name w:val="annotation reference"/>
    <w:basedOn w:val="DefaultParagraphFont"/>
    <w:uiPriority w:val="99"/>
    <w:semiHidden/>
    <w:unhideWhenUsed/>
    <w:rsid w:val="008D0554"/>
    <w:rPr>
      <w:sz w:val="16"/>
      <w:szCs w:val="16"/>
    </w:rPr>
  </w:style>
  <w:style w:type="paragraph" w:styleId="CommentText">
    <w:name w:val="annotation text"/>
    <w:basedOn w:val="Normal"/>
    <w:link w:val="CommentTextChar"/>
    <w:uiPriority w:val="99"/>
    <w:unhideWhenUsed/>
    <w:rsid w:val="008D0554"/>
    <w:pPr>
      <w:spacing w:line="240" w:lineRule="auto"/>
    </w:pPr>
    <w:rPr>
      <w:sz w:val="20"/>
      <w:szCs w:val="20"/>
    </w:rPr>
  </w:style>
  <w:style w:type="character" w:customStyle="1" w:styleId="CommentTextChar">
    <w:name w:val="Comment Text Char"/>
    <w:basedOn w:val="DefaultParagraphFont"/>
    <w:link w:val="CommentText"/>
    <w:uiPriority w:val="99"/>
    <w:rsid w:val="008D0554"/>
    <w:rPr>
      <w:sz w:val="20"/>
      <w:szCs w:val="20"/>
      <w:lang w:val="en-GB"/>
    </w:rPr>
  </w:style>
  <w:style w:type="paragraph" w:styleId="CommentSubject">
    <w:name w:val="annotation subject"/>
    <w:basedOn w:val="CommentText"/>
    <w:next w:val="CommentText"/>
    <w:link w:val="CommentSubjectChar"/>
    <w:uiPriority w:val="99"/>
    <w:semiHidden/>
    <w:unhideWhenUsed/>
    <w:rsid w:val="008D0554"/>
    <w:rPr>
      <w:b/>
      <w:bCs/>
    </w:rPr>
  </w:style>
  <w:style w:type="character" w:customStyle="1" w:styleId="CommentSubjectChar">
    <w:name w:val="Comment Subject Char"/>
    <w:basedOn w:val="CommentTextChar"/>
    <w:link w:val="CommentSubject"/>
    <w:uiPriority w:val="99"/>
    <w:semiHidden/>
    <w:rsid w:val="008D0554"/>
    <w:rPr>
      <w:b/>
      <w:bCs/>
      <w:sz w:val="20"/>
      <w:szCs w:val="20"/>
      <w:lang w:val="en-GB"/>
    </w:rPr>
  </w:style>
  <w:style w:type="paragraph" w:styleId="Revision">
    <w:name w:val="Revision"/>
    <w:hidden/>
    <w:uiPriority w:val="99"/>
    <w:semiHidden/>
    <w:rsid w:val="00604CEE"/>
    <w:rPr>
      <w:sz w:val="22"/>
      <w:szCs w:val="22"/>
      <w:lang w:val="en-GB"/>
    </w:rPr>
  </w:style>
  <w:style w:type="character" w:customStyle="1" w:styleId="highlight">
    <w:name w:val="highlight"/>
    <w:basedOn w:val="DefaultParagraphFont"/>
    <w:rsid w:val="00325B73"/>
  </w:style>
  <w:style w:type="paragraph" w:styleId="NoSpacing">
    <w:name w:val="No Spacing"/>
    <w:uiPriority w:val="1"/>
    <w:qFormat/>
    <w:rsid w:val="00E85A8A"/>
    <w:rPr>
      <w:sz w:val="22"/>
      <w:szCs w:val="22"/>
      <w:lang w:val="en-GB"/>
    </w:rPr>
  </w:style>
  <w:style w:type="paragraph" w:styleId="EndnoteText">
    <w:name w:val="endnote text"/>
    <w:basedOn w:val="Normal"/>
    <w:link w:val="EndnoteTextChar"/>
    <w:uiPriority w:val="99"/>
    <w:unhideWhenUsed/>
    <w:rsid w:val="00D856CB"/>
    <w:pPr>
      <w:spacing w:after="0" w:line="240" w:lineRule="auto"/>
    </w:pPr>
    <w:rPr>
      <w:sz w:val="20"/>
      <w:szCs w:val="20"/>
    </w:rPr>
  </w:style>
  <w:style w:type="character" w:customStyle="1" w:styleId="EndnoteTextChar">
    <w:name w:val="Endnote Text Char"/>
    <w:basedOn w:val="DefaultParagraphFont"/>
    <w:link w:val="EndnoteText"/>
    <w:uiPriority w:val="99"/>
    <w:rsid w:val="00D856CB"/>
    <w:rPr>
      <w:sz w:val="20"/>
      <w:szCs w:val="20"/>
      <w:lang w:val="en-GB"/>
    </w:rPr>
  </w:style>
  <w:style w:type="character" w:styleId="EndnoteReference">
    <w:name w:val="endnote reference"/>
    <w:basedOn w:val="DefaultParagraphFont"/>
    <w:uiPriority w:val="99"/>
    <w:unhideWhenUsed/>
    <w:rsid w:val="00D856CB"/>
    <w:rPr>
      <w:vertAlign w:val="superscript"/>
    </w:rPr>
  </w:style>
  <w:style w:type="paragraph" w:styleId="NormalWeb">
    <w:name w:val="Normal (Web)"/>
    <w:basedOn w:val="Normal"/>
    <w:uiPriority w:val="99"/>
    <w:unhideWhenUsed/>
    <w:rsid w:val="00EC54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24B4D"/>
    <w:rPr>
      <w:color w:val="0563C1" w:themeColor="hyperlink"/>
      <w:u w:val="single"/>
    </w:rPr>
  </w:style>
  <w:style w:type="character" w:styleId="FollowedHyperlink">
    <w:name w:val="FollowedHyperlink"/>
    <w:basedOn w:val="DefaultParagraphFont"/>
    <w:uiPriority w:val="99"/>
    <w:semiHidden/>
    <w:unhideWhenUsed/>
    <w:rsid w:val="0030255B"/>
    <w:rPr>
      <w:color w:val="954F72" w:themeColor="followedHyperlink"/>
      <w:u w:val="single"/>
    </w:rPr>
  </w:style>
  <w:style w:type="character" w:customStyle="1" w:styleId="Heading1Char">
    <w:name w:val="Heading 1 Char"/>
    <w:basedOn w:val="DefaultParagraphFont"/>
    <w:link w:val="Heading1"/>
    <w:uiPriority w:val="9"/>
    <w:rsid w:val="0070525F"/>
    <w:rPr>
      <w:rFonts w:cstheme="minorHAnsi"/>
      <w:b/>
      <w:sz w:val="18"/>
      <w:szCs w:val="18"/>
      <w:lang w:val="en-GB"/>
    </w:rPr>
  </w:style>
  <w:style w:type="character" w:customStyle="1" w:styleId="Heading2Char">
    <w:name w:val="Heading 2 Char"/>
    <w:basedOn w:val="DefaultParagraphFont"/>
    <w:link w:val="Heading2"/>
    <w:uiPriority w:val="9"/>
    <w:rsid w:val="0070525F"/>
    <w:rPr>
      <w:rFonts w:cstheme="minorHAnsi"/>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9799">
      <w:bodyDiv w:val="1"/>
      <w:marLeft w:val="0"/>
      <w:marRight w:val="0"/>
      <w:marTop w:val="0"/>
      <w:marBottom w:val="0"/>
      <w:divBdr>
        <w:top w:val="none" w:sz="0" w:space="0" w:color="auto"/>
        <w:left w:val="none" w:sz="0" w:space="0" w:color="auto"/>
        <w:bottom w:val="none" w:sz="0" w:space="0" w:color="auto"/>
        <w:right w:val="none" w:sz="0" w:space="0" w:color="auto"/>
      </w:divBdr>
      <w:divsChild>
        <w:div w:id="1370956920">
          <w:marLeft w:val="0"/>
          <w:marRight w:val="0"/>
          <w:marTop w:val="0"/>
          <w:marBottom w:val="0"/>
          <w:divBdr>
            <w:top w:val="none" w:sz="0" w:space="0" w:color="auto"/>
            <w:left w:val="none" w:sz="0" w:space="0" w:color="auto"/>
            <w:bottom w:val="none" w:sz="0" w:space="0" w:color="auto"/>
            <w:right w:val="none" w:sz="0" w:space="0" w:color="auto"/>
          </w:divBdr>
        </w:div>
        <w:div w:id="431972615">
          <w:marLeft w:val="0"/>
          <w:marRight w:val="0"/>
          <w:marTop w:val="0"/>
          <w:marBottom w:val="0"/>
          <w:divBdr>
            <w:top w:val="none" w:sz="0" w:space="0" w:color="auto"/>
            <w:left w:val="none" w:sz="0" w:space="0" w:color="auto"/>
            <w:bottom w:val="none" w:sz="0" w:space="0" w:color="auto"/>
            <w:right w:val="none" w:sz="0" w:space="0" w:color="auto"/>
          </w:divBdr>
        </w:div>
        <w:div w:id="2075159021">
          <w:marLeft w:val="0"/>
          <w:marRight w:val="0"/>
          <w:marTop w:val="0"/>
          <w:marBottom w:val="0"/>
          <w:divBdr>
            <w:top w:val="none" w:sz="0" w:space="0" w:color="auto"/>
            <w:left w:val="none" w:sz="0" w:space="0" w:color="auto"/>
            <w:bottom w:val="none" w:sz="0" w:space="0" w:color="auto"/>
            <w:right w:val="none" w:sz="0" w:space="0" w:color="auto"/>
          </w:divBdr>
        </w:div>
        <w:div w:id="1482388471">
          <w:marLeft w:val="0"/>
          <w:marRight w:val="0"/>
          <w:marTop w:val="0"/>
          <w:marBottom w:val="0"/>
          <w:divBdr>
            <w:top w:val="none" w:sz="0" w:space="0" w:color="auto"/>
            <w:left w:val="none" w:sz="0" w:space="0" w:color="auto"/>
            <w:bottom w:val="none" w:sz="0" w:space="0" w:color="auto"/>
            <w:right w:val="none" w:sz="0" w:space="0" w:color="auto"/>
          </w:divBdr>
        </w:div>
      </w:divsChild>
    </w:div>
    <w:div w:id="98570504">
      <w:bodyDiv w:val="1"/>
      <w:marLeft w:val="0"/>
      <w:marRight w:val="0"/>
      <w:marTop w:val="0"/>
      <w:marBottom w:val="0"/>
      <w:divBdr>
        <w:top w:val="none" w:sz="0" w:space="0" w:color="auto"/>
        <w:left w:val="none" w:sz="0" w:space="0" w:color="auto"/>
        <w:bottom w:val="none" w:sz="0" w:space="0" w:color="auto"/>
        <w:right w:val="none" w:sz="0" w:space="0" w:color="auto"/>
      </w:divBdr>
      <w:divsChild>
        <w:div w:id="1111819524">
          <w:marLeft w:val="0"/>
          <w:marRight w:val="0"/>
          <w:marTop w:val="0"/>
          <w:marBottom w:val="0"/>
          <w:divBdr>
            <w:top w:val="none" w:sz="0" w:space="0" w:color="auto"/>
            <w:left w:val="none" w:sz="0" w:space="0" w:color="auto"/>
            <w:bottom w:val="none" w:sz="0" w:space="0" w:color="auto"/>
            <w:right w:val="none" w:sz="0" w:space="0" w:color="auto"/>
          </w:divBdr>
        </w:div>
        <w:div w:id="2120105167">
          <w:marLeft w:val="0"/>
          <w:marRight w:val="0"/>
          <w:marTop w:val="0"/>
          <w:marBottom w:val="0"/>
          <w:divBdr>
            <w:top w:val="none" w:sz="0" w:space="0" w:color="auto"/>
            <w:left w:val="none" w:sz="0" w:space="0" w:color="auto"/>
            <w:bottom w:val="none" w:sz="0" w:space="0" w:color="auto"/>
            <w:right w:val="none" w:sz="0" w:space="0" w:color="auto"/>
          </w:divBdr>
        </w:div>
        <w:div w:id="2057049321">
          <w:marLeft w:val="0"/>
          <w:marRight w:val="0"/>
          <w:marTop w:val="0"/>
          <w:marBottom w:val="0"/>
          <w:divBdr>
            <w:top w:val="none" w:sz="0" w:space="0" w:color="auto"/>
            <w:left w:val="none" w:sz="0" w:space="0" w:color="auto"/>
            <w:bottom w:val="none" w:sz="0" w:space="0" w:color="auto"/>
            <w:right w:val="none" w:sz="0" w:space="0" w:color="auto"/>
          </w:divBdr>
        </w:div>
        <w:div w:id="1011956840">
          <w:marLeft w:val="0"/>
          <w:marRight w:val="0"/>
          <w:marTop w:val="0"/>
          <w:marBottom w:val="0"/>
          <w:divBdr>
            <w:top w:val="none" w:sz="0" w:space="0" w:color="auto"/>
            <w:left w:val="none" w:sz="0" w:space="0" w:color="auto"/>
            <w:bottom w:val="none" w:sz="0" w:space="0" w:color="auto"/>
            <w:right w:val="none" w:sz="0" w:space="0" w:color="auto"/>
          </w:divBdr>
        </w:div>
        <w:div w:id="204561721">
          <w:marLeft w:val="0"/>
          <w:marRight w:val="0"/>
          <w:marTop w:val="0"/>
          <w:marBottom w:val="0"/>
          <w:divBdr>
            <w:top w:val="none" w:sz="0" w:space="0" w:color="auto"/>
            <w:left w:val="none" w:sz="0" w:space="0" w:color="auto"/>
            <w:bottom w:val="none" w:sz="0" w:space="0" w:color="auto"/>
            <w:right w:val="none" w:sz="0" w:space="0" w:color="auto"/>
          </w:divBdr>
        </w:div>
      </w:divsChild>
    </w:div>
    <w:div w:id="502357016">
      <w:bodyDiv w:val="1"/>
      <w:marLeft w:val="0"/>
      <w:marRight w:val="0"/>
      <w:marTop w:val="0"/>
      <w:marBottom w:val="0"/>
      <w:divBdr>
        <w:top w:val="none" w:sz="0" w:space="0" w:color="auto"/>
        <w:left w:val="none" w:sz="0" w:space="0" w:color="auto"/>
        <w:bottom w:val="none" w:sz="0" w:space="0" w:color="auto"/>
        <w:right w:val="none" w:sz="0" w:space="0" w:color="auto"/>
      </w:divBdr>
      <w:divsChild>
        <w:div w:id="1867597335">
          <w:marLeft w:val="0"/>
          <w:marRight w:val="0"/>
          <w:marTop w:val="0"/>
          <w:marBottom w:val="0"/>
          <w:divBdr>
            <w:top w:val="none" w:sz="0" w:space="0" w:color="auto"/>
            <w:left w:val="none" w:sz="0" w:space="0" w:color="auto"/>
            <w:bottom w:val="none" w:sz="0" w:space="0" w:color="auto"/>
            <w:right w:val="none" w:sz="0" w:space="0" w:color="auto"/>
          </w:divBdr>
        </w:div>
        <w:div w:id="1968702421">
          <w:marLeft w:val="0"/>
          <w:marRight w:val="0"/>
          <w:marTop w:val="0"/>
          <w:marBottom w:val="0"/>
          <w:divBdr>
            <w:top w:val="none" w:sz="0" w:space="0" w:color="auto"/>
            <w:left w:val="none" w:sz="0" w:space="0" w:color="auto"/>
            <w:bottom w:val="none" w:sz="0" w:space="0" w:color="auto"/>
            <w:right w:val="none" w:sz="0" w:space="0" w:color="auto"/>
          </w:divBdr>
        </w:div>
        <w:div w:id="73211713">
          <w:marLeft w:val="0"/>
          <w:marRight w:val="0"/>
          <w:marTop w:val="0"/>
          <w:marBottom w:val="0"/>
          <w:divBdr>
            <w:top w:val="none" w:sz="0" w:space="0" w:color="auto"/>
            <w:left w:val="none" w:sz="0" w:space="0" w:color="auto"/>
            <w:bottom w:val="none" w:sz="0" w:space="0" w:color="auto"/>
            <w:right w:val="none" w:sz="0" w:space="0" w:color="auto"/>
          </w:divBdr>
        </w:div>
        <w:div w:id="378089843">
          <w:marLeft w:val="0"/>
          <w:marRight w:val="0"/>
          <w:marTop w:val="0"/>
          <w:marBottom w:val="0"/>
          <w:divBdr>
            <w:top w:val="none" w:sz="0" w:space="0" w:color="auto"/>
            <w:left w:val="none" w:sz="0" w:space="0" w:color="auto"/>
            <w:bottom w:val="none" w:sz="0" w:space="0" w:color="auto"/>
            <w:right w:val="none" w:sz="0" w:space="0" w:color="auto"/>
          </w:divBdr>
        </w:div>
      </w:divsChild>
    </w:div>
    <w:div w:id="649480902">
      <w:bodyDiv w:val="1"/>
      <w:marLeft w:val="0"/>
      <w:marRight w:val="0"/>
      <w:marTop w:val="0"/>
      <w:marBottom w:val="0"/>
      <w:divBdr>
        <w:top w:val="none" w:sz="0" w:space="0" w:color="auto"/>
        <w:left w:val="none" w:sz="0" w:space="0" w:color="auto"/>
        <w:bottom w:val="none" w:sz="0" w:space="0" w:color="auto"/>
        <w:right w:val="none" w:sz="0" w:space="0" w:color="auto"/>
      </w:divBdr>
      <w:divsChild>
        <w:div w:id="1062362734">
          <w:marLeft w:val="0"/>
          <w:marRight w:val="0"/>
          <w:marTop w:val="0"/>
          <w:marBottom w:val="0"/>
          <w:divBdr>
            <w:top w:val="none" w:sz="0" w:space="0" w:color="auto"/>
            <w:left w:val="none" w:sz="0" w:space="0" w:color="auto"/>
            <w:bottom w:val="none" w:sz="0" w:space="0" w:color="auto"/>
            <w:right w:val="none" w:sz="0" w:space="0" w:color="auto"/>
          </w:divBdr>
        </w:div>
        <w:div w:id="1080952842">
          <w:marLeft w:val="0"/>
          <w:marRight w:val="0"/>
          <w:marTop w:val="0"/>
          <w:marBottom w:val="0"/>
          <w:divBdr>
            <w:top w:val="none" w:sz="0" w:space="0" w:color="auto"/>
            <w:left w:val="none" w:sz="0" w:space="0" w:color="auto"/>
            <w:bottom w:val="none" w:sz="0" w:space="0" w:color="auto"/>
            <w:right w:val="none" w:sz="0" w:space="0" w:color="auto"/>
          </w:divBdr>
        </w:div>
        <w:div w:id="68311030">
          <w:marLeft w:val="0"/>
          <w:marRight w:val="0"/>
          <w:marTop w:val="0"/>
          <w:marBottom w:val="0"/>
          <w:divBdr>
            <w:top w:val="none" w:sz="0" w:space="0" w:color="auto"/>
            <w:left w:val="none" w:sz="0" w:space="0" w:color="auto"/>
            <w:bottom w:val="none" w:sz="0" w:space="0" w:color="auto"/>
            <w:right w:val="none" w:sz="0" w:space="0" w:color="auto"/>
          </w:divBdr>
        </w:div>
      </w:divsChild>
    </w:div>
    <w:div w:id="681515209">
      <w:bodyDiv w:val="1"/>
      <w:marLeft w:val="0"/>
      <w:marRight w:val="0"/>
      <w:marTop w:val="0"/>
      <w:marBottom w:val="0"/>
      <w:divBdr>
        <w:top w:val="none" w:sz="0" w:space="0" w:color="auto"/>
        <w:left w:val="none" w:sz="0" w:space="0" w:color="auto"/>
        <w:bottom w:val="none" w:sz="0" w:space="0" w:color="auto"/>
        <w:right w:val="none" w:sz="0" w:space="0" w:color="auto"/>
      </w:divBdr>
      <w:divsChild>
        <w:div w:id="1256790805">
          <w:marLeft w:val="0"/>
          <w:marRight w:val="0"/>
          <w:marTop w:val="0"/>
          <w:marBottom w:val="0"/>
          <w:divBdr>
            <w:top w:val="none" w:sz="0" w:space="0" w:color="auto"/>
            <w:left w:val="none" w:sz="0" w:space="0" w:color="auto"/>
            <w:bottom w:val="none" w:sz="0" w:space="0" w:color="auto"/>
            <w:right w:val="none" w:sz="0" w:space="0" w:color="auto"/>
          </w:divBdr>
        </w:div>
        <w:div w:id="66928453">
          <w:marLeft w:val="0"/>
          <w:marRight w:val="0"/>
          <w:marTop w:val="0"/>
          <w:marBottom w:val="0"/>
          <w:divBdr>
            <w:top w:val="none" w:sz="0" w:space="0" w:color="auto"/>
            <w:left w:val="none" w:sz="0" w:space="0" w:color="auto"/>
            <w:bottom w:val="none" w:sz="0" w:space="0" w:color="auto"/>
            <w:right w:val="none" w:sz="0" w:space="0" w:color="auto"/>
          </w:divBdr>
        </w:div>
        <w:div w:id="1301417780">
          <w:marLeft w:val="0"/>
          <w:marRight w:val="0"/>
          <w:marTop w:val="0"/>
          <w:marBottom w:val="0"/>
          <w:divBdr>
            <w:top w:val="none" w:sz="0" w:space="0" w:color="auto"/>
            <w:left w:val="none" w:sz="0" w:space="0" w:color="auto"/>
            <w:bottom w:val="none" w:sz="0" w:space="0" w:color="auto"/>
            <w:right w:val="none" w:sz="0" w:space="0" w:color="auto"/>
          </w:divBdr>
        </w:div>
        <w:div w:id="1290084419">
          <w:marLeft w:val="0"/>
          <w:marRight w:val="0"/>
          <w:marTop w:val="0"/>
          <w:marBottom w:val="0"/>
          <w:divBdr>
            <w:top w:val="none" w:sz="0" w:space="0" w:color="auto"/>
            <w:left w:val="none" w:sz="0" w:space="0" w:color="auto"/>
            <w:bottom w:val="none" w:sz="0" w:space="0" w:color="auto"/>
            <w:right w:val="none" w:sz="0" w:space="0" w:color="auto"/>
          </w:divBdr>
        </w:div>
        <w:div w:id="1084840890">
          <w:marLeft w:val="0"/>
          <w:marRight w:val="0"/>
          <w:marTop w:val="0"/>
          <w:marBottom w:val="0"/>
          <w:divBdr>
            <w:top w:val="none" w:sz="0" w:space="0" w:color="auto"/>
            <w:left w:val="none" w:sz="0" w:space="0" w:color="auto"/>
            <w:bottom w:val="none" w:sz="0" w:space="0" w:color="auto"/>
            <w:right w:val="none" w:sz="0" w:space="0" w:color="auto"/>
          </w:divBdr>
        </w:div>
        <w:div w:id="84808146">
          <w:marLeft w:val="0"/>
          <w:marRight w:val="0"/>
          <w:marTop w:val="0"/>
          <w:marBottom w:val="0"/>
          <w:divBdr>
            <w:top w:val="none" w:sz="0" w:space="0" w:color="auto"/>
            <w:left w:val="none" w:sz="0" w:space="0" w:color="auto"/>
            <w:bottom w:val="none" w:sz="0" w:space="0" w:color="auto"/>
            <w:right w:val="none" w:sz="0" w:space="0" w:color="auto"/>
          </w:divBdr>
        </w:div>
        <w:div w:id="825707487">
          <w:marLeft w:val="0"/>
          <w:marRight w:val="0"/>
          <w:marTop w:val="0"/>
          <w:marBottom w:val="0"/>
          <w:divBdr>
            <w:top w:val="none" w:sz="0" w:space="0" w:color="auto"/>
            <w:left w:val="none" w:sz="0" w:space="0" w:color="auto"/>
            <w:bottom w:val="none" w:sz="0" w:space="0" w:color="auto"/>
            <w:right w:val="none" w:sz="0" w:space="0" w:color="auto"/>
          </w:divBdr>
        </w:div>
        <w:div w:id="1537817587">
          <w:marLeft w:val="0"/>
          <w:marRight w:val="0"/>
          <w:marTop w:val="0"/>
          <w:marBottom w:val="0"/>
          <w:divBdr>
            <w:top w:val="none" w:sz="0" w:space="0" w:color="auto"/>
            <w:left w:val="none" w:sz="0" w:space="0" w:color="auto"/>
            <w:bottom w:val="none" w:sz="0" w:space="0" w:color="auto"/>
            <w:right w:val="none" w:sz="0" w:space="0" w:color="auto"/>
          </w:divBdr>
        </w:div>
        <w:div w:id="2140033201">
          <w:marLeft w:val="0"/>
          <w:marRight w:val="0"/>
          <w:marTop w:val="0"/>
          <w:marBottom w:val="0"/>
          <w:divBdr>
            <w:top w:val="none" w:sz="0" w:space="0" w:color="auto"/>
            <w:left w:val="none" w:sz="0" w:space="0" w:color="auto"/>
            <w:bottom w:val="none" w:sz="0" w:space="0" w:color="auto"/>
            <w:right w:val="none" w:sz="0" w:space="0" w:color="auto"/>
          </w:divBdr>
        </w:div>
        <w:div w:id="731777010">
          <w:marLeft w:val="0"/>
          <w:marRight w:val="0"/>
          <w:marTop w:val="0"/>
          <w:marBottom w:val="0"/>
          <w:divBdr>
            <w:top w:val="none" w:sz="0" w:space="0" w:color="auto"/>
            <w:left w:val="none" w:sz="0" w:space="0" w:color="auto"/>
            <w:bottom w:val="none" w:sz="0" w:space="0" w:color="auto"/>
            <w:right w:val="none" w:sz="0" w:space="0" w:color="auto"/>
          </w:divBdr>
        </w:div>
        <w:div w:id="1560241323">
          <w:marLeft w:val="0"/>
          <w:marRight w:val="0"/>
          <w:marTop w:val="0"/>
          <w:marBottom w:val="0"/>
          <w:divBdr>
            <w:top w:val="none" w:sz="0" w:space="0" w:color="auto"/>
            <w:left w:val="none" w:sz="0" w:space="0" w:color="auto"/>
            <w:bottom w:val="none" w:sz="0" w:space="0" w:color="auto"/>
            <w:right w:val="none" w:sz="0" w:space="0" w:color="auto"/>
          </w:divBdr>
        </w:div>
      </w:divsChild>
    </w:div>
    <w:div w:id="717166780">
      <w:bodyDiv w:val="1"/>
      <w:marLeft w:val="0"/>
      <w:marRight w:val="0"/>
      <w:marTop w:val="0"/>
      <w:marBottom w:val="0"/>
      <w:divBdr>
        <w:top w:val="none" w:sz="0" w:space="0" w:color="auto"/>
        <w:left w:val="none" w:sz="0" w:space="0" w:color="auto"/>
        <w:bottom w:val="none" w:sz="0" w:space="0" w:color="auto"/>
        <w:right w:val="none" w:sz="0" w:space="0" w:color="auto"/>
      </w:divBdr>
      <w:divsChild>
        <w:div w:id="114837384">
          <w:marLeft w:val="0"/>
          <w:marRight w:val="0"/>
          <w:marTop w:val="0"/>
          <w:marBottom w:val="0"/>
          <w:divBdr>
            <w:top w:val="none" w:sz="0" w:space="0" w:color="auto"/>
            <w:left w:val="none" w:sz="0" w:space="0" w:color="auto"/>
            <w:bottom w:val="none" w:sz="0" w:space="0" w:color="auto"/>
            <w:right w:val="none" w:sz="0" w:space="0" w:color="auto"/>
          </w:divBdr>
        </w:div>
        <w:div w:id="1260528619">
          <w:marLeft w:val="0"/>
          <w:marRight w:val="0"/>
          <w:marTop w:val="0"/>
          <w:marBottom w:val="0"/>
          <w:divBdr>
            <w:top w:val="none" w:sz="0" w:space="0" w:color="auto"/>
            <w:left w:val="none" w:sz="0" w:space="0" w:color="auto"/>
            <w:bottom w:val="none" w:sz="0" w:space="0" w:color="auto"/>
            <w:right w:val="none" w:sz="0" w:space="0" w:color="auto"/>
          </w:divBdr>
        </w:div>
        <w:div w:id="2127578648">
          <w:marLeft w:val="0"/>
          <w:marRight w:val="0"/>
          <w:marTop w:val="0"/>
          <w:marBottom w:val="0"/>
          <w:divBdr>
            <w:top w:val="none" w:sz="0" w:space="0" w:color="auto"/>
            <w:left w:val="none" w:sz="0" w:space="0" w:color="auto"/>
            <w:bottom w:val="none" w:sz="0" w:space="0" w:color="auto"/>
            <w:right w:val="none" w:sz="0" w:space="0" w:color="auto"/>
          </w:divBdr>
        </w:div>
        <w:div w:id="618099651">
          <w:marLeft w:val="0"/>
          <w:marRight w:val="0"/>
          <w:marTop w:val="0"/>
          <w:marBottom w:val="0"/>
          <w:divBdr>
            <w:top w:val="none" w:sz="0" w:space="0" w:color="auto"/>
            <w:left w:val="none" w:sz="0" w:space="0" w:color="auto"/>
            <w:bottom w:val="none" w:sz="0" w:space="0" w:color="auto"/>
            <w:right w:val="none" w:sz="0" w:space="0" w:color="auto"/>
          </w:divBdr>
        </w:div>
      </w:divsChild>
    </w:div>
    <w:div w:id="723601991">
      <w:bodyDiv w:val="1"/>
      <w:marLeft w:val="0"/>
      <w:marRight w:val="0"/>
      <w:marTop w:val="0"/>
      <w:marBottom w:val="0"/>
      <w:divBdr>
        <w:top w:val="none" w:sz="0" w:space="0" w:color="auto"/>
        <w:left w:val="none" w:sz="0" w:space="0" w:color="auto"/>
        <w:bottom w:val="none" w:sz="0" w:space="0" w:color="auto"/>
        <w:right w:val="none" w:sz="0" w:space="0" w:color="auto"/>
      </w:divBdr>
      <w:divsChild>
        <w:div w:id="1386291303">
          <w:marLeft w:val="0"/>
          <w:marRight w:val="0"/>
          <w:marTop w:val="0"/>
          <w:marBottom w:val="0"/>
          <w:divBdr>
            <w:top w:val="none" w:sz="0" w:space="0" w:color="auto"/>
            <w:left w:val="none" w:sz="0" w:space="0" w:color="auto"/>
            <w:bottom w:val="none" w:sz="0" w:space="0" w:color="auto"/>
            <w:right w:val="none" w:sz="0" w:space="0" w:color="auto"/>
          </w:divBdr>
          <w:divsChild>
            <w:div w:id="1455099940">
              <w:marLeft w:val="0"/>
              <w:marRight w:val="0"/>
              <w:marTop w:val="0"/>
              <w:marBottom w:val="0"/>
              <w:divBdr>
                <w:top w:val="none" w:sz="0" w:space="0" w:color="auto"/>
                <w:left w:val="none" w:sz="0" w:space="0" w:color="auto"/>
                <w:bottom w:val="none" w:sz="0" w:space="0" w:color="auto"/>
                <w:right w:val="none" w:sz="0" w:space="0" w:color="auto"/>
              </w:divBdr>
              <w:divsChild>
                <w:div w:id="4252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8632">
      <w:bodyDiv w:val="1"/>
      <w:marLeft w:val="0"/>
      <w:marRight w:val="0"/>
      <w:marTop w:val="0"/>
      <w:marBottom w:val="0"/>
      <w:divBdr>
        <w:top w:val="none" w:sz="0" w:space="0" w:color="auto"/>
        <w:left w:val="none" w:sz="0" w:space="0" w:color="auto"/>
        <w:bottom w:val="none" w:sz="0" w:space="0" w:color="auto"/>
        <w:right w:val="none" w:sz="0" w:space="0" w:color="auto"/>
      </w:divBdr>
      <w:divsChild>
        <w:div w:id="932201543">
          <w:marLeft w:val="0"/>
          <w:marRight w:val="0"/>
          <w:marTop w:val="0"/>
          <w:marBottom w:val="0"/>
          <w:divBdr>
            <w:top w:val="none" w:sz="0" w:space="0" w:color="auto"/>
            <w:left w:val="none" w:sz="0" w:space="0" w:color="auto"/>
            <w:bottom w:val="none" w:sz="0" w:space="0" w:color="auto"/>
            <w:right w:val="none" w:sz="0" w:space="0" w:color="auto"/>
          </w:divBdr>
        </w:div>
        <w:div w:id="1935674202">
          <w:marLeft w:val="0"/>
          <w:marRight w:val="0"/>
          <w:marTop w:val="0"/>
          <w:marBottom w:val="0"/>
          <w:divBdr>
            <w:top w:val="none" w:sz="0" w:space="0" w:color="auto"/>
            <w:left w:val="none" w:sz="0" w:space="0" w:color="auto"/>
            <w:bottom w:val="none" w:sz="0" w:space="0" w:color="auto"/>
            <w:right w:val="none" w:sz="0" w:space="0" w:color="auto"/>
          </w:divBdr>
        </w:div>
        <w:div w:id="274823986">
          <w:marLeft w:val="0"/>
          <w:marRight w:val="0"/>
          <w:marTop w:val="0"/>
          <w:marBottom w:val="0"/>
          <w:divBdr>
            <w:top w:val="none" w:sz="0" w:space="0" w:color="auto"/>
            <w:left w:val="none" w:sz="0" w:space="0" w:color="auto"/>
            <w:bottom w:val="none" w:sz="0" w:space="0" w:color="auto"/>
            <w:right w:val="none" w:sz="0" w:space="0" w:color="auto"/>
          </w:divBdr>
        </w:div>
        <w:div w:id="1484731871">
          <w:marLeft w:val="0"/>
          <w:marRight w:val="0"/>
          <w:marTop w:val="0"/>
          <w:marBottom w:val="0"/>
          <w:divBdr>
            <w:top w:val="none" w:sz="0" w:space="0" w:color="auto"/>
            <w:left w:val="none" w:sz="0" w:space="0" w:color="auto"/>
            <w:bottom w:val="none" w:sz="0" w:space="0" w:color="auto"/>
            <w:right w:val="none" w:sz="0" w:space="0" w:color="auto"/>
          </w:divBdr>
        </w:div>
        <w:div w:id="1169103708">
          <w:marLeft w:val="0"/>
          <w:marRight w:val="0"/>
          <w:marTop w:val="0"/>
          <w:marBottom w:val="0"/>
          <w:divBdr>
            <w:top w:val="none" w:sz="0" w:space="0" w:color="auto"/>
            <w:left w:val="none" w:sz="0" w:space="0" w:color="auto"/>
            <w:bottom w:val="none" w:sz="0" w:space="0" w:color="auto"/>
            <w:right w:val="none" w:sz="0" w:space="0" w:color="auto"/>
          </w:divBdr>
        </w:div>
      </w:divsChild>
    </w:div>
    <w:div w:id="969020083">
      <w:bodyDiv w:val="1"/>
      <w:marLeft w:val="0"/>
      <w:marRight w:val="0"/>
      <w:marTop w:val="0"/>
      <w:marBottom w:val="0"/>
      <w:divBdr>
        <w:top w:val="none" w:sz="0" w:space="0" w:color="auto"/>
        <w:left w:val="none" w:sz="0" w:space="0" w:color="auto"/>
        <w:bottom w:val="none" w:sz="0" w:space="0" w:color="auto"/>
        <w:right w:val="none" w:sz="0" w:space="0" w:color="auto"/>
      </w:divBdr>
      <w:divsChild>
        <w:div w:id="1607151590">
          <w:marLeft w:val="0"/>
          <w:marRight w:val="0"/>
          <w:marTop w:val="0"/>
          <w:marBottom w:val="0"/>
          <w:divBdr>
            <w:top w:val="none" w:sz="0" w:space="0" w:color="auto"/>
            <w:left w:val="none" w:sz="0" w:space="0" w:color="auto"/>
            <w:bottom w:val="none" w:sz="0" w:space="0" w:color="auto"/>
            <w:right w:val="none" w:sz="0" w:space="0" w:color="auto"/>
          </w:divBdr>
        </w:div>
        <w:div w:id="231281348">
          <w:marLeft w:val="0"/>
          <w:marRight w:val="0"/>
          <w:marTop w:val="0"/>
          <w:marBottom w:val="0"/>
          <w:divBdr>
            <w:top w:val="none" w:sz="0" w:space="0" w:color="auto"/>
            <w:left w:val="none" w:sz="0" w:space="0" w:color="auto"/>
            <w:bottom w:val="none" w:sz="0" w:space="0" w:color="auto"/>
            <w:right w:val="none" w:sz="0" w:space="0" w:color="auto"/>
          </w:divBdr>
        </w:div>
        <w:div w:id="1852834980">
          <w:marLeft w:val="0"/>
          <w:marRight w:val="0"/>
          <w:marTop w:val="0"/>
          <w:marBottom w:val="0"/>
          <w:divBdr>
            <w:top w:val="none" w:sz="0" w:space="0" w:color="auto"/>
            <w:left w:val="none" w:sz="0" w:space="0" w:color="auto"/>
            <w:bottom w:val="none" w:sz="0" w:space="0" w:color="auto"/>
            <w:right w:val="none" w:sz="0" w:space="0" w:color="auto"/>
          </w:divBdr>
        </w:div>
        <w:div w:id="92897260">
          <w:marLeft w:val="0"/>
          <w:marRight w:val="0"/>
          <w:marTop w:val="0"/>
          <w:marBottom w:val="0"/>
          <w:divBdr>
            <w:top w:val="none" w:sz="0" w:space="0" w:color="auto"/>
            <w:left w:val="none" w:sz="0" w:space="0" w:color="auto"/>
            <w:bottom w:val="none" w:sz="0" w:space="0" w:color="auto"/>
            <w:right w:val="none" w:sz="0" w:space="0" w:color="auto"/>
          </w:divBdr>
        </w:div>
      </w:divsChild>
    </w:div>
    <w:div w:id="1712802241">
      <w:bodyDiv w:val="1"/>
      <w:marLeft w:val="0"/>
      <w:marRight w:val="0"/>
      <w:marTop w:val="0"/>
      <w:marBottom w:val="0"/>
      <w:divBdr>
        <w:top w:val="none" w:sz="0" w:space="0" w:color="auto"/>
        <w:left w:val="none" w:sz="0" w:space="0" w:color="auto"/>
        <w:bottom w:val="none" w:sz="0" w:space="0" w:color="auto"/>
        <w:right w:val="none" w:sz="0" w:space="0" w:color="auto"/>
      </w:divBdr>
      <w:divsChild>
        <w:div w:id="1482653631">
          <w:marLeft w:val="0"/>
          <w:marRight w:val="0"/>
          <w:marTop w:val="0"/>
          <w:marBottom w:val="0"/>
          <w:divBdr>
            <w:top w:val="none" w:sz="0" w:space="0" w:color="auto"/>
            <w:left w:val="none" w:sz="0" w:space="0" w:color="auto"/>
            <w:bottom w:val="none" w:sz="0" w:space="0" w:color="auto"/>
            <w:right w:val="none" w:sz="0" w:space="0" w:color="auto"/>
          </w:divBdr>
        </w:div>
        <w:div w:id="1868256605">
          <w:marLeft w:val="0"/>
          <w:marRight w:val="0"/>
          <w:marTop w:val="0"/>
          <w:marBottom w:val="0"/>
          <w:divBdr>
            <w:top w:val="none" w:sz="0" w:space="0" w:color="auto"/>
            <w:left w:val="none" w:sz="0" w:space="0" w:color="auto"/>
            <w:bottom w:val="none" w:sz="0" w:space="0" w:color="auto"/>
            <w:right w:val="none" w:sz="0" w:space="0" w:color="auto"/>
          </w:divBdr>
        </w:div>
        <w:div w:id="81151019">
          <w:marLeft w:val="0"/>
          <w:marRight w:val="0"/>
          <w:marTop w:val="0"/>
          <w:marBottom w:val="0"/>
          <w:divBdr>
            <w:top w:val="none" w:sz="0" w:space="0" w:color="auto"/>
            <w:left w:val="none" w:sz="0" w:space="0" w:color="auto"/>
            <w:bottom w:val="none" w:sz="0" w:space="0" w:color="auto"/>
            <w:right w:val="none" w:sz="0" w:space="0" w:color="auto"/>
          </w:divBdr>
        </w:div>
        <w:div w:id="1021472058">
          <w:marLeft w:val="0"/>
          <w:marRight w:val="0"/>
          <w:marTop w:val="0"/>
          <w:marBottom w:val="0"/>
          <w:divBdr>
            <w:top w:val="none" w:sz="0" w:space="0" w:color="auto"/>
            <w:left w:val="none" w:sz="0" w:space="0" w:color="auto"/>
            <w:bottom w:val="none" w:sz="0" w:space="0" w:color="auto"/>
            <w:right w:val="none" w:sz="0" w:space="0" w:color="auto"/>
          </w:divBdr>
        </w:div>
      </w:divsChild>
    </w:div>
    <w:div w:id="1885294244">
      <w:bodyDiv w:val="1"/>
      <w:marLeft w:val="0"/>
      <w:marRight w:val="0"/>
      <w:marTop w:val="0"/>
      <w:marBottom w:val="0"/>
      <w:divBdr>
        <w:top w:val="none" w:sz="0" w:space="0" w:color="auto"/>
        <w:left w:val="none" w:sz="0" w:space="0" w:color="auto"/>
        <w:bottom w:val="none" w:sz="0" w:space="0" w:color="auto"/>
        <w:right w:val="none" w:sz="0" w:space="0" w:color="auto"/>
      </w:divBdr>
      <w:divsChild>
        <w:div w:id="1942836291">
          <w:marLeft w:val="0"/>
          <w:marRight w:val="0"/>
          <w:marTop w:val="0"/>
          <w:marBottom w:val="0"/>
          <w:divBdr>
            <w:top w:val="none" w:sz="0" w:space="0" w:color="auto"/>
            <w:left w:val="none" w:sz="0" w:space="0" w:color="auto"/>
            <w:bottom w:val="none" w:sz="0" w:space="0" w:color="auto"/>
            <w:right w:val="none" w:sz="0" w:space="0" w:color="auto"/>
          </w:divBdr>
        </w:div>
        <w:div w:id="701326576">
          <w:marLeft w:val="0"/>
          <w:marRight w:val="0"/>
          <w:marTop w:val="0"/>
          <w:marBottom w:val="0"/>
          <w:divBdr>
            <w:top w:val="none" w:sz="0" w:space="0" w:color="auto"/>
            <w:left w:val="none" w:sz="0" w:space="0" w:color="auto"/>
            <w:bottom w:val="none" w:sz="0" w:space="0" w:color="auto"/>
            <w:right w:val="none" w:sz="0" w:space="0" w:color="auto"/>
          </w:divBdr>
        </w:div>
        <w:div w:id="1963069284">
          <w:marLeft w:val="0"/>
          <w:marRight w:val="0"/>
          <w:marTop w:val="0"/>
          <w:marBottom w:val="0"/>
          <w:divBdr>
            <w:top w:val="none" w:sz="0" w:space="0" w:color="auto"/>
            <w:left w:val="none" w:sz="0" w:space="0" w:color="auto"/>
            <w:bottom w:val="none" w:sz="0" w:space="0" w:color="auto"/>
            <w:right w:val="none" w:sz="0" w:space="0" w:color="auto"/>
          </w:divBdr>
        </w:div>
        <w:div w:id="2088183910">
          <w:marLeft w:val="0"/>
          <w:marRight w:val="0"/>
          <w:marTop w:val="0"/>
          <w:marBottom w:val="0"/>
          <w:divBdr>
            <w:top w:val="none" w:sz="0" w:space="0" w:color="auto"/>
            <w:left w:val="none" w:sz="0" w:space="0" w:color="auto"/>
            <w:bottom w:val="none" w:sz="0" w:space="0" w:color="auto"/>
            <w:right w:val="none" w:sz="0" w:space="0" w:color="auto"/>
          </w:divBdr>
        </w:div>
        <w:div w:id="189303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4&amp;Lang=en"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www.unicef.org/wash/files/4_WSSCC_JMP_Fact_Sheets_4_UK_Lo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6EAB51-34EA-47AA-893B-13B87F7B64B2}">
  <ds:schemaRefs>
    <ds:schemaRef ds:uri="http://schemas.openxmlformats.org/officeDocument/2006/bibliography"/>
  </ds:schemaRefs>
</ds:datastoreItem>
</file>

<file path=customXml/itemProps2.xml><?xml version="1.0" encoding="utf-8"?>
<ds:datastoreItem xmlns:ds="http://schemas.openxmlformats.org/officeDocument/2006/customXml" ds:itemID="{EC9A87E2-0B8A-4091-A87A-0BD796527198}"/>
</file>

<file path=customXml/itemProps3.xml><?xml version="1.0" encoding="utf-8"?>
<ds:datastoreItem xmlns:ds="http://schemas.openxmlformats.org/officeDocument/2006/customXml" ds:itemID="{BFB9C2E7-EC89-495F-A4EF-DE3EA2DD5D6F}"/>
</file>

<file path=customXml/itemProps4.xml><?xml version="1.0" encoding="utf-8"?>
<ds:datastoreItem xmlns:ds="http://schemas.openxmlformats.org/officeDocument/2006/customXml" ds:itemID="{9C3836E0-7969-4CA9-8F3E-F4685939B0FF}"/>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4</cp:revision>
  <cp:lastPrinted>2018-06-07T08:17:00Z</cp:lastPrinted>
  <dcterms:created xsi:type="dcterms:W3CDTF">2020-08-24T14:41:00Z</dcterms:created>
  <dcterms:modified xsi:type="dcterms:W3CDTF">2021-01-30T20:40:00Z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