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6B87F" w14:textId="77777777" w:rsidR="00E3311C" w:rsidRDefault="00E3311C" w:rsidP="00E3311C">
      <w:pPr>
        <w:pStyle w:val="NoSpacing"/>
        <w:jc w:val="center"/>
        <w:rPr>
          <w:b/>
          <w:sz w:val="18"/>
          <w:szCs w:val="18"/>
        </w:rPr>
      </w:pPr>
    </w:p>
    <w:p w14:paraId="4CC74C9F" w14:textId="39B4C389" w:rsidR="00E3311C" w:rsidRPr="00651D18" w:rsidRDefault="00E3311C" w:rsidP="00E3311C">
      <w:pPr>
        <w:pStyle w:val="NoSpacing"/>
        <w:jc w:val="center"/>
        <w:rPr>
          <w:rFonts w:cstheme="minorHAnsi"/>
          <w:b/>
          <w:sz w:val="18"/>
          <w:szCs w:val="18"/>
        </w:rPr>
      </w:pPr>
      <w:r>
        <w:rPr>
          <w:b/>
          <w:sz w:val="18"/>
          <w:szCs w:val="18"/>
        </w:rPr>
        <w:t>Article 24 - Indicateurs illustratifs sur l'éducation</w:t>
      </w:r>
      <w:r w:rsidR="00877465">
        <w:rPr>
          <w:b/>
          <w:sz w:val="18"/>
          <w:szCs w:val="18"/>
        </w:rPr>
        <w:t>*</w:t>
      </w:r>
    </w:p>
    <w:p w14:paraId="14D33EE4" w14:textId="77777777" w:rsidR="00E3311C" w:rsidRPr="00651D18" w:rsidRDefault="00E3311C" w:rsidP="00E3311C">
      <w:pPr>
        <w:spacing w:after="0" w:line="240" w:lineRule="auto"/>
        <w:jc w:val="center"/>
        <w:rPr>
          <w:rFonts w:cstheme="minorHAnsi"/>
          <w:b/>
          <w:sz w:val="18"/>
          <w:szCs w:val="18"/>
        </w:rPr>
      </w:pPr>
      <w:r>
        <w:rPr>
          <w:b/>
          <w:sz w:val="18"/>
          <w:szCs w:val="18"/>
        </w:rPr>
        <w:t>Développement complet du potentiel humain, du sens de la dignité et de l'estime de soi permettant aux personnes handicapées de participer effectivement à une société libre</w:t>
      </w:r>
    </w:p>
    <w:p w14:paraId="0CB0D2B9" w14:textId="77777777" w:rsidR="00E3311C" w:rsidRDefault="00E3311C" w:rsidP="00E3311C">
      <w:pPr>
        <w:pStyle w:val="ListParagraph"/>
        <w:spacing w:after="0" w:line="240" w:lineRule="auto"/>
        <w:ind w:left="0"/>
        <w:rPr>
          <w:b/>
          <w:sz w:val="18"/>
          <w:szCs w:val="18"/>
        </w:rPr>
      </w:pPr>
    </w:p>
    <w:p w14:paraId="07205D1D" w14:textId="646B8A98" w:rsidR="00E3311C" w:rsidRPr="00DD35DD" w:rsidRDefault="00E3311C" w:rsidP="00E3311C">
      <w:pPr>
        <w:pStyle w:val="ListParagraph"/>
        <w:spacing w:after="0" w:line="240" w:lineRule="auto"/>
        <w:ind w:left="0"/>
        <w:rPr>
          <w:rFonts w:cstheme="minorHAnsi"/>
          <w:b/>
          <w:sz w:val="18"/>
          <w:szCs w:val="18"/>
        </w:rPr>
      </w:pPr>
      <w:r>
        <w:rPr>
          <w:b/>
          <w:sz w:val="18"/>
          <w:szCs w:val="18"/>
        </w:rPr>
        <w:t>Attributs</w:t>
      </w:r>
    </w:p>
    <w:p w14:paraId="5A1B2E9C" w14:textId="77777777" w:rsidR="00E3311C" w:rsidRPr="00E3311C" w:rsidRDefault="00E3311C" w:rsidP="00E3311C">
      <w:pPr>
        <w:pStyle w:val="ListParagraph"/>
        <w:numPr>
          <w:ilvl w:val="0"/>
          <w:numId w:val="14"/>
        </w:numPr>
        <w:spacing w:after="0" w:line="240" w:lineRule="auto"/>
        <w:rPr>
          <w:rFonts w:cstheme="minorHAnsi"/>
          <w:b/>
          <w:sz w:val="18"/>
          <w:szCs w:val="18"/>
        </w:rPr>
      </w:pPr>
      <w:r w:rsidRPr="00E3311C">
        <w:rPr>
          <w:b/>
          <w:sz w:val="18"/>
          <w:szCs w:val="18"/>
        </w:rPr>
        <w:t>Système éducatif inclusif</w:t>
      </w:r>
    </w:p>
    <w:p w14:paraId="5FD80DBB" w14:textId="77777777" w:rsidR="00E3311C" w:rsidRPr="00E3311C" w:rsidRDefault="00E3311C" w:rsidP="00E3311C">
      <w:pPr>
        <w:pStyle w:val="ListParagraph"/>
        <w:numPr>
          <w:ilvl w:val="0"/>
          <w:numId w:val="14"/>
        </w:numPr>
        <w:spacing w:after="0" w:line="240" w:lineRule="auto"/>
        <w:rPr>
          <w:rFonts w:cstheme="minorHAnsi"/>
          <w:b/>
          <w:sz w:val="18"/>
          <w:szCs w:val="18"/>
        </w:rPr>
      </w:pPr>
      <w:r w:rsidRPr="00E3311C">
        <w:rPr>
          <w:b/>
          <w:sz w:val="18"/>
          <w:szCs w:val="18"/>
        </w:rPr>
        <w:t xml:space="preserve">Enseignement primaire et secondaire gratuit et de qualité </w:t>
      </w:r>
    </w:p>
    <w:p w14:paraId="7E93B0D2" w14:textId="77777777" w:rsidR="00E3311C" w:rsidRPr="00E3311C" w:rsidRDefault="00E3311C" w:rsidP="00E3311C">
      <w:pPr>
        <w:pStyle w:val="ListParagraph"/>
        <w:numPr>
          <w:ilvl w:val="0"/>
          <w:numId w:val="14"/>
        </w:numPr>
        <w:spacing w:after="0" w:line="240" w:lineRule="auto"/>
        <w:rPr>
          <w:rFonts w:cstheme="minorHAnsi"/>
          <w:b/>
          <w:sz w:val="18"/>
          <w:szCs w:val="18"/>
        </w:rPr>
      </w:pPr>
      <w:r w:rsidRPr="00E3311C">
        <w:rPr>
          <w:b/>
          <w:sz w:val="18"/>
          <w:szCs w:val="18"/>
        </w:rPr>
        <w:t>Accès à l'enseignement supérieur, à la formation professionnelle et à l'apprentissage tout au long de la vie</w:t>
      </w:r>
    </w:p>
    <w:p w14:paraId="02F36C18" w14:textId="77777777" w:rsidR="00E3311C" w:rsidRPr="00E3311C" w:rsidRDefault="00E3311C" w:rsidP="00E3311C">
      <w:pPr>
        <w:pStyle w:val="ListParagraph"/>
        <w:numPr>
          <w:ilvl w:val="0"/>
          <w:numId w:val="14"/>
        </w:numPr>
        <w:spacing w:after="0" w:line="240" w:lineRule="auto"/>
        <w:rPr>
          <w:rFonts w:cstheme="minorHAnsi"/>
          <w:b/>
          <w:sz w:val="18"/>
          <w:szCs w:val="18"/>
        </w:rPr>
      </w:pPr>
      <w:r w:rsidRPr="00E3311C">
        <w:rPr>
          <w:b/>
          <w:sz w:val="18"/>
          <w:szCs w:val="18"/>
        </w:rPr>
        <w:t>Enseignement inclusif</w:t>
      </w:r>
    </w:p>
    <w:p w14:paraId="5B3E853D" w14:textId="77777777" w:rsidR="00E3311C" w:rsidRDefault="00E3311C" w:rsidP="00E3311C">
      <w:pPr>
        <w:spacing w:after="0" w:line="240" w:lineRule="auto"/>
        <w:jc w:val="both"/>
        <w:rPr>
          <w:b/>
          <w:sz w:val="18"/>
          <w:szCs w:val="18"/>
        </w:rPr>
      </w:pPr>
    </w:p>
    <w:p w14:paraId="02F40C03" w14:textId="77777777" w:rsidR="00E3311C" w:rsidRPr="00127D9C" w:rsidRDefault="00E3311C" w:rsidP="00E3311C">
      <w:pPr>
        <w:pStyle w:val="ListParagraph"/>
        <w:spacing w:after="0"/>
        <w:ind w:left="0"/>
        <w:rPr>
          <w:rFonts w:cstheme="minorHAnsi"/>
          <w:b/>
          <w:sz w:val="18"/>
          <w:szCs w:val="18"/>
        </w:rPr>
      </w:pPr>
      <w:r w:rsidRPr="003F495A">
        <w:rPr>
          <w:b/>
          <w:sz w:val="18"/>
          <w:szCs w:val="18"/>
        </w:rPr>
        <w:t>Indicateurs</w:t>
      </w:r>
      <w:r>
        <w:rPr>
          <w:b/>
          <w:sz w:val="18"/>
          <w:szCs w:val="18"/>
        </w:rPr>
        <w:t xml:space="preserve"> structurels</w:t>
      </w:r>
    </w:p>
    <w:p w14:paraId="744F586D" w14:textId="77777777" w:rsidR="00E3311C" w:rsidRPr="00651D18" w:rsidRDefault="00E3311C" w:rsidP="00E3311C">
      <w:pPr>
        <w:spacing w:after="0" w:line="240" w:lineRule="auto"/>
        <w:jc w:val="both"/>
        <w:rPr>
          <w:rFonts w:cstheme="minorHAnsi"/>
          <w:sz w:val="18"/>
          <w:szCs w:val="18"/>
        </w:rPr>
      </w:pPr>
      <w:r>
        <w:rPr>
          <w:sz w:val="18"/>
          <w:szCs w:val="18"/>
        </w:rPr>
        <w:t>24.1 Adoption d'une législation garantissant une éducation inclusive pour tous les élèves, y compris les élèves handicapés dans les établissements publics et privés à tous les niveaux d'enseignement.</w:t>
      </w:r>
      <w:r w:rsidRPr="00651D18">
        <w:rPr>
          <w:rStyle w:val="EndnoteReference"/>
          <w:rFonts w:cstheme="minorHAnsi"/>
          <w:sz w:val="18"/>
          <w:szCs w:val="18"/>
        </w:rPr>
        <w:endnoteReference w:id="1"/>
      </w:r>
    </w:p>
    <w:p w14:paraId="230040B1" w14:textId="77777777" w:rsidR="00E3311C" w:rsidRPr="00651D18" w:rsidRDefault="00E3311C" w:rsidP="00E3311C">
      <w:pPr>
        <w:spacing w:after="0" w:line="240" w:lineRule="auto"/>
        <w:jc w:val="both"/>
        <w:rPr>
          <w:rFonts w:cstheme="minorHAnsi"/>
          <w:sz w:val="18"/>
          <w:szCs w:val="18"/>
        </w:rPr>
      </w:pPr>
      <w:r>
        <w:rPr>
          <w:sz w:val="18"/>
          <w:szCs w:val="18"/>
        </w:rPr>
        <w:t>24.2 Aucune disposition de la législation n’exclut une personne en raison de son handicap d’une forme ou d’un niveau d’éducation, d’un domaine d’études ou de l'obtention d’une certification sur un pied d'égalité avec les autres.</w:t>
      </w:r>
    </w:p>
    <w:p w14:paraId="5BBE79C6" w14:textId="77777777" w:rsidR="00E3311C" w:rsidRPr="00DD35DD" w:rsidRDefault="00E3311C" w:rsidP="00E3311C">
      <w:pPr>
        <w:spacing w:after="0" w:line="240" w:lineRule="auto"/>
        <w:jc w:val="both"/>
        <w:rPr>
          <w:rFonts w:cstheme="minorHAnsi"/>
          <w:sz w:val="18"/>
          <w:szCs w:val="18"/>
        </w:rPr>
      </w:pPr>
      <w:r>
        <w:rPr>
          <w:sz w:val="18"/>
          <w:szCs w:val="18"/>
        </w:rPr>
        <w:t>24.3 Stratégie/plan national dirigé par le ministère de l'Éducation pour la transition vers un système d'éducation inclusif.</w:t>
      </w:r>
      <w:r>
        <w:rPr>
          <w:rStyle w:val="EndnoteReference"/>
          <w:rFonts w:cstheme="minorHAnsi"/>
          <w:sz w:val="18"/>
          <w:szCs w:val="18"/>
        </w:rPr>
        <w:endnoteReference w:id="2"/>
      </w:r>
    </w:p>
    <w:p w14:paraId="355298F7" w14:textId="77777777" w:rsidR="00E3311C" w:rsidRPr="00DD35DD" w:rsidRDefault="00E3311C" w:rsidP="00E3311C">
      <w:pPr>
        <w:spacing w:after="0" w:line="240" w:lineRule="auto"/>
        <w:jc w:val="both"/>
        <w:rPr>
          <w:rFonts w:cstheme="minorHAnsi"/>
          <w:color w:val="000000"/>
          <w:sz w:val="18"/>
          <w:szCs w:val="18"/>
        </w:rPr>
      </w:pPr>
      <w:r>
        <w:rPr>
          <w:sz w:val="18"/>
          <w:szCs w:val="18"/>
        </w:rPr>
        <w:t>24.4 Programmes mis en place pour l'identification précoce des enfants handicapés et leurs besoins de soutien pour leur participation effective dans les écoles ordinaires.</w:t>
      </w:r>
    </w:p>
    <w:p w14:paraId="3CC3151F" w14:textId="77777777" w:rsidR="00E3311C" w:rsidRPr="00DD35DD" w:rsidRDefault="00E3311C" w:rsidP="00E3311C">
      <w:pPr>
        <w:spacing w:after="0" w:line="240" w:lineRule="auto"/>
        <w:jc w:val="both"/>
        <w:rPr>
          <w:rFonts w:cstheme="minorHAnsi"/>
          <w:sz w:val="18"/>
          <w:szCs w:val="18"/>
        </w:rPr>
      </w:pPr>
      <w:r>
        <w:rPr>
          <w:sz w:val="18"/>
          <w:szCs w:val="18"/>
        </w:rPr>
        <w:t xml:space="preserve">24.5 Stratégie/plan national sur l'enseignement professionnel et technique </w:t>
      </w:r>
      <w:r>
        <w:rPr>
          <w:color w:val="000000" w:themeColor="text1"/>
          <w:sz w:val="18"/>
          <w:szCs w:val="18"/>
        </w:rPr>
        <w:t>et l'apprentissage tout au long de la vie, impliquant à la fois l'apprentissage informel et non formel, qui</w:t>
      </w:r>
      <w:r>
        <w:rPr>
          <w:sz w:val="18"/>
          <w:szCs w:val="18"/>
        </w:rPr>
        <w:t xml:space="preserve"> fait explicitement référence aux personnes handicapées et les inclut.</w:t>
      </w:r>
    </w:p>
    <w:p w14:paraId="7A62D63B" w14:textId="2DA483E8" w:rsidR="00E3311C" w:rsidRPr="00E3311C" w:rsidRDefault="00E3311C" w:rsidP="00E3311C">
      <w:pPr>
        <w:spacing w:after="0" w:line="240" w:lineRule="auto"/>
        <w:jc w:val="both"/>
        <w:rPr>
          <w:rFonts w:cstheme="minorHAnsi"/>
          <w:sz w:val="18"/>
          <w:szCs w:val="18"/>
        </w:rPr>
      </w:pPr>
      <w:r>
        <w:rPr>
          <w:sz w:val="18"/>
          <w:szCs w:val="18"/>
        </w:rPr>
        <w:t>24.6 Formation initiale et continue obligatoire pour une éducation inclusive pour tous les enseignants et le personnel à tous les niveaux d'enseignement.</w:t>
      </w:r>
      <w:r w:rsidRPr="00DD35DD">
        <w:rPr>
          <w:rStyle w:val="EndnoteReference"/>
          <w:rFonts w:cstheme="minorHAnsi"/>
          <w:sz w:val="18"/>
          <w:szCs w:val="18"/>
        </w:rPr>
        <w:endnoteReference w:id="3"/>
      </w:r>
    </w:p>
    <w:p w14:paraId="3CC19CD4" w14:textId="77777777" w:rsidR="00E3311C" w:rsidRPr="00651D18" w:rsidRDefault="00E3311C" w:rsidP="00E3311C">
      <w:pPr>
        <w:spacing w:after="0" w:line="240" w:lineRule="auto"/>
        <w:jc w:val="both"/>
        <w:rPr>
          <w:rFonts w:cstheme="minorHAnsi"/>
          <w:sz w:val="18"/>
          <w:szCs w:val="18"/>
        </w:rPr>
      </w:pPr>
      <w:r>
        <w:rPr>
          <w:sz w:val="18"/>
          <w:szCs w:val="18"/>
        </w:rPr>
        <w:t>24.7 Le programme national comprend des normes d'éducation inclusive qui reflètent la diversité des besoins d'apprentissage de tous les apprenants et permet des modifications et des adaptations des programmes d'études adaptées à chaque apprenant.</w:t>
      </w:r>
    </w:p>
    <w:p w14:paraId="6AAA538B" w14:textId="77777777" w:rsidR="00E3311C" w:rsidRPr="00651D18" w:rsidRDefault="00E3311C" w:rsidP="00E3311C">
      <w:pPr>
        <w:spacing w:after="0" w:line="240" w:lineRule="auto"/>
        <w:jc w:val="both"/>
        <w:rPr>
          <w:rFonts w:cstheme="minorHAnsi"/>
          <w:sz w:val="18"/>
          <w:szCs w:val="18"/>
        </w:rPr>
      </w:pPr>
      <w:r>
        <w:rPr>
          <w:sz w:val="18"/>
          <w:szCs w:val="18"/>
        </w:rPr>
        <w:t>24.8 Normes nationales d'accessibilité établies et appliquées à tous les environnements et matériels éducatifs,</w:t>
      </w:r>
      <w:r w:rsidRPr="00651D18">
        <w:rPr>
          <w:rStyle w:val="EndnoteReference"/>
          <w:rFonts w:cstheme="minorHAnsi"/>
          <w:sz w:val="18"/>
          <w:szCs w:val="18"/>
        </w:rPr>
        <w:endnoteReference w:id="4"/>
      </w:r>
      <w:r>
        <w:rPr>
          <w:sz w:val="18"/>
          <w:szCs w:val="18"/>
        </w:rPr>
        <w:t xml:space="preserve"> y compris pour les activités parascolaires.</w:t>
      </w:r>
    </w:p>
    <w:p w14:paraId="2353F63B" w14:textId="77777777" w:rsidR="00E3311C" w:rsidRPr="00651D18" w:rsidRDefault="00E3311C" w:rsidP="00E3311C">
      <w:pPr>
        <w:spacing w:after="0" w:line="240" w:lineRule="auto"/>
        <w:jc w:val="both"/>
        <w:rPr>
          <w:rFonts w:cstheme="minorHAnsi"/>
          <w:sz w:val="18"/>
          <w:szCs w:val="18"/>
        </w:rPr>
      </w:pPr>
      <w:r>
        <w:rPr>
          <w:sz w:val="18"/>
          <w:szCs w:val="18"/>
        </w:rPr>
        <w:t>24.9 Adoption d'une législation interdisant la violence, les châtiments corporels, l'intimidation et le harcèlement dans les environnements éducatifs, y compris en raison d'un handicap.</w:t>
      </w:r>
    </w:p>
    <w:p w14:paraId="1132E049" w14:textId="77777777" w:rsidR="00E3311C" w:rsidRDefault="00E3311C" w:rsidP="00E3311C">
      <w:pPr>
        <w:spacing w:after="0" w:line="240" w:lineRule="auto"/>
        <w:jc w:val="both"/>
        <w:rPr>
          <w:b/>
          <w:sz w:val="18"/>
          <w:szCs w:val="18"/>
        </w:rPr>
      </w:pPr>
    </w:p>
    <w:p w14:paraId="6719FD23" w14:textId="6986E8DD" w:rsidR="00E3311C" w:rsidRPr="00DD35DD" w:rsidRDefault="00E3311C" w:rsidP="00E3311C">
      <w:pPr>
        <w:spacing w:after="0" w:line="240" w:lineRule="auto"/>
        <w:jc w:val="both"/>
        <w:rPr>
          <w:rFonts w:cstheme="minorHAnsi"/>
          <w:b/>
          <w:sz w:val="18"/>
          <w:szCs w:val="18"/>
        </w:rPr>
      </w:pPr>
      <w:r>
        <w:rPr>
          <w:b/>
          <w:sz w:val="18"/>
          <w:szCs w:val="18"/>
        </w:rPr>
        <w:t>Indicateurs de Processus</w:t>
      </w:r>
    </w:p>
    <w:p w14:paraId="6B112165" w14:textId="77777777" w:rsidR="00E3311C" w:rsidRPr="002C23BE" w:rsidRDefault="00E3311C" w:rsidP="00E3311C">
      <w:pPr>
        <w:spacing w:after="0" w:line="240" w:lineRule="auto"/>
        <w:jc w:val="both"/>
        <w:rPr>
          <w:rFonts w:cstheme="minorHAnsi"/>
          <w:sz w:val="18"/>
          <w:szCs w:val="18"/>
        </w:rPr>
      </w:pPr>
      <w:r>
        <w:rPr>
          <w:sz w:val="18"/>
          <w:szCs w:val="18"/>
        </w:rPr>
        <w:t xml:space="preserve">24.10 Pourcentage d'enfants âgés de 3 à 5 ans qui suivent un programme d'éducation de la petite enfance (indicateur </w:t>
      </w:r>
      <w:r>
        <w:rPr>
          <w:rStyle w:val="Hyperlink"/>
          <w:color w:val="auto"/>
          <w:sz w:val="18"/>
          <w:szCs w:val="18"/>
          <w:u w:val="none"/>
        </w:rPr>
        <w:t>MICS de l'UNICEF</w:t>
      </w:r>
      <w:r>
        <w:rPr>
          <w:sz w:val="18"/>
          <w:szCs w:val="18"/>
        </w:rPr>
        <w:t>) ventilé par sexe, âge et handicap.</w:t>
      </w:r>
    </w:p>
    <w:p w14:paraId="0B3B1F4C" w14:textId="77777777" w:rsidR="00E3311C" w:rsidRPr="002C23BE" w:rsidRDefault="00E3311C" w:rsidP="00E3311C">
      <w:pPr>
        <w:spacing w:after="0" w:line="240" w:lineRule="auto"/>
        <w:jc w:val="both"/>
        <w:rPr>
          <w:rFonts w:cstheme="minorHAnsi"/>
          <w:sz w:val="18"/>
          <w:szCs w:val="18"/>
        </w:rPr>
      </w:pPr>
      <w:r>
        <w:rPr>
          <w:sz w:val="18"/>
          <w:szCs w:val="18"/>
        </w:rPr>
        <w:t>24.11 P</w:t>
      </w:r>
      <w:r w:rsidRPr="00146FD4">
        <w:rPr>
          <w:sz w:val="18"/>
          <w:szCs w:val="18"/>
        </w:rPr>
        <w:t>roportion d’établissements scolaires ayant accès à : a) l’électricité; b) Internet à des fins pédagogiques; c) des ordinateurs à des fins pédagogiques; d) des infrastructures et du matériel adaptés aux élèves handicapés; e) une alimentation de base en eau potable; f) des installations sanitaires de base séparées pour hommes et femmes; g) des équipements de base pour le lavage des mains [conformément aux indicateurs définis dans le cadre de l’initiative Eau, Assainissement et Hygiène pour tous (WASH)</w:t>
      </w:r>
      <w:r>
        <w:rPr>
          <w:sz w:val="18"/>
          <w:szCs w:val="18"/>
        </w:rPr>
        <w:t xml:space="preserve"> (indicateur ODD 4.a.1).</w:t>
      </w:r>
      <w:r w:rsidRPr="002C23BE">
        <w:rPr>
          <w:rStyle w:val="EndnoteReference"/>
          <w:rFonts w:cstheme="minorHAnsi"/>
          <w:sz w:val="18"/>
          <w:szCs w:val="18"/>
        </w:rPr>
        <w:endnoteReference w:id="5"/>
      </w:r>
    </w:p>
    <w:p w14:paraId="762C66F8" w14:textId="77777777" w:rsidR="00E3311C" w:rsidRPr="002C23BE" w:rsidRDefault="00E3311C" w:rsidP="00E3311C">
      <w:pPr>
        <w:spacing w:after="0" w:line="240" w:lineRule="auto"/>
        <w:jc w:val="both"/>
        <w:rPr>
          <w:rFonts w:eastAsia="Times New Roman" w:cstheme="minorHAnsi"/>
          <w:sz w:val="18"/>
          <w:szCs w:val="18"/>
        </w:rPr>
      </w:pPr>
      <w:r>
        <w:rPr>
          <w:sz w:val="18"/>
          <w:szCs w:val="18"/>
        </w:rPr>
        <w:t>24.12 Pourcentage d'écoles qui dispensent une éducation au VIH et à la sexualité fondée sur les compétences de vie, y compris les élèves handicapés (indicateur de l'UNESCO).</w:t>
      </w:r>
    </w:p>
    <w:p w14:paraId="2077396C" w14:textId="77777777" w:rsidR="00E3311C" w:rsidRPr="002C23BE" w:rsidRDefault="00E3311C" w:rsidP="00E3311C">
      <w:pPr>
        <w:pStyle w:val="EndnoteText"/>
        <w:jc w:val="both"/>
        <w:rPr>
          <w:sz w:val="18"/>
          <w:szCs w:val="18"/>
        </w:rPr>
      </w:pPr>
      <w:r>
        <w:rPr>
          <w:sz w:val="18"/>
          <w:szCs w:val="18"/>
        </w:rPr>
        <w:t>24.13 Pourcentage d'élèves victimes d'intimidation, de châtiments corporels, de harcèlement, de violence, de discrimination sexuelle et d'abus (indicateur de l'UNESCO) par sexe, âge, handicap, type d'établissement d'enseignement (public/privé, primaire/secondaire/tertiaire/professionnel).</w:t>
      </w:r>
      <w:r>
        <w:rPr>
          <w:sz w:val="18"/>
          <w:szCs w:val="18"/>
          <w:u w:val="single"/>
        </w:rPr>
        <w:t xml:space="preserve"> </w:t>
      </w:r>
    </w:p>
    <w:p w14:paraId="18E2AB7E" w14:textId="77777777" w:rsidR="00E3311C" w:rsidRPr="002C23BE" w:rsidRDefault="00E3311C" w:rsidP="00E3311C">
      <w:pPr>
        <w:spacing w:after="0" w:line="240" w:lineRule="auto"/>
        <w:jc w:val="both"/>
        <w:rPr>
          <w:rFonts w:eastAsia="Times New Roman" w:cstheme="minorHAnsi"/>
          <w:sz w:val="18"/>
          <w:szCs w:val="18"/>
        </w:rPr>
      </w:pPr>
      <w:r>
        <w:rPr>
          <w:sz w:val="18"/>
          <w:szCs w:val="18"/>
        </w:rPr>
        <w:t>24.14 Dépenses d'éducation par élève par niveau d'enseignement et source de financement (indicateur de l’UNESCO) par sexe, âge, handicap.</w:t>
      </w:r>
    </w:p>
    <w:p w14:paraId="4AD9D0A6" w14:textId="77777777" w:rsidR="00E3311C" w:rsidRPr="002C23BE" w:rsidRDefault="00E3311C" w:rsidP="00E3311C">
      <w:pPr>
        <w:spacing w:after="0" w:line="240" w:lineRule="auto"/>
        <w:jc w:val="both"/>
        <w:rPr>
          <w:rFonts w:cstheme="minorHAnsi"/>
          <w:sz w:val="18"/>
          <w:szCs w:val="18"/>
        </w:rPr>
      </w:pPr>
      <w:r>
        <w:rPr>
          <w:sz w:val="18"/>
          <w:szCs w:val="18"/>
        </w:rPr>
        <w:t>24.15 Nombre d'écoles ordinaires par rapport au nombre d'écoles spéciales.</w:t>
      </w:r>
    </w:p>
    <w:p w14:paraId="21263BE9" w14:textId="77777777" w:rsidR="00E3311C" w:rsidRPr="002C23BE" w:rsidRDefault="00E3311C" w:rsidP="00E3311C">
      <w:pPr>
        <w:spacing w:after="0" w:line="240" w:lineRule="auto"/>
        <w:jc w:val="both"/>
        <w:rPr>
          <w:rFonts w:cstheme="minorHAnsi"/>
          <w:sz w:val="18"/>
          <w:szCs w:val="18"/>
        </w:rPr>
      </w:pPr>
      <w:r>
        <w:rPr>
          <w:sz w:val="18"/>
          <w:szCs w:val="18"/>
        </w:rPr>
        <w:t>24.16 Proportion d'élèves handicapés bénéficiant de plans d'enseignement individuels, de mesures de soutien et d'autres mesures d'adaptation,</w:t>
      </w:r>
      <w:r w:rsidRPr="002C23BE">
        <w:rPr>
          <w:rStyle w:val="EndnoteReference"/>
          <w:rFonts w:cstheme="minorHAnsi"/>
          <w:sz w:val="18"/>
          <w:szCs w:val="18"/>
        </w:rPr>
        <w:endnoteReference w:id="6"/>
      </w:r>
      <w:r>
        <w:rPr>
          <w:sz w:val="18"/>
          <w:szCs w:val="18"/>
        </w:rPr>
        <w:t xml:space="preserve"> ventilée par sexe, âge, handicap et situation géographique.</w:t>
      </w:r>
    </w:p>
    <w:p w14:paraId="52D517AF" w14:textId="77777777" w:rsidR="00E3311C" w:rsidRPr="002C23BE" w:rsidRDefault="00E3311C" w:rsidP="00E3311C">
      <w:pPr>
        <w:spacing w:after="0" w:line="240" w:lineRule="auto"/>
        <w:jc w:val="both"/>
        <w:rPr>
          <w:rFonts w:cstheme="minorHAnsi"/>
          <w:sz w:val="18"/>
          <w:szCs w:val="18"/>
        </w:rPr>
      </w:pPr>
      <w:r>
        <w:rPr>
          <w:sz w:val="18"/>
          <w:szCs w:val="18"/>
        </w:rPr>
        <w:t xml:space="preserve">24.17 Proportion d'élèves sourds recevant un enseignement en langue des signes. </w:t>
      </w:r>
    </w:p>
    <w:p w14:paraId="53FA7DB3" w14:textId="77777777" w:rsidR="00E3311C" w:rsidRPr="002C23BE" w:rsidRDefault="00E3311C" w:rsidP="00E3311C">
      <w:pPr>
        <w:spacing w:after="0" w:line="240" w:lineRule="auto"/>
        <w:jc w:val="both"/>
        <w:rPr>
          <w:rFonts w:cstheme="minorHAnsi"/>
          <w:sz w:val="18"/>
          <w:szCs w:val="18"/>
        </w:rPr>
      </w:pPr>
      <w:r>
        <w:rPr>
          <w:sz w:val="18"/>
          <w:szCs w:val="18"/>
        </w:rPr>
        <w:t>24.18 Proportion d'interprètes certifiés en langue des signes employés dans les établissements d'enseignement ordinaire.</w:t>
      </w:r>
    </w:p>
    <w:p w14:paraId="4BB50FCC" w14:textId="77777777" w:rsidR="00E3311C" w:rsidRPr="002C23BE" w:rsidRDefault="00E3311C" w:rsidP="00E3311C">
      <w:pPr>
        <w:spacing w:after="0" w:line="240" w:lineRule="auto"/>
        <w:jc w:val="both"/>
        <w:rPr>
          <w:rFonts w:cstheme="minorHAnsi"/>
          <w:sz w:val="18"/>
          <w:szCs w:val="18"/>
        </w:rPr>
      </w:pPr>
      <w:r>
        <w:rPr>
          <w:sz w:val="18"/>
          <w:szCs w:val="18"/>
        </w:rPr>
        <w:t xml:space="preserve">24.19 Proportion d'élèves aveugles ou malvoyants bénéficiant de matériel pédagogique dans des formats facilement accessibles. </w:t>
      </w:r>
    </w:p>
    <w:p w14:paraId="3A821D09" w14:textId="77777777" w:rsidR="00E3311C" w:rsidRPr="002C23BE" w:rsidRDefault="00E3311C" w:rsidP="00E3311C">
      <w:pPr>
        <w:spacing w:after="0" w:line="240" w:lineRule="auto"/>
        <w:jc w:val="both"/>
        <w:rPr>
          <w:rFonts w:eastAsia="Times New Roman" w:cstheme="minorHAnsi"/>
          <w:sz w:val="18"/>
          <w:szCs w:val="18"/>
          <w:lang w:eastAsia="en-GB"/>
        </w:rPr>
      </w:pPr>
      <w:r>
        <w:rPr>
          <w:sz w:val="18"/>
          <w:szCs w:val="18"/>
        </w:rPr>
        <w:t>24.20 T</w:t>
      </w:r>
      <w:r w:rsidRPr="00146FD4">
        <w:rPr>
          <w:rFonts w:eastAsia="Times New Roman" w:cstheme="minorHAnsi"/>
          <w:sz w:val="18"/>
          <w:szCs w:val="18"/>
          <w:lang w:eastAsia="en-GB"/>
        </w:rPr>
        <w:t>aux de participation des jeunes et des adultes à</w:t>
      </w:r>
      <w:r>
        <w:rPr>
          <w:rFonts w:eastAsia="Times New Roman" w:cstheme="minorHAnsi"/>
          <w:sz w:val="18"/>
          <w:szCs w:val="18"/>
          <w:lang w:eastAsia="en-GB"/>
        </w:rPr>
        <w:t xml:space="preserve"> </w:t>
      </w:r>
      <w:r w:rsidRPr="00146FD4">
        <w:rPr>
          <w:rFonts w:eastAsia="Times New Roman" w:cstheme="minorHAnsi"/>
          <w:sz w:val="18"/>
          <w:szCs w:val="18"/>
          <w:lang w:eastAsia="en-GB"/>
        </w:rPr>
        <w:t>un programme d’éducation et de formation scolaire ou</w:t>
      </w:r>
      <w:r>
        <w:t xml:space="preserve"> </w:t>
      </w:r>
      <w:r w:rsidRPr="00146FD4">
        <w:rPr>
          <w:rFonts w:eastAsia="Times New Roman" w:cstheme="minorHAnsi"/>
          <w:sz w:val="18"/>
          <w:szCs w:val="18"/>
          <w:lang w:eastAsia="en-GB"/>
        </w:rPr>
        <w:t>non scolaire au cours des 12 mois précédents, par sexe</w:t>
      </w:r>
      <w:r>
        <w:rPr>
          <w:rFonts w:eastAsia="Times New Roman" w:cstheme="minorHAnsi"/>
          <w:sz w:val="18"/>
          <w:szCs w:val="18"/>
          <w:lang w:eastAsia="en-GB"/>
        </w:rPr>
        <w:t xml:space="preserve"> </w:t>
      </w:r>
    </w:p>
    <w:p w14:paraId="4299101B" w14:textId="2EFA5C38" w:rsidR="00E3311C" w:rsidRPr="002C23BE" w:rsidRDefault="00E3311C" w:rsidP="00E3311C">
      <w:pPr>
        <w:spacing w:after="0" w:line="240" w:lineRule="auto"/>
        <w:jc w:val="both"/>
        <w:rPr>
          <w:rFonts w:cstheme="minorHAnsi"/>
          <w:sz w:val="18"/>
          <w:szCs w:val="18"/>
        </w:rPr>
      </w:pPr>
      <w:r>
        <w:rPr>
          <w:sz w:val="18"/>
          <w:szCs w:val="18"/>
        </w:rPr>
        <w:t>(</w:t>
      </w:r>
      <w:proofErr w:type="gramStart"/>
      <w:r>
        <w:rPr>
          <w:sz w:val="18"/>
          <w:szCs w:val="18"/>
        </w:rPr>
        <w:t>indicateur</w:t>
      </w:r>
      <w:proofErr w:type="gramEnd"/>
      <w:r>
        <w:rPr>
          <w:sz w:val="18"/>
          <w:szCs w:val="18"/>
        </w:rPr>
        <w:t xml:space="preserve"> ODD 4.3.1) et handicap.</w:t>
      </w:r>
    </w:p>
    <w:p w14:paraId="2E94C3D9" w14:textId="738C551E" w:rsidR="00E3311C" w:rsidRPr="00E3311C" w:rsidRDefault="00E3311C" w:rsidP="00E3311C">
      <w:pPr>
        <w:spacing w:after="0" w:line="240" w:lineRule="auto"/>
        <w:jc w:val="both"/>
        <w:rPr>
          <w:sz w:val="18"/>
          <w:szCs w:val="18"/>
        </w:rPr>
      </w:pPr>
      <w:r>
        <w:rPr>
          <w:sz w:val="18"/>
          <w:szCs w:val="18"/>
        </w:rPr>
        <w:t>24.21 Proportion d'enseignants et de personnel scolaire à tous les niveaux formés à l'éducation inclusive et à la fourniture d'aménagements raisonnables.</w:t>
      </w:r>
    </w:p>
    <w:p w14:paraId="17041F92" w14:textId="45C01371" w:rsidR="00E3311C" w:rsidRPr="00E3311C" w:rsidRDefault="00E3311C" w:rsidP="00E3311C">
      <w:pPr>
        <w:spacing w:after="0" w:line="240" w:lineRule="auto"/>
        <w:jc w:val="both"/>
        <w:rPr>
          <w:rFonts w:cstheme="minorHAnsi"/>
          <w:sz w:val="18"/>
          <w:szCs w:val="18"/>
        </w:rPr>
      </w:pPr>
      <w:r>
        <w:rPr>
          <w:sz w:val="18"/>
          <w:szCs w:val="18"/>
        </w:rPr>
        <w:t>24.22 Proportion d'enseignants handicapés ventilée par sexe, âge, handicap, origine minoritaire ou autochtone et type d'établissement d'enseignement où ils sont employés.</w:t>
      </w:r>
      <w:r w:rsidRPr="002C23BE">
        <w:rPr>
          <w:rStyle w:val="EndnoteReference"/>
          <w:rFonts w:cstheme="minorHAnsi"/>
          <w:sz w:val="18"/>
          <w:szCs w:val="18"/>
        </w:rPr>
        <w:endnoteReference w:id="7"/>
      </w:r>
      <w:r>
        <w:rPr>
          <w:sz w:val="18"/>
          <w:szCs w:val="18"/>
        </w:rPr>
        <w:t xml:space="preserve"> </w:t>
      </w:r>
    </w:p>
    <w:p w14:paraId="143BD366" w14:textId="77777777" w:rsidR="00E3311C" w:rsidRPr="002C23BE" w:rsidRDefault="00E3311C" w:rsidP="00E3311C">
      <w:pPr>
        <w:spacing w:after="0" w:line="240" w:lineRule="auto"/>
        <w:jc w:val="both"/>
        <w:rPr>
          <w:rFonts w:cstheme="minorHAnsi"/>
          <w:sz w:val="18"/>
          <w:szCs w:val="18"/>
        </w:rPr>
      </w:pPr>
      <w:r>
        <w:rPr>
          <w:sz w:val="18"/>
          <w:szCs w:val="18"/>
        </w:rPr>
        <w:t>24.23 Campagnes et activités de sensibilisation pour promouvoir l'éducation inclusive et informer les étudiants, le personnel éducatif, les familles et le grand public de l'obligation de fournir, et du droit à, une éducation inclusive et des avantages connexes pour la société.</w:t>
      </w:r>
    </w:p>
    <w:p w14:paraId="56299BBD" w14:textId="77777777" w:rsidR="00E3311C" w:rsidRPr="002C23BE" w:rsidRDefault="00E3311C" w:rsidP="00E3311C">
      <w:pPr>
        <w:spacing w:after="0" w:line="240" w:lineRule="auto"/>
        <w:jc w:val="both"/>
        <w:rPr>
          <w:rFonts w:cstheme="minorHAnsi"/>
          <w:sz w:val="18"/>
          <w:szCs w:val="18"/>
        </w:rPr>
      </w:pPr>
      <w:r>
        <w:rPr>
          <w:sz w:val="18"/>
          <w:szCs w:val="18"/>
        </w:rPr>
        <w:t xml:space="preserve">24.24 Budget alloué pour garantir le droit des personnes handicapées à une éducation inclusive dans les établissements ordinaires, par rapport au budget alloué aux établissements d'enseignement ségrégués/séparés, que ce soit dans les écoles ordinaires ou spéciales. </w:t>
      </w:r>
    </w:p>
    <w:p w14:paraId="15487788" w14:textId="77777777" w:rsidR="00E3311C" w:rsidRPr="002C23BE" w:rsidRDefault="00E3311C" w:rsidP="00E3311C">
      <w:pPr>
        <w:spacing w:after="0" w:line="240" w:lineRule="auto"/>
        <w:jc w:val="both"/>
        <w:rPr>
          <w:rFonts w:cstheme="minorHAnsi"/>
          <w:sz w:val="18"/>
          <w:szCs w:val="18"/>
        </w:rPr>
      </w:pPr>
      <w:r>
        <w:rPr>
          <w:sz w:val="18"/>
          <w:szCs w:val="18"/>
        </w:rPr>
        <w:t>24.25</w:t>
      </w:r>
      <w:r>
        <w:rPr>
          <w:b/>
          <w:sz w:val="18"/>
          <w:szCs w:val="18"/>
        </w:rPr>
        <w:t xml:space="preserve"> </w:t>
      </w:r>
      <w:r>
        <w:rPr>
          <w:sz w:val="18"/>
          <w:szCs w:val="18"/>
        </w:rPr>
        <w:t xml:space="preserve">Processus de consultation entrepris pour assurer la participation active des personnes handicapées, notamment des enfants handicapés, </w:t>
      </w:r>
      <w:r>
        <w:rPr>
          <w:color w:val="444444"/>
          <w:sz w:val="18"/>
          <w:szCs w:val="18"/>
        </w:rPr>
        <w:t>y compris</w:t>
      </w:r>
      <w:r>
        <w:rPr>
          <w:sz w:val="18"/>
          <w:szCs w:val="18"/>
        </w:rPr>
        <w:t xml:space="preserve"> par l’intermédiaire des organisations qui les représentent, à la conception, à la mise en œuvre et au suivi des lois, règlements, politiques et programmes liés aux initiatives et à la réforme de l'éducation.</w:t>
      </w:r>
      <w:r>
        <w:rPr>
          <w:rStyle w:val="EndnoteReference"/>
          <w:sz w:val="18"/>
          <w:szCs w:val="18"/>
        </w:rPr>
        <w:t xml:space="preserve"> </w:t>
      </w:r>
      <w:r w:rsidRPr="002C23BE">
        <w:rPr>
          <w:rStyle w:val="EndnoteReference"/>
          <w:rFonts w:cstheme="minorHAnsi"/>
          <w:sz w:val="18"/>
          <w:szCs w:val="18"/>
        </w:rPr>
        <w:endnoteReference w:id="8"/>
      </w:r>
    </w:p>
    <w:p w14:paraId="181E5607" w14:textId="74B69D3B" w:rsidR="00E3311C" w:rsidRDefault="00E3311C" w:rsidP="00E3311C">
      <w:pPr>
        <w:spacing w:after="0" w:line="240" w:lineRule="auto"/>
        <w:jc w:val="both"/>
        <w:rPr>
          <w:sz w:val="18"/>
          <w:szCs w:val="18"/>
        </w:rPr>
      </w:pPr>
      <w:r>
        <w:rPr>
          <w:sz w:val="18"/>
          <w:szCs w:val="18"/>
        </w:rPr>
        <w:t>24.26 Proportion de plaintes reçues concernant le droit à l'éducation alléguant une discrimination fondée sur le handicap et/ou impliquant des enfants et des adultes handicapés qui ont fait l'objet d'une enquête et d'une décision ; proportion de celles jugées en faveur du plaignant ; et proportion de ces dernières qui ont été respectées par le gouvernement et/ou le responsable (par exemple, une école privée) ; à chaque fois ventilée par type de mécanisme.</w:t>
      </w:r>
    </w:p>
    <w:p w14:paraId="1CBACFB4" w14:textId="68D4A0B4" w:rsidR="00E3311C" w:rsidRDefault="00E3311C" w:rsidP="00E3311C">
      <w:pPr>
        <w:spacing w:after="0" w:line="240" w:lineRule="auto"/>
        <w:jc w:val="both"/>
        <w:rPr>
          <w:rFonts w:cstheme="minorHAnsi"/>
          <w:sz w:val="18"/>
          <w:szCs w:val="18"/>
        </w:rPr>
      </w:pPr>
    </w:p>
    <w:p w14:paraId="402619BE" w14:textId="10B66DA3" w:rsidR="00E3311C" w:rsidRDefault="00E3311C" w:rsidP="00E3311C">
      <w:pPr>
        <w:spacing w:after="0" w:line="240" w:lineRule="auto"/>
        <w:jc w:val="both"/>
        <w:rPr>
          <w:rFonts w:cstheme="minorHAnsi"/>
          <w:sz w:val="18"/>
          <w:szCs w:val="18"/>
        </w:rPr>
      </w:pPr>
    </w:p>
    <w:p w14:paraId="4198B100" w14:textId="77777777" w:rsidR="00E3311C" w:rsidRPr="002C23BE" w:rsidRDefault="00E3311C" w:rsidP="00E3311C">
      <w:pPr>
        <w:spacing w:after="0" w:line="240" w:lineRule="auto"/>
        <w:jc w:val="both"/>
        <w:rPr>
          <w:rFonts w:cstheme="minorHAnsi"/>
          <w:sz w:val="18"/>
          <w:szCs w:val="18"/>
        </w:rPr>
      </w:pPr>
    </w:p>
    <w:p w14:paraId="692C7014" w14:textId="77777777" w:rsidR="00E3311C" w:rsidRDefault="00E3311C" w:rsidP="00E3311C">
      <w:pPr>
        <w:spacing w:after="0" w:line="240" w:lineRule="auto"/>
        <w:jc w:val="both"/>
        <w:rPr>
          <w:b/>
          <w:sz w:val="18"/>
          <w:szCs w:val="18"/>
        </w:rPr>
      </w:pPr>
      <w:r>
        <w:rPr>
          <w:b/>
          <w:sz w:val="18"/>
          <w:szCs w:val="18"/>
        </w:rPr>
        <w:lastRenderedPageBreak/>
        <w:t>Indicateurs de Résultat</w:t>
      </w:r>
    </w:p>
    <w:p w14:paraId="7CC70A5A" w14:textId="19017D31" w:rsidR="00E3311C" w:rsidRPr="002C23BE" w:rsidRDefault="00E3311C" w:rsidP="00E3311C">
      <w:pPr>
        <w:spacing w:after="0" w:line="240" w:lineRule="auto"/>
        <w:jc w:val="both"/>
        <w:rPr>
          <w:rFonts w:cstheme="minorHAnsi"/>
          <w:sz w:val="18"/>
          <w:szCs w:val="18"/>
        </w:rPr>
      </w:pPr>
      <w:r>
        <w:rPr>
          <w:sz w:val="18"/>
          <w:szCs w:val="18"/>
        </w:rPr>
        <w:t>24.27 Taux de personnes handicapées par rapport aux enfants handicapés non scolarisés, taux de scolarisation, fréquentation, promotion par classe, achèvement,</w:t>
      </w:r>
      <w:r w:rsidRPr="002C23BE">
        <w:rPr>
          <w:rStyle w:val="EndnoteReference"/>
          <w:rFonts w:cstheme="minorHAnsi"/>
          <w:sz w:val="18"/>
          <w:szCs w:val="18"/>
        </w:rPr>
        <w:endnoteReference w:id="9"/>
      </w:r>
      <w:r>
        <w:rPr>
          <w:sz w:val="18"/>
          <w:szCs w:val="18"/>
        </w:rPr>
        <w:t xml:space="preserve"> et abandon dans les établissements classiques d'enseignement primaire, secondaire, tertiaire, de formation professionnelle, de formation tout au long de la vie, par rapport aux autres, ventilés par sexe, âge, handicap, origine minoritaire ou autochtone, classe et niveau d'éducation. </w:t>
      </w:r>
    </w:p>
    <w:p w14:paraId="7AE50BA3" w14:textId="77777777" w:rsidR="00E3311C" w:rsidRPr="002C23BE" w:rsidRDefault="00E3311C" w:rsidP="00E3311C">
      <w:pPr>
        <w:spacing w:after="0" w:line="240" w:lineRule="auto"/>
        <w:jc w:val="both"/>
        <w:rPr>
          <w:rFonts w:cstheme="minorHAnsi"/>
          <w:sz w:val="18"/>
          <w:szCs w:val="18"/>
        </w:rPr>
      </w:pPr>
      <w:r>
        <w:rPr>
          <w:sz w:val="18"/>
          <w:szCs w:val="18"/>
        </w:rPr>
        <w:t>24.28 P</w:t>
      </w:r>
      <w:r w:rsidRPr="00146FD4">
        <w:rPr>
          <w:sz w:val="18"/>
          <w:szCs w:val="18"/>
        </w:rPr>
        <w:t>roportion d’enfants et de jeunes a) en cours</w:t>
      </w:r>
      <w:r>
        <w:rPr>
          <w:sz w:val="18"/>
          <w:szCs w:val="18"/>
        </w:rPr>
        <w:t xml:space="preserve"> </w:t>
      </w:r>
      <w:r w:rsidRPr="00146FD4">
        <w:rPr>
          <w:sz w:val="18"/>
          <w:szCs w:val="18"/>
        </w:rPr>
        <w:t>élémentaire; b) en fin de cycle primaire; c) en fin de premier cycle du secondaire qui maîtrisent au moins</w:t>
      </w:r>
      <w:r>
        <w:rPr>
          <w:sz w:val="18"/>
          <w:szCs w:val="18"/>
        </w:rPr>
        <w:t xml:space="preserve"> </w:t>
      </w:r>
      <w:r w:rsidRPr="00146FD4">
        <w:rPr>
          <w:sz w:val="18"/>
          <w:szCs w:val="18"/>
        </w:rPr>
        <w:t>les normes d’aptitudes minimales en i) lecture et ii) mathématiques, par sexe</w:t>
      </w:r>
      <w:r>
        <w:rPr>
          <w:sz w:val="18"/>
          <w:szCs w:val="18"/>
        </w:rPr>
        <w:t xml:space="preserve"> (indicateur ODD 4.1.1) handicap et origine minoritaire ou autochtone. (Idem 7.25)</w:t>
      </w:r>
      <w:r>
        <w:rPr>
          <w:rFonts w:ascii="Arial" w:hAnsi="Arial" w:cs="Arial"/>
          <w:sz w:val="25"/>
          <w:szCs w:val="25"/>
        </w:rPr>
        <w:t xml:space="preserve"> </w:t>
      </w:r>
    </w:p>
    <w:p w14:paraId="3FFC709D" w14:textId="7C6CE232" w:rsidR="00E3311C" w:rsidRPr="002C23BE" w:rsidRDefault="00E3311C" w:rsidP="00E3311C">
      <w:pPr>
        <w:spacing w:after="0" w:line="240" w:lineRule="auto"/>
        <w:ind w:hanging="25"/>
        <w:jc w:val="both"/>
        <w:rPr>
          <w:rFonts w:eastAsia="Times New Roman" w:cstheme="minorHAnsi"/>
          <w:sz w:val="18"/>
          <w:szCs w:val="18"/>
        </w:rPr>
      </w:pPr>
      <w:r>
        <w:rPr>
          <w:sz w:val="18"/>
          <w:szCs w:val="18"/>
        </w:rPr>
        <w:t xml:space="preserve">24.29 </w:t>
      </w:r>
      <w:r w:rsidR="002241C7">
        <w:rPr>
          <w:sz w:val="18"/>
          <w:szCs w:val="18"/>
        </w:rPr>
        <w:t>Proportion</w:t>
      </w:r>
      <w:bookmarkStart w:id="0" w:name="_GoBack"/>
      <w:bookmarkEnd w:id="0"/>
      <w:r>
        <w:rPr>
          <w:sz w:val="18"/>
          <w:szCs w:val="18"/>
        </w:rPr>
        <w:t xml:space="preserve"> de la population d'un groupe d'âge donné</w:t>
      </w:r>
      <w:r w:rsidRPr="00146FD4">
        <w:rPr>
          <w:sz w:val="18"/>
          <w:szCs w:val="18"/>
        </w:rPr>
        <w:t xml:space="preserve"> ayant les compétences voulues à au moins un niveau d’aptitude fixé a) en alphabétisme et b) arithmétique fonctionnels,</w:t>
      </w:r>
      <w:r>
        <w:rPr>
          <w:sz w:val="18"/>
          <w:szCs w:val="18"/>
        </w:rPr>
        <w:t xml:space="preserve"> par sexe (indicateur ODD 4.6.1), handicap et origine minoritaire ou autochtone.</w:t>
      </w:r>
    </w:p>
    <w:p w14:paraId="52790F60" w14:textId="77777777" w:rsidR="00E3311C" w:rsidRPr="002C23BE" w:rsidRDefault="00E3311C" w:rsidP="00E3311C">
      <w:pPr>
        <w:pStyle w:val="NoSpacing"/>
        <w:jc w:val="both"/>
        <w:rPr>
          <w:rFonts w:eastAsia="Times New Roman" w:cstheme="minorHAnsi"/>
          <w:sz w:val="18"/>
          <w:szCs w:val="18"/>
        </w:rPr>
      </w:pPr>
      <w:r>
        <w:rPr>
          <w:sz w:val="18"/>
          <w:szCs w:val="18"/>
        </w:rPr>
        <w:t xml:space="preserve">24.30 Proportion de jeunes et d'adultes </w:t>
      </w:r>
      <w:r w:rsidRPr="00146FD4">
        <w:rPr>
          <w:sz w:val="18"/>
          <w:szCs w:val="18"/>
        </w:rPr>
        <w:t>ayant des compétences en informatique et en communication</w:t>
      </w:r>
      <w:r>
        <w:rPr>
          <w:sz w:val="18"/>
          <w:szCs w:val="18"/>
        </w:rPr>
        <w:t xml:space="preserve">), par type de compétence (indicateur ODD 4.4.1) ventilée par sexe, âge et handicap. </w:t>
      </w:r>
      <w:r>
        <w:rPr>
          <w:rFonts w:ascii="Arial" w:hAnsi="Arial" w:cs="Arial"/>
          <w:sz w:val="25"/>
          <w:szCs w:val="25"/>
        </w:rPr>
        <w:t xml:space="preserve"> </w:t>
      </w:r>
    </w:p>
    <w:p w14:paraId="33F749E8" w14:textId="77777777" w:rsidR="00D856CB" w:rsidRPr="00097871" w:rsidRDefault="00D856CB" w:rsidP="00097871">
      <w:pPr>
        <w:spacing w:after="0" w:line="240" w:lineRule="auto"/>
        <w:contextualSpacing/>
        <w:rPr>
          <w:rFonts w:cstheme="minorHAnsi"/>
          <w:sz w:val="18"/>
          <w:szCs w:val="18"/>
        </w:rPr>
      </w:pPr>
    </w:p>
    <w:sectPr w:rsidR="00D856CB" w:rsidRPr="00097871" w:rsidSect="00097871">
      <w:pgSz w:w="15840" w:h="12240" w:orient="landscape"/>
      <w:pgMar w:top="113" w:right="284" w:bottom="113"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49452" w14:textId="77777777" w:rsidR="00D62117" w:rsidRDefault="00D62117" w:rsidP="00CD1CE5">
      <w:pPr>
        <w:spacing w:after="0" w:line="240" w:lineRule="auto"/>
      </w:pPr>
      <w:r>
        <w:separator/>
      </w:r>
    </w:p>
  </w:endnote>
  <w:endnote w:type="continuationSeparator" w:id="0">
    <w:p w14:paraId="29BDE273" w14:textId="77777777" w:rsidR="00D62117" w:rsidRDefault="00D62117" w:rsidP="00CD1CE5">
      <w:pPr>
        <w:spacing w:after="0" w:line="240" w:lineRule="auto"/>
      </w:pPr>
      <w:r>
        <w:continuationSeparator/>
      </w:r>
    </w:p>
  </w:endnote>
  <w:endnote w:id="1">
    <w:p w14:paraId="293E397A" w14:textId="0464DBE4" w:rsidR="00877465" w:rsidRPr="00877465" w:rsidRDefault="00877465" w:rsidP="00877465">
      <w:pPr>
        <w:spacing w:after="0" w:line="240" w:lineRule="auto"/>
        <w:contextualSpacing/>
        <w:rPr>
          <w:sz w:val="18"/>
          <w:szCs w:val="18"/>
        </w:rPr>
      </w:pPr>
      <w:r w:rsidRPr="00834FF3">
        <w:rPr>
          <w:rFonts w:cstheme="minorHAnsi"/>
          <w:sz w:val="18"/>
          <w:szCs w:val="18"/>
        </w:rPr>
        <w:t xml:space="preserve">*Voir </w:t>
      </w:r>
      <w:hyperlink r:id="rId1" w:history="1">
        <w:r w:rsidRPr="00834FF3">
          <w:rPr>
            <w:rStyle w:val="Hyperlink"/>
            <w:rFonts w:cstheme="minorHAnsi"/>
            <w:sz w:val="18"/>
            <w:szCs w:val="18"/>
          </w:rPr>
          <w:t>l’Observation générale no 4</w:t>
        </w:r>
      </w:hyperlink>
      <w:r w:rsidRPr="00834FF3">
        <w:rPr>
          <w:rFonts w:cstheme="minorHAnsi"/>
          <w:sz w:val="18"/>
          <w:szCs w:val="18"/>
        </w:rPr>
        <w:t xml:space="preserve"> du Comité CDPH sur l</w:t>
      </w:r>
      <w:r>
        <w:rPr>
          <w:rFonts w:cstheme="minorHAnsi"/>
          <w:sz w:val="18"/>
          <w:szCs w:val="18"/>
        </w:rPr>
        <w:t>e droit à l</w:t>
      </w:r>
      <w:r w:rsidRPr="00834FF3">
        <w:rPr>
          <w:rFonts w:cstheme="minorHAnsi"/>
          <w:sz w:val="18"/>
          <w:szCs w:val="18"/>
        </w:rPr>
        <w:t>’éducation inclusive.</w:t>
      </w:r>
    </w:p>
    <w:p w14:paraId="094FB5A3" w14:textId="66BE2FD7" w:rsidR="00E3311C" w:rsidRPr="00DD35DD" w:rsidRDefault="00E3311C" w:rsidP="00C4208D">
      <w:pPr>
        <w:pStyle w:val="EndnoteText"/>
        <w:rPr>
          <w:sz w:val="18"/>
          <w:szCs w:val="18"/>
        </w:rPr>
      </w:pPr>
      <w:r>
        <w:rPr>
          <w:rStyle w:val="EndnoteReference"/>
          <w:sz w:val="18"/>
          <w:szCs w:val="18"/>
        </w:rPr>
        <w:endnoteRef/>
      </w:r>
      <w:r>
        <w:t xml:space="preserve"> </w:t>
      </w:r>
      <w:r>
        <w:rPr>
          <w:sz w:val="18"/>
          <w:szCs w:val="18"/>
        </w:rPr>
        <w:t>Tous les niveaux d'enseignement comprennent la petite enfance, l'enseignement primaire, secondaire, tertiaire, professionnel, l'éducation des adultes et l'apprentissage tout au long de la vie. Les éléments suivants devraient être inclus dans la législation :</w:t>
      </w:r>
    </w:p>
    <w:p w14:paraId="51F7E6EF" w14:textId="77777777" w:rsidR="00E3311C" w:rsidRPr="00DD35DD" w:rsidRDefault="00E3311C" w:rsidP="00C4208D">
      <w:pPr>
        <w:pStyle w:val="ListParagraph"/>
        <w:numPr>
          <w:ilvl w:val="0"/>
          <w:numId w:val="8"/>
        </w:numPr>
        <w:spacing w:after="0" w:line="240" w:lineRule="auto"/>
        <w:contextualSpacing w:val="0"/>
        <w:jc w:val="both"/>
        <w:rPr>
          <w:sz w:val="18"/>
          <w:szCs w:val="18"/>
        </w:rPr>
      </w:pPr>
      <w:proofErr w:type="gramStart"/>
      <w:r>
        <w:rPr>
          <w:sz w:val="18"/>
          <w:szCs w:val="18"/>
        </w:rPr>
        <w:t>une</w:t>
      </w:r>
      <w:proofErr w:type="gramEnd"/>
      <w:r>
        <w:rPr>
          <w:sz w:val="18"/>
          <w:szCs w:val="18"/>
        </w:rPr>
        <w:t xml:space="preserve"> définition claire de l'éducation inclusive conforme à la Convention relative aux droits des personnes handicapées ;</w:t>
      </w:r>
    </w:p>
    <w:p w14:paraId="2E634BEC" w14:textId="77777777" w:rsidR="00E3311C" w:rsidRPr="00DD35DD" w:rsidRDefault="00E3311C" w:rsidP="00C4208D">
      <w:pPr>
        <w:pStyle w:val="ListParagraph"/>
        <w:numPr>
          <w:ilvl w:val="0"/>
          <w:numId w:val="8"/>
        </w:numPr>
        <w:spacing w:after="0" w:line="240" w:lineRule="auto"/>
        <w:contextualSpacing w:val="0"/>
        <w:jc w:val="both"/>
        <w:rPr>
          <w:sz w:val="18"/>
          <w:szCs w:val="18"/>
        </w:rPr>
      </w:pPr>
      <w:proofErr w:type="gramStart"/>
      <w:r>
        <w:rPr>
          <w:sz w:val="18"/>
          <w:szCs w:val="18"/>
        </w:rPr>
        <w:t>l'interdiction</w:t>
      </w:r>
      <w:proofErr w:type="gramEnd"/>
      <w:r>
        <w:rPr>
          <w:sz w:val="18"/>
          <w:szCs w:val="18"/>
        </w:rPr>
        <w:t xml:space="preserve"> de la discrimination fondée sur une incapacité réelle ou supposée ;</w:t>
      </w:r>
    </w:p>
    <w:p w14:paraId="32646232" w14:textId="77777777" w:rsidR="00E3311C" w:rsidRPr="00DD35DD" w:rsidRDefault="00E3311C" w:rsidP="00C4208D">
      <w:pPr>
        <w:pStyle w:val="ListParagraph"/>
        <w:numPr>
          <w:ilvl w:val="0"/>
          <w:numId w:val="8"/>
        </w:numPr>
        <w:spacing w:after="0" w:line="240" w:lineRule="auto"/>
        <w:contextualSpacing w:val="0"/>
        <w:jc w:val="both"/>
        <w:rPr>
          <w:sz w:val="18"/>
          <w:szCs w:val="18"/>
        </w:rPr>
      </w:pPr>
      <w:proofErr w:type="gramStart"/>
      <w:r>
        <w:rPr>
          <w:sz w:val="18"/>
          <w:szCs w:val="18"/>
        </w:rPr>
        <w:t>une</w:t>
      </w:r>
      <w:proofErr w:type="gramEnd"/>
      <w:r>
        <w:rPr>
          <w:sz w:val="18"/>
          <w:szCs w:val="18"/>
        </w:rPr>
        <w:t xml:space="preserve"> clause de « non-rejet » ;</w:t>
      </w:r>
    </w:p>
    <w:p w14:paraId="5017DA40" w14:textId="77777777" w:rsidR="00E3311C" w:rsidRPr="00DD35DD" w:rsidRDefault="00E3311C" w:rsidP="00C4208D">
      <w:pPr>
        <w:pStyle w:val="ListParagraph"/>
        <w:numPr>
          <w:ilvl w:val="0"/>
          <w:numId w:val="8"/>
        </w:numPr>
        <w:spacing w:after="0" w:line="240" w:lineRule="auto"/>
        <w:ind w:left="714" w:hanging="357"/>
        <w:contextualSpacing w:val="0"/>
        <w:jc w:val="both"/>
        <w:rPr>
          <w:sz w:val="18"/>
          <w:szCs w:val="18"/>
        </w:rPr>
      </w:pPr>
      <w:proofErr w:type="gramStart"/>
      <w:r>
        <w:rPr>
          <w:sz w:val="18"/>
          <w:szCs w:val="18"/>
        </w:rPr>
        <w:t>l'obligation</w:t>
      </w:r>
      <w:proofErr w:type="gramEnd"/>
      <w:r>
        <w:rPr>
          <w:sz w:val="18"/>
          <w:szCs w:val="18"/>
        </w:rPr>
        <w:t xml:space="preserve"> de fournir un soutien et des aménagements raisonnables ;</w:t>
      </w:r>
    </w:p>
    <w:p w14:paraId="3E1CAB08" w14:textId="77777777" w:rsidR="00E3311C" w:rsidRPr="00B77209" w:rsidRDefault="00E3311C" w:rsidP="00C4208D">
      <w:pPr>
        <w:pStyle w:val="ListParagraph"/>
        <w:numPr>
          <w:ilvl w:val="0"/>
          <w:numId w:val="8"/>
        </w:numPr>
        <w:spacing w:after="0" w:line="240" w:lineRule="auto"/>
        <w:ind w:left="714" w:hanging="357"/>
        <w:contextualSpacing w:val="0"/>
        <w:jc w:val="both"/>
        <w:rPr>
          <w:sz w:val="18"/>
          <w:szCs w:val="18"/>
        </w:rPr>
      </w:pPr>
      <w:proofErr w:type="gramStart"/>
      <w:r>
        <w:rPr>
          <w:sz w:val="18"/>
          <w:szCs w:val="18"/>
        </w:rPr>
        <w:t>désigner</w:t>
      </w:r>
      <w:proofErr w:type="gramEnd"/>
      <w:r>
        <w:rPr>
          <w:sz w:val="18"/>
          <w:szCs w:val="18"/>
        </w:rPr>
        <w:t xml:space="preserve"> la responsabilité de tous les enfants, y compris les enfants handicapés, sous la tutelle du Ministère de l'éducation ; et</w:t>
      </w:r>
    </w:p>
    <w:p w14:paraId="6CDA2D51" w14:textId="77777777" w:rsidR="00E3311C" w:rsidRPr="00B77209" w:rsidRDefault="00E3311C" w:rsidP="00C4208D">
      <w:pPr>
        <w:pStyle w:val="ListParagraph"/>
        <w:numPr>
          <w:ilvl w:val="0"/>
          <w:numId w:val="8"/>
        </w:numPr>
        <w:spacing w:after="0" w:line="240" w:lineRule="auto"/>
        <w:ind w:left="714" w:hanging="357"/>
        <w:contextualSpacing w:val="0"/>
        <w:jc w:val="both"/>
        <w:rPr>
          <w:sz w:val="18"/>
          <w:szCs w:val="18"/>
        </w:rPr>
      </w:pPr>
      <w:proofErr w:type="gramStart"/>
      <w:r>
        <w:rPr>
          <w:sz w:val="18"/>
          <w:szCs w:val="18"/>
        </w:rPr>
        <w:t>le</w:t>
      </w:r>
      <w:proofErr w:type="gramEnd"/>
      <w:r>
        <w:rPr>
          <w:sz w:val="18"/>
          <w:szCs w:val="18"/>
        </w:rPr>
        <w:t xml:space="preserve"> droit de tous les apprenants à recevoir un enseignement dans leur langue maternelle, y compris la langue des signes, les langues autochtones/minoritaires.</w:t>
      </w:r>
    </w:p>
  </w:endnote>
  <w:endnote w:id="2">
    <w:p w14:paraId="09096D59" w14:textId="77777777" w:rsidR="00E3311C" w:rsidRPr="003374AB" w:rsidRDefault="00E3311C">
      <w:pPr>
        <w:pStyle w:val="EndnoteText"/>
        <w:rPr>
          <w:sz w:val="18"/>
          <w:szCs w:val="18"/>
        </w:rPr>
      </w:pPr>
      <w:r>
        <w:rPr>
          <w:rStyle w:val="EndnoteReference"/>
          <w:sz w:val="18"/>
          <w:szCs w:val="18"/>
        </w:rPr>
        <w:endnoteRef/>
      </w:r>
      <w:r>
        <w:t xml:space="preserve"> </w:t>
      </w:r>
      <w:r>
        <w:rPr>
          <w:sz w:val="18"/>
          <w:szCs w:val="18"/>
        </w:rPr>
        <w:t>Un tel plan devrait inclure des objectifs clairs, des critères de référence, une couverture et un calendrier, avec des mesures pour impliquer les enseignants, les élèves, les parents des enfants handicapés et les autres, et la communauté au sens large dans le cadre des efforts de sensibilisation pour la promotion de l'éducation inclusive.</w:t>
      </w:r>
    </w:p>
  </w:endnote>
  <w:endnote w:id="3">
    <w:p w14:paraId="49B4989E" w14:textId="77777777" w:rsidR="00E3311C" w:rsidRPr="00606A35" w:rsidRDefault="00E3311C" w:rsidP="00C4208D">
      <w:pPr>
        <w:pStyle w:val="EndnoteText"/>
        <w:rPr>
          <w:rFonts w:ascii="Calibri" w:hAnsi="Calibri"/>
          <w:sz w:val="18"/>
          <w:szCs w:val="18"/>
        </w:rPr>
      </w:pPr>
      <w:r>
        <w:rPr>
          <w:rStyle w:val="EndnoteReference"/>
          <w:sz w:val="18"/>
          <w:szCs w:val="18"/>
        </w:rPr>
        <w:endnoteRef/>
      </w:r>
      <w:r>
        <w:rPr>
          <w:sz w:val="18"/>
          <w:szCs w:val="18"/>
        </w:rPr>
        <w:t xml:space="preserve"> Une formation devrait être dispensée au personnel administratif et aux enseignants de toutes sortes (par exemple, éducation physique, éducation sexuelle, etc.) et à tous les niveaux ; </w:t>
      </w:r>
      <w:r>
        <w:rPr>
          <w:rFonts w:ascii="Calibri" w:hAnsi="Calibri"/>
          <w:sz w:val="18"/>
          <w:szCs w:val="18"/>
        </w:rPr>
        <w:t>enseignement primaire, secondaire, supérieur, technique et professionnel (</w:t>
      </w:r>
      <w:proofErr w:type="spellStart"/>
      <w:r>
        <w:rPr>
          <w:rFonts w:ascii="Calibri" w:hAnsi="Calibri"/>
          <w:sz w:val="18"/>
          <w:szCs w:val="18"/>
        </w:rPr>
        <w:t>tVET</w:t>
      </w:r>
      <w:proofErr w:type="spellEnd"/>
      <w:r>
        <w:rPr>
          <w:rFonts w:ascii="Calibri" w:hAnsi="Calibri"/>
          <w:sz w:val="18"/>
          <w:szCs w:val="18"/>
        </w:rPr>
        <w:t xml:space="preserve">) et formation des enseignants. La formation à la formation initiale fait référence aux cours pour devenir enseignant, par exemple dans les universités, et devrait inclure des cours obligatoires sur l'éducation inclusive dans leurs programmes. La formation en cours d'emploi fait référence à l'éducation ou à la formation qu'un enseignant reçoit après avoir obtenu son diplôme d'enseignement et dans l’exercice de la profession. Cela peut inclure des formations de développement professionnel, des cours de recyclage et d'autres opportunités de formation en éducation. Ces cours obligatoires devraient aborder : </w:t>
      </w:r>
    </w:p>
    <w:p w14:paraId="304FC276" w14:textId="77777777" w:rsidR="00E3311C" w:rsidRPr="005841C1" w:rsidRDefault="00E3311C" w:rsidP="00C4208D">
      <w:pPr>
        <w:pStyle w:val="EndnoteText"/>
        <w:numPr>
          <w:ilvl w:val="0"/>
          <w:numId w:val="3"/>
        </w:numPr>
        <w:rPr>
          <w:sz w:val="18"/>
          <w:szCs w:val="18"/>
        </w:rPr>
      </w:pPr>
      <w:proofErr w:type="gramStart"/>
      <w:r>
        <w:rPr>
          <w:rFonts w:ascii="Calibri" w:hAnsi="Calibri"/>
          <w:sz w:val="18"/>
          <w:szCs w:val="18"/>
        </w:rPr>
        <w:t>la</w:t>
      </w:r>
      <w:proofErr w:type="gramEnd"/>
      <w:r>
        <w:rPr>
          <w:rFonts w:ascii="Calibri" w:hAnsi="Calibri"/>
          <w:sz w:val="18"/>
          <w:szCs w:val="18"/>
        </w:rPr>
        <w:t xml:space="preserve"> pédagogie de l'éducation inclusive (pour les enseignants principalement) ;</w:t>
      </w:r>
    </w:p>
    <w:p w14:paraId="7EE3F344" w14:textId="77777777" w:rsidR="00E3311C" w:rsidRPr="005841C1" w:rsidRDefault="00E3311C" w:rsidP="00C4208D">
      <w:pPr>
        <w:pStyle w:val="EndnoteText"/>
        <w:numPr>
          <w:ilvl w:val="0"/>
          <w:numId w:val="3"/>
        </w:numPr>
        <w:rPr>
          <w:sz w:val="18"/>
          <w:szCs w:val="18"/>
        </w:rPr>
      </w:pPr>
      <w:proofErr w:type="gramStart"/>
      <w:r>
        <w:rPr>
          <w:rFonts w:ascii="Calibri" w:hAnsi="Calibri"/>
          <w:sz w:val="18"/>
          <w:szCs w:val="18"/>
        </w:rPr>
        <w:t>l'approche</w:t>
      </w:r>
      <w:proofErr w:type="gramEnd"/>
      <w:r>
        <w:rPr>
          <w:rFonts w:ascii="Calibri" w:hAnsi="Calibri"/>
          <w:sz w:val="18"/>
          <w:szCs w:val="18"/>
        </w:rPr>
        <w:t xml:space="preserve"> du handicap fondée sur les droits de l'homme dans le cadre de la CDPH</w:t>
      </w:r>
      <w:r>
        <w:rPr>
          <w:sz w:val="18"/>
          <w:szCs w:val="18"/>
        </w:rPr>
        <w:t> ;</w:t>
      </w:r>
    </w:p>
    <w:p w14:paraId="09F88612" w14:textId="77777777" w:rsidR="00E3311C" w:rsidRPr="005841C1" w:rsidRDefault="00E3311C" w:rsidP="005841C1">
      <w:pPr>
        <w:pStyle w:val="EndnoteText"/>
        <w:numPr>
          <w:ilvl w:val="0"/>
          <w:numId w:val="3"/>
        </w:numPr>
        <w:rPr>
          <w:sz w:val="18"/>
          <w:szCs w:val="18"/>
        </w:rPr>
      </w:pPr>
      <w:proofErr w:type="gramStart"/>
      <w:r>
        <w:rPr>
          <w:rFonts w:ascii="Calibri" w:hAnsi="Calibri"/>
          <w:sz w:val="18"/>
          <w:szCs w:val="18"/>
        </w:rPr>
        <w:t>l’accessibilité</w:t>
      </w:r>
      <w:proofErr w:type="gramEnd"/>
      <w:r>
        <w:rPr>
          <w:rFonts w:ascii="Calibri" w:hAnsi="Calibri"/>
          <w:sz w:val="18"/>
          <w:szCs w:val="18"/>
        </w:rPr>
        <w:t xml:space="preserve"> de la salle de classe et de l'environnement scolaire ;</w:t>
      </w:r>
    </w:p>
    <w:p w14:paraId="1E3C1883" w14:textId="77777777" w:rsidR="00E3311C" w:rsidRPr="00606A35" w:rsidRDefault="00E3311C" w:rsidP="00C4208D">
      <w:pPr>
        <w:pStyle w:val="EndnoteText"/>
        <w:numPr>
          <w:ilvl w:val="0"/>
          <w:numId w:val="3"/>
        </w:numPr>
        <w:rPr>
          <w:sz w:val="18"/>
          <w:szCs w:val="18"/>
        </w:rPr>
      </w:pPr>
      <w:proofErr w:type="gramStart"/>
      <w:r>
        <w:rPr>
          <w:rFonts w:ascii="Calibri" w:hAnsi="Calibri"/>
          <w:sz w:val="18"/>
          <w:szCs w:val="18"/>
        </w:rPr>
        <w:t>la</w:t>
      </w:r>
      <w:proofErr w:type="gramEnd"/>
      <w:r>
        <w:rPr>
          <w:rFonts w:ascii="Calibri" w:hAnsi="Calibri"/>
          <w:sz w:val="18"/>
          <w:szCs w:val="18"/>
        </w:rPr>
        <w:t xml:space="preserve"> mise à disposition d'aménagements raisonnables ; </w:t>
      </w:r>
    </w:p>
    <w:p w14:paraId="0285275F" w14:textId="77777777" w:rsidR="00E3311C" w:rsidRPr="00606A35" w:rsidRDefault="00E3311C" w:rsidP="00C4208D">
      <w:pPr>
        <w:pStyle w:val="EndnoteText"/>
        <w:numPr>
          <w:ilvl w:val="0"/>
          <w:numId w:val="3"/>
        </w:numPr>
        <w:ind w:left="714" w:hanging="357"/>
        <w:rPr>
          <w:sz w:val="18"/>
          <w:szCs w:val="18"/>
        </w:rPr>
      </w:pPr>
      <w:proofErr w:type="gramStart"/>
      <w:r>
        <w:rPr>
          <w:rFonts w:ascii="Calibri" w:hAnsi="Calibri"/>
          <w:sz w:val="18"/>
          <w:szCs w:val="18"/>
        </w:rPr>
        <w:t>l'utilisation</w:t>
      </w:r>
      <w:proofErr w:type="gramEnd"/>
      <w:r>
        <w:rPr>
          <w:rFonts w:ascii="Calibri" w:hAnsi="Calibri"/>
          <w:sz w:val="18"/>
          <w:szCs w:val="18"/>
        </w:rPr>
        <w:t xml:space="preserve"> de modes, moyens et formats de communication augmentatifs et alternatifs appropriés, de techniques et de matériel pédagogiques pour soutenir les élèves handicapés.</w:t>
      </w:r>
    </w:p>
  </w:endnote>
  <w:endnote w:id="4">
    <w:p w14:paraId="49440974" w14:textId="77777777" w:rsidR="00E3311C" w:rsidRPr="00DD35DD" w:rsidRDefault="00E3311C" w:rsidP="00C4208D">
      <w:pPr>
        <w:pStyle w:val="EndnoteText"/>
        <w:rPr>
          <w:sz w:val="18"/>
          <w:szCs w:val="18"/>
        </w:rPr>
      </w:pPr>
      <w:r>
        <w:rPr>
          <w:rStyle w:val="EndnoteReference"/>
          <w:sz w:val="18"/>
          <w:szCs w:val="18"/>
        </w:rPr>
        <w:endnoteRef/>
      </w:r>
      <w:r>
        <w:t xml:space="preserve"> </w:t>
      </w:r>
      <w:r>
        <w:rPr>
          <w:sz w:val="18"/>
          <w:szCs w:val="18"/>
        </w:rPr>
        <w:t>Y compris les bâtiments, les salles de classe, la bibliothèque, le gymnase, l'aire de jeux, la cantine, les installations sanitaires, le transport, l'équipement et les formes de communication.</w:t>
      </w:r>
    </w:p>
  </w:endnote>
  <w:endnote w:id="5">
    <w:p w14:paraId="522B8BD9" w14:textId="77777777" w:rsidR="00E3311C" w:rsidRPr="00DB61F9" w:rsidRDefault="00E3311C" w:rsidP="00A419E7">
      <w:pPr>
        <w:pStyle w:val="EndnoteText"/>
      </w:pPr>
      <w:r>
        <w:rPr>
          <w:rStyle w:val="EndnoteReference"/>
          <w:sz w:val="18"/>
          <w:szCs w:val="18"/>
        </w:rPr>
        <w:endnoteRef/>
      </w:r>
      <w:r>
        <w:t xml:space="preserve"> </w:t>
      </w:r>
      <w:r>
        <w:rPr>
          <w:sz w:val="18"/>
          <w:szCs w:val="18"/>
        </w:rPr>
        <w:t>Cela comprend les installations de lavage des mains et les installations d'hygiène menstruelle. Voir</w:t>
      </w:r>
      <w:r>
        <w:t xml:space="preserve"> </w:t>
      </w:r>
      <w:hyperlink r:id="rId2" w:history="1">
        <w:r>
          <w:rPr>
            <w:rStyle w:val="Hyperlink"/>
            <w:sz w:val="18"/>
            <w:szCs w:val="18"/>
          </w:rPr>
          <w:t>www.unicef.org/wash/files/4_WSSCC_JMP_Fact_Sheets_4_UK_LoRes.pdf</w:t>
        </w:r>
      </w:hyperlink>
      <w:r>
        <w:t xml:space="preserve"> </w:t>
      </w:r>
    </w:p>
  </w:endnote>
  <w:endnote w:id="6">
    <w:p w14:paraId="6BA0D31B" w14:textId="77777777" w:rsidR="00E3311C" w:rsidRPr="00DD35DD" w:rsidRDefault="00E3311C" w:rsidP="00C36CD8">
      <w:pPr>
        <w:spacing w:after="0" w:line="240" w:lineRule="auto"/>
        <w:rPr>
          <w:sz w:val="18"/>
          <w:szCs w:val="18"/>
        </w:rPr>
      </w:pPr>
      <w:r>
        <w:rPr>
          <w:rStyle w:val="EndnoteReference"/>
          <w:sz w:val="18"/>
          <w:szCs w:val="18"/>
        </w:rPr>
        <w:endnoteRef/>
      </w:r>
      <w:r>
        <w:rPr>
          <w:sz w:val="18"/>
          <w:szCs w:val="18"/>
        </w:rPr>
        <w:t xml:space="preserve"> Cela comprend :</w:t>
      </w:r>
    </w:p>
    <w:p w14:paraId="13CF9365" w14:textId="77777777" w:rsidR="00E3311C" w:rsidRPr="00DD35DD" w:rsidRDefault="00E3311C" w:rsidP="00C36CD8">
      <w:pPr>
        <w:pStyle w:val="ListParagraph"/>
        <w:numPr>
          <w:ilvl w:val="0"/>
          <w:numId w:val="9"/>
        </w:numPr>
        <w:spacing w:after="0" w:line="240" w:lineRule="auto"/>
        <w:contextualSpacing w:val="0"/>
        <w:rPr>
          <w:sz w:val="18"/>
          <w:szCs w:val="18"/>
        </w:rPr>
      </w:pPr>
      <w:proofErr w:type="gramStart"/>
      <w:r>
        <w:rPr>
          <w:sz w:val="18"/>
          <w:szCs w:val="18"/>
        </w:rPr>
        <w:t>programmes</w:t>
      </w:r>
      <w:proofErr w:type="gramEnd"/>
      <w:r>
        <w:rPr>
          <w:sz w:val="18"/>
          <w:szCs w:val="18"/>
        </w:rPr>
        <w:t>/évaluations adaptés et/ou modifiés ;</w:t>
      </w:r>
    </w:p>
    <w:p w14:paraId="1D56426A" w14:textId="77777777" w:rsidR="00E3311C" w:rsidRPr="00DD35DD" w:rsidRDefault="00E3311C" w:rsidP="00C36CD8">
      <w:pPr>
        <w:pStyle w:val="ListParagraph"/>
        <w:numPr>
          <w:ilvl w:val="0"/>
          <w:numId w:val="9"/>
        </w:numPr>
        <w:spacing w:after="0" w:line="240" w:lineRule="auto"/>
        <w:contextualSpacing w:val="0"/>
        <w:rPr>
          <w:sz w:val="18"/>
          <w:szCs w:val="18"/>
        </w:rPr>
      </w:pPr>
      <w:proofErr w:type="gramStart"/>
      <w:r>
        <w:rPr>
          <w:sz w:val="18"/>
          <w:szCs w:val="18"/>
        </w:rPr>
        <w:t>dispositifs</w:t>
      </w:r>
      <w:proofErr w:type="gramEnd"/>
      <w:r>
        <w:rPr>
          <w:sz w:val="18"/>
          <w:szCs w:val="18"/>
        </w:rPr>
        <w:t xml:space="preserve"> d'assistance ;</w:t>
      </w:r>
    </w:p>
    <w:p w14:paraId="113EA33E" w14:textId="77777777" w:rsidR="00E3311C" w:rsidRPr="00DD35DD" w:rsidRDefault="00E3311C" w:rsidP="00C36CD8">
      <w:pPr>
        <w:pStyle w:val="ListParagraph"/>
        <w:numPr>
          <w:ilvl w:val="0"/>
          <w:numId w:val="9"/>
        </w:numPr>
        <w:spacing w:after="0" w:line="240" w:lineRule="auto"/>
        <w:contextualSpacing w:val="0"/>
        <w:rPr>
          <w:sz w:val="18"/>
          <w:szCs w:val="18"/>
        </w:rPr>
      </w:pPr>
      <w:proofErr w:type="gramStart"/>
      <w:r>
        <w:rPr>
          <w:sz w:val="18"/>
          <w:szCs w:val="18"/>
        </w:rPr>
        <w:t>modes</w:t>
      </w:r>
      <w:proofErr w:type="gramEnd"/>
      <w:r>
        <w:rPr>
          <w:sz w:val="18"/>
          <w:szCs w:val="18"/>
        </w:rPr>
        <w:t>, moyens et formats de communication augmentatifs et alternatifs ;</w:t>
      </w:r>
    </w:p>
    <w:p w14:paraId="2B0946FC" w14:textId="77777777" w:rsidR="00E3311C" w:rsidRPr="00DD35DD" w:rsidRDefault="00E3311C" w:rsidP="00C36CD8">
      <w:pPr>
        <w:pStyle w:val="ListParagraph"/>
        <w:numPr>
          <w:ilvl w:val="0"/>
          <w:numId w:val="9"/>
        </w:numPr>
        <w:spacing w:after="0" w:line="240" w:lineRule="auto"/>
        <w:ind w:left="714" w:hanging="357"/>
        <w:contextualSpacing w:val="0"/>
        <w:rPr>
          <w:sz w:val="18"/>
          <w:szCs w:val="18"/>
        </w:rPr>
      </w:pPr>
      <w:proofErr w:type="gramStart"/>
      <w:r>
        <w:rPr>
          <w:sz w:val="18"/>
          <w:szCs w:val="18"/>
        </w:rPr>
        <w:t>assistance</w:t>
      </w:r>
      <w:proofErr w:type="gramEnd"/>
      <w:r>
        <w:rPr>
          <w:sz w:val="18"/>
          <w:szCs w:val="18"/>
        </w:rPr>
        <w:t xml:space="preserve"> en direct.</w:t>
      </w:r>
    </w:p>
  </w:endnote>
  <w:endnote w:id="7">
    <w:p w14:paraId="1DF4F3A3" w14:textId="77777777" w:rsidR="00E3311C" w:rsidRPr="00DB61F9" w:rsidRDefault="00E3311C" w:rsidP="00C4208D">
      <w:pPr>
        <w:spacing w:after="0" w:line="240" w:lineRule="auto"/>
        <w:rPr>
          <w:sz w:val="18"/>
          <w:szCs w:val="18"/>
        </w:rPr>
      </w:pPr>
      <w:r>
        <w:rPr>
          <w:rStyle w:val="EndnoteReference"/>
          <w:sz w:val="18"/>
          <w:szCs w:val="18"/>
        </w:rPr>
        <w:endnoteRef/>
      </w:r>
      <w:r>
        <w:t xml:space="preserve"> P</w:t>
      </w:r>
      <w:r>
        <w:rPr>
          <w:sz w:val="18"/>
          <w:szCs w:val="18"/>
        </w:rPr>
        <w:t>ublic/privé, primaire/secondaire/tertiaire/professionnel.</w:t>
      </w:r>
    </w:p>
  </w:endnote>
  <w:endnote w:id="8">
    <w:p w14:paraId="59336FA2" w14:textId="08A89438" w:rsidR="00E3311C" w:rsidRPr="00DD35DD" w:rsidRDefault="00E3311C" w:rsidP="00C4208D">
      <w:pPr>
        <w:pStyle w:val="EndnoteText"/>
        <w:jc w:val="both"/>
        <w:rPr>
          <w:sz w:val="18"/>
          <w:szCs w:val="18"/>
        </w:rPr>
      </w:pPr>
      <w:r>
        <w:rPr>
          <w:rStyle w:val="EndnoteReference"/>
          <w:sz w:val="18"/>
          <w:szCs w:val="18"/>
        </w:rPr>
        <w:endnoteRef/>
      </w:r>
      <w:r>
        <w:t xml:space="preserve"> </w:t>
      </w:r>
      <w:r>
        <w:rPr>
          <w:sz w:val="18"/>
          <w:szCs w:val="18"/>
        </w:rPr>
        <w:t xml:space="preserve">Cet indicateur nécessite de vérifier les activités concrètes entreprises par les autorités publiques pour faire participer les personnes handicapées dans les processus décisionnels liés aux questions qui les affectent directement ou indirectement conformément à l'article 4 (3) de la CDPH et à </w:t>
      </w:r>
      <w:hyperlink r:id="rId3" w:history="1">
        <w:r w:rsidRPr="00877465">
          <w:rPr>
            <w:rStyle w:val="Hyperlink"/>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254E7544" w14:textId="77777777" w:rsidR="00E3311C" w:rsidRPr="00DD35DD" w:rsidRDefault="00E3311C" w:rsidP="00C4208D">
      <w:pPr>
        <w:pStyle w:val="EndnoteText"/>
        <w:numPr>
          <w:ilvl w:val="0"/>
          <w:numId w:val="4"/>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4DF57C42" w14:textId="77777777" w:rsidR="00E3311C" w:rsidRPr="00DD35DD" w:rsidRDefault="00E3311C" w:rsidP="00C4208D">
      <w:pPr>
        <w:pStyle w:val="EndnoteText"/>
        <w:numPr>
          <w:ilvl w:val="0"/>
          <w:numId w:val="4"/>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5DACBF8D" w14:textId="77777777" w:rsidR="00E3311C" w:rsidRPr="00DD35DD" w:rsidRDefault="00E3311C" w:rsidP="00C4208D">
      <w:pPr>
        <w:pStyle w:val="EndnoteText"/>
        <w:numPr>
          <w:ilvl w:val="0"/>
          <w:numId w:val="4"/>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personnes handicapées d'exprimer librement leurs opinions ;</w:t>
      </w:r>
    </w:p>
    <w:p w14:paraId="473D5A51" w14:textId="77777777" w:rsidR="00E3311C" w:rsidRPr="00DD35DD" w:rsidRDefault="00E3311C" w:rsidP="00C4208D">
      <w:pPr>
        <w:pStyle w:val="EndnoteText"/>
        <w:numPr>
          <w:ilvl w:val="0"/>
          <w:numId w:val="4"/>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17BEA3F4" w14:textId="77777777" w:rsidR="00E3311C" w:rsidRPr="00DD35DD" w:rsidRDefault="00E3311C" w:rsidP="00C4208D">
      <w:pPr>
        <w:pStyle w:val="EndnoteText"/>
        <w:numPr>
          <w:ilvl w:val="0"/>
          <w:numId w:val="4"/>
        </w:numPr>
        <w:ind w:left="714" w:hanging="357"/>
        <w:contextualSpacing/>
        <w:rPr>
          <w:sz w:val="18"/>
          <w:szCs w:val="18"/>
        </w:rPr>
      </w:pPr>
      <w:proofErr w:type="gramStart"/>
      <w:r>
        <w:rPr>
          <w:sz w:val="18"/>
          <w:szCs w:val="18"/>
        </w:rPr>
        <w:t>assurer</w:t>
      </w:r>
      <w:proofErr w:type="gramEnd"/>
      <w:r>
        <w:rPr>
          <w:sz w:val="18"/>
          <w:szCs w:val="18"/>
        </w:rPr>
        <w:t xml:space="preserve"> une participation précoce et continue ;</w:t>
      </w:r>
    </w:p>
    <w:p w14:paraId="07A488E8" w14:textId="77777777" w:rsidR="00E3311C" w:rsidRPr="00B31CDA" w:rsidRDefault="00E3311C" w:rsidP="00A77842">
      <w:pPr>
        <w:pStyle w:val="EndnoteText"/>
        <w:numPr>
          <w:ilvl w:val="0"/>
          <w:numId w:val="4"/>
        </w:numPr>
        <w:ind w:left="714" w:hanging="357"/>
        <w:contextualSpacing/>
        <w:rPr>
          <w:sz w:val="18"/>
          <w:szCs w:val="18"/>
        </w:rPr>
      </w:pPr>
      <w:proofErr w:type="gramStart"/>
      <w:r>
        <w:rPr>
          <w:sz w:val="18"/>
          <w:szCs w:val="18"/>
        </w:rPr>
        <w:t>couvrir</w:t>
      </w:r>
      <w:proofErr w:type="gramEnd"/>
      <w:r>
        <w:rPr>
          <w:sz w:val="18"/>
          <w:szCs w:val="18"/>
        </w:rPr>
        <w:t xml:space="preserve"> les dépenses connexes des participants. </w:t>
      </w:r>
    </w:p>
  </w:endnote>
  <w:endnote w:id="9">
    <w:p w14:paraId="4E24E7C6" w14:textId="77777777" w:rsidR="00E3311C" w:rsidRPr="00B31CDA" w:rsidRDefault="00E3311C" w:rsidP="008D6A7F">
      <w:pPr>
        <w:pStyle w:val="EndnoteText"/>
        <w:jc w:val="both"/>
      </w:pPr>
      <w:r>
        <w:rPr>
          <w:rStyle w:val="EndnoteReference"/>
          <w:sz w:val="18"/>
          <w:szCs w:val="18"/>
        </w:rPr>
        <w:endnoteRef/>
      </w:r>
      <w:r>
        <w:t xml:space="preserve"> </w:t>
      </w:r>
      <w:r>
        <w:rPr>
          <w:sz w:val="18"/>
          <w:szCs w:val="18"/>
        </w:rPr>
        <w:t xml:space="preserve">L'achèvement devrait également englober les cas dans lesquels les personnes handicapées atteignent un niveau d'éducation dans le cadre d'un plan d'enseignement individuel qui comprend des objectifs spécifiques adaptés à l'élève. La certification d'achèvement du niveau doit être fournie et permettre de poursuivre les études sur un pied d'égalité avec les autres.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54644" w14:textId="77777777" w:rsidR="00D62117" w:rsidRDefault="00D62117" w:rsidP="00CD1CE5">
      <w:pPr>
        <w:spacing w:after="0" w:line="240" w:lineRule="auto"/>
      </w:pPr>
      <w:r>
        <w:separator/>
      </w:r>
    </w:p>
  </w:footnote>
  <w:footnote w:type="continuationSeparator" w:id="0">
    <w:p w14:paraId="10482329" w14:textId="77777777" w:rsidR="00D62117" w:rsidRDefault="00D62117" w:rsidP="00CD1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121"/>
    <w:multiLevelType w:val="hybridMultilevel"/>
    <w:tmpl w:val="B3403A7C"/>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E63BE"/>
    <w:multiLevelType w:val="hybridMultilevel"/>
    <w:tmpl w:val="439C1AD6"/>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421A3"/>
    <w:multiLevelType w:val="hybridMultilevel"/>
    <w:tmpl w:val="32786F4E"/>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26DEB"/>
    <w:multiLevelType w:val="multilevel"/>
    <w:tmpl w:val="47CA8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14656A"/>
    <w:multiLevelType w:val="hybridMultilevel"/>
    <w:tmpl w:val="D166BD56"/>
    <w:lvl w:ilvl="0" w:tplc="937200B0">
      <w:start w:val="16"/>
      <w:numFmt w:val="bullet"/>
      <w:lvlText w:val="-"/>
      <w:lvlJc w:val="left"/>
      <w:pPr>
        <w:ind w:left="720" w:hanging="360"/>
      </w:pPr>
      <w:rPr>
        <w:rFonts w:ascii="Calibri" w:eastAsiaTheme="minorHAnsi" w:hAnsi="Calibri" w:cstheme="minorBid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BC6084"/>
    <w:multiLevelType w:val="hybridMultilevel"/>
    <w:tmpl w:val="943AFF6A"/>
    <w:lvl w:ilvl="0" w:tplc="1C068340">
      <w:start w:val="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C5676"/>
    <w:multiLevelType w:val="hybridMultilevel"/>
    <w:tmpl w:val="A1ACD69A"/>
    <w:lvl w:ilvl="0" w:tplc="4BDC9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60013E"/>
    <w:multiLevelType w:val="hybridMultilevel"/>
    <w:tmpl w:val="A2C4A40A"/>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37FE8"/>
    <w:multiLevelType w:val="multilevel"/>
    <w:tmpl w:val="99386922"/>
    <w:lvl w:ilvl="0">
      <w:start w:val="24"/>
      <w:numFmt w:val="decimal"/>
      <w:lvlText w:val="%1"/>
      <w:lvlJc w:val="left"/>
      <w:pPr>
        <w:ind w:left="405" w:hanging="405"/>
      </w:pPr>
      <w:rPr>
        <w:rFonts w:cstheme="minorHAnsi" w:hint="default"/>
      </w:rPr>
    </w:lvl>
    <w:lvl w:ilvl="1">
      <w:start w:val="34"/>
      <w:numFmt w:val="decimal"/>
      <w:lvlText w:val="%1.%2"/>
      <w:lvlJc w:val="left"/>
      <w:pPr>
        <w:ind w:left="405" w:hanging="405"/>
      </w:pPr>
      <w:rPr>
        <w:rFonts w:cstheme="minorHAnsi" w:hint="default"/>
      </w:rPr>
    </w:lvl>
    <w:lvl w:ilvl="2">
      <w:start w:val="1"/>
      <w:numFmt w:val="decimal"/>
      <w:lvlText w:val="%1.%2.%3"/>
      <w:lvlJc w:val="left"/>
      <w:pPr>
        <w:ind w:left="405" w:hanging="405"/>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080" w:hanging="108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1" w15:restartNumberingAfterBreak="0">
    <w:nsid w:val="759059AC"/>
    <w:multiLevelType w:val="multilevel"/>
    <w:tmpl w:val="CC7A1C34"/>
    <w:lvl w:ilvl="0">
      <w:start w:val="2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68F274C"/>
    <w:multiLevelType w:val="hybridMultilevel"/>
    <w:tmpl w:val="B15C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060FE"/>
    <w:multiLevelType w:val="hybridMultilevel"/>
    <w:tmpl w:val="6756D7BE"/>
    <w:lvl w:ilvl="0" w:tplc="4FF4C1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8"/>
  </w:num>
  <w:num w:numId="5">
    <w:abstractNumId w:val="7"/>
  </w:num>
  <w:num w:numId="6">
    <w:abstractNumId w:val="11"/>
  </w:num>
  <w:num w:numId="7">
    <w:abstractNumId w:val="9"/>
  </w:num>
  <w:num w:numId="8">
    <w:abstractNumId w:val="2"/>
  </w:num>
  <w:num w:numId="9">
    <w:abstractNumId w:val="0"/>
  </w:num>
  <w:num w:numId="10">
    <w:abstractNumId w:val="13"/>
  </w:num>
  <w:num w:numId="11">
    <w:abstractNumId w:val="6"/>
  </w:num>
  <w:num w:numId="12">
    <w:abstractNumId w:val="1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634"/>
    <w:rsid w:val="00002A9F"/>
    <w:rsid w:val="00007041"/>
    <w:rsid w:val="00007659"/>
    <w:rsid w:val="0002416D"/>
    <w:rsid w:val="000269A1"/>
    <w:rsid w:val="00033836"/>
    <w:rsid w:val="00050B94"/>
    <w:rsid w:val="000624C2"/>
    <w:rsid w:val="00074039"/>
    <w:rsid w:val="00082717"/>
    <w:rsid w:val="00082734"/>
    <w:rsid w:val="00094F61"/>
    <w:rsid w:val="00097871"/>
    <w:rsid w:val="000C13FA"/>
    <w:rsid w:val="000D2575"/>
    <w:rsid w:val="000D3C2C"/>
    <w:rsid w:val="000E2D87"/>
    <w:rsid w:val="000F68A5"/>
    <w:rsid w:val="00113078"/>
    <w:rsid w:val="00123FB8"/>
    <w:rsid w:val="0012422B"/>
    <w:rsid w:val="00124B4D"/>
    <w:rsid w:val="00126419"/>
    <w:rsid w:val="00146FD4"/>
    <w:rsid w:val="001479CA"/>
    <w:rsid w:val="00156A2A"/>
    <w:rsid w:val="001630E7"/>
    <w:rsid w:val="0017471B"/>
    <w:rsid w:val="001820A7"/>
    <w:rsid w:val="00186358"/>
    <w:rsid w:val="001951A7"/>
    <w:rsid w:val="00197EC1"/>
    <w:rsid w:val="001A3AA2"/>
    <w:rsid w:val="001A760D"/>
    <w:rsid w:val="001B0A1B"/>
    <w:rsid w:val="001C4795"/>
    <w:rsid w:val="001E134C"/>
    <w:rsid w:val="001E7BD4"/>
    <w:rsid w:val="001F3219"/>
    <w:rsid w:val="00222570"/>
    <w:rsid w:val="002241C7"/>
    <w:rsid w:val="0023291C"/>
    <w:rsid w:val="0023386C"/>
    <w:rsid w:val="00235352"/>
    <w:rsid w:val="00243136"/>
    <w:rsid w:val="00254A4F"/>
    <w:rsid w:val="0025785E"/>
    <w:rsid w:val="00270C2A"/>
    <w:rsid w:val="00271CCF"/>
    <w:rsid w:val="00273887"/>
    <w:rsid w:val="0028463E"/>
    <w:rsid w:val="0028481F"/>
    <w:rsid w:val="002848DD"/>
    <w:rsid w:val="002949AF"/>
    <w:rsid w:val="002C23BE"/>
    <w:rsid w:val="002E11DE"/>
    <w:rsid w:val="002E4FE9"/>
    <w:rsid w:val="002F16CB"/>
    <w:rsid w:val="002F7573"/>
    <w:rsid w:val="002F75EB"/>
    <w:rsid w:val="00302537"/>
    <w:rsid w:val="0030255B"/>
    <w:rsid w:val="00304EEF"/>
    <w:rsid w:val="003135FA"/>
    <w:rsid w:val="003201EE"/>
    <w:rsid w:val="00325B73"/>
    <w:rsid w:val="00335A51"/>
    <w:rsid w:val="003374AB"/>
    <w:rsid w:val="00347972"/>
    <w:rsid w:val="003533F5"/>
    <w:rsid w:val="00363949"/>
    <w:rsid w:val="003759C9"/>
    <w:rsid w:val="00380AFF"/>
    <w:rsid w:val="00396319"/>
    <w:rsid w:val="003A4282"/>
    <w:rsid w:val="003D19DD"/>
    <w:rsid w:val="003D4787"/>
    <w:rsid w:val="003E6EDF"/>
    <w:rsid w:val="003F23E0"/>
    <w:rsid w:val="00430BCB"/>
    <w:rsid w:val="0044463B"/>
    <w:rsid w:val="00444642"/>
    <w:rsid w:val="00451F44"/>
    <w:rsid w:val="004644B2"/>
    <w:rsid w:val="0047780E"/>
    <w:rsid w:val="004965DA"/>
    <w:rsid w:val="004B45D8"/>
    <w:rsid w:val="004B46FD"/>
    <w:rsid w:val="004D0342"/>
    <w:rsid w:val="004D0417"/>
    <w:rsid w:val="004D1724"/>
    <w:rsid w:val="004E036F"/>
    <w:rsid w:val="004E57A6"/>
    <w:rsid w:val="004F5D40"/>
    <w:rsid w:val="005034AB"/>
    <w:rsid w:val="00505321"/>
    <w:rsid w:val="0051452B"/>
    <w:rsid w:val="005179F0"/>
    <w:rsid w:val="00522273"/>
    <w:rsid w:val="005429C1"/>
    <w:rsid w:val="00556E11"/>
    <w:rsid w:val="00570DE8"/>
    <w:rsid w:val="005717A5"/>
    <w:rsid w:val="00573910"/>
    <w:rsid w:val="005841C1"/>
    <w:rsid w:val="00585894"/>
    <w:rsid w:val="00592D86"/>
    <w:rsid w:val="005A431B"/>
    <w:rsid w:val="005B1718"/>
    <w:rsid w:val="005B49AA"/>
    <w:rsid w:val="005B63B8"/>
    <w:rsid w:val="005E3408"/>
    <w:rsid w:val="005E718E"/>
    <w:rsid w:val="005F2715"/>
    <w:rsid w:val="005F470A"/>
    <w:rsid w:val="0060491A"/>
    <w:rsid w:val="00604CEE"/>
    <w:rsid w:val="00606A35"/>
    <w:rsid w:val="006132C6"/>
    <w:rsid w:val="00620C5E"/>
    <w:rsid w:val="00632212"/>
    <w:rsid w:val="00640C65"/>
    <w:rsid w:val="00642E25"/>
    <w:rsid w:val="00643503"/>
    <w:rsid w:val="006475D4"/>
    <w:rsid w:val="00647B4D"/>
    <w:rsid w:val="00651D18"/>
    <w:rsid w:val="00656429"/>
    <w:rsid w:val="006628E1"/>
    <w:rsid w:val="00672E93"/>
    <w:rsid w:val="006810C4"/>
    <w:rsid w:val="00685795"/>
    <w:rsid w:val="00696D16"/>
    <w:rsid w:val="006B5CDD"/>
    <w:rsid w:val="006C3157"/>
    <w:rsid w:val="006D3D7F"/>
    <w:rsid w:val="006F424B"/>
    <w:rsid w:val="00704E77"/>
    <w:rsid w:val="007103F7"/>
    <w:rsid w:val="00710472"/>
    <w:rsid w:val="00711D68"/>
    <w:rsid w:val="00715784"/>
    <w:rsid w:val="007330D8"/>
    <w:rsid w:val="007372C1"/>
    <w:rsid w:val="0077518F"/>
    <w:rsid w:val="00777573"/>
    <w:rsid w:val="00780868"/>
    <w:rsid w:val="007A13FB"/>
    <w:rsid w:val="007A5986"/>
    <w:rsid w:val="007B0677"/>
    <w:rsid w:val="007B6CC7"/>
    <w:rsid w:val="007D16F9"/>
    <w:rsid w:val="007D1FA7"/>
    <w:rsid w:val="007E0422"/>
    <w:rsid w:val="007F4DBB"/>
    <w:rsid w:val="00801A75"/>
    <w:rsid w:val="008245A7"/>
    <w:rsid w:val="00836069"/>
    <w:rsid w:val="00837542"/>
    <w:rsid w:val="00846844"/>
    <w:rsid w:val="008531CD"/>
    <w:rsid w:val="008536F4"/>
    <w:rsid w:val="00870898"/>
    <w:rsid w:val="008745C1"/>
    <w:rsid w:val="00877465"/>
    <w:rsid w:val="00881227"/>
    <w:rsid w:val="00890B0E"/>
    <w:rsid w:val="0089727F"/>
    <w:rsid w:val="008A6A18"/>
    <w:rsid w:val="008C33DD"/>
    <w:rsid w:val="008C4202"/>
    <w:rsid w:val="008C50D7"/>
    <w:rsid w:val="008D0554"/>
    <w:rsid w:val="008D0A80"/>
    <w:rsid w:val="008D6A7F"/>
    <w:rsid w:val="008F5983"/>
    <w:rsid w:val="0091017B"/>
    <w:rsid w:val="00936D00"/>
    <w:rsid w:val="00945B36"/>
    <w:rsid w:val="00956017"/>
    <w:rsid w:val="00976ACD"/>
    <w:rsid w:val="00983D73"/>
    <w:rsid w:val="009911AD"/>
    <w:rsid w:val="00993307"/>
    <w:rsid w:val="0099414E"/>
    <w:rsid w:val="009A22DC"/>
    <w:rsid w:val="009B1669"/>
    <w:rsid w:val="009B2F6C"/>
    <w:rsid w:val="009B33B0"/>
    <w:rsid w:val="009D24C8"/>
    <w:rsid w:val="009D4634"/>
    <w:rsid w:val="009D69E2"/>
    <w:rsid w:val="009F4608"/>
    <w:rsid w:val="009F6E73"/>
    <w:rsid w:val="00A001F9"/>
    <w:rsid w:val="00A0025E"/>
    <w:rsid w:val="00A32475"/>
    <w:rsid w:val="00A33B75"/>
    <w:rsid w:val="00A419E7"/>
    <w:rsid w:val="00A5200A"/>
    <w:rsid w:val="00A76071"/>
    <w:rsid w:val="00A87003"/>
    <w:rsid w:val="00A90255"/>
    <w:rsid w:val="00A9144A"/>
    <w:rsid w:val="00A962A8"/>
    <w:rsid w:val="00AB2477"/>
    <w:rsid w:val="00AC6F49"/>
    <w:rsid w:val="00AD4E55"/>
    <w:rsid w:val="00AD51A5"/>
    <w:rsid w:val="00AD5EF6"/>
    <w:rsid w:val="00AE0FEC"/>
    <w:rsid w:val="00AF244F"/>
    <w:rsid w:val="00B06633"/>
    <w:rsid w:val="00B13855"/>
    <w:rsid w:val="00B14EAC"/>
    <w:rsid w:val="00B26B56"/>
    <w:rsid w:val="00B31CDA"/>
    <w:rsid w:val="00B57E28"/>
    <w:rsid w:val="00B6339B"/>
    <w:rsid w:val="00B71343"/>
    <w:rsid w:val="00B77209"/>
    <w:rsid w:val="00B8698E"/>
    <w:rsid w:val="00B94030"/>
    <w:rsid w:val="00B951E8"/>
    <w:rsid w:val="00BA51E3"/>
    <w:rsid w:val="00BC5479"/>
    <w:rsid w:val="00BD68FE"/>
    <w:rsid w:val="00C023E1"/>
    <w:rsid w:val="00C057AD"/>
    <w:rsid w:val="00C06B63"/>
    <w:rsid w:val="00C15266"/>
    <w:rsid w:val="00C270A9"/>
    <w:rsid w:val="00C30488"/>
    <w:rsid w:val="00C36CD8"/>
    <w:rsid w:val="00C4208D"/>
    <w:rsid w:val="00C50932"/>
    <w:rsid w:val="00C54C06"/>
    <w:rsid w:val="00C56288"/>
    <w:rsid w:val="00C769D1"/>
    <w:rsid w:val="00C773FF"/>
    <w:rsid w:val="00C809B6"/>
    <w:rsid w:val="00C8125D"/>
    <w:rsid w:val="00CA7C85"/>
    <w:rsid w:val="00CB4AB9"/>
    <w:rsid w:val="00CC25BD"/>
    <w:rsid w:val="00CC7E85"/>
    <w:rsid w:val="00CD1CE5"/>
    <w:rsid w:val="00CD5BBC"/>
    <w:rsid w:val="00CE0DEE"/>
    <w:rsid w:val="00CE4CD3"/>
    <w:rsid w:val="00CF05D3"/>
    <w:rsid w:val="00D10601"/>
    <w:rsid w:val="00D10DB6"/>
    <w:rsid w:val="00D341C8"/>
    <w:rsid w:val="00D34339"/>
    <w:rsid w:val="00D34F2F"/>
    <w:rsid w:val="00D5707D"/>
    <w:rsid w:val="00D61451"/>
    <w:rsid w:val="00D62117"/>
    <w:rsid w:val="00D73606"/>
    <w:rsid w:val="00D856CB"/>
    <w:rsid w:val="00DA78C6"/>
    <w:rsid w:val="00DB61F9"/>
    <w:rsid w:val="00DC00C5"/>
    <w:rsid w:val="00DC15B9"/>
    <w:rsid w:val="00DC653D"/>
    <w:rsid w:val="00DC69AB"/>
    <w:rsid w:val="00DD0591"/>
    <w:rsid w:val="00DD2612"/>
    <w:rsid w:val="00DD35DD"/>
    <w:rsid w:val="00DD5EC8"/>
    <w:rsid w:val="00DE25EE"/>
    <w:rsid w:val="00DE3A56"/>
    <w:rsid w:val="00DF142C"/>
    <w:rsid w:val="00DF2823"/>
    <w:rsid w:val="00DF3B2E"/>
    <w:rsid w:val="00E02D14"/>
    <w:rsid w:val="00E10E96"/>
    <w:rsid w:val="00E24966"/>
    <w:rsid w:val="00E31D12"/>
    <w:rsid w:val="00E3311C"/>
    <w:rsid w:val="00E34ABB"/>
    <w:rsid w:val="00E4301F"/>
    <w:rsid w:val="00E63522"/>
    <w:rsid w:val="00E7373E"/>
    <w:rsid w:val="00E85A8A"/>
    <w:rsid w:val="00E85C5C"/>
    <w:rsid w:val="00E96222"/>
    <w:rsid w:val="00EA120B"/>
    <w:rsid w:val="00EA25DD"/>
    <w:rsid w:val="00EA56A0"/>
    <w:rsid w:val="00EA5769"/>
    <w:rsid w:val="00EB14F1"/>
    <w:rsid w:val="00EC5414"/>
    <w:rsid w:val="00ED10C3"/>
    <w:rsid w:val="00ED1B4A"/>
    <w:rsid w:val="00EF40DD"/>
    <w:rsid w:val="00F01A67"/>
    <w:rsid w:val="00F27155"/>
    <w:rsid w:val="00F4095D"/>
    <w:rsid w:val="00F43F12"/>
    <w:rsid w:val="00F46D04"/>
    <w:rsid w:val="00F62139"/>
    <w:rsid w:val="00F63625"/>
    <w:rsid w:val="00F768F9"/>
    <w:rsid w:val="00F77341"/>
    <w:rsid w:val="00F77ACA"/>
    <w:rsid w:val="00F806E5"/>
    <w:rsid w:val="00F921B7"/>
    <w:rsid w:val="00FA150F"/>
    <w:rsid w:val="00FA702A"/>
    <w:rsid w:val="00FB2A5D"/>
    <w:rsid w:val="00FC17F9"/>
    <w:rsid w:val="00FC3F09"/>
    <w:rsid w:val="00FD0B7E"/>
    <w:rsid w:val="00FE04A6"/>
    <w:rsid w:val="00FE22A3"/>
    <w:rsid w:val="00FF6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BD99"/>
  <w14:defaultImageDpi w14:val="32767"/>
  <w15:chartTrackingRefBased/>
  <w15:docId w15:val="{F9A17F57-D268-1E4B-86FF-05F9A1D9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6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634"/>
    <w:pPr>
      <w:ind w:left="720"/>
      <w:contextualSpacing/>
    </w:pPr>
  </w:style>
  <w:style w:type="table" w:styleId="TableGrid">
    <w:name w:val="Table Grid"/>
    <w:basedOn w:val="TableNormal"/>
    <w:uiPriority w:val="39"/>
    <w:rsid w:val="009D4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1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718"/>
    <w:rPr>
      <w:rFonts w:ascii="Segoe UI" w:hAnsi="Segoe UI" w:cs="Segoe UI"/>
      <w:sz w:val="18"/>
      <w:szCs w:val="18"/>
      <w:lang w:val="fr-FR"/>
    </w:rPr>
  </w:style>
  <w:style w:type="paragraph" w:styleId="Header">
    <w:name w:val="header"/>
    <w:basedOn w:val="Normal"/>
    <w:link w:val="HeaderChar"/>
    <w:uiPriority w:val="99"/>
    <w:unhideWhenUsed/>
    <w:rsid w:val="00CD1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CE5"/>
    <w:rPr>
      <w:sz w:val="22"/>
      <w:szCs w:val="22"/>
      <w:lang w:val="fr-FR"/>
    </w:rPr>
  </w:style>
  <w:style w:type="paragraph" w:styleId="Footer">
    <w:name w:val="footer"/>
    <w:basedOn w:val="Normal"/>
    <w:link w:val="FooterChar"/>
    <w:uiPriority w:val="99"/>
    <w:unhideWhenUsed/>
    <w:rsid w:val="00CD1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CE5"/>
    <w:rPr>
      <w:sz w:val="22"/>
      <w:szCs w:val="22"/>
      <w:lang w:val="fr-FR"/>
    </w:rPr>
  </w:style>
  <w:style w:type="character" w:styleId="CommentReference">
    <w:name w:val="annotation reference"/>
    <w:basedOn w:val="DefaultParagraphFont"/>
    <w:uiPriority w:val="99"/>
    <w:semiHidden/>
    <w:unhideWhenUsed/>
    <w:rsid w:val="008D0554"/>
    <w:rPr>
      <w:sz w:val="16"/>
      <w:szCs w:val="16"/>
    </w:rPr>
  </w:style>
  <w:style w:type="paragraph" w:styleId="CommentText">
    <w:name w:val="annotation text"/>
    <w:basedOn w:val="Normal"/>
    <w:link w:val="CommentTextChar"/>
    <w:uiPriority w:val="99"/>
    <w:unhideWhenUsed/>
    <w:rsid w:val="008D0554"/>
    <w:pPr>
      <w:spacing w:line="240" w:lineRule="auto"/>
    </w:pPr>
    <w:rPr>
      <w:sz w:val="20"/>
      <w:szCs w:val="20"/>
    </w:rPr>
  </w:style>
  <w:style w:type="character" w:customStyle="1" w:styleId="CommentTextChar">
    <w:name w:val="Comment Text Char"/>
    <w:basedOn w:val="DefaultParagraphFont"/>
    <w:link w:val="CommentText"/>
    <w:uiPriority w:val="99"/>
    <w:rsid w:val="008D0554"/>
    <w:rPr>
      <w:sz w:val="20"/>
      <w:szCs w:val="20"/>
      <w:lang w:val="fr-FR"/>
    </w:rPr>
  </w:style>
  <w:style w:type="paragraph" w:styleId="CommentSubject">
    <w:name w:val="annotation subject"/>
    <w:basedOn w:val="CommentText"/>
    <w:next w:val="CommentText"/>
    <w:link w:val="CommentSubjectChar"/>
    <w:uiPriority w:val="99"/>
    <w:semiHidden/>
    <w:unhideWhenUsed/>
    <w:rsid w:val="008D0554"/>
    <w:rPr>
      <w:b/>
      <w:bCs/>
    </w:rPr>
  </w:style>
  <w:style w:type="character" w:customStyle="1" w:styleId="CommentSubjectChar">
    <w:name w:val="Comment Subject Char"/>
    <w:basedOn w:val="CommentTextChar"/>
    <w:link w:val="CommentSubject"/>
    <w:uiPriority w:val="99"/>
    <w:semiHidden/>
    <w:rsid w:val="008D0554"/>
    <w:rPr>
      <w:b/>
      <w:bCs/>
      <w:sz w:val="20"/>
      <w:szCs w:val="20"/>
      <w:lang w:val="fr-FR"/>
    </w:rPr>
  </w:style>
  <w:style w:type="paragraph" w:styleId="Revision">
    <w:name w:val="Revision"/>
    <w:hidden/>
    <w:uiPriority w:val="99"/>
    <w:semiHidden/>
    <w:rsid w:val="00604CEE"/>
    <w:rPr>
      <w:sz w:val="22"/>
      <w:szCs w:val="22"/>
    </w:rPr>
  </w:style>
  <w:style w:type="character" w:customStyle="1" w:styleId="highlight">
    <w:name w:val="highlight"/>
    <w:basedOn w:val="DefaultParagraphFont"/>
    <w:rsid w:val="00325B73"/>
  </w:style>
  <w:style w:type="paragraph" w:styleId="NoSpacing">
    <w:name w:val="No Spacing"/>
    <w:uiPriority w:val="1"/>
    <w:qFormat/>
    <w:rsid w:val="00E85A8A"/>
    <w:rPr>
      <w:sz w:val="22"/>
      <w:szCs w:val="22"/>
    </w:rPr>
  </w:style>
  <w:style w:type="paragraph" w:styleId="EndnoteText">
    <w:name w:val="endnote text"/>
    <w:basedOn w:val="Normal"/>
    <w:link w:val="EndnoteTextChar"/>
    <w:uiPriority w:val="99"/>
    <w:unhideWhenUsed/>
    <w:rsid w:val="00D856CB"/>
    <w:pPr>
      <w:spacing w:after="0" w:line="240" w:lineRule="auto"/>
    </w:pPr>
    <w:rPr>
      <w:sz w:val="20"/>
      <w:szCs w:val="20"/>
    </w:rPr>
  </w:style>
  <w:style w:type="character" w:customStyle="1" w:styleId="EndnoteTextChar">
    <w:name w:val="Endnote Text Char"/>
    <w:basedOn w:val="DefaultParagraphFont"/>
    <w:link w:val="EndnoteText"/>
    <w:uiPriority w:val="99"/>
    <w:rsid w:val="00D856CB"/>
    <w:rPr>
      <w:sz w:val="20"/>
      <w:szCs w:val="20"/>
      <w:lang w:val="fr-FR"/>
    </w:rPr>
  </w:style>
  <w:style w:type="character" w:styleId="EndnoteReference">
    <w:name w:val="endnote reference"/>
    <w:basedOn w:val="DefaultParagraphFont"/>
    <w:uiPriority w:val="99"/>
    <w:unhideWhenUsed/>
    <w:rsid w:val="00D856CB"/>
    <w:rPr>
      <w:vertAlign w:val="superscript"/>
    </w:rPr>
  </w:style>
  <w:style w:type="paragraph" w:styleId="NormalWeb">
    <w:name w:val="Normal (Web)"/>
    <w:basedOn w:val="Normal"/>
    <w:uiPriority w:val="99"/>
    <w:unhideWhenUsed/>
    <w:rsid w:val="00EC54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4B4D"/>
    <w:rPr>
      <w:color w:val="0563C1" w:themeColor="hyperlink"/>
      <w:u w:val="single"/>
    </w:rPr>
  </w:style>
  <w:style w:type="character" w:styleId="FollowedHyperlink">
    <w:name w:val="FollowedHyperlink"/>
    <w:basedOn w:val="DefaultParagraphFont"/>
    <w:uiPriority w:val="99"/>
    <w:semiHidden/>
    <w:unhideWhenUsed/>
    <w:rsid w:val="003025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9799">
      <w:bodyDiv w:val="1"/>
      <w:marLeft w:val="0"/>
      <w:marRight w:val="0"/>
      <w:marTop w:val="0"/>
      <w:marBottom w:val="0"/>
      <w:divBdr>
        <w:top w:val="none" w:sz="0" w:space="0" w:color="auto"/>
        <w:left w:val="none" w:sz="0" w:space="0" w:color="auto"/>
        <w:bottom w:val="none" w:sz="0" w:space="0" w:color="auto"/>
        <w:right w:val="none" w:sz="0" w:space="0" w:color="auto"/>
      </w:divBdr>
      <w:divsChild>
        <w:div w:id="1370956920">
          <w:marLeft w:val="0"/>
          <w:marRight w:val="0"/>
          <w:marTop w:val="0"/>
          <w:marBottom w:val="0"/>
          <w:divBdr>
            <w:top w:val="none" w:sz="0" w:space="0" w:color="auto"/>
            <w:left w:val="none" w:sz="0" w:space="0" w:color="auto"/>
            <w:bottom w:val="none" w:sz="0" w:space="0" w:color="auto"/>
            <w:right w:val="none" w:sz="0" w:space="0" w:color="auto"/>
          </w:divBdr>
        </w:div>
        <w:div w:id="431972615">
          <w:marLeft w:val="0"/>
          <w:marRight w:val="0"/>
          <w:marTop w:val="0"/>
          <w:marBottom w:val="0"/>
          <w:divBdr>
            <w:top w:val="none" w:sz="0" w:space="0" w:color="auto"/>
            <w:left w:val="none" w:sz="0" w:space="0" w:color="auto"/>
            <w:bottom w:val="none" w:sz="0" w:space="0" w:color="auto"/>
            <w:right w:val="none" w:sz="0" w:space="0" w:color="auto"/>
          </w:divBdr>
        </w:div>
        <w:div w:id="2075159021">
          <w:marLeft w:val="0"/>
          <w:marRight w:val="0"/>
          <w:marTop w:val="0"/>
          <w:marBottom w:val="0"/>
          <w:divBdr>
            <w:top w:val="none" w:sz="0" w:space="0" w:color="auto"/>
            <w:left w:val="none" w:sz="0" w:space="0" w:color="auto"/>
            <w:bottom w:val="none" w:sz="0" w:space="0" w:color="auto"/>
            <w:right w:val="none" w:sz="0" w:space="0" w:color="auto"/>
          </w:divBdr>
        </w:div>
        <w:div w:id="1482388471">
          <w:marLeft w:val="0"/>
          <w:marRight w:val="0"/>
          <w:marTop w:val="0"/>
          <w:marBottom w:val="0"/>
          <w:divBdr>
            <w:top w:val="none" w:sz="0" w:space="0" w:color="auto"/>
            <w:left w:val="none" w:sz="0" w:space="0" w:color="auto"/>
            <w:bottom w:val="none" w:sz="0" w:space="0" w:color="auto"/>
            <w:right w:val="none" w:sz="0" w:space="0" w:color="auto"/>
          </w:divBdr>
        </w:div>
      </w:divsChild>
    </w:div>
    <w:div w:id="98570504">
      <w:bodyDiv w:val="1"/>
      <w:marLeft w:val="0"/>
      <w:marRight w:val="0"/>
      <w:marTop w:val="0"/>
      <w:marBottom w:val="0"/>
      <w:divBdr>
        <w:top w:val="none" w:sz="0" w:space="0" w:color="auto"/>
        <w:left w:val="none" w:sz="0" w:space="0" w:color="auto"/>
        <w:bottom w:val="none" w:sz="0" w:space="0" w:color="auto"/>
        <w:right w:val="none" w:sz="0" w:space="0" w:color="auto"/>
      </w:divBdr>
      <w:divsChild>
        <w:div w:id="1111819524">
          <w:marLeft w:val="0"/>
          <w:marRight w:val="0"/>
          <w:marTop w:val="0"/>
          <w:marBottom w:val="0"/>
          <w:divBdr>
            <w:top w:val="none" w:sz="0" w:space="0" w:color="auto"/>
            <w:left w:val="none" w:sz="0" w:space="0" w:color="auto"/>
            <w:bottom w:val="none" w:sz="0" w:space="0" w:color="auto"/>
            <w:right w:val="none" w:sz="0" w:space="0" w:color="auto"/>
          </w:divBdr>
        </w:div>
        <w:div w:id="2120105167">
          <w:marLeft w:val="0"/>
          <w:marRight w:val="0"/>
          <w:marTop w:val="0"/>
          <w:marBottom w:val="0"/>
          <w:divBdr>
            <w:top w:val="none" w:sz="0" w:space="0" w:color="auto"/>
            <w:left w:val="none" w:sz="0" w:space="0" w:color="auto"/>
            <w:bottom w:val="none" w:sz="0" w:space="0" w:color="auto"/>
            <w:right w:val="none" w:sz="0" w:space="0" w:color="auto"/>
          </w:divBdr>
        </w:div>
        <w:div w:id="2057049321">
          <w:marLeft w:val="0"/>
          <w:marRight w:val="0"/>
          <w:marTop w:val="0"/>
          <w:marBottom w:val="0"/>
          <w:divBdr>
            <w:top w:val="none" w:sz="0" w:space="0" w:color="auto"/>
            <w:left w:val="none" w:sz="0" w:space="0" w:color="auto"/>
            <w:bottom w:val="none" w:sz="0" w:space="0" w:color="auto"/>
            <w:right w:val="none" w:sz="0" w:space="0" w:color="auto"/>
          </w:divBdr>
        </w:div>
        <w:div w:id="1011956840">
          <w:marLeft w:val="0"/>
          <w:marRight w:val="0"/>
          <w:marTop w:val="0"/>
          <w:marBottom w:val="0"/>
          <w:divBdr>
            <w:top w:val="none" w:sz="0" w:space="0" w:color="auto"/>
            <w:left w:val="none" w:sz="0" w:space="0" w:color="auto"/>
            <w:bottom w:val="none" w:sz="0" w:space="0" w:color="auto"/>
            <w:right w:val="none" w:sz="0" w:space="0" w:color="auto"/>
          </w:divBdr>
        </w:div>
        <w:div w:id="204561721">
          <w:marLeft w:val="0"/>
          <w:marRight w:val="0"/>
          <w:marTop w:val="0"/>
          <w:marBottom w:val="0"/>
          <w:divBdr>
            <w:top w:val="none" w:sz="0" w:space="0" w:color="auto"/>
            <w:left w:val="none" w:sz="0" w:space="0" w:color="auto"/>
            <w:bottom w:val="none" w:sz="0" w:space="0" w:color="auto"/>
            <w:right w:val="none" w:sz="0" w:space="0" w:color="auto"/>
          </w:divBdr>
        </w:div>
      </w:divsChild>
    </w:div>
    <w:div w:id="502357016">
      <w:bodyDiv w:val="1"/>
      <w:marLeft w:val="0"/>
      <w:marRight w:val="0"/>
      <w:marTop w:val="0"/>
      <w:marBottom w:val="0"/>
      <w:divBdr>
        <w:top w:val="none" w:sz="0" w:space="0" w:color="auto"/>
        <w:left w:val="none" w:sz="0" w:space="0" w:color="auto"/>
        <w:bottom w:val="none" w:sz="0" w:space="0" w:color="auto"/>
        <w:right w:val="none" w:sz="0" w:space="0" w:color="auto"/>
      </w:divBdr>
      <w:divsChild>
        <w:div w:id="1867597335">
          <w:marLeft w:val="0"/>
          <w:marRight w:val="0"/>
          <w:marTop w:val="0"/>
          <w:marBottom w:val="0"/>
          <w:divBdr>
            <w:top w:val="none" w:sz="0" w:space="0" w:color="auto"/>
            <w:left w:val="none" w:sz="0" w:space="0" w:color="auto"/>
            <w:bottom w:val="none" w:sz="0" w:space="0" w:color="auto"/>
            <w:right w:val="none" w:sz="0" w:space="0" w:color="auto"/>
          </w:divBdr>
        </w:div>
        <w:div w:id="1968702421">
          <w:marLeft w:val="0"/>
          <w:marRight w:val="0"/>
          <w:marTop w:val="0"/>
          <w:marBottom w:val="0"/>
          <w:divBdr>
            <w:top w:val="none" w:sz="0" w:space="0" w:color="auto"/>
            <w:left w:val="none" w:sz="0" w:space="0" w:color="auto"/>
            <w:bottom w:val="none" w:sz="0" w:space="0" w:color="auto"/>
            <w:right w:val="none" w:sz="0" w:space="0" w:color="auto"/>
          </w:divBdr>
        </w:div>
        <w:div w:id="73211713">
          <w:marLeft w:val="0"/>
          <w:marRight w:val="0"/>
          <w:marTop w:val="0"/>
          <w:marBottom w:val="0"/>
          <w:divBdr>
            <w:top w:val="none" w:sz="0" w:space="0" w:color="auto"/>
            <w:left w:val="none" w:sz="0" w:space="0" w:color="auto"/>
            <w:bottom w:val="none" w:sz="0" w:space="0" w:color="auto"/>
            <w:right w:val="none" w:sz="0" w:space="0" w:color="auto"/>
          </w:divBdr>
        </w:div>
        <w:div w:id="378089843">
          <w:marLeft w:val="0"/>
          <w:marRight w:val="0"/>
          <w:marTop w:val="0"/>
          <w:marBottom w:val="0"/>
          <w:divBdr>
            <w:top w:val="none" w:sz="0" w:space="0" w:color="auto"/>
            <w:left w:val="none" w:sz="0" w:space="0" w:color="auto"/>
            <w:bottom w:val="none" w:sz="0" w:space="0" w:color="auto"/>
            <w:right w:val="none" w:sz="0" w:space="0" w:color="auto"/>
          </w:divBdr>
        </w:div>
      </w:divsChild>
    </w:div>
    <w:div w:id="649480902">
      <w:bodyDiv w:val="1"/>
      <w:marLeft w:val="0"/>
      <w:marRight w:val="0"/>
      <w:marTop w:val="0"/>
      <w:marBottom w:val="0"/>
      <w:divBdr>
        <w:top w:val="none" w:sz="0" w:space="0" w:color="auto"/>
        <w:left w:val="none" w:sz="0" w:space="0" w:color="auto"/>
        <w:bottom w:val="none" w:sz="0" w:space="0" w:color="auto"/>
        <w:right w:val="none" w:sz="0" w:space="0" w:color="auto"/>
      </w:divBdr>
      <w:divsChild>
        <w:div w:id="1062362734">
          <w:marLeft w:val="0"/>
          <w:marRight w:val="0"/>
          <w:marTop w:val="0"/>
          <w:marBottom w:val="0"/>
          <w:divBdr>
            <w:top w:val="none" w:sz="0" w:space="0" w:color="auto"/>
            <w:left w:val="none" w:sz="0" w:space="0" w:color="auto"/>
            <w:bottom w:val="none" w:sz="0" w:space="0" w:color="auto"/>
            <w:right w:val="none" w:sz="0" w:space="0" w:color="auto"/>
          </w:divBdr>
        </w:div>
        <w:div w:id="1080952842">
          <w:marLeft w:val="0"/>
          <w:marRight w:val="0"/>
          <w:marTop w:val="0"/>
          <w:marBottom w:val="0"/>
          <w:divBdr>
            <w:top w:val="none" w:sz="0" w:space="0" w:color="auto"/>
            <w:left w:val="none" w:sz="0" w:space="0" w:color="auto"/>
            <w:bottom w:val="none" w:sz="0" w:space="0" w:color="auto"/>
            <w:right w:val="none" w:sz="0" w:space="0" w:color="auto"/>
          </w:divBdr>
        </w:div>
        <w:div w:id="68311030">
          <w:marLeft w:val="0"/>
          <w:marRight w:val="0"/>
          <w:marTop w:val="0"/>
          <w:marBottom w:val="0"/>
          <w:divBdr>
            <w:top w:val="none" w:sz="0" w:space="0" w:color="auto"/>
            <w:left w:val="none" w:sz="0" w:space="0" w:color="auto"/>
            <w:bottom w:val="none" w:sz="0" w:space="0" w:color="auto"/>
            <w:right w:val="none" w:sz="0" w:space="0" w:color="auto"/>
          </w:divBdr>
        </w:div>
      </w:divsChild>
    </w:div>
    <w:div w:id="681515209">
      <w:bodyDiv w:val="1"/>
      <w:marLeft w:val="0"/>
      <w:marRight w:val="0"/>
      <w:marTop w:val="0"/>
      <w:marBottom w:val="0"/>
      <w:divBdr>
        <w:top w:val="none" w:sz="0" w:space="0" w:color="auto"/>
        <w:left w:val="none" w:sz="0" w:space="0" w:color="auto"/>
        <w:bottom w:val="none" w:sz="0" w:space="0" w:color="auto"/>
        <w:right w:val="none" w:sz="0" w:space="0" w:color="auto"/>
      </w:divBdr>
      <w:divsChild>
        <w:div w:id="1256790805">
          <w:marLeft w:val="0"/>
          <w:marRight w:val="0"/>
          <w:marTop w:val="0"/>
          <w:marBottom w:val="0"/>
          <w:divBdr>
            <w:top w:val="none" w:sz="0" w:space="0" w:color="auto"/>
            <w:left w:val="none" w:sz="0" w:space="0" w:color="auto"/>
            <w:bottom w:val="none" w:sz="0" w:space="0" w:color="auto"/>
            <w:right w:val="none" w:sz="0" w:space="0" w:color="auto"/>
          </w:divBdr>
        </w:div>
        <w:div w:id="66928453">
          <w:marLeft w:val="0"/>
          <w:marRight w:val="0"/>
          <w:marTop w:val="0"/>
          <w:marBottom w:val="0"/>
          <w:divBdr>
            <w:top w:val="none" w:sz="0" w:space="0" w:color="auto"/>
            <w:left w:val="none" w:sz="0" w:space="0" w:color="auto"/>
            <w:bottom w:val="none" w:sz="0" w:space="0" w:color="auto"/>
            <w:right w:val="none" w:sz="0" w:space="0" w:color="auto"/>
          </w:divBdr>
        </w:div>
        <w:div w:id="1301417780">
          <w:marLeft w:val="0"/>
          <w:marRight w:val="0"/>
          <w:marTop w:val="0"/>
          <w:marBottom w:val="0"/>
          <w:divBdr>
            <w:top w:val="none" w:sz="0" w:space="0" w:color="auto"/>
            <w:left w:val="none" w:sz="0" w:space="0" w:color="auto"/>
            <w:bottom w:val="none" w:sz="0" w:space="0" w:color="auto"/>
            <w:right w:val="none" w:sz="0" w:space="0" w:color="auto"/>
          </w:divBdr>
        </w:div>
        <w:div w:id="1290084419">
          <w:marLeft w:val="0"/>
          <w:marRight w:val="0"/>
          <w:marTop w:val="0"/>
          <w:marBottom w:val="0"/>
          <w:divBdr>
            <w:top w:val="none" w:sz="0" w:space="0" w:color="auto"/>
            <w:left w:val="none" w:sz="0" w:space="0" w:color="auto"/>
            <w:bottom w:val="none" w:sz="0" w:space="0" w:color="auto"/>
            <w:right w:val="none" w:sz="0" w:space="0" w:color="auto"/>
          </w:divBdr>
        </w:div>
        <w:div w:id="1084840890">
          <w:marLeft w:val="0"/>
          <w:marRight w:val="0"/>
          <w:marTop w:val="0"/>
          <w:marBottom w:val="0"/>
          <w:divBdr>
            <w:top w:val="none" w:sz="0" w:space="0" w:color="auto"/>
            <w:left w:val="none" w:sz="0" w:space="0" w:color="auto"/>
            <w:bottom w:val="none" w:sz="0" w:space="0" w:color="auto"/>
            <w:right w:val="none" w:sz="0" w:space="0" w:color="auto"/>
          </w:divBdr>
        </w:div>
        <w:div w:id="84808146">
          <w:marLeft w:val="0"/>
          <w:marRight w:val="0"/>
          <w:marTop w:val="0"/>
          <w:marBottom w:val="0"/>
          <w:divBdr>
            <w:top w:val="none" w:sz="0" w:space="0" w:color="auto"/>
            <w:left w:val="none" w:sz="0" w:space="0" w:color="auto"/>
            <w:bottom w:val="none" w:sz="0" w:space="0" w:color="auto"/>
            <w:right w:val="none" w:sz="0" w:space="0" w:color="auto"/>
          </w:divBdr>
        </w:div>
        <w:div w:id="825707487">
          <w:marLeft w:val="0"/>
          <w:marRight w:val="0"/>
          <w:marTop w:val="0"/>
          <w:marBottom w:val="0"/>
          <w:divBdr>
            <w:top w:val="none" w:sz="0" w:space="0" w:color="auto"/>
            <w:left w:val="none" w:sz="0" w:space="0" w:color="auto"/>
            <w:bottom w:val="none" w:sz="0" w:space="0" w:color="auto"/>
            <w:right w:val="none" w:sz="0" w:space="0" w:color="auto"/>
          </w:divBdr>
        </w:div>
        <w:div w:id="1537817587">
          <w:marLeft w:val="0"/>
          <w:marRight w:val="0"/>
          <w:marTop w:val="0"/>
          <w:marBottom w:val="0"/>
          <w:divBdr>
            <w:top w:val="none" w:sz="0" w:space="0" w:color="auto"/>
            <w:left w:val="none" w:sz="0" w:space="0" w:color="auto"/>
            <w:bottom w:val="none" w:sz="0" w:space="0" w:color="auto"/>
            <w:right w:val="none" w:sz="0" w:space="0" w:color="auto"/>
          </w:divBdr>
        </w:div>
        <w:div w:id="2140033201">
          <w:marLeft w:val="0"/>
          <w:marRight w:val="0"/>
          <w:marTop w:val="0"/>
          <w:marBottom w:val="0"/>
          <w:divBdr>
            <w:top w:val="none" w:sz="0" w:space="0" w:color="auto"/>
            <w:left w:val="none" w:sz="0" w:space="0" w:color="auto"/>
            <w:bottom w:val="none" w:sz="0" w:space="0" w:color="auto"/>
            <w:right w:val="none" w:sz="0" w:space="0" w:color="auto"/>
          </w:divBdr>
        </w:div>
        <w:div w:id="731777010">
          <w:marLeft w:val="0"/>
          <w:marRight w:val="0"/>
          <w:marTop w:val="0"/>
          <w:marBottom w:val="0"/>
          <w:divBdr>
            <w:top w:val="none" w:sz="0" w:space="0" w:color="auto"/>
            <w:left w:val="none" w:sz="0" w:space="0" w:color="auto"/>
            <w:bottom w:val="none" w:sz="0" w:space="0" w:color="auto"/>
            <w:right w:val="none" w:sz="0" w:space="0" w:color="auto"/>
          </w:divBdr>
        </w:div>
        <w:div w:id="1560241323">
          <w:marLeft w:val="0"/>
          <w:marRight w:val="0"/>
          <w:marTop w:val="0"/>
          <w:marBottom w:val="0"/>
          <w:divBdr>
            <w:top w:val="none" w:sz="0" w:space="0" w:color="auto"/>
            <w:left w:val="none" w:sz="0" w:space="0" w:color="auto"/>
            <w:bottom w:val="none" w:sz="0" w:space="0" w:color="auto"/>
            <w:right w:val="none" w:sz="0" w:space="0" w:color="auto"/>
          </w:divBdr>
        </w:div>
      </w:divsChild>
    </w:div>
    <w:div w:id="717166780">
      <w:bodyDiv w:val="1"/>
      <w:marLeft w:val="0"/>
      <w:marRight w:val="0"/>
      <w:marTop w:val="0"/>
      <w:marBottom w:val="0"/>
      <w:divBdr>
        <w:top w:val="none" w:sz="0" w:space="0" w:color="auto"/>
        <w:left w:val="none" w:sz="0" w:space="0" w:color="auto"/>
        <w:bottom w:val="none" w:sz="0" w:space="0" w:color="auto"/>
        <w:right w:val="none" w:sz="0" w:space="0" w:color="auto"/>
      </w:divBdr>
      <w:divsChild>
        <w:div w:id="114837384">
          <w:marLeft w:val="0"/>
          <w:marRight w:val="0"/>
          <w:marTop w:val="0"/>
          <w:marBottom w:val="0"/>
          <w:divBdr>
            <w:top w:val="none" w:sz="0" w:space="0" w:color="auto"/>
            <w:left w:val="none" w:sz="0" w:space="0" w:color="auto"/>
            <w:bottom w:val="none" w:sz="0" w:space="0" w:color="auto"/>
            <w:right w:val="none" w:sz="0" w:space="0" w:color="auto"/>
          </w:divBdr>
        </w:div>
        <w:div w:id="1260528619">
          <w:marLeft w:val="0"/>
          <w:marRight w:val="0"/>
          <w:marTop w:val="0"/>
          <w:marBottom w:val="0"/>
          <w:divBdr>
            <w:top w:val="none" w:sz="0" w:space="0" w:color="auto"/>
            <w:left w:val="none" w:sz="0" w:space="0" w:color="auto"/>
            <w:bottom w:val="none" w:sz="0" w:space="0" w:color="auto"/>
            <w:right w:val="none" w:sz="0" w:space="0" w:color="auto"/>
          </w:divBdr>
        </w:div>
        <w:div w:id="2127578648">
          <w:marLeft w:val="0"/>
          <w:marRight w:val="0"/>
          <w:marTop w:val="0"/>
          <w:marBottom w:val="0"/>
          <w:divBdr>
            <w:top w:val="none" w:sz="0" w:space="0" w:color="auto"/>
            <w:left w:val="none" w:sz="0" w:space="0" w:color="auto"/>
            <w:bottom w:val="none" w:sz="0" w:space="0" w:color="auto"/>
            <w:right w:val="none" w:sz="0" w:space="0" w:color="auto"/>
          </w:divBdr>
        </w:div>
        <w:div w:id="618099651">
          <w:marLeft w:val="0"/>
          <w:marRight w:val="0"/>
          <w:marTop w:val="0"/>
          <w:marBottom w:val="0"/>
          <w:divBdr>
            <w:top w:val="none" w:sz="0" w:space="0" w:color="auto"/>
            <w:left w:val="none" w:sz="0" w:space="0" w:color="auto"/>
            <w:bottom w:val="none" w:sz="0" w:space="0" w:color="auto"/>
            <w:right w:val="none" w:sz="0" w:space="0" w:color="auto"/>
          </w:divBdr>
        </w:div>
      </w:divsChild>
    </w:div>
    <w:div w:id="723601991">
      <w:bodyDiv w:val="1"/>
      <w:marLeft w:val="0"/>
      <w:marRight w:val="0"/>
      <w:marTop w:val="0"/>
      <w:marBottom w:val="0"/>
      <w:divBdr>
        <w:top w:val="none" w:sz="0" w:space="0" w:color="auto"/>
        <w:left w:val="none" w:sz="0" w:space="0" w:color="auto"/>
        <w:bottom w:val="none" w:sz="0" w:space="0" w:color="auto"/>
        <w:right w:val="none" w:sz="0" w:space="0" w:color="auto"/>
      </w:divBdr>
      <w:divsChild>
        <w:div w:id="1386291303">
          <w:marLeft w:val="0"/>
          <w:marRight w:val="0"/>
          <w:marTop w:val="0"/>
          <w:marBottom w:val="0"/>
          <w:divBdr>
            <w:top w:val="none" w:sz="0" w:space="0" w:color="auto"/>
            <w:left w:val="none" w:sz="0" w:space="0" w:color="auto"/>
            <w:bottom w:val="none" w:sz="0" w:space="0" w:color="auto"/>
            <w:right w:val="none" w:sz="0" w:space="0" w:color="auto"/>
          </w:divBdr>
          <w:divsChild>
            <w:div w:id="1455099940">
              <w:marLeft w:val="0"/>
              <w:marRight w:val="0"/>
              <w:marTop w:val="0"/>
              <w:marBottom w:val="0"/>
              <w:divBdr>
                <w:top w:val="none" w:sz="0" w:space="0" w:color="auto"/>
                <w:left w:val="none" w:sz="0" w:space="0" w:color="auto"/>
                <w:bottom w:val="none" w:sz="0" w:space="0" w:color="auto"/>
                <w:right w:val="none" w:sz="0" w:space="0" w:color="auto"/>
              </w:divBdr>
              <w:divsChild>
                <w:div w:id="42527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98632">
      <w:bodyDiv w:val="1"/>
      <w:marLeft w:val="0"/>
      <w:marRight w:val="0"/>
      <w:marTop w:val="0"/>
      <w:marBottom w:val="0"/>
      <w:divBdr>
        <w:top w:val="none" w:sz="0" w:space="0" w:color="auto"/>
        <w:left w:val="none" w:sz="0" w:space="0" w:color="auto"/>
        <w:bottom w:val="none" w:sz="0" w:space="0" w:color="auto"/>
        <w:right w:val="none" w:sz="0" w:space="0" w:color="auto"/>
      </w:divBdr>
      <w:divsChild>
        <w:div w:id="932201543">
          <w:marLeft w:val="0"/>
          <w:marRight w:val="0"/>
          <w:marTop w:val="0"/>
          <w:marBottom w:val="0"/>
          <w:divBdr>
            <w:top w:val="none" w:sz="0" w:space="0" w:color="auto"/>
            <w:left w:val="none" w:sz="0" w:space="0" w:color="auto"/>
            <w:bottom w:val="none" w:sz="0" w:space="0" w:color="auto"/>
            <w:right w:val="none" w:sz="0" w:space="0" w:color="auto"/>
          </w:divBdr>
        </w:div>
        <w:div w:id="1935674202">
          <w:marLeft w:val="0"/>
          <w:marRight w:val="0"/>
          <w:marTop w:val="0"/>
          <w:marBottom w:val="0"/>
          <w:divBdr>
            <w:top w:val="none" w:sz="0" w:space="0" w:color="auto"/>
            <w:left w:val="none" w:sz="0" w:space="0" w:color="auto"/>
            <w:bottom w:val="none" w:sz="0" w:space="0" w:color="auto"/>
            <w:right w:val="none" w:sz="0" w:space="0" w:color="auto"/>
          </w:divBdr>
        </w:div>
        <w:div w:id="274823986">
          <w:marLeft w:val="0"/>
          <w:marRight w:val="0"/>
          <w:marTop w:val="0"/>
          <w:marBottom w:val="0"/>
          <w:divBdr>
            <w:top w:val="none" w:sz="0" w:space="0" w:color="auto"/>
            <w:left w:val="none" w:sz="0" w:space="0" w:color="auto"/>
            <w:bottom w:val="none" w:sz="0" w:space="0" w:color="auto"/>
            <w:right w:val="none" w:sz="0" w:space="0" w:color="auto"/>
          </w:divBdr>
        </w:div>
        <w:div w:id="1484731871">
          <w:marLeft w:val="0"/>
          <w:marRight w:val="0"/>
          <w:marTop w:val="0"/>
          <w:marBottom w:val="0"/>
          <w:divBdr>
            <w:top w:val="none" w:sz="0" w:space="0" w:color="auto"/>
            <w:left w:val="none" w:sz="0" w:space="0" w:color="auto"/>
            <w:bottom w:val="none" w:sz="0" w:space="0" w:color="auto"/>
            <w:right w:val="none" w:sz="0" w:space="0" w:color="auto"/>
          </w:divBdr>
        </w:div>
        <w:div w:id="1169103708">
          <w:marLeft w:val="0"/>
          <w:marRight w:val="0"/>
          <w:marTop w:val="0"/>
          <w:marBottom w:val="0"/>
          <w:divBdr>
            <w:top w:val="none" w:sz="0" w:space="0" w:color="auto"/>
            <w:left w:val="none" w:sz="0" w:space="0" w:color="auto"/>
            <w:bottom w:val="none" w:sz="0" w:space="0" w:color="auto"/>
            <w:right w:val="none" w:sz="0" w:space="0" w:color="auto"/>
          </w:divBdr>
        </w:div>
      </w:divsChild>
    </w:div>
    <w:div w:id="969020083">
      <w:bodyDiv w:val="1"/>
      <w:marLeft w:val="0"/>
      <w:marRight w:val="0"/>
      <w:marTop w:val="0"/>
      <w:marBottom w:val="0"/>
      <w:divBdr>
        <w:top w:val="none" w:sz="0" w:space="0" w:color="auto"/>
        <w:left w:val="none" w:sz="0" w:space="0" w:color="auto"/>
        <w:bottom w:val="none" w:sz="0" w:space="0" w:color="auto"/>
        <w:right w:val="none" w:sz="0" w:space="0" w:color="auto"/>
      </w:divBdr>
      <w:divsChild>
        <w:div w:id="1607151590">
          <w:marLeft w:val="0"/>
          <w:marRight w:val="0"/>
          <w:marTop w:val="0"/>
          <w:marBottom w:val="0"/>
          <w:divBdr>
            <w:top w:val="none" w:sz="0" w:space="0" w:color="auto"/>
            <w:left w:val="none" w:sz="0" w:space="0" w:color="auto"/>
            <w:bottom w:val="none" w:sz="0" w:space="0" w:color="auto"/>
            <w:right w:val="none" w:sz="0" w:space="0" w:color="auto"/>
          </w:divBdr>
        </w:div>
        <w:div w:id="231281348">
          <w:marLeft w:val="0"/>
          <w:marRight w:val="0"/>
          <w:marTop w:val="0"/>
          <w:marBottom w:val="0"/>
          <w:divBdr>
            <w:top w:val="none" w:sz="0" w:space="0" w:color="auto"/>
            <w:left w:val="none" w:sz="0" w:space="0" w:color="auto"/>
            <w:bottom w:val="none" w:sz="0" w:space="0" w:color="auto"/>
            <w:right w:val="none" w:sz="0" w:space="0" w:color="auto"/>
          </w:divBdr>
        </w:div>
        <w:div w:id="1852834980">
          <w:marLeft w:val="0"/>
          <w:marRight w:val="0"/>
          <w:marTop w:val="0"/>
          <w:marBottom w:val="0"/>
          <w:divBdr>
            <w:top w:val="none" w:sz="0" w:space="0" w:color="auto"/>
            <w:left w:val="none" w:sz="0" w:space="0" w:color="auto"/>
            <w:bottom w:val="none" w:sz="0" w:space="0" w:color="auto"/>
            <w:right w:val="none" w:sz="0" w:space="0" w:color="auto"/>
          </w:divBdr>
        </w:div>
        <w:div w:id="92897260">
          <w:marLeft w:val="0"/>
          <w:marRight w:val="0"/>
          <w:marTop w:val="0"/>
          <w:marBottom w:val="0"/>
          <w:divBdr>
            <w:top w:val="none" w:sz="0" w:space="0" w:color="auto"/>
            <w:left w:val="none" w:sz="0" w:space="0" w:color="auto"/>
            <w:bottom w:val="none" w:sz="0" w:space="0" w:color="auto"/>
            <w:right w:val="none" w:sz="0" w:space="0" w:color="auto"/>
          </w:divBdr>
        </w:div>
      </w:divsChild>
    </w:div>
    <w:div w:id="1712802241">
      <w:bodyDiv w:val="1"/>
      <w:marLeft w:val="0"/>
      <w:marRight w:val="0"/>
      <w:marTop w:val="0"/>
      <w:marBottom w:val="0"/>
      <w:divBdr>
        <w:top w:val="none" w:sz="0" w:space="0" w:color="auto"/>
        <w:left w:val="none" w:sz="0" w:space="0" w:color="auto"/>
        <w:bottom w:val="none" w:sz="0" w:space="0" w:color="auto"/>
        <w:right w:val="none" w:sz="0" w:space="0" w:color="auto"/>
      </w:divBdr>
      <w:divsChild>
        <w:div w:id="1482653631">
          <w:marLeft w:val="0"/>
          <w:marRight w:val="0"/>
          <w:marTop w:val="0"/>
          <w:marBottom w:val="0"/>
          <w:divBdr>
            <w:top w:val="none" w:sz="0" w:space="0" w:color="auto"/>
            <w:left w:val="none" w:sz="0" w:space="0" w:color="auto"/>
            <w:bottom w:val="none" w:sz="0" w:space="0" w:color="auto"/>
            <w:right w:val="none" w:sz="0" w:space="0" w:color="auto"/>
          </w:divBdr>
        </w:div>
        <w:div w:id="1868256605">
          <w:marLeft w:val="0"/>
          <w:marRight w:val="0"/>
          <w:marTop w:val="0"/>
          <w:marBottom w:val="0"/>
          <w:divBdr>
            <w:top w:val="none" w:sz="0" w:space="0" w:color="auto"/>
            <w:left w:val="none" w:sz="0" w:space="0" w:color="auto"/>
            <w:bottom w:val="none" w:sz="0" w:space="0" w:color="auto"/>
            <w:right w:val="none" w:sz="0" w:space="0" w:color="auto"/>
          </w:divBdr>
        </w:div>
        <w:div w:id="81151019">
          <w:marLeft w:val="0"/>
          <w:marRight w:val="0"/>
          <w:marTop w:val="0"/>
          <w:marBottom w:val="0"/>
          <w:divBdr>
            <w:top w:val="none" w:sz="0" w:space="0" w:color="auto"/>
            <w:left w:val="none" w:sz="0" w:space="0" w:color="auto"/>
            <w:bottom w:val="none" w:sz="0" w:space="0" w:color="auto"/>
            <w:right w:val="none" w:sz="0" w:space="0" w:color="auto"/>
          </w:divBdr>
        </w:div>
        <w:div w:id="1021472058">
          <w:marLeft w:val="0"/>
          <w:marRight w:val="0"/>
          <w:marTop w:val="0"/>
          <w:marBottom w:val="0"/>
          <w:divBdr>
            <w:top w:val="none" w:sz="0" w:space="0" w:color="auto"/>
            <w:left w:val="none" w:sz="0" w:space="0" w:color="auto"/>
            <w:bottom w:val="none" w:sz="0" w:space="0" w:color="auto"/>
            <w:right w:val="none" w:sz="0" w:space="0" w:color="auto"/>
          </w:divBdr>
        </w:div>
      </w:divsChild>
    </w:div>
    <w:div w:id="1885294244">
      <w:bodyDiv w:val="1"/>
      <w:marLeft w:val="0"/>
      <w:marRight w:val="0"/>
      <w:marTop w:val="0"/>
      <w:marBottom w:val="0"/>
      <w:divBdr>
        <w:top w:val="none" w:sz="0" w:space="0" w:color="auto"/>
        <w:left w:val="none" w:sz="0" w:space="0" w:color="auto"/>
        <w:bottom w:val="none" w:sz="0" w:space="0" w:color="auto"/>
        <w:right w:val="none" w:sz="0" w:space="0" w:color="auto"/>
      </w:divBdr>
      <w:divsChild>
        <w:div w:id="1942836291">
          <w:marLeft w:val="0"/>
          <w:marRight w:val="0"/>
          <w:marTop w:val="0"/>
          <w:marBottom w:val="0"/>
          <w:divBdr>
            <w:top w:val="none" w:sz="0" w:space="0" w:color="auto"/>
            <w:left w:val="none" w:sz="0" w:space="0" w:color="auto"/>
            <w:bottom w:val="none" w:sz="0" w:space="0" w:color="auto"/>
            <w:right w:val="none" w:sz="0" w:space="0" w:color="auto"/>
          </w:divBdr>
        </w:div>
        <w:div w:id="701326576">
          <w:marLeft w:val="0"/>
          <w:marRight w:val="0"/>
          <w:marTop w:val="0"/>
          <w:marBottom w:val="0"/>
          <w:divBdr>
            <w:top w:val="none" w:sz="0" w:space="0" w:color="auto"/>
            <w:left w:val="none" w:sz="0" w:space="0" w:color="auto"/>
            <w:bottom w:val="none" w:sz="0" w:space="0" w:color="auto"/>
            <w:right w:val="none" w:sz="0" w:space="0" w:color="auto"/>
          </w:divBdr>
        </w:div>
        <w:div w:id="1963069284">
          <w:marLeft w:val="0"/>
          <w:marRight w:val="0"/>
          <w:marTop w:val="0"/>
          <w:marBottom w:val="0"/>
          <w:divBdr>
            <w:top w:val="none" w:sz="0" w:space="0" w:color="auto"/>
            <w:left w:val="none" w:sz="0" w:space="0" w:color="auto"/>
            <w:bottom w:val="none" w:sz="0" w:space="0" w:color="auto"/>
            <w:right w:val="none" w:sz="0" w:space="0" w:color="auto"/>
          </w:divBdr>
        </w:div>
        <w:div w:id="2088183910">
          <w:marLeft w:val="0"/>
          <w:marRight w:val="0"/>
          <w:marTop w:val="0"/>
          <w:marBottom w:val="0"/>
          <w:divBdr>
            <w:top w:val="none" w:sz="0" w:space="0" w:color="auto"/>
            <w:left w:val="none" w:sz="0" w:space="0" w:color="auto"/>
            <w:bottom w:val="none" w:sz="0" w:space="0" w:color="auto"/>
            <w:right w:val="none" w:sz="0" w:space="0" w:color="auto"/>
          </w:divBdr>
        </w:div>
        <w:div w:id="1893032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www.unicef.org/wash/files/4_WSSCC_JMP_Fact_Sheets_4_UK_LoRes.pdf" TargetMode="External"/><Relationship Id="rId1" Type="http://schemas.openxmlformats.org/officeDocument/2006/relationships/hyperlink" Target="https://tbinternet.ohchr.org/_layouts/15/treatybodyexternal/Download.aspx?symbolno=CRPD/C/GC/4&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0BB4C-A8A3-406D-924B-3905407F6188}">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2.xml><?xml version="1.0" encoding="utf-8"?>
<ds:datastoreItem xmlns:ds="http://schemas.openxmlformats.org/officeDocument/2006/customXml" ds:itemID="{8D473F26-E9B8-4270-ACB2-237A76BD290E}">
  <ds:schemaRefs>
    <ds:schemaRef ds:uri="http://schemas.microsoft.com/sharepoint/v3/contenttype/forms"/>
  </ds:schemaRefs>
</ds:datastoreItem>
</file>

<file path=customXml/itemProps3.xml><?xml version="1.0" encoding="utf-8"?>
<ds:datastoreItem xmlns:ds="http://schemas.openxmlformats.org/officeDocument/2006/customXml" ds:itemID="{080C5552-9EAC-4AD4-95CA-C1D149B6D6F3}"/>
</file>

<file path=customXml/itemProps4.xml><?xml version="1.0" encoding="utf-8"?>
<ds:datastoreItem xmlns:ds="http://schemas.openxmlformats.org/officeDocument/2006/customXml" ds:itemID="{B8B3630E-372D-4656-B1D1-C302B43A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3</cp:revision>
  <cp:lastPrinted>2018-06-07T08:17:00Z</cp:lastPrinted>
  <dcterms:created xsi:type="dcterms:W3CDTF">2020-08-24T14:40:00Z</dcterms:created>
  <dcterms:modified xsi:type="dcterms:W3CDTF">2020-09-07T13:31:00Z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