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41673" w14:textId="77777777" w:rsidR="00490A6C" w:rsidRDefault="00490A6C" w:rsidP="00490A6C">
      <w:pPr>
        <w:pStyle w:val="NoSpacing"/>
        <w:jc w:val="center"/>
        <w:rPr>
          <w:b/>
          <w:sz w:val="18"/>
          <w:szCs w:val="18"/>
        </w:rPr>
      </w:pPr>
    </w:p>
    <w:p w14:paraId="2EE209E2" w14:textId="3D927234" w:rsidR="00490A6C" w:rsidRPr="00651D18" w:rsidRDefault="00490A6C" w:rsidP="00490A6C">
      <w:pPr>
        <w:pStyle w:val="NoSpacing"/>
        <w:jc w:val="center"/>
        <w:rPr>
          <w:rFonts w:cstheme="minorHAnsi"/>
          <w:b/>
          <w:sz w:val="18"/>
          <w:szCs w:val="18"/>
        </w:rPr>
      </w:pPr>
      <w:r>
        <w:rPr>
          <w:b/>
          <w:sz w:val="18"/>
          <w:szCs w:val="18"/>
        </w:rPr>
        <w:t>Artículo 24 - Indicadores sobre educación*</w:t>
      </w:r>
    </w:p>
    <w:p w14:paraId="30A1DC93" w14:textId="77777777" w:rsidR="00490A6C" w:rsidRPr="00651D18" w:rsidRDefault="00490A6C" w:rsidP="00490A6C">
      <w:pPr>
        <w:spacing w:after="0" w:line="240" w:lineRule="auto"/>
        <w:jc w:val="center"/>
        <w:rPr>
          <w:rFonts w:cstheme="minorHAnsi"/>
          <w:b/>
          <w:sz w:val="18"/>
          <w:szCs w:val="18"/>
        </w:rPr>
      </w:pPr>
      <w:r w:rsidRPr="009130D7">
        <w:rPr>
          <w:b/>
          <w:sz w:val="18"/>
          <w:szCs w:val="18"/>
        </w:rPr>
        <w:t>Desarrollo pleno del potencial humano, sentido de dignidad y autoestima que permita a las personas con discapacidad participar de manera efectiva en una sociedad libre</w:t>
      </w:r>
      <w:r>
        <w:rPr>
          <w:b/>
          <w:sz w:val="18"/>
          <w:szCs w:val="18"/>
        </w:rPr>
        <w:t xml:space="preserve"> </w:t>
      </w:r>
    </w:p>
    <w:p w14:paraId="66F82BBA" w14:textId="7CB383FE" w:rsidR="00490A6C" w:rsidRDefault="00490A6C" w:rsidP="00490A6C">
      <w:pPr>
        <w:pStyle w:val="ListParagraph"/>
        <w:spacing w:after="0" w:line="240" w:lineRule="auto"/>
        <w:ind w:left="0"/>
        <w:rPr>
          <w:b/>
          <w:sz w:val="18"/>
          <w:szCs w:val="18"/>
        </w:rPr>
      </w:pPr>
    </w:p>
    <w:p w14:paraId="0DDB9FE9" w14:textId="77777777" w:rsidR="00490A6C" w:rsidRDefault="00490A6C" w:rsidP="00490A6C">
      <w:pPr>
        <w:pStyle w:val="ListParagraph"/>
        <w:spacing w:after="0" w:line="240" w:lineRule="auto"/>
        <w:ind w:left="0"/>
        <w:rPr>
          <w:b/>
          <w:sz w:val="18"/>
          <w:szCs w:val="18"/>
        </w:rPr>
      </w:pPr>
    </w:p>
    <w:p w14:paraId="4C97B317" w14:textId="7464E81A" w:rsidR="00490A6C" w:rsidRPr="00DD35DD" w:rsidRDefault="00490A6C" w:rsidP="00490A6C">
      <w:pPr>
        <w:pStyle w:val="ListParagraph"/>
        <w:spacing w:after="0" w:line="240" w:lineRule="auto"/>
        <w:ind w:left="0"/>
        <w:rPr>
          <w:rFonts w:cstheme="minorHAnsi"/>
          <w:b/>
          <w:sz w:val="18"/>
          <w:szCs w:val="18"/>
        </w:rPr>
      </w:pPr>
      <w:r>
        <w:rPr>
          <w:b/>
          <w:sz w:val="18"/>
          <w:szCs w:val="18"/>
        </w:rPr>
        <w:t>Atributos</w:t>
      </w:r>
    </w:p>
    <w:p w14:paraId="0CCF1CB7" w14:textId="77777777" w:rsidR="00490A6C" w:rsidRPr="00490A6C" w:rsidRDefault="00490A6C" w:rsidP="00490A6C">
      <w:pPr>
        <w:pStyle w:val="ListParagraph"/>
        <w:numPr>
          <w:ilvl w:val="0"/>
          <w:numId w:val="13"/>
        </w:numPr>
        <w:spacing w:after="0" w:line="240" w:lineRule="auto"/>
        <w:rPr>
          <w:rFonts w:cstheme="minorHAnsi"/>
          <w:b/>
          <w:sz w:val="18"/>
          <w:szCs w:val="18"/>
        </w:rPr>
      </w:pPr>
      <w:r w:rsidRPr="00490A6C">
        <w:rPr>
          <w:b/>
          <w:sz w:val="18"/>
          <w:szCs w:val="18"/>
        </w:rPr>
        <w:t>Sistema de educación inclusivo</w:t>
      </w:r>
    </w:p>
    <w:p w14:paraId="008D570D" w14:textId="77777777" w:rsidR="00490A6C" w:rsidRPr="00490A6C" w:rsidRDefault="00490A6C" w:rsidP="00490A6C">
      <w:pPr>
        <w:pStyle w:val="ListParagraph"/>
        <w:numPr>
          <w:ilvl w:val="0"/>
          <w:numId w:val="13"/>
        </w:numPr>
        <w:spacing w:after="0" w:line="240" w:lineRule="auto"/>
        <w:rPr>
          <w:rFonts w:cstheme="minorHAnsi"/>
          <w:b/>
          <w:sz w:val="18"/>
          <w:szCs w:val="18"/>
        </w:rPr>
      </w:pPr>
      <w:r w:rsidRPr="00490A6C">
        <w:rPr>
          <w:b/>
          <w:sz w:val="18"/>
          <w:szCs w:val="18"/>
        </w:rPr>
        <w:t xml:space="preserve">Educación primaria y secundaria de calidad y gratuita </w:t>
      </w:r>
    </w:p>
    <w:p w14:paraId="49513489" w14:textId="77777777" w:rsidR="00490A6C" w:rsidRPr="00490A6C" w:rsidRDefault="00490A6C" w:rsidP="00490A6C">
      <w:pPr>
        <w:pStyle w:val="ListParagraph"/>
        <w:numPr>
          <w:ilvl w:val="0"/>
          <w:numId w:val="13"/>
        </w:numPr>
        <w:spacing w:after="0" w:line="240" w:lineRule="auto"/>
        <w:rPr>
          <w:rFonts w:cstheme="minorHAnsi"/>
          <w:b/>
          <w:sz w:val="18"/>
          <w:szCs w:val="18"/>
        </w:rPr>
      </w:pPr>
      <w:r w:rsidRPr="00490A6C">
        <w:rPr>
          <w:b/>
          <w:sz w:val="18"/>
          <w:szCs w:val="18"/>
        </w:rPr>
        <w:t>Acceso a la educación superior, la formación profesional y el aprendizaje a lo largo de la vida</w:t>
      </w:r>
    </w:p>
    <w:p w14:paraId="4B59490E" w14:textId="77777777" w:rsidR="00490A6C" w:rsidRPr="00490A6C" w:rsidRDefault="00490A6C" w:rsidP="00490A6C">
      <w:pPr>
        <w:pStyle w:val="ListParagraph"/>
        <w:numPr>
          <w:ilvl w:val="0"/>
          <w:numId w:val="13"/>
        </w:numPr>
        <w:spacing w:after="0" w:line="240" w:lineRule="auto"/>
        <w:rPr>
          <w:rFonts w:cstheme="minorHAnsi"/>
          <w:b/>
          <w:sz w:val="18"/>
          <w:szCs w:val="18"/>
        </w:rPr>
      </w:pPr>
      <w:r w:rsidRPr="00490A6C">
        <w:rPr>
          <w:b/>
          <w:sz w:val="18"/>
          <w:szCs w:val="18"/>
        </w:rPr>
        <w:t>Enseñanza inclusiva</w:t>
      </w:r>
    </w:p>
    <w:p w14:paraId="5BB24A0B" w14:textId="77777777" w:rsidR="00490A6C" w:rsidRDefault="00490A6C" w:rsidP="00490A6C">
      <w:pPr>
        <w:spacing w:after="0" w:line="240" w:lineRule="auto"/>
        <w:jc w:val="both"/>
        <w:rPr>
          <w:b/>
          <w:sz w:val="18"/>
          <w:szCs w:val="18"/>
        </w:rPr>
      </w:pPr>
    </w:p>
    <w:p w14:paraId="3B5488DC" w14:textId="7069CC8D" w:rsidR="00490A6C" w:rsidRPr="00DD35DD" w:rsidRDefault="00490A6C" w:rsidP="00490A6C">
      <w:pPr>
        <w:spacing w:after="0" w:line="240" w:lineRule="auto"/>
        <w:jc w:val="both"/>
        <w:rPr>
          <w:rFonts w:cstheme="minorHAnsi"/>
          <w:b/>
          <w:sz w:val="18"/>
          <w:szCs w:val="18"/>
        </w:rPr>
      </w:pPr>
      <w:r>
        <w:rPr>
          <w:b/>
          <w:sz w:val="18"/>
          <w:szCs w:val="18"/>
        </w:rPr>
        <w:t>Indicadores de Estructura</w:t>
      </w:r>
    </w:p>
    <w:p w14:paraId="3513338B" w14:textId="77777777" w:rsidR="00490A6C" w:rsidRPr="00892D6A" w:rsidRDefault="00490A6C" w:rsidP="00490A6C">
      <w:pPr>
        <w:spacing w:after="0" w:line="240" w:lineRule="auto"/>
        <w:jc w:val="both"/>
        <w:rPr>
          <w:rFonts w:cstheme="minorHAnsi"/>
          <w:sz w:val="18"/>
          <w:szCs w:val="18"/>
        </w:rPr>
      </w:pPr>
      <w:r w:rsidRPr="00892D6A">
        <w:rPr>
          <w:sz w:val="18"/>
          <w:szCs w:val="18"/>
        </w:rPr>
        <w:t>24.1 Legislación promulgada que asegure la educación inclusiva para todos los estudiantes, incluidos los estudiantes con discapacidad, en entornos públicos y privados en todos los niveles de educación.</w:t>
      </w:r>
      <w:r w:rsidRPr="00892D6A">
        <w:rPr>
          <w:rStyle w:val="EndnoteReference"/>
          <w:rFonts w:cstheme="minorHAnsi"/>
          <w:sz w:val="18"/>
          <w:szCs w:val="18"/>
        </w:rPr>
        <w:endnoteReference w:id="1"/>
      </w:r>
    </w:p>
    <w:p w14:paraId="3CAD2A3F" w14:textId="77777777" w:rsidR="00490A6C" w:rsidRPr="00892D6A" w:rsidRDefault="00490A6C" w:rsidP="00490A6C">
      <w:pPr>
        <w:spacing w:after="0" w:line="240" w:lineRule="auto"/>
        <w:jc w:val="both"/>
        <w:rPr>
          <w:rFonts w:cstheme="minorHAnsi"/>
          <w:sz w:val="18"/>
          <w:szCs w:val="18"/>
        </w:rPr>
      </w:pPr>
      <w:r w:rsidRPr="00892D6A">
        <w:rPr>
          <w:sz w:val="18"/>
          <w:szCs w:val="18"/>
        </w:rPr>
        <w:t>24.2 Ninguna disposición en la legislación excluye a las personas con discapacidad de cualquier forma o nivel de educación o campo de estudio, o de obtener una certificación en pie de igualdad con los demás.</w:t>
      </w:r>
    </w:p>
    <w:p w14:paraId="5A3A890E" w14:textId="77777777" w:rsidR="00490A6C" w:rsidRPr="00892D6A" w:rsidRDefault="00490A6C" w:rsidP="00490A6C">
      <w:pPr>
        <w:spacing w:after="0" w:line="240" w:lineRule="auto"/>
        <w:jc w:val="both"/>
        <w:rPr>
          <w:rFonts w:cstheme="minorHAnsi"/>
          <w:sz w:val="18"/>
          <w:szCs w:val="18"/>
        </w:rPr>
      </w:pPr>
      <w:r w:rsidRPr="00892D6A">
        <w:rPr>
          <w:sz w:val="18"/>
          <w:szCs w:val="18"/>
        </w:rPr>
        <w:t>24.3 Estrategia/plan nacional liderada por el Ministerio de Educación</w:t>
      </w:r>
      <w:r w:rsidRPr="00892D6A" w:rsidDel="008F220F">
        <w:rPr>
          <w:rStyle w:val="EndnoteReference"/>
          <w:rFonts w:cstheme="minorHAnsi"/>
          <w:sz w:val="18"/>
          <w:szCs w:val="18"/>
        </w:rPr>
        <w:t xml:space="preserve"> </w:t>
      </w:r>
      <w:r w:rsidRPr="00892D6A">
        <w:rPr>
          <w:sz w:val="18"/>
          <w:szCs w:val="18"/>
        </w:rPr>
        <w:t>para la transición a un sistema de educación inclusivo</w:t>
      </w:r>
      <w:r w:rsidRPr="00892D6A">
        <w:rPr>
          <w:rStyle w:val="EndnoteReference"/>
          <w:rFonts w:cstheme="minorHAnsi"/>
          <w:sz w:val="18"/>
          <w:szCs w:val="18"/>
        </w:rPr>
        <w:endnoteReference w:id="2"/>
      </w:r>
      <w:r w:rsidRPr="00892D6A">
        <w:rPr>
          <w:sz w:val="18"/>
          <w:szCs w:val="18"/>
        </w:rPr>
        <w:t>.</w:t>
      </w:r>
    </w:p>
    <w:p w14:paraId="12A8B395" w14:textId="77777777" w:rsidR="00490A6C" w:rsidRPr="00892D6A" w:rsidRDefault="00490A6C" w:rsidP="00490A6C">
      <w:pPr>
        <w:spacing w:after="0" w:line="240" w:lineRule="auto"/>
        <w:jc w:val="both"/>
        <w:rPr>
          <w:rFonts w:cstheme="minorHAnsi"/>
          <w:color w:val="000000"/>
          <w:sz w:val="18"/>
          <w:szCs w:val="18"/>
        </w:rPr>
      </w:pPr>
      <w:r w:rsidRPr="00892D6A">
        <w:rPr>
          <w:sz w:val="18"/>
          <w:szCs w:val="18"/>
        </w:rPr>
        <w:t>24.4 Programas establecidos para la identificación temprana de niños con discapacidad y sus necesidades de apoyos para su participación efectiva en las escuelas regulares.</w:t>
      </w:r>
    </w:p>
    <w:p w14:paraId="6CFE1845" w14:textId="77777777" w:rsidR="00490A6C" w:rsidRPr="00892D6A" w:rsidRDefault="00490A6C" w:rsidP="00490A6C">
      <w:pPr>
        <w:spacing w:after="0" w:line="240" w:lineRule="auto"/>
        <w:jc w:val="both"/>
        <w:rPr>
          <w:rFonts w:cstheme="minorHAnsi"/>
          <w:sz w:val="18"/>
          <w:szCs w:val="18"/>
        </w:rPr>
      </w:pPr>
      <w:r w:rsidRPr="00892D6A">
        <w:rPr>
          <w:sz w:val="18"/>
          <w:szCs w:val="18"/>
        </w:rPr>
        <w:t>24.5 Estrategia/plan nacional sobre la educación profesional y técnica y el aprendizaje a lo largo de toda la vida, incluyendo el aprendizaje tanto formal como informal, que haga referencia explícita a las personas con discapacidad</w:t>
      </w:r>
      <w:r w:rsidRPr="00892D6A" w:rsidDel="008F220F">
        <w:rPr>
          <w:sz w:val="18"/>
          <w:szCs w:val="18"/>
        </w:rPr>
        <w:t xml:space="preserve"> </w:t>
      </w:r>
      <w:r w:rsidRPr="00892D6A">
        <w:rPr>
          <w:sz w:val="18"/>
          <w:szCs w:val="18"/>
        </w:rPr>
        <w:t>y sea inclusiva con las mismas.</w:t>
      </w:r>
    </w:p>
    <w:p w14:paraId="7836CF8A" w14:textId="1994F63E" w:rsidR="00490A6C" w:rsidRPr="00490A6C" w:rsidRDefault="00490A6C" w:rsidP="00490A6C">
      <w:pPr>
        <w:spacing w:after="0" w:line="240" w:lineRule="auto"/>
        <w:jc w:val="both"/>
        <w:rPr>
          <w:rFonts w:cstheme="minorHAnsi"/>
          <w:sz w:val="18"/>
          <w:szCs w:val="18"/>
        </w:rPr>
      </w:pPr>
      <w:r w:rsidRPr="00892D6A">
        <w:rPr>
          <w:sz w:val="18"/>
          <w:szCs w:val="18"/>
        </w:rPr>
        <w:t xml:space="preserve"> 24.6 Formación obligatoria -previa y durante el servicio- sobre educación inclusiva para todos los profesores y personal de todos los niveles educativos</w:t>
      </w:r>
      <w:r w:rsidRPr="00892D6A">
        <w:rPr>
          <w:rStyle w:val="EndnoteReference"/>
          <w:rFonts w:cstheme="minorHAnsi"/>
          <w:sz w:val="18"/>
          <w:szCs w:val="18"/>
        </w:rPr>
        <w:endnoteReference w:id="3"/>
      </w:r>
      <w:r w:rsidRPr="00892D6A">
        <w:rPr>
          <w:sz w:val="18"/>
          <w:szCs w:val="18"/>
        </w:rPr>
        <w:t>.</w:t>
      </w:r>
    </w:p>
    <w:p w14:paraId="69C4E6BA" w14:textId="77777777" w:rsidR="00490A6C" w:rsidRPr="00892D6A" w:rsidRDefault="00490A6C" w:rsidP="00490A6C">
      <w:pPr>
        <w:spacing w:after="0" w:line="240" w:lineRule="auto"/>
        <w:jc w:val="both"/>
        <w:rPr>
          <w:rFonts w:cstheme="minorHAnsi"/>
          <w:sz w:val="18"/>
          <w:szCs w:val="18"/>
        </w:rPr>
      </w:pPr>
      <w:r w:rsidRPr="00892D6A">
        <w:rPr>
          <w:sz w:val="18"/>
          <w:szCs w:val="18"/>
        </w:rPr>
        <w:t>24.7 Los planes de estudios nacionales incorporan estándares de educación inclusiva que reflejan la diversidad de las necesidades de aprendizaje de todos los estudiantes y permiten modificaciones y adaptaciones curriculares, adecuadas a cada estudiante.</w:t>
      </w:r>
    </w:p>
    <w:p w14:paraId="41D468AD" w14:textId="77777777" w:rsidR="00490A6C" w:rsidRPr="00892D6A" w:rsidRDefault="00490A6C" w:rsidP="00490A6C">
      <w:pPr>
        <w:spacing w:after="0" w:line="240" w:lineRule="auto"/>
        <w:jc w:val="both"/>
        <w:rPr>
          <w:rFonts w:cstheme="minorHAnsi"/>
          <w:sz w:val="18"/>
          <w:szCs w:val="18"/>
        </w:rPr>
      </w:pPr>
      <w:r w:rsidRPr="00892D6A">
        <w:rPr>
          <w:sz w:val="18"/>
          <w:szCs w:val="18"/>
        </w:rPr>
        <w:t>24.8 Normas nacionales de accesibilidad adoptadas y aplicadas a todos los entornos y materiales educativos,</w:t>
      </w:r>
      <w:r w:rsidRPr="00892D6A">
        <w:rPr>
          <w:rStyle w:val="EndnoteReference"/>
          <w:rFonts w:cstheme="minorHAnsi"/>
          <w:sz w:val="18"/>
          <w:szCs w:val="18"/>
        </w:rPr>
        <w:endnoteReference w:id="4"/>
      </w:r>
      <w:r w:rsidRPr="00892D6A">
        <w:rPr>
          <w:sz w:val="18"/>
          <w:szCs w:val="18"/>
        </w:rPr>
        <w:t xml:space="preserve"> incluidas las actividades extracurriculares.</w:t>
      </w:r>
    </w:p>
    <w:p w14:paraId="0CC09F66" w14:textId="77777777" w:rsidR="00490A6C" w:rsidRPr="00892D6A" w:rsidRDefault="00490A6C" w:rsidP="00490A6C">
      <w:pPr>
        <w:spacing w:after="0" w:line="240" w:lineRule="auto"/>
        <w:jc w:val="both"/>
        <w:rPr>
          <w:rFonts w:cstheme="minorHAnsi"/>
          <w:sz w:val="18"/>
          <w:szCs w:val="18"/>
        </w:rPr>
      </w:pPr>
      <w:r w:rsidRPr="00892D6A">
        <w:rPr>
          <w:sz w:val="18"/>
          <w:szCs w:val="18"/>
        </w:rPr>
        <w:t xml:space="preserve">24.10 Legislación promulgada que prohíba la violencia, el castigo corporal y el acoso en entornos educativos, incluyendo por motivos de discapacidad. </w:t>
      </w:r>
    </w:p>
    <w:p w14:paraId="50625163" w14:textId="77777777" w:rsidR="00490A6C" w:rsidRDefault="00490A6C" w:rsidP="00490A6C">
      <w:pPr>
        <w:spacing w:after="0" w:line="240" w:lineRule="auto"/>
        <w:jc w:val="both"/>
        <w:rPr>
          <w:b/>
          <w:sz w:val="18"/>
          <w:szCs w:val="18"/>
        </w:rPr>
      </w:pPr>
    </w:p>
    <w:p w14:paraId="54AFCAC5" w14:textId="30F3E1DE" w:rsidR="00490A6C" w:rsidRPr="00DD35DD" w:rsidRDefault="00490A6C" w:rsidP="00490A6C">
      <w:pPr>
        <w:spacing w:after="0" w:line="240" w:lineRule="auto"/>
        <w:jc w:val="both"/>
        <w:rPr>
          <w:rFonts w:cstheme="minorHAnsi"/>
          <w:b/>
          <w:sz w:val="18"/>
          <w:szCs w:val="18"/>
        </w:rPr>
      </w:pPr>
      <w:r>
        <w:rPr>
          <w:b/>
          <w:sz w:val="18"/>
          <w:szCs w:val="18"/>
        </w:rPr>
        <w:t>Indicadores de Proceso</w:t>
      </w:r>
    </w:p>
    <w:p w14:paraId="7702C2AD" w14:textId="77777777" w:rsidR="00490A6C" w:rsidRPr="00892D6A" w:rsidRDefault="00490A6C" w:rsidP="00490A6C">
      <w:pPr>
        <w:spacing w:after="0" w:line="240" w:lineRule="auto"/>
        <w:jc w:val="both"/>
        <w:rPr>
          <w:sz w:val="18"/>
          <w:szCs w:val="18"/>
        </w:rPr>
      </w:pPr>
      <w:r w:rsidRPr="00892D6A">
        <w:rPr>
          <w:sz w:val="18"/>
          <w:szCs w:val="18"/>
        </w:rPr>
        <w:t xml:space="preserve">24.10 Porcentaje de niños de 3 a 5 años que asisten a programas de educación infantil (indicador </w:t>
      </w:r>
      <w:r w:rsidRPr="00892D6A">
        <w:rPr>
          <w:rStyle w:val="Hyperlink"/>
          <w:color w:val="auto"/>
          <w:sz w:val="18"/>
          <w:szCs w:val="18"/>
          <w:u w:val="none"/>
        </w:rPr>
        <w:t>MICS de UNICEF</w:t>
      </w:r>
      <w:r w:rsidRPr="00892D6A">
        <w:rPr>
          <w:sz w:val="18"/>
          <w:szCs w:val="18"/>
        </w:rPr>
        <w:t>), desglosado por edad, sexo y discapacidad.</w:t>
      </w:r>
    </w:p>
    <w:p w14:paraId="3FF36241" w14:textId="77777777" w:rsidR="00490A6C" w:rsidRPr="00892D6A" w:rsidRDefault="00490A6C" w:rsidP="00490A6C">
      <w:pPr>
        <w:spacing w:after="0" w:line="240" w:lineRule="auto"/>
        <w:jc w:val="both"/>
        <w:rPr>
          <w:rFonts w:cstheme="minorHAnsi"/>
          <w:sz w:val="18"/>
          <w:szCs w:val="18"/>
        </w:rPr>
      </w:pPr>
      <w:r w:rsidRPr="00892D6A">
        <w:rPr>
          <w:sz w:val="18"/>
          <w:szCs w:val="18"/>
        </w:rPr>
        <w:t>24.11 Proporción de escuelas con acceso a: a) electricidad, b) Internet con fines pedagógicos, c) computadoras con fines pedagógicos, d) infraestructura y materiales adaptados a los estudiantes con discapacidad, e) suministro básico de agua potable, f) instalaciones de saneamiento básicas separadas por sexo y g) instalaciones básicas para el lavado de manos (según las definiciones de los indicadores WASH) (Indicador 4.a.1 de los ODS).</w:t>
      </w:r>
      <w:r w:rsidRPr="00892D6A">
        <w:rPr>
          <w:rStyle w:val="EndnoteReference"/>
          <w:rFonts w:cstheme="minorHAnsi"/>
          <w:sz w:val="18"/>
          <w:szCs w:val="18"/>
        </w:rPr>
        <w:endnoteReference w:id="5"/>
      </w:r>
    </w:p>
    <w:p w14:paraId="770D37BE" w14:textId="77777777" w:rsidR="00490A6C" w:rsidRPr="00892D6A" w:rsidRDefault="00490A6C" w:rsidP="00490A6C">
      <w:pPr>
        <w:spacing w:after="0" w:line="240" w:lineRule="auto"/>
        <w:jc w:val="both"/>
        <w:rPr>
          <w:rFonts w:eastAsia="Times New Roman" w:cstheme="minorHAnsi"/>
          <w:sz w:val="18"/>
          <w:szCs w:val="18"/>
        </w:rPr>
      </w:pPr>
      <w:r w:rsidRPr="00892D6A">
        <w:rPr>
          <w:sz w:val="18"/>
          <w:szCs w:val="18"/>
        </w:rPr>
        <w:t>24.12 Porcentaje de escuelas que imparten educación sobre el VIH y la sexualidad basada en la preparación para la vida inclusiva de los estudiantes con discapacidad (indicador de la UNESCO).</w:t>
      </w:r>
    </w:p>
    <w:p w14:paraId="512075F3" w14:textId="77777777" w:rsidR="00490A6C" w:rsidRPr="00892D6A" w:rsidRDefault="00490A6C" w:rsidP="00490A6C">
      <w:pPr>
        <w:spacing w:after="0" w:line="240" w:lineRule="auto"/>
        <w:jc w:val="both"/>
        <w:rPr>
          <w:rFonts w:eastAsia="Times New Roman" w:cstheme="minorHAnsi"/>
          <w:sz w:val="18"/>
          <w:szCs w:val="18"/>
          <w:u w:val="single"/>
        </w:rPr>
      </w:pPr>
      <w:r w:rsidRPr="00892D6A">
        <w:rPr>
          <w:sz w:val="18"/>
          <w:szCs w:val="18"/>
        </w:rPr>
        <w:t>24.13 Porcentaje de estudiantes que sufren intimidación, castigos corporales, acoso, violencia, discriminación y abuso sexual (indicador de la UNESCO) por sexo, edad, discapacidad, tipo de institución educativa (pública/privada, primaria/secundaria/terciaria/profesional).</w:t>
      </w:r>
      <w:r w:rsidRPr="00892D6A">
        <w:rPr>
          <w:sz w:val="18"/>
          <w:szCs w:val="18"/>
          <w:u w:val="single"/>
        </w:rPr>
        <w:t xml:space="preserve"> </w:t>
      </w:r>
    </w:p>
    <w:p w14:paraId="6559C3EA" w14:textId="77777777" w:rsidR="00490A6C" w:rsidRPr="00892D6A" w:rsidRDefault="00490A6C" w:rsidP="00490A6C">
      <w:pPr>
        <w:spacing w:after="0" w:line="240" w:lineRule="auto"/>
        <w:jc w:val="both"/>
        <w:rPr>
          <w:rFonts w:eastAsia="Times New Roman" w:cstheme="minorHAnsi"/>
          <w:sz w:val="18"/>
          <w:szCs w:val="18"/>
        </w:rPr>
      </w:pPr>
      <w:r w:rsidRPr="00892D6A">
        <w:rPr>
          <w:sz w:val="18"/>
          <w:szCs w:val="18"/>
        </w:rPr>
        <w:t>24.14 Gasto en educación por alumno por nivel de educación y fuente de financiación (indicador de la UNESCO) por edad, sexo y discapacidad.</w:t>
      </w:r>
    </w:p>
    <w:p w14:paraId="3FBDE3A4" w14:textId="77777777" w:rsidR="00490A6C" w:rsidRPr="00892D6A" w:rsidRDefault="00490A6C" w:rsidP="00490A6C">
      <w:pPr>
        <w:spacing w:after="0" w:line="240" w:lineRule="auto"/>
        <w:jc w:val="both"/>
        <w:rPr>
          <w:rFonts w:cstheme="minorHAnsi"/>
          <w:sz w:val="18"/>
          <w:szCs w:val="18"/>
        </w:rPr>
      </w:pPr>
      <w:r w:rsidRPr="00892D6A">
        <w:rPr>
          <w:sz w:val="18"/>
          <w:szCs w:val="18"/>
        </w:rPr>
        <w:t>24.15 Número de escuelas regulares en comparación con el número de escuelas especiales.</w:t>
      </w:r>
    </w:p>
    <w:p w14:paraId="72D2D92D" w14:textId="77777777" w:rsidR="00490A6C" w:rsidRPr="00892D6A" w:rsidRDefault="00490A6C" w:rsidP="00490A6C">
      <w:pPr>
        <w:spacing w:after="0" w:line="240" w:lineRule="auto"/>
        <w:jc w:val="both"/>
        <w:rPr>
          <w:rFonts w:cstheme="minorHAnsi"/>
          <w:sz w:val="18"/>
          <w:szCs w:val="18"/>
        </w:rPr>
      </w:pPr>
      <w:r w:rsidRPr="00892D6A">
        <w:rPr>
          <w:sz w:val="18"/>
          <w:szCs w:val="18"/>
        </w:rPr>
        <w:t>24.16 Proporción de estudiantes con discapacidad que se benefician de planes de educación individuales, medidas de apoyo y otros ajustes,</w:t>
      </w:r>
      <w:r w:rsidRPr="00892D6A">
        <w:rPr>
          <w:rStyle w:val="EndnoteReference"/>
          <w:rFonts w:cstheme="minorHAnsi"/>
          <w:sz w:val="18"/>
          <w:szCs w:val="18"/>
        </w:rPr>
        <w:endnoteReference w:id="6"/>
      </w:r>
      <w:r w:rsidRPr="00892D6A">
        <w:rPr>
          <w:sz w:val="18"/>
          <w:szCs w:val="18"/>
        </w:rPr>
        <w:t xml:space="preserve"> desglosados por sexo, edad, discapacidad y ubicación geográfica.</w:t>
      </w:r>
    </w:p>
    <w:p w14:paraId="1DE281F2" w14:textId="77777777" w:rsidR="00490A6C" w:rsidRPr="00892D6A" w:rsidRDefault="00490A6C" w:rsidP="00490A6C">
      <w:pPr>
        <w:spacing w:after="0" w:line="240" w:lineRule="auto"/>
        <w:jc w:val="both"/>
        <w:rPr>
          <w:rFonts w:cstheme="minorHAnsi"/>
          <w:sz w:val="18"/>
          <w:szCs w:val="18"/>
        </w:rPr>
      </w:pPr>
      <w:r w:rsidRPr="00892D6A">
        <w:rPr>
          <w:sz w:val="18"/>
          <w:szCs w:val="18"/>
        </w:rPr>
        <w:t xml:space="preserve">24.17 Proporción de estudiantes sordos que reciben educación en lenguaje de señas. </w:t>
      </w:r>
    </w:p>
    <w:p w14:paraId="159FD84A" w14:textId="77777777" w:rsidR="00490A6C" w:rsidRPr="00892D6A" w:rsidRDefault="00490A6C" w:rsidP="00490A6C">
      <w:pPr>
        <w:spacing w:after="0" w:line="240" w:lineRule="auto"/>
        <w:jc w:val="both"/>
        <w:rPr>
          <w:rFonts w:cstheme="minorHAnsi"/>
          <w:sz w:val="18"/>
          <w:szCs w:val="18"/>
        </w:rPr>
      </w:pPr>
      <w:r w:rsidRPr="00892D6A">
        <w:rPr>
          <w:sz w:val="18"/>
          <w:szCs w:val="18"/>
        </w:rPr>
        <w:t>24.18 Proporción de intérpretes de lenguaje de señas certificados que trabajan en centros educativos regulares.</w:t>
      </w:r>
    </w:p>
    <w:p w14:paraId="2109A5B5" w14:textId="2D0FF18D" w:rsidR="00490A6C" w:rsidRPr="00892D6A" w:rsidRDefault="00490A6C" w:rsidP="00490A6C">
      <w:pPr>
        <w:spacing w:after="0" w:line="240" w:lineRule="auto"/>
        <w:jc w:val="both"/>
        <w:rPr>
          <w:rFonts w:cstheme="minorHAnsi"/>
          <w:sz w:val="18"/>
          <w:szCs w:val="18"/>
        </w:rPr>
      </w:pPr>
      <w:r w:rsidRPr="00892D6A">
        <w:rPr>
          <w:sz w:val="18"/>
          <w:szCs w:val="18"/>
        </w:rPr>
        <w:t xml:space="preserve">24.19 Proporción de estudiantes con deficiencias visuales que se benefician de material educativo en formatos fácilmente accesibles. </w:t>
      </w:r>
    </w:p>
    <w:p w14:paraId="0D70AF88" w14:textId="76122B61" w:rsidR="00490A6C" w:rsidRPr="00892D6A" w:rsidRDefault="00490A6C" w:rsidP="00490A6C">
      <w:pPr>
        <w:spacing w:after="0" w:line="240" w:lineRule="auto"/>
        <w:jc w:val="both"/>
        <w:rPr>
          <w:rFonts w:cstheme="minorHAnsi"/>
          <w:sz w:val="18"/>
          <w:szCs w:val="18"/>
        </w:rPr>
      </w:pPr>
      <w:r w:rsidRPr="00892D6A">
        <w:rPr>
          <w:sz w:val="18"/>
          <w:szCs w:val="18"/>
        </w:rPr>
        <w:t>24.20 Tasa de participación de jóvenes y adultos en la educación y formación formal y no formal en los últimos 12 meses, desglosada por sexo (indicador ODS 4.3.1) y discapacidad.</w:t>
      </w:r>
    </w:p>
    <w:p w14:paraId="370A9CB8" w14:textId="77777777" w:rsidR="00490A6C" w:rsidRPr="00892D6A" w:rsidRDefault="00490A6C" w:rsidP="00490A6C">
      <w:pPr>
        <w:spacing w:after="0" w:line="240" w:lineRule="auto"/>
        <w:jc w:val="both"/>
        <w:rPr>
          <w:rFonts w:cstheme="minorHAnsi"/>
          <w:sz w:val="18"/>
          <w:szCs w:val="18"/>
        </w:rPr>
      </w:pPr>
      <w:r w:rsidRPr="00892D6A">
        <w:rPr>
          <w:sz w:val="18"/>
          <w:szCs w:val="18"/>
        </w:rPr>
        <w:t xml:space="preserve">24.21 Proporción de docentes y personal escolar con formación en educación inclusiva y en la realización de ajustes razonables. </w:t>
      </w:r>
    </w:p>
    <w:p w14:paraId="2D2B0E0B" w14:textId="77777777" w:rsidR="00490A6C" w:rsidRPr="00892D6A" w:rsidRDefault="00490A6C" w:rsidP="00490A6C">
      <w:pPr>
        <w:spacing w:after="0" w:line="240" w:lineRule="auto"/>
        <w:jc w:val="both"/>
        <w:rPr>
          <w:rFonts w:cstheme="minorHAnsi"/>
          <w:sz w:val="18"/>
          <w:szCs w:val="18"/>
        </w:rPr>
      </w:pPr>
      <w:r w:rsidRPr="00892D6A">
        <w:rPr>
          <w:sz w:val="18"/>
          <w:szCs w:val="18"/>
        </w:rPr>
        <w:t>24.22 Proporción de docentes con discapacidad, desglosados por edad, sexo, discapacidad, minoría u origen indígena y tipo de institución educativa en la que trabajan</w:t>
      </w:r>
      <w:r w:rsidRPr="00892D6A">
        <w:rPr>
          <w:rStyle w:val="EndnoteReference"/>
          <w:rFonts w:cstheme="minorHAnsi"/>
          <w:sz w:val="18"/>
          <w:szCs w:val="18"/>
        </w:rPr>
        <w:endnoteReference w:id="7"/>
      </w:r>
      <w:r w:rsidRPr="00892D6A">
        <w:rPr>
          <w:sz w:val="18"/>
          <w:szCs w:val="18"/>
        </w:rPr>
        <w:t xml:space="preserve">. </w:t>
      </w:r>
    </w:p>
    <w:p w14:paraId="1B35F23A" w14:textId="77777777" w:rsidR="00490A6C" w:rsidRPr="00892D6A" w:rsidRDefault="00490A6C" w:rsidP="00490A6C">
      <w:pPr>
        <w:spacing w:after="0" w:line="240" w:lineRule="auto"/>
        <w:jc w:val="both"/>
        <w:rPr>
          <w:rFonts w:cstheme="minorHAnsi"/>
          <w:sz w:val="18"/>
          <w:szCs w:val="18"/>
        </w:rPr>
      </w:pPr>
      <w:r w:rsidRPr="00892D6A">
        <w:rPr>
          <w:sz w:val="18"/>
          <w:szCs w:val="18"/>
        </w:rPr>
        <w:t>24.23 Campañas y actividades de concienciación para promover la educación inclusiva e informar a los estudiantes, el personal docente, las familias y el público en general del deber de proporcionar, y el derecho de recibir, una educación inclusiva y beneficios relacionados para la sociedad.</w:t>
      </w:r>
    </w:p>
    <w:p w14:paraId="7F9A682B" w14:textId="77777777" w:rsidR="00490A6C" w:rsidRPr="00892D6A" w:rsidRDefault="00490A6C" w:rsidP="00490A6C">
      <w:pPr>
        <w:spacing w:after="0" w:line="240" w:lineRule="auto"/>
        <w:jc w:val="both"/>
        <w:rPr>
          <w:rFonts w:cstheme="minorHAnsi"/>
          <w:sz w:val="18"/>
          <w:szCs w:val="18"/>
        </w:rPr>
      </w:pPr>
      <w:r w:rsidRPr="00892D6A">
        <w:rPr>
          <w:sz w:val="18"/>
          <w:szCs w:val="18"/>
        </w:rPr>
        <w:t xml:space="preserve">24.24 Presupuesto asignado para garantizar el derecho de las personas con discapacidad a la educación inclusiva en entornos convencionales, en comparación con el presupuesto asignado a entornos educativos segregados/separados, ya sea en escuelas convencionales o especiales. </w:t>
      </w:r>
    </w:p>
    <w:p w14:paraId="619B364D" w14:textId="77777777" w:rsidR="00490A6C" w:rsidRPr="00892D6A" w:rsidRDefault="00490A6C" w:rsidP="00490A6C">
      <w:pPr>
        <w:spacing w:after="0" w:line="240" w:lineRule="auto"/>
        <w:jc w:val="both"/>
        <w:rPr>
          <w:rFonts w:cstheme="minorHAnsi"/>
          <w:sz w:val="18"/>
          <w:szCs w:val="18"/>
        </w:rPr>
      </w:pPr>
      <w:r w:rsidRPr="00892D6A">
        <w:rPr>
          <w:sz w:val="18"/>
          <w:szCs w:val="18"/>
        </w:rPr>
        <w:t xml:space="preserve">24.25 Procesos de consulta emprendidos para asegurar la participación activa de las personas con discapacidad, en particular niños y niñas con discapacidad, </w:t>
      </w:r>
      <w:r w:rsidRPr="00892D6A">
        <w:rPr>
          <w:b/>
          <w:color w:val="444444"/>
          <w:sz w:val="18"/>
          <w:szCs w:val="18"/>
        </w:rPr>
        <w:t>incluyendo a s</w:t>
      </w:r>
      <w:r w:rsidRPr="00892D6A">
        <w:rPr>
          <w:sz w:val="18"/>
          <w:szCs w:val="18"/>
        </w:rPr>
        <w:t>us organizaciones representativas, en el diseño, la implementación y el monitoreo de leyes, reglamentos, políticas y programas, en relación con iniciativas y reformas en educación.</w:t>
      </w:r>
      <w:r w:rsidRPr="00892D6A">
        <w:rPr>
          <w:rStyle w:val="EndnoteReference"/>
          <w:sz w:val="18"/>
          <w:szCs w:val="18"/>
        </w:rPr>
        <w:t xml:space="preserve"> </w:t>
      </w:r>
      <w:r w:rsidRPr="00892D6A">
        <w:rPr>
          <w:rStyle w:val="EndnoteReference"/>
          <w:rFonts w:cstheme="minorHAnsi"/>
          <w:sz w:val="18"/>
          <w:szCs w:val="18"/>
        </w:rPr>
        <w:endnoteReference w:id="8"/>
      </w:r>
    </w:p>
    <w:p w14:paraId="1A7F0B68" w14:textId="77777777" w:rsidR="00490A6C" w:rsidRPr="00892D6A" w:rsidRDefault="00490A6C" w:rsidP="00490A6C">
      <w:pPr>
        <w:spacing w:after="0" w:line="240" w:lineRule="auto"/>
        <w:jc w:val="both"/>
        <w:rPr>
          <w:rFonts w:cstheme="minorHAnsi"/>
          <w:sz w:val="18"/>
          <w:szCs w:val="18"/>
        </w:rPr>
      </w:pPr>
      <w:r w:rsidRPr="00892D6A">
        <w:rPr>
          <w:sz w:val="18"/>
          <w:szCs w:val="18"/>
        </w:rPr>
        <w:t xml:space="preserve">24.26 Proporción de denuncias recibidas relativas al derecho a la educación en las que se alegue discriminación por discapacidad y/o que involucren con niños y adultos con discapacidad, que han sido investigadas y resueltas; proporción de las mismas resueltas a favor del denunciante, y proporción de estas últimas cumplidas por el gobierno o el responsable; todas ellas desglosadas por tipo de mecanismo. </w:t>
      </w:r>
    </w:p>
    <w:p w14:paraId="1DF60A51" w14:textId="77777777" w:rsidR="00490A6C" w:rsidRDefault="00490A6C" w:rsidP="00490A6C">
      <w:pPr>
        <w:spacing w:after="0" w:line="240" w:lineRule="auto"/>
        <w:jc w:val="both"/>
        <w:rPr>
          <w:b/>
          <w:sz w:val="18"/>
          <w:szCs w:val="18"/>
        </w:rPr>
      </w:pPr>
    </w:p>
    <w:p w14:paraId="16E549AF" w14:textId="36094DAF" w:rsidR="00490A6C" w:rsidRPr="00DD35DD" w:rsidRDefault="00490A6C" w:rsidP="00490A6C">
      <w:pPr>
        <w:spacing w:after="0" w:line="240" w:lineRule="auto"/>
        <w:jc w:val="both"/>
        <w:rPr>
          <w:rFonts w:cstheme="minorHAnsi"/>
          <w:b/>
          <w:sz w:val="18"/>
          <w:szCs w:val="18"/>
        </w:rPr>
      </w:pPr>
      <w:r>
        <w:rPr>
          <w:b/>
          <w:sz w:val="18"/>
          <w:szCs w:val="18"/>
        </w:rPr>
        <w:t>Indicadores de Resultado</w:t>
      </w:r>
    </w:p>
    <w:p w14:paraId="75487B30" w14:textId="77777777" w:rsidR="00490A6C" w:rsidRPr="00892D6A" w:rsidRDefault="00490A6C" w:rsidP="00490A6C">
      <w:pPr>
        <w:spacing w:after="0" w:line="240" w:lineRule="auto"/>
        <w:jc w:val="both"/>
        <w:rPr>
          <w:rFonts w:cstheme="minorHAnsi"/>
          <w:sz w:val="18"/>
          <w:szCs w:val="18"/>
        </w:rPr>
      </w:pPr>
      <w:r w:rsidRPr="00892D6A">
        <w:rPr>
          <w:sz w:val="18"/>
          <w:szCs w:val="18"/>
        </w:rPr>
        <w:t xml:space="preserve">24.27 Tasas de personas con discapacidad en relación con los niños con discapacidad fuera de la escuela, tasa de </w:t>
      </w:r>
      <w:proofErr w:type="spellStart"/>
      <w:r w:rsidRPr="00892D6A">
        <w:rPr>
          <w:sz w:val="18"/>
          <w:szCs w:val="18"/>
        </w:rPr>
        <w:t>matricula</w:t>
      </w:r>
      <w:proofErr w:type="spellEnd"/>
      <w:r w:rsidRPr="00892D6A">
        <w:rPr>
          <w:sz w:val="18"/>
          <w:szCs w:val="18"/>
        </w:rPr>
        <w:t>, asistencia, promoción por grado, finalización</w:t>
      </w:r>
      <w:r w:rsidRPr="00892D6A">
        <w:rPr>
          <w:rStyle w:val="EndnoteReference"/>
          <w:rFonts w:cstheme="minorHAnsi"/>
          <w:sz w:val="18"/>
          <w:szCs w:val="18"/>
        </w:rPr>
        <w:endnoteReference w:id="9"/>
      </w:r>
      <w:r w:rsidRPr="00892D6A">
        <w:rPr>
          <w:sz w:val="18"/>
          <w:szCs w:val="18"/>
        </w:rPr>
        <w:t xml:space="preserve"> y el abandono y escolar en las instituciones regulares de enseñanza primaria, secundaria y superior, formación vocacional y los cursos de aprendizaje a lo largo de toda la vida, en comparación con las demás personas, desglosadas por sexo, edad, discapacidad, minoría, origen indígena, grado y nivel de educación.  </w:t>
      </w:r>
    </w:p>
    <w:p w14:paraId="78AADE9D" w14:textId="77777777" w:rsidR="00490A6C" w:rsidRPr="00892D6A" w:rsidRDefault="00490A6C" w:rsidP="00490A6C">
      <w:pPr>
        <w:spacing w:after="0" w:line="240" w:lineRule="auto"/>
        <w:jc w:val="both"/>
        <w:rPr>
          <w:rFonts w:cstheme="minorHAnsi"/>
          <w:sz w:val="18"/>
          <w:szCs w:val="18"/>
        </w:rPr>
      </w:pPr>
      <w:r w:rsidRPr="00892D6A">
        <w:rPr>
          <w:sz w:val="18"/>
          <w:szCs w:val="18"/>
        </w:rPr>
        <w:lastRenderedPageBreak/>
        <w:t>24.28</w:t>
      </w:r>
      <w:r w:rsidRPr="00892D6A">
        <w:t xml:space="preserve"> </w:t>
      </w:r>
      <w:r w:rsidRPr="00892D6A">
        <w:rPr>
          <w:sz w:val="18"/>
          <w:szCs w:val="18"/>
        </w:rPr>
        <w:t>Proporción de niños, niñas y adolescentes que, a) en segundo y tercer grado, b) al final de la enseñanza primaria y c) al final de la enseñanza secundaria inferior, han alcanzado al menos un nivel mínimo de competencia en i) lectura y ii) matemáticas, desglosada por sexo (indicador 4.1.1 de los ODS), discapacidad y minoría u origen indígena (</w:t>
      </w:r>
      <w:r w:rsidRPr="00892D6A">
        <w:rPr>
          <w:i/>
          <w:sz w:val="18"/>
          <w:szCs w:val="18"/>
        </w:rPr>
        <w:t>Ibid</w:t>
      </w:r>
      <w:r w:rsidRPr="00892D6A">
        <w:rPr>
          <w:sz w:val="18"/>
          <w:szCs w:val="18"/>
        </w:rPr>
        <w:t>. 7.25).</w:t>
      </w:r>
    </w:p>
    <w:p w14:paraId="4E2B28BE" w14:textId="408E2984" w:rsidR="00490A6C" w:rsidRPr="00892D6A" w:rsidRDefault="00490A6C" w:rsidP="00490A6C">
      <w:pPr>
        <w:spacing w:after="0" w:line="240" w:lineRule="auto"/>
        <w:ind w:hanging="25"/>
        <w:jc w:val="both"/>
        <w:rPr>
          <w:sz w:val="18"/>
          <w:szCs w:val="18"/>
        </w:rPr>
      </w:pPr>
      <w:r w:rsidRPr="00892D6A">
        <w:rPr>
          <w:sz w:val="18"/>
          <w:szCs w:val="18"/>
        </w:rPr>
        <w:t xml:space="preserve">24.29 </w:t>
      </w:r>
      <w:r w:rsidR="00C9554D" w:rsidRPr="00892D6A">
        <w:rPr>
          <w:sz w:val="18"/>
          <w:szCs w:val="18"/>
        </w:rPr>
        <w:t xml:space="preserve">Proporción </w:t>
      </w:r>
      <w:bookmarkStart w:id="0" w:name="_GoBack"/>
      <w:bookmarkEnd w:id="0"/>
      <w:r w:rsidRPr="00892D6A">
        <w:rPr>
          <w:sz w:val="18"/>
          <w:szCs w:val="18"/>
        </w:rPr>
        <w:t xml:space="preserve">de la población que en un grupo de edad determinado ha alcanzado al menos un nivel fijo de competencia funcional en alfabetización y nociones elementales de </w:t>
      </w:r>
      <w:proofErr w:type="spellStart"/>
      <w:r w:rsidRPr="00892D6A">
        <w:rPr>
          <w:sz w:val="18"/>
          <w:szCs w:val="18"/>
        </w:rPr>
        <w:t>aritmética</w:t>
      </w:r>
      <w:proofErr w:type="spellEnd"/>
      <w:r w:rsidRPr="00892D6A">
        <w:rPr>
          <w:sz w:val="18"/>
          <w:szCs w:val="18"/>
        </w:rPr>
        <w:t>, desglosada por sexo (indicador 4.6.1 de los ODS), discapacidad y minoría u origen indígena.</w:t>
      </w:r>
    </w:p>
    <w:p w14:paraId="68C6D6AA" w14:textId="02F693CE" w:rsidR="00490A6C" w:rsidRDefault="00490A6C" w:rsidP="00490A6C">
      <w:pPr>
        <w:spacing w:after="0" w:line="240" w:lineRule="auto"/>
        <w:ind w:hanging="25"/>
        <w:jc w:val="both"/>
        <w:rPr>
          <w:sz w:val="18"/>
          <w:szCs w:val="18"/>
        </w:rPr>
      </w:pPr>
      <w:r w:rsidRPr="00892D6A">
        <w:rPr>
          <w:sz w:val="18"/>
          <w:szCs w:val="18"/>
        </w:rPr>
        <w:t>24.30 Proporción de jóvenes y adultos con competencias en tecnologías de la información y las comunicaciones (TIC) por tipo de competencia (indicador 4.4.1. de los ODS), desglosados por sexo, edad y discapacidad.</w:t>
      </w:r>
    </w:p>
    <w:p w14:paraId="4890F929" w14:textId="77777777" w:rsidR="00490A6C" w:rsidRPr="00892D6A" w:rsidRDefault="00490A6C" w:rsidP="00490A6C">
      <w:pPr>
        <w:spacing w:after="0" w:line="240" w:lineRule="auto"/>
        <w:ind w:hanging="25"/>
        <w:jc w:val="both"/>
        <w:rPr>
          <w:rFonts w:eastAsia="Times New Roman" w:cstheme="minorHAnsi"/>
          <w:sz w:val="18"/>
          <w:szCs w:val="18"/>
        </w:rPr>
      </w:pPr>
    </w:p>
    <w:p w14:paraId="33F749E8" w14:textId="77777777" w:rsidR="00D856CB" w:rsidRPr="00097871" w:rsidRDefault="00D856CB" w:rsidP="00097871">
      <w:pPr>
        <w:spacing w:after="0" w:line="240" w:lineRule="auto"/>
        <w:contextualSpacing/>
        <w:rPr>
          <w:rFonts w:cstheme="minorHAnsi"/>
          <w:sz w:val="18"/>
          <w:szCs w:val="18"/>
        </w:rPr>
      </w:pPr>
    </w:p>
    <w:p w14:paraId="1875FFD9" w14:textId="1C391F0C" w:rsidR="007A5986" w:rsidRDefault="00D856CB" w:rsidP="00097871">
      <w:pPr>
        <w:spacing w:after="0" w:line="240" w:lineRule="auto"/>
        <w:contextualSpacing/>
        <w:jc w:val="center"/>
        <w:rPr>
          <w:b/>
          <w:sz w:val="18"/>
          <w:szCs w:val="18"/>
        </w:rPr>
      </w:pPr>
      <w:r>
        <w:rPr>
          <w:b/>
          <w:sz w:val="18"/>
          <w:szCs w:val="18"/>
        </w:rPr>
        <w:t>ANEXO</w:t>
      </w:r>
    </w:p>
    <w:p w14:paraId="5668D81D" w14:textId="34B92B78" w:rsidR="00337456" w:rsidRPr="00097871" w:rsidRDefault="00337456" w:rsidP="00337456">
      <w:pPr>
        <w:spacing w:after="0" w:line="240" w:lineRule="auto"/>
        <w:contextualSpacing/>
        <w:rPr>
          <w:b/>
          <w:sz w:val="18"/>
          <w:szCs w:val="18"/>
        </w:rPr>
      </w:pPr>
      <w:r>
        <w:rPr>
          <w:b/>
          <w:sz w:val="18"/>
          <w:szCs w:val="18"/>
        </w:rPr>
        <w:t>*</w:t>
      </w:r>
      <w:r w:rsidRPr="00C9554D">
        <w:rPr>
          <w:sz w:val="18"/>
          <w:szCs w:val="18"/>
        </w:rPr>
        <w:t xml:space="preserve"> Véase la </w:t>
      </w:r>
      <w:hyperlink r:id="rId11" w:history="1">
        <w:r w:rsidRPr="00C9554D">
          <w:rPr>
            <w:rStyle w:val="Hyperlink"/>
            <w:sz w:val="18"/>
            <w:szCs w:val="18"/>
          </w:rPr>
          <w:t>Observación general Nº4</w:t>
        </w:r>
      </w:hyperlink>
      <w:r w:rsidRPr="00C9554D">
        <w:rPr>
          <w:sz w:val="18"/>
          <w:szCs w:val="18"/>
        </w:rPr>
        <w:t xml:space="preserve"> del Comité de la CDPD.</w:t>
      </w:r>
    </w:p>
    <w:sectPr w:rsidR="00337456" w:rsidRPr="00097871" w:rsidSect="00097871">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7CD39" w14:textId="77777777" w:rsidR="003A0D95" w:rsidRDefault="003A0D95" w:rsidP="00CD1CE5">
      <w:pPr>
        <w:spacing w:after="0" w:line="240" w:lineRule="auto"/>
      </w:pPr>
      <w:r>
        <w:separator/>
      </w:r>
    </w:p>
  </w:endnote>
  <w:endnote w:type="continuationSeparator" w:id="0">
    <w:p w14:paraId="56DA3CF5" w14:textId="77777777" w:rsidR="003A0D95" w:rsidRDefault="003A0D95" w:rsidP="00CD1CE5">
      <w:pPr>
        <w:spacing w:after="0" w:line="240" w:lineRule="auto"/>
      </w:pPr>
      <w:r>
        <w:continuationSeparator/>
      </w:r>
    </w:p>
  </w:endnote>
  <w:endnote w:id="1">
    <w:p w14:paraId="2F262933" w14:textId="77777777" w:rsidR="00490A6C" w:rsidRPr="00406B2B" w:rsidRDefault="00490A6C" w:rsidP="00C4208D">
      <w:pPr>
        <w:pStyle w:val="EndnoteText"/>
        <w:rPr>
          <w:sz w:val="18"/>
          <w:szCs w:val="18"/>
        </w:rPr>
      </w:pPr>
      <w:r w:rsidRPr="00406B2B">
        <w:rPr>
          <w:rStyle w:val="EndnoteReference"/>
          <w:sz w:val="18"/>
          <w:szCs w:val="18"/>
        </w:rPr>
        <w:endnoteRef/>
      </w:r>
      <w:r w:rsidRPr="00406B2B">
        <w:rPr>
          <w:sz w:val="18"/>
          <w:szCs w:val="18"/>
        </w:rPr>
        <w:t xml:space="preserve"> Todos los niveles de educación incluyen la enseñanza infantil, primaria, secundaria, terciaria, profesional, de adultos y el aprendizaje permanente a lo largo de toda la vida. Deberían incluirse en la legislación los siguientes elementos:</w:t>
      </w:r>
    </w:p>
    <w:p w14:paraId="66076384" w14:textId="77777777" w:rsidR="00490A6C" w:rsidRPr="00406B2B" w:rsidRDefault="00490A6C" w:rsidP="00C4208D">
      <w:pPr>
        <w:pStyle w:val="ListParagraph"/>
        <w:numPr>
          <w:ilvl w:val="0"/>
          <w:numId w:val="8"/>
        </w:numPr>
        <w:spacing w:after="0" w:line="240" w:lineRule="auto"/>
        <w:contextualSpacing w:val="0"/>
        <w:jc w:val="both"/>
        <w:rPr>
          <w:sz w:val="18"/>
          <w:szCs w:val="18"/>
        </w:rPr>
      </w:pPr>
      <w:r w:rsidRPr="00406B2B">
        <w:rPr>
          <w:sz w:val="18"/>
          <w:szCs w:val="18"/>
        </w:rPr>
        <w:t>una definición clara de la educación inclusiva, en consonancia con la Convención sobre los Derechos de las Personas con Discapacidad;</w:t>
      </w:r>
    </w:p>
    <w:p w14:paraId="44819E90" w14:textId="77777777" w:rsidR="00490A6C" w:rsidRPr="00406B2B" w:rsidRDefault="00490A6C" w:rsidP="00C4208D">
      <w:pPr>
        <w:pStyle w:val="ListParagraph"/>
        <w:numPr>
          <w:ilvl w:val="0"/>
          <w:numId w:val="8"/>
        </w:numPr>
        <w:spacing w:after="0" w:line="240" w:lineRule="auto"/>
        <w:contextualSpacing w:val="0"/>
        <w:jc w:val="both"/>
        <w:rPr>
          <w:sz w:val="18"/>
          <w:szCs w:val="18"/>
        </w:rPr>
      </w:pPr>
      <w:r w:rsidRPr="00406B2B">
        <w:rPr>
          <w:sz w:val="18"/>
          <w:szCs w:val="18"/>
        </w:rPr>
        <w:t>la prohibición de la discriminación por motivos de discapacidad real o percibida;</w:t>
      </w:r>
    </w:p>
    <w:p w14:paraId="3BACCB76" w14:textId="77777777" w:rsidR="00490A6C" w:rsidRPr="00406B2B" w:rsidRDefault="00490A6C" w:rsidP="00C4208D">
      <w:pPr>
        <w:pStyle w:val="ListParagraph"/>
        <w:numPr>
          <w:ilvl w:val="0"/>
          <w:numId w:val="8"/>
        </w:numPr>
        <w:spacing w:after="0" w:line="240" w:lineRule="auto"/>
        <w:contextualSpacing w:val="0"/>
        <w:jc w:val="both"/>
        <w:rPr>
          <w:sz w:val="18"/>
          <w:szCs w:val="18"/>
        </w:rPr>
      </w:pPr>
      <w:r w:rsidRPr="00406B2B">
        <w:rPr>
          <w:sz w:val="18"/>
          <w:szCs w:val="18"/>
        </w:rPr>
        <w:t>una cláusula de "no rechazo";</w:t>
      </w:r>
    </w:p>
    <w:p w14:paraId="6F063CD7" w14:textId="77777777" w:rsidR="00490A6C" w:rsidRPr="00406B2B" w:rsidRDefault="00490A6C" w:rsidP="00C4208D">
      <w:pPr>
        <w:pStyle w:val="ListParagraph"/>
        <w:numPr>
          <w:ilvl w:val="0"/>
          <w:numId w:val="8"/>
        </w:numPr>
        <w:spacing w:after="0" w:line="240" w:lineRule="auto"/>
        <w:ind w:left="714" w:hanging="357"/>
        <w:contextualSpacing w:val="0"/>
        <w:jc w:val="both"/>
        <w:rPr>
          <w:sz w:val="18"/>
          <w:szCs w:val="18"/>
        </w:rPr>
      </w:pPr>
      <w:r w:rsidRPr="00406B2B">
        <w:rPr>
          <w:sz w:val="18"/>
          <w:szCs w:val="18"/>
        </w:rPr>
        <w:t>la obligación de proveer ajustes razonables y apoyos;</w:t>
      </w:r>
    </w:p>
    <w:p w14:paraId="5D58EF2D" w14:textId="77777777" w:rsidR="00490A6C" w:rsidRPr="00406B2B" w:rsidRDefault="00490A6C" w:rsidP="00C4208D">
      <w:pPr>
        <w:pStyle w:val="ListParagraph"/>
        <w:numPr>
          <w:ilvl w:val="0"/>
          <w:numId w:val="8"/>
        </w:numPr>
        <w:spacing w:after="0" w:line="240" w:lineRule="auto"/>
        <w:ind w:left="714" w:hanging="357"/>
        <w:contextualSpacing w:val="0"/>
        <w:jc w:val="both"/>
        <w:rPr>
          <w:sz w:val="18"/>
          <w:szCs w:val="18"/>
        </w:rPr>
      </w:pPr>
      <w:r w:rsidRPr="00406B2B">
        <w:rPr>
          <w:sz w:val="18"/>
          <w:szCs w:val="18"/>
        </w:rPr>
        <w:t>designación de la responsabilidad de todos los niños y niñas, incluidos aquellos con discapacidad, bajo el Ministerio de Educación;</w:t>
      </w:r>
    </w:p>
    <w:p w14:paraId="37DC80EB" w14:textId="77777777" w:rsidR="00490A6C" w:rsidRPr="00406B2B" w:rsidRDefault="00490A6C" w:rsidP="00C4208D">
      <w:pPr>
        <w:pStyle w:val="ListParagraph"/>
        <w:numPr>
          <w:ilvl w:val="0"/>
          <w:numId w:val="8"/>
        </w:numPr>
        <w:spacing w:after="0" w:line="240" w:lineRule="auto"/>
        <w:ind w:left="714" w:hanging="357"/>
        <w:contextualSpacing w:val="0"/>
        <w:jc w:val="both"/>
        <w:rPr>
          <w:sz w:val="18"/>
          <w:szCs w:val="18"/>
        </w:rPr>
      </w:pPr>
      <w:r w:rsidRPr="00406B2B">
        <w:rPr>
          <w:sz w:val="18"/>
          <w:szCs w:val="18"/>
        </w:rPr>
        <w:t>el derecho de todos los alumnos a recibir enseñanza en su lengua materna, incluido el lenguaje de señas y los lenguajes indígenas/minoritarios.</w:t>
      </w:r>
    </w:p>
  </w:endnote>
  <w:endnote w:id="2">
    <w:p w14:paraId="214A7C9B" w14:textId="77777777" w:rsidR="00490A6C" w:rsidRPr="00406B2B" w:rsidRDefault="00490A6C" w:rsidP="006E746C">
      <w:pPr>
        <w:pStyle w:val="EndnoteText"/>
        <w:rPr>
          <w:sz w:val="18"/>
          <w:szCs w:val="18"/>
        </w:rPr>
      </w:pPr>
      <w:r w:rsidRPr="00406B2B">
        <w:rPr>
          <w:rStyle w:val="EndnoteReference"/>
          <w:sz w:val="18"/>
          <w:szCs w:val="18"/>
        </w:rPr>
        <w:endnoteRef/>
      </w:r>
      <w:r w:rsidRPr="00406B2B">
        <w:rPr>
          <w:sz w:val="18"/>
          <w:szCs w:val="18"/>
        </w:rPr>
        <w:t xml:space="preserve"> Dicho plan debe incluir objetivos, puntos de referencia, cobertura y plazos claros, con medidas para hacer participar a los docentes, estudiantes, padres de los niños con discapacidad y otros, así como la comunidad en general, como parte de los esfuerzos de concienciar para la promoción de la educación inclusiva.</w:t>
      </w:r>
    </w:p>
  </w:endnote>
  <w:endnote w:id="3">
    <w:p w14:paraId="419B19DB" w14:textId="77777777" w:rsidR="00490A6C" w:rsidRPr="00406B2B" w:rsidRDefault="00490A6C" w:rsidP="003F032D">
      <w:pPr>
        <w:pStyle w:val="EndnoteText"/>
        <w:shd w:val="clear" w:color="auto" w:fill="FFFFFF" w:themeFill="background1"/>
        <w:jc w:val="both"/>
        <w:rPr>
          <w:sz w:val="18"/>
          <w:szCs w:val="18"/>
        </w:rPr>
      </w:pPr>
      <w:r w:rsidRPr="00406B2B">
        <w:rPr>
          <w:rStyle w:val="EndnoteReference"/>
          <w:sz w:val="18"/>
          <w:szCs w:val="18"/>
        </w:rPr>
        <w:endnoteRef/>
      </w:r>
      <w:r w:rsidRPr="00406B2B">
        <w:rPr>
          <w:sz w:val="18"/>
          <w:szCs w:val="18"/>
        </w:rPr>
        <w:t xml:space="preserve"> La formación debe ser provista a todo el personal administrativo de las escuelas y a los docentes de todo tipo (por ejemplo, educación física, sexual, </w:t>
      </w:r>
      <w:proofErr w:type="spellStart"/>
      <w:r w:rsidRPr="00406B2B">
        <w:rPr>
          <w:sz w:val="18"/>
          <w:szCs w:val="18"/>
        </w:rPr>
        <w:t>etc</w:t>
      </w:r>
      <w:proofErr w:type="spellEnd"/>
      <w:r w:rsidRPr="00406B2B">
        <w:rPr>
          <w:sz w:val="18"/>
          <w:szCs w:val="18"/>
        </w:rPr>
        <w:t>) y en todos los niveles: primario, secundario, terciario, y de formación técnica y profesional (</w:t>
      </w:r>
      <w:proofErr w:type="spellStart"/>
      <w:r w:rsidRPr="00406B2B">
        <w:rPr>
          <w:sz w:val="18"/>
          <w:szCs w:val="18"/>
        </w:rPr>
        <w:t>yVET</w:t>
      </w:r>
      <w:proofErr w:type="spellEnd"/>
      <w:r w:rsidRPr="00406B2B">
        <w:rPr>
          <w:sz w:val="18"/>
          <w:szCs w:val="18"/>
        </w:rPr>
        <w:t>), así como los formadores de docentes. L</w:t>
      </w:r>
      <w:r w:rsidRPr="00406B2B">
        <w:rPr>
          <w:rFonts w:ascii="Calibri" w:hAnsi="Calibri"/>
          <w:sz w:val="18"/>
          <w:szCs w:val="18"/>
        </w:rPr>
        <w:t xml:space="preserve">a formación previa se refiere a la educación y formación que recibe una persona antes de convertirse en docente, por </w:t>
      </w:r>
      <w:proofErr w:type="gramStart"/>
      <w:r w:rsidRPr="00406B2B">
        <w:rPr>
          <w:rFonts w:ascii="Calibri" w:hAnsi="Calibri"/>
          <w:sz w:val="18"/>
          <w:szCs w:val="18"/>
        </w:rPr>
        <w:t>ejemplo</w:t>
      </w:r>
      <w:proofErr w:type="gramEnd"/>
      <w:r w:rsidRPr="00406B2B">
        <w:rPr>
          <w:rFonts w:ascii="Calibri" w:hAnsi="Calibri"/>
          <w:sz w:val="18"/>
          <w:szCs w:val="18"/>
        </w:rPr>
        <w:t xml:space="preserve"> en universidades, y debería incluir cursos obligatorios sobre educación inclusiva en sus programas de estudio. La formación en servicio es cualquier educación o formación que un docente recibe después de haber completado su formación docente y estar ejerciendo su profesión. Esto puede incluir formación de desarrollo profesional, cursos de actualización y otras oportunidades de formación en educación. Dichas formaciones obligatorias deben abordar:  </w:t>
      </w:r>
    </w:p>
    <w:p w14:paraId="763BAE56" w14:textId="77777777" w:rsidR="00490A6C" w:rsidRPr="00406B2B" w:rsidRDefault="00490A6C" w:rsidP="003F032D">
      <w:pPr>
        <w:pStyle w:val="EndnoteText"/>
        <w:numPr>
          <w:ilvl w:val="0"/>
          <w:numId w:val="3"/>
        </w:numPr>
        <w:shd w:val="clear" w:color="auto" w:fill="FFFFFF" w:themeFill="background1"/>
        <w:rPr>
          <w:sz w:val="18"/>
          <w:szCs w:val="18"/>
        </w:rPr>
      </w:pPr>
      <w:r w:rsidRPr="00406B2B">
        <w:rPr>
          <w:sz w:val="18"/>
          <w:szCs w:val="18"/>
        </w:rPr>
        <w:t>pedagogía de la educación inclusiva (para docentes, principalmente);</w:t>
      </w:r>
    </w:p>
    <w:p w14:paraId="6A9C19E4" w14:textId="77777777" w:rsidR="00490A6C" w:rsidRPr="00406B2B" w:rsidRDefault="00490A6C" w:rsidP="003F032D">
      <w:pPr>
        <w:pStyle w:val="EndnoteText"/>
        <w:numPr>
          <w:ilvl w:val="0"/>
          <w:numId w:val="3"/>
        </w:numPr>
        <w:shd w:val="clear" w:color="auto" w:fill="FFFFFF" w:themeFill="background1"/>
        <w:rPr>
          <w:sz w:val="18"/>
          <w:szCs w:val="18"/>
        </w:rPr>
      </w:pPr>
      <w:r w:rsidRPr="00406B2B">
        <w:rPr>
          <w:sz w:val="18"/>
          <w:szCs w:val="18"/>
        </w:rPr>
        <w:t>el enfoque de la discapacidad basado en los derechos humanos de conformidad con la CDPD;</w:t>
      </w:r>
    </w:p>
    <w:p w14:paraId="019A3B64" w14:textId="77777777" w:rsidR="00490A6C" w:rsidRPr="00406B2B" w:rsidRDefault="00490A6C" w:rsidP="003F032D">
      <w:pPr>
        <w:pStyle w:val="EndnoteText"/>
        <w:numPr>
          <w:ilvl w:val="0"/>
          <w:numId w:val="3"/>
        </w:numPr>
        <w:shd w:val="clear" w:color="auto" w:fill="FFFFFF" w:themeFill="background1"/>
        <w:rPr>
          <w:sz w:val="18"/>
          <w:szCs w:val="18"/>
        </w:rPr>
      </w:pPr>
      <w:r w:rsidRPr="00406B2B">
        <w:rPr>
          <w:rFonts w:ascii="Calibri" w:hAnsi="Calibri"/>
          <w:sz w:val="18"/>
          <w:szCs w:val="18"/>
        </w:rPr>
        <w:t>la accesibilidad en las aulas y el entorno escolar;</w:t>
      </w:r>
    </w:p>
    <w:p w14:paraId="14E50C99" w14:textId="77777777" w:rsidR="00490A6C" w:rsidRPr="00406B2B" w:rsidRDefault="00490A6C" w:rsidP="003F032D">
      <w:pPr>
        <w:pStyle w:val="EndnoteText"/>
        <w:numPr>
          <w:ilvl w:val="0"/>
          <w:numId w:val="3"/>
        </w:numPr>
        <w:shd w:val="clear" w:color="auto" w:fill="FFFFFF" w:themeFill="background1"/>
        <w:rPr>
          <w:sz w:val="18"/>
          <w:szCs w:val="18"/>
        </w:rPr>
      </w:pPr>
      <w:r w:rsidRPr="00406B2B">
        <w:rPr>
          <w:rFonts w:ascii="Calibri" w:hAnsi="Calibri"/>
          <w:sz w:val="18"/>
          <w:szCs w:val="18"/>
        </w:rPr>
        <w:t xml:space="preserve">la realización de ajustes razonables; </w:t>
      </w:r>
    </w:p>
    <w:p w14:paraId="322115F0" w14:textId="77777777" w:rsidR="00490A6C" w:rsidRPr="00406B2B" w:rsidRDefault="00490A6C" w:rsidP="003F032D">
      <w:pPr>
        <w:pStyle w:val="EndnoteText"/>
        <w:numPr>
          <w:ilvl w:val="0"/>
          <w:numId w:val="3"/>
        </w:numPr>
        <w:shd w:val="clear" w:color="auto" w:fill="FFFFFF" w:themeFill="background1"/>
        <w:ind w:left="714" w:hanging="357"/>
        <w:rPr>
          <w:sz w:val="18"/>
          <w:szCs w:val="18"/>
        </w:rPr>
      </w:pPr>
      <w:r w:rsidRPr="00406B2B">
        <w:rPr>
          <w:rFonts w:ascii="Calibri" w:hAnsi="Calibri"/>
          <w:sz w:val="18"/>
          <w:szCs w:val="18"/>
        </w:rPr>
        <w:t>el uso apropiado de modos, medios y formatos de comunicación aumentativos y alternativos, técnicas educativas y materiales para apoyar estudiantes con discapacidad.</w:t>
      </w:r>
    </w:p>
  </w:endnote>
  <w:endnote w:id="4">
    <w:p w14:paraId="3A535AB0" w14:textId="77777777" w:rsidR="00490A6C" w:rsidRPr="00406B2B" w:rsidRDefault="00490A6C" w:rsidP="003F032D">
      <w:pPr>
        <w:pStyle w:val="EndnoteText"/>
        <w:shd w:val="clear" w:color="auto" w:fill="FFFFFF" w:themeFill="background1"/>
        <w:rPr>
          <w:sz w:val="18"/>
          <w:szCs w:val="18"/>
        </w:rPr>
      </w:pPr>
      <w:r w:rsidRPr="00406B2B">
        <w:rPr>
          <w:rStyle w:val="EndnoteReference"/>
          <w:sz w:val="18"/>
          <w:szCs w:val="18"/>
        </w:rPr>
        <w:endnoteRef/>
      </w:r>
      <w:r w:rsidRPr="00406B2B">
        <w:rPr>
          <w:sz w:val="18"/>
          <w:szCs w:val="18"/>
        </w:rPr>
        <w:t xml:space="preserve"> incluyendo edificios, aulas, biblioteca, gimnasio, patios de recreo, comedores, instalaciones sanitarias, transporte, equipamiento y formas de comunicación.</w:t>
      </w:r>
    </w:p>
  </w:endnote>
  <w:endnote w:id="5">
    <w:p w14:paraId="2ACAE080" w14:textId="77777777" w:rsidR="00490A6C" w:rsidRPr="00C9554D" w:rsidRDefault="00490A6C" w:rsidP="004B1917">
      <w:pPr>
        <w:pStyle w:val="EndnoteText"/>
        <w:rPr>
          <w:lang w:val="fr-FR"/>
        </w:rPr>
      </w:pPr>
      <w:r w:rsidRPr="00406B2B">
        <w:rPr>
          <w:rStyle w:val="EndnoteReference"/>
          <w:sz w:val="18"/>
          <w:szCs w:val="18"/>
        </w:rPr>
        <w:endnoteRef/>
      </w:r>
      <w:r w:rsidRPr="00406B2B">
        <w:rPr>
          <w:sz w:val="18"/>
          <w:szCs w:val="18"/>
        </w:rPr>
        <w:t xml:space="preserve"> Esto incluye instalaciones para lavarse las manos e instalaciones para la higiene menstrual. </w:t>
      </w:r>
      <w:r w:rsidRPr="00C9554D">
        <w:rPr>
          <w:sz w:val="18"/>
          <w:szCs w:val="18"/>
          <w:lang w:val="fr-FR"/>
        </w:rPr>
        <w:t xml:space="preserve">Véase </w:t>
      </w:r>
      <w:hyperlink r:id="rId1" w:history="1">
        <w:r w:rsidRPr="00C9554D">
          <w:rPr>
            <w:rStyle w:val="Hyperlink"/>
            <w:sz w:val="18"/>
            <w:szCs w:val="18"/>
            <w:lang w:val="fr-FR"/>
          </w:rPr>
          <w:t>www.unicef.org/wash/files/4_WSSCC_JMP_Fact_Sheets_4_UK_LoRes.pdf</w:t>
        </w:r>
      </w:hyperlink>
      <w:r w:rsidRPr="00C9554D">
        <w:rPr>
          <w:lang w:val="fr-FR"/>
        </w:rPr>
        <w:t xml:space="preserve"> </w:t>
      </w:r>
    </w:p>
  </w:endnote>
  <w:endnote w:id="6">
    <w:p w14:paraId="44136677" w14:textId="77777777" w:rsidR="00490A6C" w:rsidRPr="00406B2B" w:rsidRDefault="00490A6C" w:rsidP="004B1917">
      <w:pPr>
        <w:shd w:val="clear" w:color="auto" w:fill="FFFFFF" w:themeFill="background1"/>
        <w:spacing w:after="0" w:line="240" w:lineRule="auto"/>
        <w:rPr>
          <w:sz w:val="18"/>
          <w:szCs w:val="18"/>
        </w:rPr>
      </w:pPr>
      <w:r w:rsidRPr="00406B2B">
        <w:rPr>
          <w:rStyle w:val="EndnoteReference"/>
          <w:sz w:val="18"/>
          <w:szCs w:val="18"/>
        </w:rPr>
        <w:endnoteRef/>
      </w:r>
      <w:r w:rsidRPr="00406B2B">
        <w:rPr>
          <w:sz w:val="18"/>
          <w:szCs w:val="18"/>
        </w:rPr>
        <w:t xml:space="preserve"> Esto incluye:</w:t>
      </w:r>
    </w:p>
    <w:p w14:paraId="374EC683" w14:textId="77777777" w:rsidR="00490A6C" w:rsidRPr="00406B2B" w:rsidRDefault="00490A6C" w:rsidP="004B1917">
      <w:pPr>
        <w:pStyle w:val="ListParagraph"/>
        <w:numPr>
          <w:ilvl w:val="0"/>
          <w:numId w:val="9"/>
        </w:numPr>
        <w:spacing w:after="0" w:line="240" w:lineRule="auto"/>
        <w:contextualSpacing w:val="0"/>
        <w:rPr>
          <w:sz w:val="18"/>
          <w:szCs w:val="18"/>
        </w:rPr>
      </w:pPr>
      <w:r w:rsidRPr="00406B2B">
        <w:rPr>
          <w:sz w:val="18"/>
          <w:szCs w:val="18"/>
        </w:rPr>
        <w:t>Planes de estudio/evaluaciones adaptados y/o modificados;</w:t>
      </w:r>
    </w:p>
    <w:p w14:paraId="64225CEA" w14:textId="77777777" w:rsidR="00490A6C" w:rsidRPr="00406B2B" w:rsidRDefault="00490A6C" w:rsidP="004B1917">
      <w:pPr>
        <w:pStyle w:val="ListParagraph"/>
        <w:numPr>
          <w:ilvl w:val="0"/>
          <w:numId w:val="9"/>
        </w:numPr>
        <w:spacing w:after="0" w:line="240" w:lineRule="auto"/>
        <w:contextualSpacing w:val="0"/>
        <w:rPr>
          <w:sz w:val="18"/>
          <w:szCs w:val="18"/>
        </w:rPr>
      </w:pPr>
      <w:r w:rsidRPr="00406B2B">
        <w:rPr>
          <w:sz w:val="18"/>
          <w:szCs w:val="18"/>
        </w:rPr>
        <w:t>dispositivos de asistencia;</w:t>
      </w:r>
    </w:p>
    <w:p w14:paraId="1553683C" w14:textId="77777777" w:rsidR="00490A6C" w:rsidRPr="00406B2B" w:rsidRDefault="00490A6C" w:rsidP="004B1917">
      <w:pPr>
        <w:pStyle w:val="ListParagraph"/>
        <w:numPr>
          <w:ilvl w:val="0"/>
          <w:numId w:val="9"/>
        </w:numPr>
        <w:spacing w:after="0" w:line="240" w:lineRule="auto"/>
        <w:contextualSpacing w:val="0"/>
        <w:rPr>
          <w:sz w:val="18"/>
          <w:szCs w:val="18"/>
        </w:rPr>
      </w:pPr>
      <w:r w:rsidRPr="00406B2B">
        <w:rPr>
          <w:sz w:val="18"/>
          <w:szCs w:val="18"/>
        </w:rPr>
        <w:t>modos, medios y formatos de comunicación aumentativos y alternativos adecuados;</w:t>
      </w:r>
    </w:p>
    <w:p w14:paraId="3BD27680" w14:textId="77777777" w:rsidR="00490A6C" w:rsidRPr="00406B2B" w:rsidRDefault="00490A6C" w:rsidP="004B1917">
      <w:pPr>
        <w:pStyle w:val="ListParagraph"/>
        <w:numPr>
          <w:ilvl w:val="0"/>
          <w:numId w:val="9"/>
        </w:numPr>
        <w:spacing w:after="0" w:line="240" w:lineRule="auto"/>
        <w:ind w:left="714" w:hanging="357"/>
        <w:contextualSpacing w:val="0"/>
        <w:rPr>
          <w:sz w:val="18"/>
          <w:szCs w:val="18"/>
        </w:rPr>
      </w:pPr>
      <w:r w:rsidRPr="00406B2B">
        <w:rPr>
          <w:sz w:val="18"/>
          <w:szCs w:val="18"/>
        </w:rPr>
        <w:t>asistencia in situ.</w:t>
      </w:r>
    </w:p>
  </w:endnote>
  <w:endnote w:id="7">
    <w:p w14:paraId="1418E8E4" w14:textId="77777777" w:rsidR="00490A6C" w:rsidRPr="00406B2B" w:rsidRDefault="00490A6C" w:rsidP="00C4208D">
      <w:pPr>
        <w:spacing w:after="0" w:line="240" w:lineRule="auto"/>
        <w:rPr>
          <w:sz w:val="18"/>
          <w:szCs w:val="18"/>
        </w:rPr>
      </w:pPr>
      <w:r w:rsidRPr="00406B2B">
        <w:rPr>
          <w:rStyle w:val="EndnoteReference"/>
          <w:sz w:val="18"/>
          <w:szCs w:val="18"/>
        </w:rPr>
        <w:endnoteRef/>
      </w:r>
      <w:r w:rsidRPr="00406B2B">
        <w:rPr>
          <w:sz w:val="18"/>
          <w:szCs w:val="18"/>
        </w:rPr>
        <w:t xml:space="preserve"> pública/privada, primaria/secundaria/terciaria/vocacional.</w:t>
      </w:r>
    </w:p>
  </w:endnote>
  <w:endnote w:id="8">
    <w:p w14:paraId="1AAB24E2" w14:textId="77777777" w:rsidR="00490A6C" w:rsidRPr="00406B2B" w:rsidRDefault="00490A6C" w:rsidP="00C4208D">
      <w:pPr>
        <w:pStyle w:val="EndnoteText"/>
        <w:jc w:val="both"/>
        <w:rPr>
          <w:sz w:val="18"/>
          <w:szCs w:val="18"/>
        </w:rPr>
      </w:pPr>
      <w:r w:rsidRPr="00406B2B">
        <w:rPr>
          <w:rStyle w:val="EndnoteReference"/>
          <w:sz w:val="18"/>
          <w:szCs w:val="18"/>
        </w:rPr>
        <w:endnoteRef/>
      </w:r>
      <w:r w:rsidRPr="00406B2B">
        <w:rPr>
          <w:sz w:val="18"/>
          <w:szCs w:val="18"/>
        </w:rPr>
        <w:t xml:space="preserve"> Este indicador requiere la verificación de las actividades concretas emprendidas por las autoridades públicas para involucrar a las personas con discapacidad en los procesos de toma de decisiones relacionados con cuestiones que les afectan directa o indirectamente, de conformidad con el artículo 4.3 de la CDPD y la </w:t>
      </w:r>
      <w:hyperlink r:id="rId2" w:history="1">
        <w:r w:rsidRPr="00337456">
          <w:rPr>
            <w:rStyle w:val="Hyperlink"/>
            <w:sz w:val="18"/>
            <w:szCs w:val="18"/>
          </w:rPr>
          <w:t>Observación general Nº 7</w:t>
        </w:r>
      </w:hyperlink>
      <w:r w:rsidRPr="00406B2B">
        <w:rPr>
          <w:sz w:val="18"/>
          <w:szCs w:val="18"/>
        </w:rPr>
        <w:t xml:space="preserve"> del Comité, incluidas reuniones de consulta, sesiones informativas técnicas, encuestas de consulta en línea, solicitud de comentarios sobre proyectos de ley y políticas, entre otros métodos participativos. A este respecto, los Estados deben:</w:t>
      </w:r>
    </w:p>
    <w:p w14:paraId="32B2B277" w14:textId="77777777" w:rsidR="00490A6C" w:rsidRPr="00406B2B" w:rsidRDefault="00490A6C" w:rsidP="00C4208D">
      <w:pPr>
        <w:pStyle w:val="EndnoteText"/>
        <w:numPr>
          <w:ilvl w:val="0"/>
          <w:numId w:val="4"/>
        </w:numPr>
        <w:ind w:left="714" w:hanging="357"/>
        <w:contextualSpacing/>
        <w:rPr>
          <w:sz w:val="18"/>
          <w:szCs w:val="18"/>
        </w:rPr>
      </w:pPr>
      <w:r w:rsidRPr="00406B2B">
        <w:rPr>
          <w:rFonts w:ascii="Calibri" w:hAnsi="Calibri" w:cs="Calibri"/>
          <w:sz w:val="18"/>
          <w:szCs w:val="18"/>
        </w:rPr>
        <w:t>asegurar que los procesos de consulta sean transparentes y accesibles</w:t>
      </w:r>
      <w:r w:rsidRPr="00406B2B">
        <w:rPr>
          <w:sz w:val="18"/>
          <w:szCs w:val="18"/>
        </w:rPr>
        <w:t>;</w:t>
      </w:r>
    </w:p>
    <w:p w14:paraId="0C755A32" w14:textId="77777777" w:rsidR="00490A6C" w:rsidRPr="00406B2B" w:rsidRDefault="00490A6C" w:rsidP="00C4208D">
      <w:pPr>
        <w:pStyle w:val="EndnoteText"/>
        <w:numPr>
          <w:ilvl w:val="0"/>
          <w:numId w:val="4"/>
        </w:numPr>
        <w:ind w:left="714" w:hanging="357"/>
        <w:contextualSpacing/>
        <w:rPr>
          <w:sz w:val="18"/>
          <w:szCs w:val="18"/>
        </w:rPr>
      </w:pPr>
      <w:r w:rsidRPr="00406B2B">
        <w:rPr>
          <w:sz w:val="18"/>
          <w:szCs w:val="18"/>
        </w:rPr>
        <w:t>garantizar el suministro de información adecuada y accesible;</w:t>
      </w:r>
    </w:p>
    <w:p w14:paraId="0D11F746" w14:textId="77777777" w:rsidR="00490A6C" w:rsidRPr="00406B2B" w:rsidRDefault="00490A6C" w:rsidP="00C4208D">
      <w:pPr>
        <w:pStyle w:val="EndnoteText"/>
        <w:numPr>
          <w:ilvl w:val="0"/>
          <w:numId w:val="4"/>
        </w:numPr>
        <w:ind w:left="714" w:hanging="357"/>
        <w:contextualSpacing/>
        <w:rPr>
          <w:sz w:val="18"/>
          <w:szCs w:val="18"/>
        </w:rPr>
      </w:pPr>
      <w:r w:rsidRPr="00406B2B">
        <w:rPr>
          <w:sz w:val="18"/>
          <w:szCs w:val="18"/>
        </w:rPr>
        <w:t>no ocultar información, condicionar o impedir que las organizaciones de personas con discapacidad expresen libremente sus opiniones;</w:t>
      </w:r>
    </w:p>
    <w:p w14:paraId="0547FA5F" w14:textId="77777777" w:rsidR="00490A6C" w:rsidRPr="00406B2B" w:rsidRDefault="00490A6C" w:rsidP="00C4208D">
      <w:pPr>
        <w:pStyle w:val="EndnoteText"/>
        <w:numPr>
          <w:ilvl w:val="0"/>
          <w:numId w:val="4"/>
        </w:numPr>
        <w:ind w:left="714" w:hanging="357"/>
        <w:contextualSpacing/>
        <w:rPr>
          <w:sz w:val="18"/>
          <w:szCs w:val="18"/>
        </w:rPr>
      </w:pPr>
      <w:r w:rsidRPr="00406B2B">
        <w:rPr>
          <w:sz w:val="18"/>
          <w:szCs w:val="18"/>
        </w:rPr>
        <w:t>incluir tanto a las organizaciones registradas como a las no registradas;</w:t>
      </w:r>
    </w:p>
    <w:p w14:paraId="355CBBFF" w14:textId="77777777" w:rsidR="00490A6C" w:rsidRPr="00406B2B" w:rsidRDefault="00490A6C" w:rsidP="00C4208D">
      <w:pPr>
        <w:pStyle w:val="EndnoteText"/>
        <w:numPr>
          <w:ilvl w:val="0"/>
          <w:numId w:val="4"/>
        </w:numPr>
        <w:ind w:left="714" w:hanging="357"/>
        <w:contextualSpacing/>
        <w:rPr>
          <w:sz w:val="18"/>
          <w:szCs w:val="18"/>
        </w:rPr>
      </w:pPr>
      <w:r w:rsidRPr="00406B2B">
        <w:rPr>
          <w:sz w:val="18"/>
          <w:szCs w:val="18"/>
        </w:rPr>
        <w:t>garantizar una participación temprana y continua;</w:t>
      </w:r>
    </w:p>
    <w:p w14:paraId="41A4E2EE" w14:textId="77777777" w:rsidR="00490A6C" w:rsidRPr="00406B2B" w:rsidRDefault="00490A6C" w:rsidP="00C161E9">
      <w:pPr>
        <w:pStyle w:val="EndnoteText"/>
        <w:numPr>
          <w:ilvl w:val="0"/>
          <w:numId w:val="4"/>
        </w:numPr>
        <w:ind w:left="714" w:hanging="357"/>
        <w:contextualSpacing/>
        <w:rPr>
          <w:sz w:val="18"/>
          <w:szCs w:val="18"/>
        </w:rPr>
      </w:pPr>
      <w:r w:rsidRPr="00406B2B">
        <w:rPr>
          <w:sz w:val="18"/>
          <w:szCs w:val="18"/>
        </w:rPr>
        <w:t>cubrir los gastos relacionados de los participantes.</w:t>
      </w:r>
    </w:p>
  </w:endnote>
  <w:endnote w:id="9">
    <w:p w14:paraId="6DA28E43" w14:textId="77777777" w:rsidR="00490A6C" w:rsidRPr="00C161E9" w:rsidRDefault="00490A6C" w:rsidP="006E746C">
      <w:pPr>
        <w:pStyle w:val="EndnoteText"/>
        <w:jc w:val="both"/>
      </w:pPr>
      <w:r w:rsidRPr="00406B2B">
        <w:rPr>
          <w:rStyle w:val="EndnoteReference"/>
          <w:sz w:val="18"/>
          <w:szCs w:val="18"/>
        </w:rPr>
        <w:endnoteRef/>
      </w:r>
      <w:r w:rsidRPr="00406B2B">
        <w:rPr>
          <w:sz w:val="18"/>
          <w:szCs w:val="18"/>
        </w:rPr>
        <w:t xml:space="preserve"> La finalización debe abarcar también los casos en que las personas con discapacidad cumplen un nivel de educación en el marco de un Plan de Educación Individual que incluya objetivos específicos adaptados al estudiante. Se debe proporcionar un certificado de finalización del nivel y permitir la continuación de los estudios en igualdad de condiciones con los demás.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4E912" w14:textId="77777777" w:rsidR="003A0D95" w:rsidRDefault="003A0D95" w:rsidP="00CD1CE5">
      <w:pPr>
        <w:spacing w:after="0" w:line="240" w:lineRule="auto"/>
      </w:pPr>
      <w:r>
        <w:separator/>
      </w:r>
    </w:p>
  </w:footnote>
  <w:footnote w:type="continuationSeparator" w:id="0">
    <w:p w14:paraId="7EB19C02" w14:textId="77777777" w:rsidR="003A0D95" w:rsidRDefault="003A0D95" w:rsidP="00CD1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121"/>
    <w:multiLevelType w:val="hybridMultilevel"/>
    <w:tmpl w:val="B3403A7C"/>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E63BE"/>
    <w:multiLevelType w:val="hybridMultilevel"/>
    <w:tmpl w:val="439C1AD6"/>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421A3"/>
    <w:multiLevelType w:val="hybridMultilevel"/>
    <w:tmpl w:val="32786F4E"/>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4656A"/>
    <w:multiLevelType w:val="hybridMultilevel"/>
    <w:tmpl w:val="D166BD56"/>
    <w:lvl w:ilvl="0" w:tplc="937200B0">
      <w:start w:val="16"/>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BC6084"/>
    <w:multiLevelType w:val="hybridMultilevel"/>
    <w:tmpl w:val="943AFF6A"/>
    <w:lvl w:ilvl="0" w:tplc="1C068340">
      <w:start w:val="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C5676"/>
    <w:multiLevelType w:val="hybridMultilevel"/>
    <w:tmpl w:val="A1ACD69A"/>
    <w:lvl w:ilvl="0" w:tplc="4BDC9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0013E"/>
    <w:multiLevelType w:val="hybridMultilevel"/>
    <w:tmpl w:val="A2C4A40A"/>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286AFC"/>
    <w:multiLevelType w:val="hybridMultilevel"/>
    <w:tmpl w:val="176E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37FE8"/>
    <w:multiLevelType w:val="multilevel"/>
    <w:tmpl w:val="99386922"/>
    <w:lvl w:ilvl="0">
      <w:start w:val="24"/>
      <w:numFmt w:val="decimal"/>
      <w:lvlText w:val="%1"/>
      <w:lvlJc w:val="left"/>
      <w:pPr>
        <w:ind w:left="405" w:hanging="405"/>
      </w:pPr>
      <w:rPr>
        <w:rFonts w:cstheme="minorHAnsi" w:hint="default"/>
      </w:rPr>
    </w:lvl>
    <w:lvl w:ilvl="1">
      <w:start w:val="34"/>
      <w:numFmt w:val="decimal"/>
      <w:lvlText w:val="%1.%2"/>
      <w:lvlJc w:val="left"/>
      <w:pPr>
        <w:ind w:left="405" w:hanging="405"/>
      </w:pPr>
      <w:rPr>
        <w:rFonts w:cstheme="minorHAnsi" w:hint="default"/>
      </w:rPr>
    </w:lvl>
    <w:lvl w:ilvl="2">
      <w:start w:val="1"/>
      <w:numFmt w:val="decimal"/>
      <w:lvlText w:val="%1.%2.%3"/>
      <w:lvlJc w:val="left"/>
      <w:pPr>
        <w:ind w:left="405" w:hanging="405"/>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080" w:hanging="108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1" w15:restartNumberingAfterBreak="0">
    <w:nsid w:val="759059AC"/>
    <w:multiLevelType w:val="multilevel"/>
    <w:tmpl w:val="CC7A1C34"/>
    <w:lvl w:ilvl="0">
      <w:start w:val="2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71060FE"/>
    <w:multiLevelType w:val="hybridMultilevel"/>
    <w:tmpl w:val="6756D7BE"/>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6"/>
  </w:num>
  <w:num w:numId="6">
    <w:abstractNumId w:val="11"/>
  </w:num>
  <w:num w:numId="7">
    <w:abstractNumId w:val="8"/>
  </w:num>
  <w:num w:numId="8">
    <w:abstractNumId w:val="2"/>
  </w:num>
  <w:num w:numId="9">
    <w:abstractNumId w:val="0"/>
  </w:num>
  <w:num w:numId="10">
    <w:abstractNumId w:val="12"/>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34"/>
    <w:rsid w:val="00007659"/>
    <w:rsid w:val="000269A1"/>
    <w:rsid w:val="00050B94"/>
    <w:rsid w:val="000624C2"/>
    <w:rsid w:val="00074039"/>
    <w:rsid w:val="00094F61"/>
    <w:rsid w:val="00097871"/>
    <w:rsid w:val="000C13FA"/>
    <w:rsid w:val="000D3C2C"/>
    <w:rsid w:val="000E6E1B"/>
    <w:rsid w:val="00123FB8"/>
    <w:rsid w:val="0012422B"/>
    <w:rsid w:val="00124B4D"/>
    <w:rsid w:val="00126419"/>
    <w:rsid w:val="001315F6"/>
    <w:rsid w:val="00143EDC"/>
    <w:rsid w:val="001479CA"/>
    <w:rsid w:val="001630E7"/>
    <w:rsid w:val="00171729"/>
    <w:rsid w:val="0017471B"/>
    <w:rsid w:val="00174ADF"/>
    <w:rsid w:val="001820A7"/>
    <w:rsid w:val="001951A7"/>
    <w:rsid w:val="00197EC1"/>
    <w:rsid w:val="001A128D"/>
    <w:rsid w:val="001A3AA2"/>
    <w:rsid w:val="001A760D"/>
    <w:rsid w:val="001B0A1B"/>
    <w:rsid w:val="001E7BD4"/>
    <w:rsid w:val="001F3219"/>
    <w:rsid w:val="002241C1"/>
    <w:rsid w:val="0023291C"/>
    <w:rsid w:val="0023386C"/>
    <w:rsid w:val="00235352"/>
    <w:rsid w:val="00243136"/>
    <w:rsid w:val="002537E4"/>
    <w:rsid w:val="0025785E"/>
    <w:rsid w:val="0028463E"/>
    <w:rsid w:val="0028481F"/>
    <w:rsid w:val="002848DD"/>
    <w:rsid w:val="002B3525"/>
    <w:rsid w:val="002C23AC"/>
    <w:rsid w:val="002D23FB"/>
    <w:rsid w:val="002E11DE"/>
    <w:rsid w:val="002E4FE9"/>
    <w:rsid w:val="002F7573"/>
    <w:rsid w:val="00302537"/>
    <w:rsid w:val="0030255B"/>
    <w:rsid w:val="00304EEF"/>
    <w:rsid w:val="00305A8C"/>
    <w:rsid w:val="003135FA"/>
    <w:rsid w:val="003201EE"/>
    <w:rsid w:val="00325B73"/>
    <w:rsid w:val="00337456"/>
    <w:rsid w:val="003533F5"/>
    <w:rsid w:val="00363949"/>
    <w:rsid w:val="003759C9"/>
    <w:rsid w:val="00380AFF"/>
    <w:rsid w:val="00396319"/>
    <w:rsid w:val="003A0D95"/>
    <w:rsid w:val="003A4282"/>
    <w:rsid w:val="003C32F7"/>
    <w:rsid w:val="003D4787"/>
    <w:rsid w:val="003E6EDF"/>
    <w:rsid w:val="003F032D"/>
    <w:rsid w:val="00404967"/>
    <w:rsid w:val="00406B2B"/>
    <w:rsid w:val="00433D36"/>
    <w:rsid w:val="00441B0B"/>
    <w:rsid w:val="0044463B"/>
    <w:rsid w:val="00451F44"/>
    <w:rsid w:val="0047780E"/>
    <w:rsid w:val="00490A6C"/>
    <w:rsid w:val="004965DA"/>
    <w:rsid w:val="004B1917"/>
    <w:rsid w:val="004B45D8"/>
    <w:rsid w:val="004D0342"/>
    <w:rsid w:val="004D0417"/>
    <w:rsid w:val="004F5D40"/>
    <w:rsid w:val="00505321"/>
    <w:rsid w:val="0051452B"/>
    <w:rsid w:val="005179F0"/>
    <w:rsid w:val="00522273"/>
    <w:rsid w:val="005429C1"/>
    <w:rsid w:val="00551AED"/>
    <w:rsid w:val="00556E11"/>
    <w:rsid w:val="00570DE8"/>
    <w:rsid w:val="00573910"/>
    <w:rsid w:val="00592D86"/>
    <w:rsid w:val="005B1718"/>
    <w:rsid w:val="005B7286"/>
    <w:rsid w:val="005D092D"/>
    <w:rsid w:val="005E20B8"/>
    <w:rsid w:val="005E718E"/>
    <w:rsid w:val="005F470A"/>
    <w:rsid w:val="0060491A"/>
    <w:rsid w:val="00604CEE"/>
    <w:rsid w:val="0060565E"/>
    <w:rsid w:val="006132C6"/>
    <w:rsid w:val="006163B6"/>
    <w:rsid w:val="00632212"/>
    <w:rsid w:val="00640C65"/>
    <w:rsid w:val="00642E25"/>
    <w:rsid w:val="00651D18"/>
    <w:rsid w:val="00656F5D"/>
    <w:rsid w:val="006628E6"/>
    <w:rsid w:val="00672E93"/>
    <w:rsid w:val="006810C4"/>
    <w:rsid w:val="00685795"/>
    <w:rsid w:val="006B5CDD"/>
    <w:rsid w:val="006B6B4D"/>
    <w:rsid w:val="006C3157"/>
    <w:rsid w:val="006E746C"/>
    <w:rsid w:val="00704E77"/>
    <w:rsid w:val="007103F7"/>
    <w:rsid w:val="00711D68"/>
    <w:rsid w:val="00715784"/>
    <w:rsid w:val="007330D8"/>
    <w:rsid w:val="007342C9"/>
    <w:rsid w:val="0077518F"/>
    <w:rsid w:val="00777573"/>
    <w:rsid w:val="00780868"/>
    <w:rsid w:val="007A13FB"/>
    <w:rsid w:val="007A5986"/>
    <w:rsid w:val="007B0677"/>
    <w:rsid w:val="007F4DBB"/>
    <w:rsid w:val="008245A7"/>
    <w:rsid w:val="00836069"/>
    <w:rsid w:val="00846844"/>
    <w:rsid w:val="008536F4"/>
    <w:rsid w:val="00861DEF"/>
    <w:rsid w:val="008745C1"/>
    <w:rsid w:val="00890B0E"/>
    <w:rsid w:val="00892D6A"/>
    <w:rsid w:val="008A6A18"/>
    <w:rsid w:val="008C33DD"/>
    <w:rsid w:val="008C4202"/>
    <w:rsid w:val="008D0554"/>
    <w:rsid w:val="008F220F"/>
    <w:rsid w:val="008F5983"/>
    <w:rsid w:val="0091017B"/>
    <w:rsid w:val="009130D7"/>
    <w:rsid w:val="00943B4A"/>
    <w:rsid w:val="00945B36"/>
    <w:rsid w:val="00976ACD"/>
    <w:rsid w:val="009911AD"/>
    <w:rsid w:val="009A22DC"/>
    <w:rsid w:val="009B0E05"/>
    <w:rsid w:val="009B2F6C"/>
    <w:rsid w:val="009D4634"/>
    <w:rsid w:val="009D69E2"/>
    <w:rsid w:val="009E47A8"/>
    <w:rsid w:val="009F4608"/>
    <w:rsid w:val="009F6E73"/>
    <w:rsid w:val="00A001F9"/>
    <w:rsid w:val="00A0025E"/>
    <w:rsid w:val="00A2364E"/>
    <w:rsid w:val="00A33B75"/>
    <w:rsid w:val="00A5200A"/>
    <w:rsid w:val="00A76071"/>
    <w:rsid w:val="00A87003"/>
    <w:rsid w:val="00A90255"/>
    <w:rsid w:val="00A9144A"/>
    <w:rsid w:val="00A962A8"/>
    <w:rsid w:val="00AC6F49"/>
    <w:rsid w:val="00AD51A5"/>
    <w:rsid w:val="00AD5EF6"/>
    <w:rsid w:val="00AE0FEC"/>
    <w:rsid w:val="00AF244F"/>
    <w:rsid w:val="00B06633"/>
    <w:rsid w:val="00B07570"/>
    <w:rsid w:val="00B13855"/>
    <w:rsid w:val="00B14EAC"/>
    <w:rsid w:val="00B26B56"/>
    <w:rsid w:val="00B57E28"/>
    <w:rsid w:val="00B71343"/>
    <w:rsid w:val="00B8698E"/>
    <w:rsid w:val="00B87B0C"/>
    <w:rsid w:val="00B94030"/>
    <w:rsid w:val="00B951E8"/>
    <w:rsid w:val="00C02025"/>
    <w:rsid w:val="00C023E1"/>
    <w:rsid w:val="00C057AD"/>
    <w:rsid w:val="00C06B63"/>
    <w:rsid w:val="00C15266"/>
    <w:rsid w:val="00C161E9"/>
    <w:rsid w:val="00C26759"/>
    <w:rsid w:val="00C270A9"/>
    <w:rsid w:val="00C4208D"/>
    <w:rsid w:val="00C769D1"/>
    <w:rsid w:val="00C773FF"/>
    <w:rsid w:val="00C809B6"/>
    <w:rsid w:val="00C8125D"/>
    <w:rsid w:val="00C84835"/>
    <w:rsid w:val="00C870EA"/>
    <w:rsid w:val="00C9554D"/>
    <w:rsid w:val="00CA7C85"/>
    <w:rsid w:val="00CC25BD"/>
    <w:rsid w:val="00CC7E85"/>
    <w:rsid w:val="00CD1CE5"/>
    <w:rsid w:val="00CD5BBC"/>
    <w:rsid w:val="00CE0DEE"/>
    <w:rsid w:val="00CE4CD3"/>
    <w:rsid w:val="00CF05D3"/>
    <w:rsid w:val="00D10601"/>
    <w:rsid w:val="00D15144"/>
    <w:rsid w:val="00D341C8"/>
    <w:rsid w:val="00D61451"/>
    <w:rsid w:val="00D62731"/>
    <w:rsid w:val="00D662F5"/>
    <w:rsid w:val="00D856CB"/>
    <w:rsid w:val="00DC00C5"/>
    <w:rsid w:val="00DD35DD"/>
    <w:rsid w:val="00DD5EC8"/>
    <w:rsid w:val="00DF05B7"/>
    <w:rsid w:val="00DF142C"/>
    <w:rsid w:val="00DF2823"/>
    <w:rsid w:val="00E02D14"/>
    <w:rsid w:val="00E24966"/>
    <w:rsid w:val="00E63522"/>
    <w:rsid w:val="00E85A8A"/>
    <w:rsid w:val="00EB14F1"/>
    <w:rsid w:val="00EC5414"/>
    <w:rsid w:val="00ED1B4A"/>
    <w:rsid w:val="00EE316B"/>
    <w:rsid w:val="00EF40DD"/>
    <w:rsid w:val="00F03321"/>
    <w:rsid w:val="00F27155"/>
    <w:rsid w:val="00F4095D"/>
    <w:rsid w:val="00F416E5"/>
    <w:rsid w:val="00F46D04"/>
    <w:rsid w:val="00F63625"/>
    <w:rsid w:val="00F806E5"/>
    <w:rsid w:val="00FA150F"/>
    <w:rsid w:val="00FA702A"/>
    <w:rsid w:val="00FB2A5D"/>
    <w:rsid w:val="00FC3F09"/>
    <w:rsid w:val="00FE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BD99"/>
  <w14:defaultImageDpi w14:val="32767"/>
  <w15:chartTrackingRefBased/>
  <w15:docId w15:val="{F9A17F57-D268-1E4B-86FF-05F9A1D9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634"/>
    <w:pPr>
      <w:ind w:left="720"/>
      <w:contextualSpacing/>
    </w:pPr>
  </w:style>
  <w:style w:type="table" w:styleId="TableGrid">
    <w:name w:val="Table Grid"/>
    <w:basedOn w:val="TableNormal"/>
    <w:uiPriority w:val="39"/>
    <w:rsid w:val="009D4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718"/>
    <w:rPr>
      <w:rFonts w:ascii="Segoe UI" w:hAnsi="Segoe UI" w:cs="Segoe UI"/>
      <w:sz w:val="18"/>
      <w:szCs w:val="18"/>
      <w:lang w:val="es-ES"/>
    </w:rPr>
  </w:style>
  <w:style w:type="paragraph" w:styleId="Header">
    <w:name w:val="header"/>
    <w:basedOn w:val="Normal"/>
    <w:link w:val="HeaderChar"/>
    <w:uiPriority w:val="99"/>
    <w:unhideWhenUsed/>
    <w:rsid w:val="00CD1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CE5"/>
    <w:rPr>
      <w:sz w:val="22"/>
      <w:szCs w:val="22"/>
      <w:lang w:val="es-ES"/>
    </w:rPr>
  </w:style>
  <w:style w:type="paragraph" w:styleId="Footer">
    <w:name w:val="footer"/>
    <w:basedOn w:val="Normal"/>
    <w:link w:val="FooterChar"/>
    <w:uiPriority w:val="99"/>
    <w:unhideWhenUsed/>
    <w:rsid w:val="00CD1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CE5"/>
    <w:rPr>
      <w:sz w:val="22"/>
      <w:szCs w:val="22"/>
      <w:lang w:val="es-ES"/>
    </w:rPr>
  </w:style>
  <w:style w:type="character" w:styleId="CommentReference">
    <w:name w:val="annotation reference"/>
    <w:basedOn w:val="DefaultParagraphFont"/>
    <w:uiPriority w:val="99"/>
    <w:semiHidden/>
    <w:unhideWhenUsed/>
    <w:rsid w:val="008D0554"/>
    <w:rPr>
      <w:sz w:val="16"/>
      <w:szCs w:val="16"/>
    </w:rPr>
  </w:style>
  <w:style w:type="paragraph" w:styleId="CommentText">
    <w:name w:val="annotation text"/>
    <w:basedOn w:val="Normal"/>
    <w:link w:val="CommentTextChar"/>
    <w:uiPriority w:val="99"/>
    <w:semiHidden/>
    <w:unhideWhenUsed/>
    <w:rsid w:val="008D0554"/>
    <w:pPr>
      <w:spacing w:line="240" w:lineRule="auto"/>
    </w:pPr>
    <w:rPr>
      <w:sz w:val="20"/>
      <w:szCs w:val="20"/>
    </w:rPr>
  </w:style>
  <w:style w:type="character" w:customStyle="1" w:styleId="CommentTextChar">
    <w:name w:val="Comment Text Char"/>
    <w:basedOn w:val="DefaultParagraphFont"/>
    <w:link w:val="CommentText"/>
    <w:uiPriority w:val="99"/>
    <w:semiHidden/>
    <w:rsid w:val="008D0554"/>
    <w:rPr>
      <w:sz w:val="20"/>
      <w:szCs w:val="20"/>
      <w:lang w:val="es-ES"/>
    </w:rPr>
  </w:style>
  <w:style w:type="paragraph" w:styleId="CommentSubject">
    <w:name w:val="annotation subject"/>
    <w:basedOn w:val="CommentText"/>
    <w:next w:val="CommentText"/>
    <w:link w:val="CommentSubjectChar"/>
    <w:uiPriority w:val="99"/>
    <w:semiHidden/>
    <w:unhideWhenUsed/>
    <w:rsid w:val="008D0554"/>
    <w:rPr>
      <w:b/>
      <w:bCs/>
    </w:rPr>
  </w:style>
  <w:style w:type="character" w:customStyle="1" w:styleId="CommentSubjectChar">
    <w:name w:val="Comment Subject Char"/>
    <w:basedOn w:val="CommentTextChar"/>
    <w:link w:val="CommentSubject"/>
    <w:uiPriority w:val="99"/>
    <w:semiHidden/>
    <w:rsid w:val="008D0554"/>
    <w:rPr>
      <w:b/>
      <w:bCs/>
      <w:sz w:val="20"/>
      <w:szCs w:val="20"/>
      <w:lang w:val="es-ES"/>
    </w:rPr>
  </w:style>
  <w:style w:type="paragraph" w:styleId="Revision">
    <w:name w:val="Revision"/>
    <w:hidden/>
    <w:uiPriority w:val="99"/>
    <w:semiHidden/>
    <w:rsid w:val="00604CEE"/>
    <w:rPr>
      <w:sz w:val="22"/>
      <w:szCs w:val="22"/>
    </w:rPr>
  </w:style>
  <w:style w:type="character" w:customStyle="1" w:styleId="highlight">
    <w:name w:val="highlight"/>
    <w:basedOn w:val="DefaultParagraphFont"/>
    <w:rsid w:val="00325B73"/>
  </w:style>
  <w:style w:type="paragraph" w:styleId="NoSpacing">
    <w:name w:val="No Spacing"/>
    <w:uiPriority w:val="1"/>
    <w:qFormat/>
    <w:rsid w:val="00E85A8A"/>
    <w:rPr>
      <w:sz w:val="22"/>
      <w:szCs w:val="22"/>
    </w:rPr>
  </w:style>
  <w:style w:type="paragraph" w:styleId="EndnoteText">
    <w:name w:val="endnote text"/>
    <w:basedOn w:val="Normal"/>
    <w:link w:val="EndnoteTextChar"/>
    <w:uiPriority w:val="99"/>
    <w:unhideWhenUsed/>
    <w:rsid w:val="00D856CB"/>
    <w:pPr>
      <w:spacing w:after="0" w:line="240" w:lineRule="auto"/>
    </w:pPr>
    <w:rPr>
      <w:sz w:val="20"/>
      <w:szCs w:val="20"/>
    </w:rPr>
  </w:style>
  <w:style w:type="character" w:customStyle="1" w:styleId="EndnoteTextChar">
    <w:name w:val="Endnote Text Char"/>
    <w:basedOn w:val="DefaultParagraphFont"/>
    <w:link w:val="EndnoteText"/>
    <w:uiPriority w:val="99"/>
    <w:rsid w:val="00D856CB"/>
    <w:rPr>
      <w:sz w:val="20"/>
      <w:szCs w:val="20"/>
      <w:lang w:val="es-ES"/>
    </w:rPr>
  </w:style>
  <w:style w:type="character" w:styleId="EndnoteReference">
    <w:name w:val="endnote reference"/>
    <w:basedOn w:val="DefaultParagraphFont"/>
    <w:uiPriority w:val="99"/>
    <w:unhideWhenUsed/>
    <w:rsid w:val="00D856CB"/>
    <w:rPr>
      <w:vertAlign w:val="superscript"/>
    </w:rPr>
  </w:style>
  <w:style w:type="paragraph" w:styleId="NormalWeb">
    <w:name w:val="Normal (Web)"/>
    <w:basedOn w:val="Normal"/>
    <w:uiPriority w:val="99"/>
    <w:unhideWhenUsed/>
    <w:rsid w:val="00EC54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4B4D"/>
    <w:rPr>
      <w:color w:val="0563C1" w:themeColor="hyperlink"/>
      <w:u w:val="single"/>
    </w:rPr>
  </w:style>
  <w:style w:type="character" w:styleId="FollowedHyperlink">
    <w:name w:val="FollowedHyperlink"/>
    <w:basedOn w:val="DefaultParagraphFont"/>
    <w:uiPriority w:val="99"/>
    <w:semiHidden/>
    <w:unhideWhenUsed/>
    <w:rsid w:val="00302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9799">
      <w:bodyDiv w:val="1"/>
      <w:marLeft w:val="0"/>
      <w:marRight w:val="0"/>
      <w:marTop w:val="0"/>
      <w:marBottom w:val="0"/>
      <w:divBdr>
        <w:top w:val="none" w:sz="0" w:space="0" w:color="auto"/>
        <w:left w:val="none" w:sz="0" w:space="0" w:color="auto"/>
        <w:bottom w:val="none" w:sz="0" w:space="0" w:color="auto"/>
        <w:right w:val="none" w:sz="0" w:space="0" w:color="auto"/>
      </w:divBdr>
      <w:divsChild>
        <w:div w:id="1370956920">
          <w:marLeft w:val="0"/>
          <w:marRight w:val="0"/>
          <w:marTop w:val="0"/>
          <w:marBottom w:val="0"/>
          <w:divBdr>
            <w:top w:val="none" w:sz="0" w:space="0" w:color="auto"/>
            <w:left w:val="none" w:sz="0" w:space="0" w:color="auto"/>
            <w:bottom w:val="none" w:sz="0" w:space="0" w:color="auto"/>
            <w:right w:val="none" w:sz="0" w:space="0" w:color="auto"/>
          </w:divBdr>
        </w:div>
        <w:div w:id="431972615">
          <w:marLeft w:val="0"/>
          <w:marRight w:val="0"/>
          <w:marTop w:val="0"/>
          <w:marBottom w:val="0"/>
          <w:divBdr>
            <w:top w:val="none" w:sz="0" w:space="0" w:color="auto"/>
            <w:left w:val="none" w:sz="0" w:space="0" w:color="auto"/>
            <w:bottom w:val="none" w:sz="0" w:space="0" w:color="auto"/>
            <w:right w:val="none" w:sz="0" w:space="0" w:color="auto"/>
          </w:divBdr>
        </w:div>
        <w:div w:id="2075159021">
          <w:marLeft w:val="0"/>
          <w:marRight w:val="0"/>
          <w:marTop w:val="0"/>
          <w:marBottom w:val="0"/>
          <w:divBdr>
            <w:top w:val="none" w:sz="0" w:space="0" w:color="auto"/>
            <w:left w:val="none" w:sz="0" w:space="0" w:color="auto"/>
            <w:bottom w:val="none" w:sz="0" w:space="0" w:color="auto"/>
            <w:right w:val="none" w:sz="0" w:space="0" w:color="auto"/>
          </w:divBdr>
        </w:div>
        <w:div w:id="1482388471">
          <w:marLeft w:val="0"/>
          <w:marRight w:val="0"/>
          <w:marTop w:val="0"/>
          <w:marBottom w:val="0"/>
          <w:divBdr>
            <w:top w:val="none" w:sz="0" w:space="0" w:color="auto"/>
            <w:left w:val="none" w:sz="0" w:space="0" w:color="auto"/>
            <w:bottom w:val="none" w:sz="0" w:space="0" w:color="auto"/>
            <w:right w:val="none" w:sz="0" w:space="0" w:color="auto"/>
          </w:divBdr>
        </w:div>
      </w:divsChild>
    </w:div>
    <w:div w:id="98570504">
      <w:bodyDiv w:val="1"/>
      <w:marLeft w:val="0"/>
      <w:marRight w:val="0"/>
      <w:marTop w:val="0"/>
      <w:marBottom w:val="0"/>
      <w:divBdr>
        <w:top w:val="none" w:sz="0" w:space="0" w:color="auto"/>
        <w:left w:val="none" w:sz="0" w:space="0" w:color="auto"/>
        <w:bottom w:val="none" w:sz="0" w:space="0" w:color="auto"/>
        <w:right w:val="none" w:sz="0" w:space="0" w:color="auto"/>
      </w:divBdr>
      <w:divsChild>
        <w:div w:id="1111819524">
          <w:marLeft w:val="0"/>
          <w:marRight w:val="0"/>
          <w:marTop w:val="0"/>
          <w:marBottom w:val="0"/>
          <w:divBdr>
            <w:top w:val="none" w:sz="0" w:space="0" w:color="auto"/>
            <w:left w:val="none" w:sz="0" w:space="0" w:color="auto"/>
            <w:bottom w:val="none" w:sz="0" w:space="0" w:color="auto"/>
            <w:right w:val="none" w:sz="0" w:space="0" w:color="auto"/>
          </w:divBdr>
        </w:div>
        <w:div w:id="2120105167">
          <w:marLeft w:val="0"/>
          <w:marRight w:val="0"/>
          <w:marTop w:val="0"/>
          <w:marBottom w:val="0"/>
          <w:divBdr>
            <w:top w:val="none" w:sz="0" w:space="0" w:color="auto"/>
            <w:left w:val="none" w:sz="0" w:space="0" w:color="auto"/>
            <w:bottom w:val="none" w:sz="0" w:space="0" w:color="auto"/>
            <w:right w:val="none" w:sz="0" w:space="0" w:color="auto"/>
          </w:divBdr>
        </w:div>
        <w:div w:id="2057049321">
          <w:marLeft w:val="0"/>
          <w:marRight w:val="0"/>
          <w:marTop w:val="0"/>
          <w:marBottom w:val="0"/>
          <w:divBdr>
            <w:top w:val="none" w:sz="0" w:space="0" w:color="auto"/>
            <w:left w:val="none" w:sz="0" w:space="0" w:color="auto"/>
            <w:bottom w:val="none" w:sz="0" w:space="0" w:color="auto"/>
            <w:right w:val="none" w:sz="0" w:space="0" w:color="auto"/>
          </w:divBdr>
        </w:div>
        <w:div w:id="1011956840">
          <w:marLeft w:val="0"/>
          <w:marRight w:val="0"/>
          <w:marTop w:val="0"/>
          <w:marBottom w:val="0"/>
          <w:divBdr>
            <w:top w:val="none" w:sz="0" w:space="0" w:color="auto"/>
            <w:left w:val="none" w:sz="0" w:space="0" w:color="auto"/>
            <w:bottom w:val="none" w:sz="0" w:space="0" w:color="auto"/>
            <w:right w:val="none" w:sz="0" w:space="0" w:color="auto"/>
          </w:divBdr>
        </w:div>
        <w:div w:id="204561721">
          <w:marLeft w:val="0"/>
          <w:marRight w:val="0"/>
          <w:marTop w:val="0"/>
          <w:marBottom w:val="0"/>
          <w:divBdr>
            <w:top w:val="none" w:sz="0" w:space="0" w:color="auto"/>
            <w:left w:val="none" w:sz="0" w:space="0" w:color="auto"/>
            <w:bottom w:val="none" w:sz="0" w:space="0" w:color="auto"/>
            <w:right w:val="none" w:sz="0" w:space="0" w:color="auto"/>
          </w:divBdr>
        </w:div>
      </w:divsChild>
    </w:div>
    <w:div w:id="345406796">
      <w:bodyDiv w:val="1"/>
      <w:marLeft w:val="0"/>
      <w:marRight w:val="0"/>
      <w:marTop w:val="0"/>
      <w:marBottom w:val="0"/>
      <w:divBdr>
        <w:top w:val="none" w:sz="0" w:space="0" w:color="auto"/>
        <w:left w:val="none" w:sz="0" w:space="0" w:color="auto"/>
        <w:bottom w:val="none" w:sz="0" w:space="0" w:color="auto"/>
        <w:right w:val="none" w:sz="0" w:space="0" w:color="auto"/>
      </w:divBdr>
      <w:divsChild>
        <w:div w:id="31812422">
          <w:marLeft w:val="0"/>
          <w:marRight w:val="0"/>
          <w:marTop w:val="0"/>
          <w:marBottom w:val="0"/>
          <w:divBdr>
            <w:top w:val="none" w:sz="0" w:space="0" w:color="auto"/>
            <w:left w:val="none" w:sz="0" w:space="0" w:color="auto"/>
            <w:bottom w:val="none" w:sz="0" w:space="0" w:color="auto"/>
            <w:right w:val="none" w:sz="0" w:space="0" w:color="auto"/>
          </w:divBdr>
          <w:divsChild>
            <w:div w:id="1648703101">
              <w:marLeft w:val="0"/>
              <w:marRight w:val="0"/>
              <w:marTop w:val="0"/>
              <w:marBottom w:val="0"/>
              <w:divBdr>
                <w:top w:val="none" w:sz="0" w:space="0" w:color="auto"/>
                <w:left w:val="none" w:sz="0" w:space="0" w:color="auto"/>
                <w:bottom w:val="none" w:sz="0" w:space="0" w:color="auto"/>
                <w:right w:val="none" w:sz="0" w:space="0" w:color="auto"/>
              </w:divBdr>
              <w:divsChild>
                <w:div w:id="601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57016">
      <w:bodyDiv w:val="1"/>
      <w:marLeft w:val="0"/>
      <w:marRight w:val="0"/>
      <w:marTop w:val="0"/>
      <w:marBottom w:val="0"/>
      <w:divBdr>
        <w:top w:val="none" w:sz="0" w:space="0" w:color="auto"/>
        <w:left w:val="none" w:sz="0" w:space="0" w:color="auto"/>
        <w:bottom w:val="none" w:sz="0" w:space="0" w:color="auto"/>
        <w:right w:val="none" w:sz="0" w:space="0" w:color="auto"/>
      </w:divBdr>
      <w:divsChild>
        <w:div w:id="1867597335">
          <w:marLeft w:val="0"/>
          <w:marRight w:val="0"/>
          <w:marTop w:val="0"/>
          <w:marBottom w:val="0"/>
          <w:divBdr>
            <w:top w:val="none" w:sz="0" w:space="0" w:color="auto"/>
            <w:left w:val="none" w:sz="0" w:space="0" w:color="auto"/>
            <w:bottom w:val="none" w:sz="0" w:space="0" w:color="auto"/>
            <w:right w:val="none" w:sz="0" w:space="0" w:color="auto"/>
          </w:divBdr>
        </w:div>
        <w:div w:id="1968702421">
          <w:marLeft w:val="0"/>
          <w:marRight w:val="0"/>
          <w:marTop w:val="0"/>
          <w:marBottom w:val="0"/>
          <w:divBdr>
            <w:top w:val="none" w:sz="0" w:space="0" w:color="auto"/>
            <w:left w:val="none" w:sz="0" w:space="0" w:color="auto"/>
            <w:bottom w:val="none" w:sz="0" w:space="0" w:color="auto"/>
            <w:right w:val="none" w:sz="0" w:space="0" w:color="auto"/>
          </w:divBdr>
        </w:div>
        <w:div w:id="73211713">
          <w:marLeft w:val="0"/>
          <w:marRight w:val="0"/>
          <w:marTop w:val="0"/>
          <w:marBottom w:val="0"/>
          <w:divBdr>
            <w:top w:val="none" w:sz="0" w:space="0" w:color="auto"/>
            <w:left w:val="none" w:sz="0" w:space="0" w:color="auto"/>
            <w:bottom w:val="none" w:sz="0" w:space="0" w:color="auto"/>
            <w:right w:val="none" w:sz="0" w:space="0" w:color="auto"/>
          </w:divBdr>
        </w:div>
        <w:div w:id="378089843">
          <w:marLeft w:val="0"/>
          <w:marRight w:val="0"/>
          <w:marTop w:val="0"/>
          <w:marBottom w:val="0"/>
          <w:divBdr>
            <w:top w:val="none" w:sz="0" w:space="0" w:color="auto"/>
            <w:left w:val="none" w:sz="0" w:space="0" w:color="auto"/>
            <w:bottom w:val="none" w:sz="0" w:space="0" w:color="auto"/>
            <w:right w:val="none" w:sz="0" w:space="0" w:color="auto"/>
          </w:divBdr>
        </w:div>
      </w:divsChild>
    </w:div>
    <w:div w:id="649480902">
      <w:bodyDiv w:val="1"/>
      <w:marLeft w:val="0"/>
      <w:marRight w:val="0"/>
      <w:marTop w:val="0"/>
      <w:marBottom w:val="0"/>
      <w:divBdr>
        <w:top w:val="none" w:sz="0" w:space="0" w:color="auto"/>
        <w:left w:val="none" w:sz="0" w:space="0" w:color="auto"/>
        <w:bottom w:val="none" w:sz="0" w:space="0" w:color="auto"/>
        <w:right w:val="none" w:sz="0" w:space="0" w:color="auto"/>
      </w:divBdr>
      <w:divsChild>
        <w:div w:id="1062362734">
          <w:marLeft w:val="0"/>
          <w:marRight w:val="0"/>
          <w:marTop w:val="0"/>
          <w:marBottom w:val="0"/>
          <w:divBdr>
            <w:top w:val="none" w:sz="0" w:space="0" w:color="auto"/>
            <w:left w:val="none" w:sz="0" w:space="0" w:color="auto"/>
            <w:bottom w:val="none" w:sz="0" w:space="0" w:color="auto"/>
            <w:right w:val="none" w:sz="0" w:space="0" w:color="auto"/>
          </w:divBdr>
        </w:div>
        <w:div w:id="1080952842">
          <w:marLeft w:val="0"/>
          <w:marRight w:val="0"/>
          <w:marTop w:val="0"/>
          <w:marBottom w:val="0"/>
          <w:divBdr>
            <w:top w:val="none" w:sz="0" w:space="0" w:color="auto"/>
            <w:left w:val="none" w:sz="0" w:space="0" w:color="auto"/>
            <w:bottom w:val="none" w:sz="0" w:space="0" w:color="auto"/>
            <w:right w:val="none" w:sz="0" w:space="0" w:color="auto"/>
          </w:divBdr>
        </w:div>
        <w:div w:id="68311030">
          <w:marLeft w:val="0"/>
          <w:marRight w:val="0"/>
          <w:marTop w:val="0"/>
          <w:marBottom w:val="0"/>
          <w:divBdr>
            <w:top w:val="none" w:sz="0" w:space="0" w:color="auto"/>
            <w:left w:val="none" w:sz="0" w:space="0" w:color="auto"/>
            <w:bottom w:val="none" w:sz="0" w:space="0" w:color="auto"/>
            <w:right w:val="none" w:sz="0" w:space="0" w:color="auto"/>
          </w:divBdr>
        </w:div>
      </w:divsChild>
    </w:div>
    <w:div w:id="681515209">
      <w:bodyDiv w:val="1"/>
      <w:marLeft w:val="0"/>
      <w:marRight w:val="0"/>
      <w:marTop w:val="0"/>
      <w:marBottom w:val="0"/>
      <w:divBdr>
        <w:top w:val="none" w:sz="0" w:space="0" w:color="auto"/>
        <w:left w:val="none" w:sz="0" w:space="0" w:color="auto"/>
        <w:bottom w:val="none" w:sz="0" w:space="0" w:color="auto"/>
        <w:right w:val="none" w:sz="0" w:space="0" w:color="auto"/>
      </w:divBdr>
      <w:divsChild>
        <w:div w:id="1256790805">
          <w:marLeft w:val="0"/>
          <w:marRight w:val="0"/>
          <w:marTop w:val="0"/>
          <w:marBottom w:val="0"/>
          <w:divBdr>
            <w:top w:val="none" w:sz="0" w:space="0" w:color="auto"/>
            <w:left w:val="none" w:sz="0" w:space="0" w:color="auto"/>
            <w:bottom w:val="none" w:sz="0" w:space="0" w:color="auto"/>
            <w:right w:val="none" w:sz="0" w:space="0" w:color="auto"/>
          </w:divBdr>
        </w:div>
        <w:div w:id="66928453">
          <w:marLeft w:val="0"/>
          <w:marRight w:val="0"/>
          <w:marTop w:val="0"/>
          <w:marBottom w:val="0"/>
          <w:divBdr>
            <w:top w:val="none" w:sz="0" w:space="0" w:color="auto"/>
            <w:left w:val="none" w:sz="0" w:space="0" w:color="auto"/>
            <w:bottom w:val="none" w:sz="0" w:space="0" w:color="auto"/>
            <w:right w:val="none" w:sz="0" w:space="0" w:color="auto"/>
          </w:divBdr>
        </w:div>
        <w:div w:id="1301417780">
          <w:marLeft w:val="0"/>
          <w:marRight w:val="0"/>
          <w:marTop w:val="0"/>
          <w:marBottom w:val="0"/>
          <w:divBdr>
            <w:top w:val="none" w:sz="0" w:space="0" w:color="auto"/>
            <w:left w:val="none" w:sz="0" w:space="0" w:color="auto"/>
            <w:bottom w:val="none" w:sz="0" w:space="0" w:color="auto"/>
            <w:right w:val="none" w:sz="0" w:space="0" w:color="auto"/>
          </w:divBdr>
        </w:div>
        <w:div w:id="1290084419">
          <w:marLeft w:val="0"/>
          <w:marRight w:val="0"/>
          <w:marTop w:val="0"/>
          <w:marBottom w:val="0"/>
          <w:divBdr>
            <w:top w:val="none" w:sz="0" w:space="0" w:color="auto"/>
            <w:left w:val="none" w:sz="0" w:space="0" w:color="auto"/>
            <w:bottom w:val="none" w:sz="0" w:space="0" w:color="auto"/>
            <w:right w:val="none" w:sz="0" w:space="0" w:color="auto"/>
          </w:divBdr>
        </w:div>
        <w:div w:id="1084840890">
          <w:marLeft w:val="0"/>
          <w:marRight w:val="0"/>
          <w:marTop w:val="0"/>
          <w:marBottom w:val="0"/>
          <w:divBdr>
            <w:top w:val="none" w:sz="0" w:space="0" w:color="auto"/>
            <w:left w:val="none" w:sz="0" w:space="0" w:color="auto"/>
            <w:bottom w:val="none" w:sz="0" w:space="0" w:color="auto"/>
            <w:right w:val="none" w:sz="0" w:space="0" w:color="auto"/>
          </w:divBdr>
        </w:div>
        <w:div w:id="84808146">
          <w:marLeft w:val="0"/>
          <w:marRight w:val="0"/>
          <w:marTop w:val="0"/>
          <w:marBottom w:val="0"/>
          <w:divBdr>
            <w:top w:val="none" w:sz="0" w:space="0" w:color="auto"/>
            <w:left w:val="none" w:sz="0" w:space="0" w:color="auto"/>
            <w:bottom w:val="none" w:sz="0" w:space="0" w:color="auto"/>
            <w:right w:val="none" w:sz="0" w:space="0" w:color="auto"/>
          </w:divBdr>
        </w:div>
        <w:div w:id="825707487">
          <w:marLeft w:val="0"/>
          <w:marRight w:val="0"/>
          <w:marTop w:val="0"/>
          <w:marBottom w:val="0"/>
          <w:divBdr>
            <w:top w:val="none" w:sz="0" w:space="0" w:color="auto"/>
            <w:left w:val="none" w:sz="0" w:space="0" w:color="auto"/>
            <w:bottom w:val="none" w:sz="0" w:space="0" w:color="auto"/>
            <w:right w:val="none" w:sz="0" w:space="0" w:color="auto"/>
          </w:divBdr>
        </w:div>
        <w:div w:id="1537817587">
          <w:marLeft w:val="0"/>
          <w:marRight w:val="0"/>
          <w:marTop w:val="0"/>
          <w:marBottom w:val="0"/>
          <w:divBdr>
            <w:top w:val="none" w:sz="0" w:space="0" w:color="auto"/>
            <w:left w:val="none" w:sz="0" w:space="0" w:color="auto"/>
            <w:bottom w:val="none" w:sz="0" w:space="0" w:color="auto"/>
            <w:right w:val="none" w:sz="0" w:space="0" w:color="auto"/>
          </w:divBdr>
        </w:div>
        <w:div w:id="2140033201">
          <w:marLeft w:val="0"/>
          <w:marRight w:val="0"/>
          <w:marTop w:val="0"/>
          <w:marBottom w:val="0"/>
          <w:divBdr>
            <w:top w:val="none" w:sz="0" w:space="0" w:color="auto"/>
            <w:left w:val="none" w:sz="0" w:space="0" w:color="auto"/>
            <w:bottom w:val="none" w:sz="0" w:space="0" w:color="auto"/>
            <w:right w:val="none" w:sz="0" w:space="0" w:color="auto"/>
          </w:divBdr>
        </w:div>
        <w:div w:id="731777010">
          <w:marLeft w:val="0"/>
          <w:marRight w:val="0"/>
          <w:marTop w:val="0"/>
          <w:marBottom w:val="0"/>
          <w:divBdr>
            <w:top w:val="none" w:sz="0" w:space="0" w:color="auto"/>
            <w:left w:val="none" w:sz="0" w:space="0" w:color="auto"/>
            <w:bottom w:val="none" w:sz="0" w:space="0" w:color="auto"/>
            <w:right w:val="none" w:sz="0" w:space="0" w:color="auto"/>
          </w:divBdr>
        </w:div>
        <w:div w:id="1560241323">
          <w:marLeft w:val="0"/>
          <w:marRight w:val="0"/>
          <w:marTop w:val="0"/>
          <w:marBottom w:val="0"/>
          <w:divBdr>
            <w:top w:val="none" w:sz="0" w:space="0" w:color="auto"/>
            <w:left w:val="none" w:sz="0" w:space="0" w:color="auto"/>
            <w:bottom w:val="none" w:sz="0" w:space="0" w:color="auto"/>
            <w:right w:val="none" w:sz="0" w:space="0" w:color="auto"/>
          </w:divBdr>
        </w:div>
      </w:divsChild>
    </w:div>
    <w:div w:id="717166780">
      <w:bodyDiv w:val="1"/>
      <w:marLeft w:val="0"/>
      <w:marRight w:val="0"/>
      <w:marTop w:val="0"/>
      <w:marBottom w:val="0"/>
      <w:divBdr>
        <w:top w:val="none" w:sz="0" w:space="0" w:color="auto"/>
        <w:left w:val="none" w:sz="0" w:space="0" w:color="auto"/>
        <w:bottom w:val="none" w:sz="0" w:space="0" w:color="auto"/>
        <w:right w:val="none" w:sz="0" w:space="0" w:color="auto"/>
      </w:divBdr>
      <w:divsChild>
        <w:div w:id="114837384">
          <w:marLeft w:val="0"/>
          <w:marRight w:val="0"/>
          <w:marTop w:val="0"/>
          <w:marBottom w:val="0"/>
          <w:divBdr>
            <w:top w:val="none" w:sz="0" w:space="0" w:color="auto"/>
            <w:left w:val="none" w:sz="0" w:space="0" w:color="auto"/>
            <w:bottom w:val="none" w:sz="0" w:space="0" w:color="auto"/>
            <w:right w:val="none" w:sz="0" w:space="0" w:color="auto"/>
          </w:divBdr>
        </w:div>
        <w:div w:id="1260528619">
          <w:marLeft w:val="0"/>
          <w:marRight w:val="0"/>
          <w:marTop w:val="0"/>
          <w:marBottom w:val="0"/>
          <w:divBdr>
            <w:top w:val="none" w:sz="0" w:space="0" w:color="auto"/>
            <w:left w:val="none" w:sz="0" w:space="0" w:color="auto"/>
            <w:bottom w:val="none" w:sz="0" w:space="0" w:color="auto"/>
            <w:right w:val="none" w:sz="0" w:space="0" w:color="auto"/>
          </w:divBdr>
        </w:div>
        <w:div w:id="2127578648">
          <w:marLeft w:val="0"/>
          <w:marRight w:val="0"/>
          <w:marTop w:val="0"/>
          <w:marBottom w:val="0"/>
          <w:divBdr>
            <w:top w:val="none" w:sz="0" w:space="0" w:color="auto"/>
            <w:left w:val="none" w:sz="0" w:space="0" w:color="auto"/>
            <w:bottom w:val="none" w:sz="0" w:space="0" w:color="auto"/>
            <w:right w:val="none" w:sz="0" w:space="0" w:color="auto"/>
          </w:divBdr>
        </w:div>
        <w:div w:id="618099651">
          <w:marLeft w:val="0"/>
          <w:marRight w:val="0"/>
          <w:marTop w:val="0"/>
          <w:marBottom w:val="0"/>
          <w:divBdr>
            <w:top w:val="none" w:sz="0" w:space="0" w:color="auto"/>
            <w:left w:val="none" w:sz="0" w:space="0" w:color="auto"/>
            <w:bottom w:val="none" w:sz="0" w:space="0" w:color="auto"/>
            <w:right w:val="none" w:sz="0" w:space="0" w:color="auto"/>
          </w:divBdr>
        </w:div>
      </w:divsChild>
    </w:div>
    <w:div w:id="925698632">
      <w:bodyDiv w:val="1"/>
      <w:marLeft w:val="0"/>
      <w:marRight w:val="0"/>
      <w:marTop w:val="0"/>
      <w:marBottom w:val="0"/>
      <w:divBdr>
        <w:top w:val="none" w:sz="0" w:space="0" w:color="auto"/>
        <w:left w:val="none" w:sz="0" w:space="0" w:color="auto"/>
        <w:bottom w:val="none" w:sz="0" w:space="0" w:color="auto"/>
        <w:right w:val="none" w:sz="0" w:space="0" w:color="auto"/>
      </w:divBdr>
      <w:divsChild>
        <w:div w:id="932201543">
          <w:marLeft w:val="0"/>
          <w:marRight w:val="0"/>
          <w:marTop w:val="0"/>
          <w:marBottom w:val="0"/>
          <w:divBdr>
            <w:top w:val="none" w:sz="0" w:space="0" w:color="auto"/>
            <w:left w:val="none" w:sz="0" w:space="0" w:color="auto"/>
            <w:bottom w:val="none" w:sz="0" w:space="0" w:color="auto"/>
            <w:right w:val="none" w:sz="0" w:space="0" w:color="auto"/>
          </w:divBdr>
        </w:div>
        <w:div w:id="1935674202">
          <w:marLeft w:val="0"/>
          <w:marRight w:val="0"/>
          <w:marTop w:val="0"/>
          <w:marBottom w:val="0"/>
          <w:divBdr>
            <w:top w:val="none" w:sz="0" w:space="0" w:color="auto"/>
            <w:left w:val="none" w:sz="0" w:space="0" w:color="auto"/>
            <w:bottom w:val="none" w:sz="0" w:space="0" w:color="auto"/>
            <w:right w:val="none" w:sz="0" w:space="0" w:color="auto"/>
          </w:divBdr>
        </w:div>
        <w:div w:id="274823986">
          <w:marLeft w:val="0"/>
          <w:marRight w:val="0"/>
          <w:marTop w:val="0"/>
          <w:marBottom w:val="0"/>
          <w:divBdr>
            <w:top w:val="none" w:sz="0" w:space="0" w:color="auto"/>
            <w:left w:val="none" w:sz="0" w:space="0" w:color="auto"/>
            <w:bottom w:val="none" w:sz="0" w:space="0" w:color="auto"/>
            <w:right w:val="none" w:sz="0" w:space="0" w:color="auto"/>
          </w:divBdr>
        </w:div>
        <w:div w:id="1484731871">
          <w:marLeft w:val="0"/>
          <w:marRight w:val="0"/>
          <w:marTop w:val="0"/>
          <w:marBottom w:val="0"/>
          <w:divBdr>
            <w:top w:val="none" w:sz="0" w:space="0" w:color="auto"/>
            <w:left w:val="none" w:sz="0" w:space="0" w:color="auto"/>
            <w:bottom w:val="none" w:sz="0" w:space="0" w:color="auto"/>
            <w:right w:val="none" w:sz="0" w:space="0" w:color="auto"/>
          </w:divBdr>
        </w:div>
        <w:div w:id="1169103708">
          <w:marLeft w:val="0"/>
          <w:marRight w:val="0"/>
          <w:marTop w:val="0"/>
          <w:marBottom w:val="0"/>
          <w:divBdr>
            <w:top w:val="none" w:sz="0" w:space="0" w:color="auto"/>
            <w:left w:val="none" w:sz="0" w:space="0" w:color="auto"/>
            <w:bottom w:val="none" w:sz="0" w:space="0" w:color="auto"/>
            <w:right w:val="none" w:sz="0" w:space="0" w:color="auto"/>
          </w:divBdr>
        </w:div>
      </w:divsChild>
    </w:div>
    <w:div w:id="969020083">
      <w:bodyDiv w:val="1"/>
      <w:marLeft w:val="0"/>
      <w:marRight w:val="0"/>
      <w:marTop w:val="0"/>
      <w:marBottom w:val="0"/>
      <w:divBdr>
        <w:top w:val="none" w:sz="0" w:space="0" w:color="auto"/>
        <w:left w:val="none" w:sz="0" w:space="0" w:color="auto"/>
        <w:bottom w:val="none" w:sz="0" w:space="0" w:color="auto"/>
        <w:right w:val="none" w:sz="0" w:space="0" w:color="auto"/>
      </w:divBdr>
      <w:divsChild>
        <w:div w:id="1607151590">
          <w:marLeft w:val="0"/>
          <w:marRight w:val="0"/>
          <w:marTop w:val="0"/>
          <w:marBottom w:val="0"/>
          <w:divBdr>
            <w:top w:val="none" w:sz="0" w:space="0" w:color="auto"/>
            <w:left w:val="none" w:sz="0" w:space="0" w:color="auto"/>
            <w:bottom w:val="none" w:sz="0" w:space="0" w:color="auto"/>
            <w:right w:val="none" w:sz="0" w:space="0" w:color="auto"/>
          </w:divBdr>
        </w:div>
        <w:div w:id="231281348">
          <w:marLeft w:val="0"/>
          <w:marRight w:val="0"/>
          <w:marTop w:val="0"/>
          <w:marBottom w:val="0"/>
          <w:divBdr>
            <w:top w:val="none" w:sz="0" w:space="0" w:color="auto"/>
            <w:left w:val="none" w:sz="0" w:space="0" w:color="auto"/>
            <w:bottom w:val="none" w:sz="0" w:space="0" w:color="auto"/>
            <w:right w:val="none" w:sz="0" w:space="0" w:color="auto"/>
          </w:divBdr>
        </w:div>
        <w:div w:id="1852834980">
          <w:marLeft w:val="0"/>
          <w:marRight w:val="0"/>
          <w:marTop w:val="0"/>
          <w:marBottom w:val="0"/>
          <w:divBdr>
            <w:top w:val="none" w:sz="0" w:space="0" w:color="auto"/>
            <w:left w:val="none" w:sz="0" w:space="0" w:color="auto"/>
            <w:bottom w:val="none" w:sz="0" w:space="0" w:color="auto"/>
            <w:right w:val="none" w:sz="0" w:space="0" w:color="auto"/>
          </w:divBdr>
        </w:div>
        <w:div w:id="92897260">
          <w:marLeft w:val="0"/>
          <w:marRight w:val="0"/>
          <w:marTop w:val="0"/>
          <w:marBottom w:val="0"/>
          <w:divBdr>
            <w:top w:val="none" w:sz="0" w:space="0" w:color="auto"/>
            <w:left w:val="none" w:sz="0" w:space="0" w:color="auto"/>
            <w:bottom w:val="none" w:sz="0" w:space="0" w:color="auto"/>
            <w:right w:val="none" w:sz="0" w:space="0" w:color="auto"/>
          </w:divBdr>
        </w:div>
      </w:divsChild>
    </w:div>
    <w:div w:id="1366099522">
      <w:bodyDiv w:val="1"/>
      <w:marLeft w:val="0"/>
      <w:marRight w:val="0"/>
      <w:marTop w:val="0"/>
      <w:marBottom w:val="0"/>
      <w:divBdr>
        <w:top w:val="none" w:sz="0" w:space="0" w:color="auto"/>
        <w:left w:val="none" w:sz="0" w:space="0" w:color="auto"/>
        <w:bottom w:val="none" w:sz="0" w:space="0" w:color="auto"/>
        <w:right w:val="none" w:sz="0" w:space="0" w:color="auto"/>
      </w:divBdr>
      <w:divsChild>
        <w:div w:id="2133598332">
          <w:marLeft w:val="0"/>
          <w:marRight w:val="0"/>
          <w:marTop w:val="0"/>
          <w:marBottom w:val="0"/>
          <w:divBdr>
            <w:top w:val="none" w:sz="0" w:space="0" w:color="auto"/>
            <w:left w:val="none" w:sz="0" w:space="0" w:color="auto"/>
            <w:bottom w:val="none" w:sz="0" w:space="0" w:color="auto"/>
            <w:right w:val="none" w:sz="0" w:space="0" w:color="auto"/>
          </w:divBdr>
          <w:divsChild>
            <w:div w:id="1460220388">
              <w:marLeft w:val="0"/>
              <w:marRight w:val="0"/>
              <w:marTop w:val="0"/>
              <w:marBottom w:val="0"/>
              <w:divBdr>
                <w:top w:val="none" w:sz="0" w:space="0" w:color="auto"/>
                <w:left w:val="none" w:sz="0" w:space="0" w:color="auto"/>
                <w:bottom w:val="none" w:sz="0" w:space="0" w:color="auto"/>
                <w:right w:val="none" w:sz="0" w:space="0" w:color="auto"/>
              </w:divBdr>
              <w:divsChild>
                <w:div w:id="3622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2241">
      <w:bodyDiv w:val="1"/>
      <w:marLeft w:val="0"/>
      <w:marRight w:val="0"/>
      <w:marTop w:val="0"/>
      <w:marBottom w:val="0"/>
      <w:divBdr>
        <w:top w:val="none" w:sz="0" w:space="0" w:color="auto"/>
        <w:left w:val="none" w:sz="0" w:space="0" w:color="auto"/>
        <w:bottom w:val="none" w:sz="0" w:space="0" w:color="auto"/>
        <w:right w:val="none" w:sz="0" w:space="0" w:color="auto"/>
      </w:divBdr>
      <w:divsChild>
        <w:div w:id="1482653631">
          <w:marLeft w:val="0"/>
          <w:marRight w:val="0"/>
          <w:marTop w:val="0"/>
          <w:marBottom w:val="0"/>
          <w:divBdr>
            <w:top w:val="none" w:sz="0" w:space="0" w:color="auto"/>
            <w:left w:val="none" w:sz="0" w:space="0" w:color="auto"/>
            <w:bottom w:val="none" w:sz="0" w:space="0" w:color="auto"/>
            <w:right w:val="none" w:sz="0" w:space="0" w:color="auto"/>
          </w:divBdr>
        </w:div>
        <w:div w:id="1868256605">
          <w:marLeft w:val="0"/>
          <w:marRight w:val="0"/>
          <w:marTop w:val="0"/>
          <w:marBottom w:val="0"/>
          <w:divBdr>
            <w:top w:val="none" w:sz="0" w:space="0" w:color="auto"/>
            <w:left w:val="none" w:sz="0" w:space="0" w:color="auto"/>
            <w:bottom w:val="none" w:sz="0" w:space="0" w:color="auto"/>
            <w:right w:val="none" w:sz="0" w:space="0" w:color="auto"/>
          </w:divBdr>
        </w:div>
        <w:div w:id="81151019">
          <w:marLeft w:val="0"/>
          <w:marRight w:val="0"/>
          <w:marTop w:val="0"/>
          <w:marBottom w:val="0"/>
          <w:divBdr>
            <w:top w:val="none" w:sz="0" w:space="0" w:color="auto"/>
            <w:left w:val="none" w:sz="0" w:space="0" w:color="auto"/>
            <w:bottom w:val="none" w:sz="0" w:space="0" w:color="auto"/>
            <w:right w:val="none" w:sz="0" w:space="0" w:color="auto"/>
          </w:divBdr>
        </w:div>
        <w:div w:id="1021472058">
          <w:marLeft w:val="0"/>
          <w:marRight w:val="0"/>
          <w:marTop w:val="0"/>
          <w:marBottom w:val="0"/>
          <w:divBdr>
            <w:top w:val="none" w:sz="0" w:space="0" w:color="auto"/>
            <w:left w:val="none" w:sz="0" w:space="0" w:color="auto"/>
            <w:bottom w:val="none" w:sz="0" w:space="0" w:color="auto"/>
            <w:right w:val="none" w:sz="0" w:space="0" w:color="auto"/>
          </w:divBdr>
        </w:div>
      </w:divsChild>
    </w:div>
    <w:div w:id="1885294244">
      <w:bodyDiv w:val="1"/>
      <w:marLeft w:val="0"/>
      <w:marRight w:val="0"/>
      <w:marTop w:val="0"/>
      <w:marBottom w:val="0"/>
      <w:divBdr>
        <w:top w:val="none" w:sz="0" w:space="0" w:color="auto"/>
        <w:left w:val="none" w:sz="0" w:space="0" w:color="auto"/>
        <w:bottom w:val="none" w:sz="0" w:space="0" w:color="auto"/>
        <w:right w:val="none" w:sz="0" w:space="0" w:color="auto"/>
      </w:divBdr>
      <w:divsChild>
        <w:div w:id="1942836291">
          <w:marLeft w:val="0"/>
          <w:marRight w:val="0"/>
          <w:marTop w:val="0"/>
          <w:marBottom w:val="0"/>
          <w:divBdr>
            <w:top w:val="none" w:sz="0" w:space="0" w:color="auto"/>
            <w:left w:val="none" w:sz="0" w:space="0" w:color="auto"/>
            <w:bottom w:val="none" w:sz="0" w:space="0" w:color="auto"/>
            <w:right w:val="none" w:sz="0" w:space="0" w:color="auto"/>
          </w:divBdr>
        </w:div>
        <w:div w:id="701326576">
          <w:marLeft w:val="0"/>
          <w:marRight w:val="0"/>
          <w:marTop w:val="0"/>
          <w:marBottom w:val="0"/>
          <w:divBdr>
            <w:top w:val="none" w:sz="0" w:space="0" w:color="auto"/>
            <w:left w:val="none" w:sz="0" w:space="0" w:color="auto"/>
            <w:bottom w:val="none" w:sz="0" w:space="0" w:color="auto"/>
            <w:right w:val="none" w:sz="0" w:space="0" w:color="auto"/>
          </w:divBdr>
        </w:div>
        <w:div w:id="1963069284">
          <w:marLeft w:val="0"/>
          <w:marRight w:val="0"/>
          <w:marTop w:val="0"/>
          <w:marBottom w:val="0"/>
          <w:divBdr>
            <w:top w:val="none" w:sz="0" w:space="0" w:color="auto"/>
            <w:left w:val="none" w:sz="0" w:space="0" w:color="auto"/>
            <w:bottom w:val="none" w:sz="0" w:space="0" w:color="auto"/>
            <w:right w:val="none" w:sz="0" w:space="0" w:color="auto"/>
          </w:divBdr>
        </w:div>
        <w:div w:id="2088183910">
          <w:marLeft w:val="0"/>
          <w:marRight w:val="0"/>
          <w:marTop w:val="0"/>
          <w:marBottom w:val="0"/>
          <w:divBdr>
            <w:top w:val="none" w:sz="0" w:space="0" w:color="auto"/>
            <w:left w:val="none" w:sz="0" w:space="0" w:color="auto"/>
            <w:bottom w:val="none" w:sz="0" w:space="0" w:color="auto"/>
            <w:right w:val="none" w:sz="0" w:space="0" w:color="auto"/>
          </w:divBdr>
        </w:div>
        <w:div w:id="189303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15/treatybodyexternal/Download.aspx?symbolno=CRPD/C/GC/4&amp;Lang=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www.unicef.org/wash/files/4_WSSCC_JMP_Fact_Sheets_4_UK_Lo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DAD2F-497A-4B7E-AAB7-6B68C8C73769}"/>
</file>

<file path=customXml/itemProps2.xml><?xml version="1.0" encoding="utf-8"?>
<ds:datastoreItem xmlns:ds="http://schemas.openxmlformats.org/officeDocument/2006/customXml" ds:itemID="{00026474-0784-4E4D-9A74-5C8D8DD5C32B}">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9C22749-8B58-46E9-BF8E-0A97DD8D5000}">
  <ds:schemaRefs>
    <ds:schemaRef ds:uri="http://schemas.microsoft.com/sharepoint/v3/contenttype/forms"/>
  </ds:schemaRefs>
</ds:datastoreItem>
</file>

<file path=customXml/itemProps4.xml><?xml version="1.0" encoding="utf-8"?>
<ds:datastoreItem xmlns:ds="http://schemas.openxmlformats.org/officeDocument/2006/customXml" ds:itemID="{9010005D-CF8C-4FB2-BF78-A3957BCF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6252</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cp:lastPrinted>2018-06-07T08:17:00Z</cp:lastPrinted>
  <dcterms:created xsi:type="dcterms:W3CDTF">2020-07-01T09:40:00Z</dcterms:created>
  <dcterms:modified xsi:type="dcterms:W3CDTF">2020-09-07T13:32:00Z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