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7312D" w14:textId="77777777" w:rsidR="00653DD5" w:rsidRDefault="00653DD5" w:rsidP="00FA3963">
      <w:pPr>
        <w:spacing w:after="0" w:line="240" w:lineRule="auto"/>
        <w:jc w:val="center"/>
        <w:rPr>
          <w:rFonts w:cstheme="minorHAnsi"/>
          <w:b/>
          <w:sz w:val="18"/>
          <w:szCs w:val="18"/>
        </w:rPr>
      </w:pPr>
    </w:p>
    <w:p w14:paraId="15210326" w14:textId="18E71C35" w:rsidR="00653DD5" w:rsidRPr="00556A1F" w:rsidRDefault="00653DD5" w:rsidP="0059022A">
      <w:pPr>
        <w:pStyle w:val="Heading1"/>
      </w:pPr>
      <w:r w:rsidRPr="00556A1F">
        <w:t xml:space="preserve">Article 25 – Illustrative </w:t>
      </w:r>
      <w:r w:rsidRPr="0059022A">
        <w:t>indicators</w:t>
      </w:r>
      <w:r w:rsidRPr="00556A1F">
        <w:t xml:space="preserve"> on the right to health</w:t>
      </w:r>
      <w:r w:rsidR="00E90D0B">
        <w:t>*</w:t>
      </w:r>
    </w:p>
    <w:p w14:paraId="2E827BC2" w14:textId="77777777" w:rsidR="00653DD5" w:rsidRPr="00556A1F" w:rsidRDefault="00653DD5" w:rsidP="0059022A">
      <w:pPr>
        <w:pStyle w:val="Heading1"/>
      </w:pPr>
      <w:r w:rsidRPr="00556A1F">
        <w:t>Enjoyment of the highest attainable standard of health without discrimination on the basis of disability</w:t>
      </w:r>
    </w:p>
    <w:p w14:paraId="0906275D" w14:textId="77777777" w:rsidR="00F172D4" w:rsidRDefault="00F172D4" w:rsidP="00FA3963">
      <w:pPr>
        <w:pStyle w:val="ListParagraph"/>
        <w:spacing w:after="0" w:line="240" w:lineRule="auto"/>
        <w:ind w:left="0"/>
        <w:rPr>
          <w:rFonts w:cstheme="minorHAnsi"/>
          <w:b/>
          <w:sz w:val="18"/>
          <w:szCs w:val="18"/>
        </w:rPr>
      </w:pPr>
    </w:p>
    <w:p w14:paraId="5ED288BB" w14:textId="4C05792A" w:rsidR="00653DD5" w:rsidRPr="00556A1F" w:rsidRDefault="00653DD5" w:rsidP="0059022A">
      <w:pPr>
        <w:pStyle w:val="Heading2"/>
      </w:pPr>
      <w:r w:rsidRPr="0059022A">
        <w:t>Attributes</w:t>
      </w:r>
    </w:p>
    <w:p w14:paraId="6813B796" w14:textId="77777777" w:rsidR="00653DD5" w:rsidRPr="00653DD5" w:rsidRDefault="00653DD5" w:rsidP="00653DD5">
      <w:pPr>
        <w:pStyle w:val="ListParagraph"/>
        <w:numPr>
          <w:ilvl w:val="0"/>
          <w:numId w:val="15"/>
        </w:numPr>
        <w:spacing w:after="0" w:line="240" w:lineRule="auto"/>
        <w:rPr>
          <w:rFonts w:cstheme="minorHAnsi"/>
          <w:b/>
          <w:sz w:val="18"/>
          <w:szCs w:val="18"/>
        </w:rPr>
      </w:pPr>
      <w:r w:rsidRPr="00653DD5">
        <w:rPr>
          <w:rFonts w:cstheme="minorHAnsi"/>
          <w:b/>
          <w:sz w:val="18"/>
          <w:szCs w:val="18"/>
        </w:rPr>
        <w:t>Equal access to mainstream and specific services within general health services</w:t>
      </w:r>
    </w:p>
    <w:p w14:paraId="5776D9E5" w14:textId="77777777" w:rsidR="00653DD5" w:rsidRPr="00653DD5" w:rsidRDefault="00653DD5" w:rsidP="00653DD5">
      <w:pPr>
        <w:pStyle w:val="ListParagraph"/>
        <w:numPr>
          <w:ilvl w:val="0"/>
          <w:numId w:val="15"/>
        </w:numPr>
        <w:spacing w:after="0" w:line="240" w:lineRule="auto"/>
        <w:rPr>
          <w:rFonts w:cstheme="minorHAnsi"/>
          <w:b/>
          <w:sz w:val="18"/>
          <w:szCs w:val="18"/>
        </w:rPr>
      </w:pPr>
      <w:r w:rsidRPr="00653DD5">
        <w:rPr>
          <w:rFonts w:cstheme="minorHAnsi"/>
          <w:b/>
          <w:sz w:val="18"/>
          <w:szCs w:val="18"/>
        </w:rPr>
        <w:t>Inclusive health Insurance</w:t>
      </w:r>
    </w:p>
    <w:p w14:paraId="05920F52" w14:textId="77777777" w:rsidR="00653DD5" w:rsidRPr="00653DD5" w:rsidRDefault="00653DD5" w:rsidP="00653DD5">
      <w:pPr>
        <w:pStyle w:val="ListParagraph"/>
        <w:numPr>
          <w:ilvl w:val="0"/>
          <w:numId w:val="15"/>
        </w:numPr>
        <w:spacing w:after="0" w:line="240" w:lineRule="auto"/>
        <w:rPr>
          <w:rFonts w:cstheme="minorHAnsi"/>
          <w:b/>
          <w:sz w:val="18"/>
          <w:szCs w:val="18"/>
        </w:rPr>
      </w:pPr>
      <w:r w:rsidRPr="00653DD5">
        <w:rPr>
          <w:rFonts w:cstheme="minorHAnsi"/>
          <w:b/>
          <w:sz w:val="18"/>
          <w:szCs w:val="18"/>
        </w:rPr>
        <w:t>Free and informed consent</w:t>
      </w:r>
    </w:p>
    <w:p w14:paraId="4F626A32" w14:textId="77777777" w:rsidR="00653DD5" w:rsidRPr="00556A1F" w:rsidRDefault="00653DD5" w:rsidP="00FA3963">
      <w:pPr>
        <w:spacing w:after="0" w:line="240" w:lineRule="auto"/>
        <w:jc w:val="center"/>
        <w:rPr>
          <w:rFonts w:cstheme="minorHAnsi"/>
          <w:b/>
          <w:sz w:val="18"/>
          <w:szCs w:val="18"/>
        </w:rPr>
      </w:pPr>
    </w:p>
    <w:p w14:paraId="0D90DCDB" w14:textId="7A165450" w:rsidR="00653DD5" w:rsidRPr="00556A1F" w:rsidRDefault="00653DD5" w:rsidP="0059022A">
      <w:pPr>
        <w:pStyle w:val="Heading2"/>
      </w:pPr>
      <w:r w:rsidRPr="00556A1F">
        <w:t>Structure</w:t>
      </w:r>
      <w:r>
        <w:t xml:space="preserve"> </w:t>
      </w:r>
      <w:r w:rsidRPr="00556A1F">
        <w:t>Indicators</w:t>
      </w:r>
    </w:p>
    <w:p w14:paraId="09756520"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 xml:space="preserve">25.1 Legislation relating to health which explicitly recognises: </w:t>
      </w:r>
    </w:p>
    <w:p w14:paraId="77B52C80" w14:textId="77777777" w:rsidR="00653DD5" w:rsidRPr="00556A1F" w:rsidRDefault="00653DD5" w:rsidP="00FA3963">
      <w:pPr>
        <w:pStyle w:val="ListParagraph"/>
        <w:numPr>
          <w:ilvl w:val="0"/>
          <w:numId w:val="8"/>
        </w:numPr>
        <w:tabs>
          <w:tab w:val="left" w:pos="117"/>
        </w:tabs>
        <w:spacing w:after="0" w:line="240" w:lineRule="auto"/>
        <w:ind w:left="0" w:hanging="25"/>
        <w:jc w:val="both"/>
        <w:rPr>
          <w:rFonts w:cstheme="minorHAnsi"/>
          <w:sz w:val="18"/>
          <w:szCs w:val="18"/>
        </w:rPr>
      </w:pPr>
      <w:r w:rsidRPr="00556A1F">
        <w:rPr>
          <w:rFonts w:cstheme="minorHAnsi"/>
          <w:sz w:val="18"/>
          <w:szCs w:val="18"/>
        </w:rPr>
        <w:t>equal access by persons with disabilities</w:t>
      </w:r>
      <w:r w:rsidRPr="00556A1F">
        <w:rPr>
          <w:rStyle w:val="EndnoteReference"/>
          <w:rFonts w:cstheme="minorHAnsi"/>
          <w:sz w:val="18"/>
          <w:szCs w:val="18"/>
        </w:rPr>
        <w:endnoteReference w:id="1"/>
      </w:r>
      <w:r w:rsidRPr="00556A1F">
        <w:rPr>
          <w:rFonts w:cstheme="minorHAnsi"/>
          <w:sz w:val="18"/>
          <w:szCs w:val="18"/>
        </w:rPr>
        <w:t xml:space="preserve"> to affordable, accessible, quality and culturally-sensitive health services,</w:t>
      </w:r>
      <w:r w:rsidRPr="00556A1F">
        <w:rPr>
          <w:rFonts w:cstheme="minorHAnsi"/>
          <w:sz w:val="18"/>
          <w:szCs w:val="18"/>
          <w:vertAlign w:val="superscript"/>
        </w:rPr>
        <w:t xml:space="preserve"> </w:t>
      </w:r>
      <w:r w:rsidRPr="00556A1F">
        <w:rPr>
          <w:rFonts w:cstheme="minorHAnsi"/>
          <w:sz w:val="18"/>
          <w:szCs w:val="18"/>
        </w:rPr>
        <w:t>in private and public settings;</w:t>
      </w:r>
    </w:p>
    <w:p w14:paraId="7C792D52" w14:textId="77777777" w:rsidR="00653DD5" w:rsidRPr="00556A1F" w:rsidRDefault="00653DD5" w:rsidP="00FA3963">
      <w:pPr>
        <w:pStyle w:val="ListParagraph"/>
        <w:numPr>
          <w:ilvl w:val="0"/>
          <w:numId w:val="8"/>
        </w:numPr>
        <w:tabs>
          <w:tab w:val="left" w:pos="117"/>
        </w:tabs>
        <w:spacing w:after="0" w:line="240" w:lineRule="auto"/>
        <w:ind w:left="0" w:hanging="25"/>
        <w:jc w:val="both"/>
        <w:rPr>
          <w:rFonts w:cstheme="minorHAnsi"/>
          <w:sz w:val="18"/>
          <w:szCs w:val="18"/>
        </w:rPr>
      </w:pPr>
      <w:r w:rsidRPr="00556A1F">
        <w:rPr>
          <w:rFonts w:cstheme="minorHAnsi"/>
          <w:sz w:val="18"/>
          <w:szCs w:val="18"/>
        </w:rPr>
        <w:t>the denial of reasonable accommodation constitutes disability-based discrimination;</w:t>
      </w:r>
    </w:p>
    <w:p w14:paraId="4FCCA8AF" w14:textId="77777777" w:rsidR="00653DD5" w:rsidRPr="00556A1F" w:rsidRDefault="00653DD5" w:rsidP="00FA3963">
      <w:pPr>
        <w:pStyle w:val="ListParagraph"/>
        <w:numPr>
          <w:ilvl w:val="0"/>
          <w:numId w:val="8"/>
        </w:numPr>
        <w:tabs>
          <w:tab w:val="left" w:pos="117"/>
        </w:tabs>
        <w:spacing w:after="0" w:line="240" w:lineRule="auto"/>
        <w:ind w:left="0" w:hanging="25"/>
        <w:jc w:val="both"/>
        <w:rPr>
          <w:rFonts w:cstheme="minorHAnsi"/>
          <w:sz w:val="18"/>
          <w:szCs w:val="18"/>
        </w:rPr>
      </w:pPr>
      <w:r w:rsidRPr="00556A1F">
        <w:rPr>
          <w:rFonts w:cstheme="minorHAnsi"/>
          <w:sz w:val="18"/>
          <w:szCs w:val="18"/>
        </w:rPr>
        <w:t>respect for confidentiality of persons with disabilities, including women, children and older persons.</w:t>
      </w:r>
    </w:p>
    <w:p w14:paraId="79703230"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 Laws and regulations that guarantee women and girls access to sexual and reproductive health care, information and education (based on SDG indicator 5.6.2), including women and girls with disabilities.</w:t>
      </w:r>
    </w:p>
    <w:p w14:paraId="6CCB1402" w14:textId="21CFFC5A" w:rsidR="00653DD5" w:rsidRPr="00556A1F" w:rsidRDefault="00653DD5" w:rsidP="00FA3963">
      <w:pPr>
        <w:spacing w:after="0" w:line="240" w:lineRule="auto"/>
        <w:jc w:val="both"/>
        <w:rPr>
          <w:rFonts w:cstheme="minorHAnsi"/>
          <w:sz w:val="18"/>
          <w:szCs w:val="18"/>
        </w:rPr>
      </w:pPr>
      <w:r w:rsidRPr="00556A1F">
        <w:rPr>
          <w:rFonts w:cstheme="minorHAnsi"/>
          <w:sz w:val="18"/>
          <w:szCs w:val="18"/>
        </w:rPr>
        <w:t>25.3 Existence of a national policy/plan to ensure that persons with disabilities,</w:t>
      </w:r>
      <w:r w:rsidRPr="00556A1F">
        <w:rPr>
          <w:rFonts w:cstheme="minorHAnsi"/>
          <w:sz w:val="18"/>
          <w:szCs w:val="18"/>
          <w:lang w:val="en-US"/>
        </w:rPr>
        <w:t xml:space="preserve"> particularly women, children and older persons,</w:t>
      </w:r>
      <w:r w:rsidRPr="00556A1F">
        <w:rPr>
          <w:rFonts w:cstheme="minorHAnsi"/>
          <w:sz w:val="18"/>
          <w:szCs w:val="18"/>
        </w:rPr>
        <w:t xml:space="preserve"> have access to quality and affordable health services,</w:t>
      </w:r>
      <w:r w:rsidRPr="00556A1F">
        <w:rPr>
          <w:rFonts w:cstheme="minorHAnsi"/>
          <w:sz w:val="18"/>
          <w:szCs w:val="18"/>
          <w:vertAlign w:val="superscript"/>
        </w:rPr>
        <w:endnoteReference w:id="2"/>
      </w:r>
      <w:r w:rsidRPr="00556A1F">
        <w:rPr>
          <w:rFonts w:cstheme="minorHAnsi"/>
          <w:sz w:val="18"/>
          <w:szCs w:val="18"/>
        </w:rPr>
        <w:t xml:space="preserve"> including access to universal health coverage</w:t>
      </w:r>
      <w:r w:rsidRPr="00556A1F">
        <w:rPr>
          <w:rFonts w:cstheme="minorHAnsi"/>
          <w:sz w:val="18"/>
          <w:szCs w:val="18"/>
          <w:vertAlign w:val="superscript"/>
        </w:rPr>
        <w:endnoteReference w:id="3"/>
      </w:r>
      <w:r w:rsidR="0086339D">
        <w:rPr>
          <w:rFonts w:cstheme="minorHAnsi"/>
          <w:sz w:val="18"/>
          <w:szCs w:val="18"/>
        </w:rPr>
        <w:t xml:space="preserve"> and access to emergency care on an equal basis with others </w:t>
      </w:r>
      <w:r w:rsidRPr="00556A1F">
        <w:rPr>
          <w:rFonts w:cstheme="minorHAnsi"/>
          <w:sz w:val="18"/>
          <w:szCs w:val="18"/>
        </w:rPr>
        <w:t>(Idem 10.4)</w:t>
      </w:r>
      <w:r w:rsidR="0086339D">
        <w:rPr>
          <w:rFonts w:cstheme="minorHAnsi"/>
          <w:sz w:val="18"/>
          <w:szCs w:val="18"/>
        </w:rPr>
        <w:t>.</w:t>
      </w:r>
      <w:r w:rsidRPr="00556A1F">
        <w:rPr>
          <w:rFonts w:cstheme="minorHAnsi"/>
          <w:sz w:val="18"/>
          <w:szCs w:val="18"/>
        </w:rPr>
        <w:t xml:space="preserve"> </w:t>
      </w:r>
    </w:p>
    <w:p w14:paraId="45CB920E"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25.4 National accessibility standards adopted and applied to public and private health facilities.</w:t>
      </w:r>
    </w:p>
    <w:p w14:paraId="2A6101D8" w14:textId="2D6A1243" w:rsidR="00653DD5" w:rsidRPr="00556A1F" w:rsidRDefault="00653DD5" w:rsidP="00653DD5">
      <w:pPr>
        <w:spacing w:after="0" w:line="240" w:lineRule="auto"/>
        <w:jc w:val="both"/>
        <w:rPr>
          <w:rFonts w:cstheme="minorHAnsi"/>
          <w:sz w:val="18"/>
          <w:szCs w:val="18"/>
        </w:rPr>
      </w:pPr>
      <w:r w:rsidRPr="00556A1F">
        <w:rPr>
          <w:rFonts w:cstheme="minorHAnsi"/>
          <w:sz w:val="18"/>
          <w:szCs w:val="18"/>
        </w:rPr>
        <w:t>25.5 Legislation prohibits health insurers from discriminating against persons with disabilities on the basis of pre-existing impairments/health conditions.</w:t>
      </w:r>
    </w:p>
    <w:p w14:paraId="66908712" w14:textId="77777777" w:rsidR="00653DD5" w:rsidRPr="00556A1F" w:rsidRDefault="00653DD5" w:rsidP="00601E75">
      <w:pPr>
        <w:pStyle w:val="ListParagraph"/>
        <w:numPr>
          <w:ilvl w:val="1"/>
          <w:numId w:val="14"/>
        </w:numPr>
        <w:spacing w:after="0" w:line="240" w:lineRule="auto"/>
        <w:jc w:val="both"/>
        <w:rPr>
          <w:rFonts w:cstheme="minorHAnsi"/>
          <w:sz w:val="18"/>
          <w:szCs w:val="18"/>
        </w:rPr>
      </w:pPr>
      <w:r w:rsidRPr="00556A1F">
        <w:rPr>
          <w:rFonts w:cstheme="minorHAnsi"/>
          <w:sz w:val="18"/>
          <w:szCs w:val="18"/>
        </w:rPr>
        <w:t xml:space="preserve">Legislation which: </w:t>
      </w:r>
    </w:p>
    <w:p w14:paraId="519AA1F1" w14:textId="77777777" w:rsidR="00653DD5" w:rsidRPr="00556A1F" w:rsidRDefault="00653DD5" w:rsidP="00601E75">
      <w:pPr>
        <w:pStyle w:val="ListParagraph"/>
        <w:numPr>
          <w:ilvl w:val="0"/>
          <w:numId w:val="6"/>
        </w:numPr>
        <w:tabs>
          <w:tab w:val="left" w:pos="132"/>
        </w:tabs>
        <w:spacing w:after="0" w:line="240" w:lineRule="auto"/>
        <w:ind w:left="0" w:hanging="10"/>
        <w:jc w:val="both"/>
        <w:rPr>
          <w:rFonts w:cstheme="minorHAnsi"/>
          <w:sz w:val="18"/>
          <w:szCs w:val="18"/>
        </w:rPr>
      </w:pPr>
      <w:r w:rsidRPr="00556A1F">
        <w:rPr>
          <w:rFonts w:cstheme="minorHAnsi"/>
          <w:sz w:val="18"/>
          <w:szCs w:val="18"/>
        </w:rPr>
        <w:t>Recognizes the right to free and informed consent to medical treatment, and the right to refuse treatment, of every individual at all times, regardless of their legal capacity status, condition of liberty, including in situations of mental distress;</w:t>
      </w:r>
    </w:p>
    <w:p w14:paraId="344383AD" w14:textId="77777777" w:rsidR="00653DD5" w:rsidRPr="00556A1F" w:rsidRDefault="00653DD5" w:rsidP="00925CF3">
      <w:pPr>
        <w:pStyle w:val="ListParagraph"/>
        <w:numPr>
          <w:ilvl w:val="0"/>
          <w:numId w:val="6"/>
        </w:numPr>
        <w:tabs>
          <w:tab w:val="left" w:pos="132"/>
        </w:tabs>
        <w:spacing w:after="0" w:line="240" w:lineRule="auto"/>
        <w:ind w:left="0" w:hanging="10"/>
        <w:jc w:val="both"/>
        <w:rPr>
          <w:rFonts w:cstheme="minorHAnsi"/>
          <w:sz w:val="18"/>
          <w:szCs w:val="18"/>
        </w:rPr>
      </w:pPr>
      <w:r w:rsidRPr="00556A1F">
        <w:rPr>
          <w:rFonts w:cstheme="minorHAnsi"/>
          <w:sz w:val="18"/>
          <w:szCs w:val="18"/>
        </w:rPr>
        <w:t>Prohibits discrimination in the exercise of free and informed consent, including the denial of reasonable accommodation;</w:t>
      </w:r>
    </w:p>
    <w:p w14:paraId="1D1F579F" w14:textId="77777777" w:rsidR="00653DD5" w:rsidRPr="00556A1F" w:rsidRDefault="00653DD5" w:rsidP="00C35D0C">
      <w:pPr>
        <w:pStyle w:val="ListParagraph"/>
        <w:numPr>
          <w:ilvl w:val="0"/>
          <w:numId w:val="6"/>
        </w:numPr>
        <w:tabs>
          <w:tab w:val="left" w:pos="132"/>
        </w:tabs>
        <w:spacing w:after="0" w:line="240" w:lineRule="auto"/>
        <w:ind w:left="0" w:hanging="10"/>
        <w:jc w:val="both"/>
        <w:rPr>
          <w:rFonts w:cstheme="minorHAnsi"/>
          <w:sz w:val="18"/>
          <w:szCs w:val="18"/>
        </w:rPr>
      </w:pPr>
      <w:r w:rsidRPr="00556A1F">
        <w:rPr>
          <w:rFonts w:cstheme="minorHAnsi"/>
          <w:sz w:val="18"/>
          <w:szCs w:val="18"/>
        </w:rPr>
        <w:t>Ensures that all health information and consent forms are fully accessible and culturally appropriate;</w:t>
      </w:r>
    </w:p>
    <w:p w14:paraId="56712515" w14:textId="77777777" w:rsidR="00653DD5" w:rsidRPr="00556A1F" w:rsidRDefault="00653DD5" w:rsidP="003C3331">
      <w:pPr>
        <w:pStyle w:val="ListParagraph"/>
        <w:tabs>
          <w:tab w:val="left" w:pos="132"/>
        </w:tabs>
        <w:spacing w:after="0" w:line="240" w:lineRule="auto"/>
        <w:ind w:left="0"/>
        <w:jc w:val="both"/>
        <w:rPr>
          <w:rFonts w:cstheme="minorHAnsi"/>
          <w:sz w:val="18"/>
          <w:szCs w:val="18"/>
        </w:rPr>
      </w:pPr>
      <w:r w:rsidRPr="00556A1F">
        <w:rPr>
          <w:rFonts w:cstheme="minorHAnsi"/>
          <w:sz w:val="18"/>
          <w:szCs w:val="18"/>
        </w:rPr>
        <w:t>- Requires health care providers to act in accordance with advance directives, powers of attorney and other forms of supported decision-making for health care decisions.</w:t>
      </w:r>
      <w:r w:rsidRPr="00556A1F">
        <w:rPr>
          <w:rStyle w:val="EndnoteReference"/>
          <w:rFonts w:cstheme="minorHAnsi"/>
          <w:sz w:val="18"/>
          <w:szCs w:val="18"/>
        </w:rPr>
        <w:endnoteReference w:id="4"/>
      </w:r>
    </w:p>
    <w:p w14:paraId="4DA88AEB" w14:textId="77777777" w:rsidR="00653DD5" w:rsidRPr="00556A1F" w:rsidRDefault="00653DD5" w:rsidP="003C3331">
      <w:pPr>
        <w:pStyle w:val="ListParagraph"/>
        <w:tabs>
          <w:tab w:val="left" w:pos="132"/>
        </w:tabs>
        <w:spacing w:after="0" w:line="240" w:lineRule="auto"/>
        <w:ind w:left="0"/>
        <w:jc w:val="both"/>
        <w:rPr>
          <w:rFonts w:cstheme="minorHAnsi"/>
          <w:sz w:val="18"/>
          <w:szCs w:val="18"/>
        </w:rPr>
      </w:pPr>
      <w:r w:rsidRPr="00556A1F">
        <w:rPr>
          <w:rFonts w:cstheme="minorHAnsi"/>
          <w:sz w:val="18"/>
          <w:szCs w:val="18"/>
        </w:rPr>
        <w:t>25.7 No provisions in legislation or regulations</w:t>
      </w:r>
      <w:r w:rsidRPr="00556A1F">
        <w:rPr>
          <w:rStyle w:val="EndnoteReference"/>
          <w:rFonts w:cstheme="minorHAnsi"/>
          <w:sz w:val="18"/>
          <w:szCs w:val="18"/>
        </w:rPr>
        <w:endnoteReference w:id="5"/>
      </w:r>
      <w:r w:rsidRPr="00556A1F">
        <w:rPr>
          <w:rFonts w:cstheme="minorHAnsi"/>
          <w:sz w:val="18"/>
          <w:szCs w:val="18"/>
        </w:rPr>
        <w:t xml:space="preserve"> which permit:</w:t>
      </w:r>
    </w:p>
    <w:p w14:paraId="55E62F9D" w14:textId="77777777" w:rsidR="00653DD5" w:rsidRPr="00556A1F" w:rsidRDefault="00653DD5" w:rsidP="00E434D8">
      <w:pPr>
        <w:pStyle w:val="ListParagraph"/>
        <w:numPr>
          <w:ilvl w:val="0"/>
          <w:numId w:val="4"/>
        </w:numPr>
        <w:tabs>
          <w:tab w:val="left" w:pos="132"/>
        </w:tabs>
        <w:spacing w:after="0" w:line="240" w:lineRule="auto"/>
        <w:ind w:left="0" w:hanging="21"/>
        <w:jc w:val="both"/>
        <w:rPr>
          <w:rFonts w:cstheme="minorHAnsi"/>
          <w:sz w:val="18"/>
          <w:szCs w:val="18"/>
        </w:rPr>
      </w:pPr>
      <w:r w:rsidRPr="00556A1F">
        <w:rPr>
          <w:rFonts w:cstheme="minorHAnsi"/>
          <w:sz w:val="18"/>
          <w:szCs w:val="18"/>
        </w:rPr>
        <w:t>Consent to be provided or substituted by a third party;</w:t>
      </w:r>
      <w:r w:rsidRPr="00556A1F">
        <w:rPr>
          <w:rStyle w:val="EndnoteReference"/>
          <w:rFonts w:cstheme="minorHAnsi"/>
          <w:sz w:val="18"/>
          <w:szCs w:val="18"/>
        </w:rPr>
        <w:endnoteReference w:id="6"/>
      </w:r>
    </w:p>
    <w:p w14:paraId="5177C585" w14:textId="39484080" w:rsidR="00653DD5" w:rsidRPr="00653DD5" w:rsidRDefault="00653DD5" w:rsidP="00653DD5">
      <w:pPr>
        <w:spacing w:after="0" w:line="240" w:lineRule="auto"/>
        <w:jc w:val="both"/>
        <w:rPr>
          <w:rFonts w:cstheme="minorHAnsi"/>
          <w:sz w:val="18"/>
          <w:szCs w:val="18"/>
        </w:rPr>
      </w:pPr>
      <w:r w:rsidRPr="00556A1F">
        <w:rPr>
          <w:rFonts w:cstheme="minorHAnsi"/>
          <w:sz w:val="18"/>
          <w:szCs w:val="18"/>
        </w:rPr>
        <w:t>- Any type of involuntary treatment including through any form of surgery;</w:t>
      </w:r>
      <w:r w:rsidRPr="00556A1F">
        <w:rPr>
          <w:rStyle w:val="EndnoteReference"/>
          <w:rFonts w:cstheme="minorHAnsi"/>
          <w:sz w:val="18"/>
          <w:szCs w:val="18"/>
        </w:rPr>
        <w:endnoteReference w:id="7"/>
      </w:r>
      <w:r w:rsidRPr="00556A1F">
        <w:rPr>
          <w:rFonts w:cstheme="minorHAnsi"/>
          <w:sz w:val="18"/>
          <w:szCs w:val="18"/>
        </w:rPr>
        <w:t xml:space="preserve"> administration of any type medication,</w:t>
      </w:r>
      <w:r w:rsidRPr="00556A1F">
        <w:rPr>
          <w:rStyle w:val="EndnoteReference"/>
          <w:rFonts w:cstheme="minorHAnsi"/>
          <w:sz w:val="18"/>
          <w:szCs w:val="18"/>
        </w:rPr>
        <w:endnoteReference w:id="8"/>
      </w:r>
      <w:r w:rsidRPr="00556A1F">
        <w:rPr>
          <w:rFonts w:cstheme="minorHAnsi"/>
          <w:sz w:val="18"/>
          <w:szCs w:val="18"/>
        </w:rPr>
        <w:t xml:space="preserve"> therapy (e.g. ECT), mechanical devices, belts or restraints.</w:t>
      </w:r>
    </w:p>
    <w:p w14:paraId="7AE161FE" w14:textId="77777777" w:rsidR="00653DD5" w:rsidRPr="00556A1F" w:rsidRDefault="00653DD5" w:rsidP="00F951E1">
      <w:pPr>
        <w:spacing w:after="0" w:line="240" w:lineRule="auto"/>
        <w:jc w:val="both"/>
        <w:rPr>
          <w:rFonts w:cstheme="minorHAnsi"/>
          <w:sz w:val="18"/>
          <w:szCs w:val="18"/>
        </w:rPr>
      </w:pPr>
      <w:r w:rsidRPr="00556A1F">
        <w:rPr>
          <w:rFonts w:cstheme="minorHAnsi"/>
          <w:sz w:val="18"/>
          <w:szCs w:val="18"/>
        </w:rPr>
        <w:t>25.8 Mandatory courses and training on the right to health of persons with disabilities, free and informed consent and underlying social determinants impacting health, including mental health, constitute an integral part of core training curricula for students of medical and health programmes in universities and other educational institutions.</w:t>
      </w:r>
    </w:p>
    <w:p w14:paraId="05636A4D" w14:textId="77777777" w:rsidR="00653DD5" w:rsidRDefault="00653DD5" w:rsidP="00653DD5">
      <w:pPr>
        <w:pStyle w:val="ListParagraph"/>
        <w:spacing w:after="0" w:line="240" w:lineRule="auto"/>
        <w:ind w:left="0"/>
        <w:rPr>
          <w:rFonts w:cstheme="minorHAnsi"/>
          <w:b/>
          <w:sz w:val="18"/>
          <w:szCs w:val="18"/>
        </w:rPr>
      </w:pPr>
    </w:p>
    <w:p w14:paraId="337955F2" w14:textId="3F73312B" w:rsidR="00653DD5" w:rsidRPr="00556A1F" w:rsidRDefault="00653DD5" w:rsidP="0059022A">
      <w:pPr>
        <w:pStyle w:val="Heading2"/>
      </w:pPr>
      <w:r w:rsidRPr="00556A1F">
        <w:t>Process</w:t>
      </w:r>
      <w:r>
        <w:t xml:space="preserve"> </w:t>
      </w:r>
      <w:r w:rsidRPr="00556A1F">
        <w:t>Indicators</w:t>
      </w:r>
    </w:p>
    <w:p w14:paraId="50E2E461"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25.9 Proportion of public health clinics and hospitals and other facilities offering healthcare provision, that meet national accessibility standards, including accessible buildings and environment,</w:t>
      </w:r>
      <w:r w:rsidRPr="00556A1F">
        <w:rPr>
          <w:rStyle w:val="EndnoteReference"/>
          <w:rFonts w:cstheme="minorHAnsi"/>
          <w:sz w:val="18"/>
          <w:szCs w:val="18"/>
        </w:rPr>
        <w:endnoteReference w:id="9"/>
      </w:r>
      <w:r w:rsidRPr="00556A1F">
        <w:rPr>
          <w:rFonts w:cstheme="minorHAnsi"/>
          <w:sz w:val="18"/>
          <w:szCs w:val="18"/>
        </w:rPr>
        <w:t xml:space="preserve"> medical and health equipment, information and communications.</w:t>
      </w:r>
    </w:p>
    <w:p w14:paraId="2B60314F" w14:textId="77777777" w:rsidR="00653DD5" w:rsidRPr="00556A1F" w:rsidRDefault="00653DD5" w:rsidP="00DB0645">
      <w:pPr>
        <w:spacing w:after="0" w:line="240" w:lineRule="auto"/>
        <w:jc w:val="both"/>
        <w:rPr>
          <w:rFonts w:cstheme="minorHAnsi"/>
          <w:sz w:val="18"/>
          <w:szCs w:val="18"/>
        </w:rPr>
      </w:pPr>
      <w:r w:rsidRPr="00556A1F">
        <w:rPr>
          <w:rFonts w:cstheme="minorHAnsi"/>
          <w:sz w:val="18"/>
          <w:szCs w:val="18"/>
        </w:rPr>
        <w:t>25.10 Proportion of public health clinics and hospitals that offer accessible and alternative communication methods.</w:t>
      </w:r>
      <w:r w:rsidRPr="00556A1F">
        <w:rPr>
          <w:rStyle w:val="EndnoteReference"/>
          <w:rFonts w:cstheme="minorHAnsi"/>
          <w:sz w:val="18"/>
          <w:szCs w:val="18"/>
        </w:rPr>
        <w:endnoteReference w:id="10"/>
      </w:r>
      <w:r w:rsidRPr="00556A1F">
        <w:rPr>
          <w:rFonts w:cstheme="minorHAnsi"/>
          <w:sz w:val="18"/>
          <w:szCs w:val="18"/>
        </w:rPr>
        <w:t xml:space="preserve"> </w:t>
      </w:r>
    </w:p>
    <w:p w14:paraId="245075E6" w14:textId="77777777" w:rsidR="00653DD5" w:rsidRPr="00556A1F" w:rsidRDefault="00653DD5" w:rsidP="00F172D4">
      <w:pPr>
        <w:pStyle w:val="CommentText"/>
        <w:spacing w:after="0"/>
        <w:jc w:val="both"/>
        <w:rPr>
          <w:sz w:val="18"/>
          <w:szCs w:val="18"/>
        </w:rPr>
      </w:pPr>
      <w:r w:rsidRPr="00556A1F">
        <w:rPr>
          <w:sz w:val="18"/>
          <w:szCs w:val="18"/>
        </w:rPr>
        <w:t xml:space="preserve">25.11 Proportion of budget designated to mental health which is allocated to community-based services and support (as opposed to budget allocated to psychiatric hospitals and beds) </w:t>
      </w:r>
    </w:p>
    <w:p w14:paraId="3DC7B5FF" w14:textId="77777777" w:rsidR="00653DD5" w:rsidRPr="00556A1F" w:rsidRDefault="00653DD5" w:rsidP="00E434D8">
      <w:pPr>
        <w:spacing w:after="0" w:line="240" w:lineRule="auto"/>
        <w:jc w:val="both"/>
        <w:rPr>
          <w:rFonts w:cstheme="minorHAnsi"/>
          <w:sz w:val="18"/>
          <w:szCs w:val="18"/>
        </w:rPr>
      </w:pPr>
      <w:r w:rsidRPr="00556A1F">
        <w:rPr>
          <w:rFonts w:cstheme="minorHAnsi"/>
          <w:sz w:val="18"/>
          <w:szCs w:val="18"/>
        </w:rPr>
        <w:t>25.12 Proportion of population with large household expenditures on health as a share of total household expenditure or income (SDG indicator 3.8.2) disaggregated by sex, age and disability.</w:t>
      </w:r>
    </w:p>
    <w:p w14:paraId="319DCF61" w14:textId="77777777" w:rsidR="00653DD5" w:rsidRPr="00556A1F" w:rsidRDefault="00653DD5" w:rsidP="00E434D8">
      <w:pPr>
        <w:spacing w:after="0" w:line="240" w:lineRule="auto"/>
        <w:jc w:val="both"/>
        <w:rPr>
          <w:rFonts w:cstheme="minorHAnsi"/>
          <w:sz w:val="18"/>
          <w:szCs w:val="18"/>
        </w:rPr>
      </w:pPr>
      <w:r w:rsidRPr="00556A1F">
        <w:rPr>
          <w:rFonts w:cstheme="minorHAnsi"/>
          <w:sz w:val="18"/>
          <w:szCs w:val="18"/>
        </w:rPr>
        <w:t xml:space="preserve">25.13 Proportion of persons with disabilities out of the total population who use government-supported health-care programmes, by age, gender and type of disability. </w:t>
      </w:r>
    </w:p>
    <w:p w14:paraId="0E298A9E" w14:textId="77777777" w:rsidR="00653DD5" w:rsidRPr="00556A1F" w:rsidRDefault="00653DD5" w:rsidP="00C52283">
      <w:pPr>
        <w:spacing w:after="0" w:line="240" w:lineRule="auto"/>
        <w:jc w:val="both"/>
        <w:rPr>
          <w:rFonts w:cstheme="minorHAnsi"/>
          <w:sz w:val="18"/>
          <w:szCs w:val="18"/>
        </w:rPr>
      </w:pPr>
      <w:r w:rsidRPr="00556A1F">
        <w:rPr>
          <w:rFonts w:cstheme="minorHAnsi"/>
          <w:sz w:val="18"/>
          <w:szCs w:val="18"/>
        </w:rPr>
        <w:t>25.14 Average out of pocket health care costs of persons with disabilities compared to other persons, by sex, age and disability.</w:t>
      </w:r>
    </w:p>
    <w:p w14:paraId="1D1EDD4F" w14:textId="1F46C914" w:rsidR="00653DD5" w:rsidRPr="00F172D4" w:rsidRDefault="00653DD5" w:rsidP="00F172D4">
      <w:pPr>
        <w:spacing w:after="0" w:line="240" w:lineRule="auto"/>
        <w:jc w:val="both"/>
        <w:rPr>
          <w:rFonts w:cstheme="minorHAnsi"/>
          <w:sz w:val="18"/>
          <w:szCs w:val="18"/>
        </w:rPr>
      </w:pPr>
      <w:r w:rsidRPr="00556A1F">
        <w:rPr>
          <w:rFonts w:cstheme="minorHAnsi"/>
          <w:sz w:val="18"/>
          <w:szCs w:val="18"/>
        </w:rPr>
        <w:t>25.15 Protocol adopted on the right to free and informed consent to treatment and the right to refuse treatment which applies across all health care services, among others, mental health services, , including in situations of mental distress.</w:t>
      </w:r>
      <w:r w:rsidRPr="00556A1F">
        <w:rPr>
          <w:rStyle w:val="EndnoteReference"/>
          <w:rFonts w:cstheme="minorHAnsi"/>
          <w:sz w:val="18"/>
          <w:szCs w:val="18"/>
        </w:rPr>
        <w:endnoteReference w:id="11"/>
      </w:r>
      <w:r w:rsidRPr="00556A1F">
        <w:rPr>
          <w:rFonts w:cstheme="minorHAnsi"/>
          <w:sz w:val="18"/>
          <w:szCs w:val="18"/>
        </w:rPr>
        <w:t xml:space="preserve"> </w:t>
      </w:r>
    </w:p>
    <w:p w14:paraId="441CDAF8" w14:textId="77777777" w:rsidR="00653DD5" w:rsidRPr="00556A1F" w:rsidRDefault="00653DD5" w:rsidP="00FA3963">
      <w:pPr>
        <w:spacing w:after="0" w:line="240" w:lineRule="auto"/>
        <w:jc w:val="both"/>
        <w:rPr>
          <w:rFonts w:eastAsia="Times New Roman" w:cstheme="minorHAnsi"/>
          <w:sz w:val="18"/>
          <w:szCs w:val="18"/>
          <w:lang w:eastAsia="en-GB"/>
        </w:rPr>
      </w:pPr>
      <w:r w:rsidRPr="00556A1F">
        <w:rPr>
          <w:rFonts w:cstheme="minorHAnsi"/>
          <w:sz w:val="18"/>
          <w:szCs w:val="18"/>
        </w:rPr>
        <w:t>25.16 Coverage of essential health services</w:t>
      </w:r>
      <w:r w:rsidRPr="00556A1F">
        <w:rPr>
          <w:rStyle w:val="EndnoteReference"/>
          <w:rFonts w:cstheme="minorHAnsi"/>
          <w:sz w:val="18"/>
          <w:szCs w:val="18"/>
        </w:rPr>
        <w:endnoteReference w:id="12"/>
      </w:r>
      <w:r w:rsidRPr="00556A1F">
        <w:rPr>
          <w:rFonts w:cstheme="minorHAnsi"/>
          <w:sz w:val="18"/>
          <w:szCs w:val="18"/>
        </w:rPr>
        <w:t xml:space="preserve"> disaggregated by sex, age and disability </w:t>
      </w:r>
      <w:r w:rsidRPr="00556A1F">
        <w:rPr>
          <w:rFonts w:eastAsia="Times New Roman" w:cstheme="minorHAnsi"/>
          <w:sz w:val="18"/>
          <w:szCs w:val="18"/>
          <w:lang w:eastAsia="en-GB"/>
        </w:rPr>
        <w:t>(SDG indicator 3.8.1)</w:t>
      </w:r>
      <w:r w:rsidRPr="00556A1F">
        <w:rPr>
          <w:rStyle w:val="EndnoteReference"/>
          <w:rFonts w:eastAsia="Times New Roman" w:cstheme="minorHAnsi"/>
          <w:sz w:val="18"/>
          <w:szCs w:val="18"/>
          <w:lang w:eastAsia="en-GB"/>
        </w:rPr>
        <w:endnoteReference w:id="13"/>
      </w:r>
    </w:p>
    <w:p w14:paraId="22092992"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25.17 Consultation processes undertaken to ensure the active involvement of persons with disabilities, including through their representative organizations, in the design, implementation and monitoring of laws, regulations, policies and programmes,</w:t>
      </w:r>
      <w:r w:rsidRPr="00556A1F">
        <w:rPr>
          <w:rStyle w:val="EndnoteReference"/>
          <w:rFonts w:cstheme="minorHAnsi"/>
          <w:sz w:val="18"/>
          <w:szCs w:val="18"/>
        </w:rPr>
        <w:t xml:space="preserve"> </w:t>
      </w:r>
      <w:r w:rsidRPr="00556A1F">
        <w:rPr>
          <w:rFonts w:cstheme="minorHAnsi"/>
          <w:sz w:val="18"/>
          <w:szCs w:val="18"/>
        </w:rPr>
        <w:t>related to health, including sexual, reproductive and mental health.</w:t>
      </w:r>
      <w:r w:rsidRPr="00556A1F">
        <w:rPr>
          <w:rStyle w:val="EndnoteReference"/>
          <w:rFonts w:cstheme="minorHAnsi"/>
          <w:sz w:val="18"/>
          <w:szCs w:val="18"/>
        </w:rPr>
        <w:t xml:space="preserve"> </w:t>
      </w:r>
      <w:r w:rsidRPr="00556A1F">
        <w:rPr>
          <w:rStyle w:val="EndnoteReference"/>
          <w:rFonts w:cstheme="minorHAnsi"/>
          <w:sz w:val="18"/>
          <w:szCs w:val="18"/>
        </w:rPr>
        <w:endnoteReference w:id="14"/>
      </w:r>
      <w:r w:rsidRPr="00556A1F">
        <w:rPr>
          <w:rFonts w:cstheme="minorHAnsi"/>
          <w:sz w:val="18"/>
          <w:szCs w:val="18"/>
        </w:rPr>
        <w:t xml:space="preserve"> </w:t>
      </w:r>
    </w:p>
    <w:p w14:paraId="548C98D5"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25.18 Proportion of staff, notably health care professionals, working in public and private health sector and those involved in the delivery of health programmes and services, trained on the right to health of persons with disabilities and free and informed consent.</w:t>
      </w:r>
    </w:p>
    <w:p w14:paraId="3A4B4FD0" w14:textId="1074D555" w:rsidR="00653DD5" w:rsidRPr="00F172D4" w:rsidRDefault="00653DD5" w:rsidP="00F172D4">
      <w:pPr>
        <w:spacing w:after="0" w:line="240" w:lineRule="auto"/>
        <w:jc w:val="both"/>
        <w:rPr>
          <w:rFonts w:cstheme="minorHAnsi"/>
          <w:sz w:val="18"/>
          <w:szCs w:val="18"/>
        </w:rPr>
      </w:pPr>
      <w:r w:rsidRPr="00556A1F">
        <w:rPr>
          <w:rFonts w:cstheme="minorHAnsi"/>
          <w:sz w:val="18"/>
          <w:szCs w:val="18"/>
        </w:rPr>
        <w:t xml:space="preserve">25.19 Awareness raising campaigns and activities directed to persons with disabilities and their families concerning health information, programmes and services for persons with disabilities, in particular women, children and older persons with disabilities, </w:t>
      </w:r>
      <w:r w:rsidRPr="00556A1F">
        <w:rPr>
          <w:rFonts w:cstheme="minorHAnsi"/>
          <w:sz w:val="18"/>
          <w:szCs w:val="18"/>
          <w:lang w:val="en-IE"/>
        </w:rPr>
        <w:t>including on free and informed consent, mental health and well-being, sexual and reproductive health, the benefits of engagement in physical activity, among others.</w:t>
      </w:r>
      <w:r w:rsidRPr="00556A1F">
        <w:rPr>
          <w:rFonts w:cstheme="minorHAnsi"/>
          <w:sz w:val="18"/>
          <w:szCs w:val="18"/>
        </w:rPr>
        <w:t xml:space="preserve"> </w:t>
      </w:r>
    </w:p>
    <w:p w14:paraId="7641AFEE" w14:textId="77777777" w:rsidR="00653DD5" w:rsidRPr="00556A1F" w:rsidRDefault="00653DD5" w:rsidP="007B7BAE">
      <w:pPr>
        <w:spacing w:after="0" w:line="240" w:lineRule="auto"/>
        <w:jc w:val="both"/>
        <w:rPr>
          <w:rFonts w:cstheme="minorHAnsi"/>
          <w:sz w:val="18"/>
          <w:szCs w:val="18"/>
        </w:rPr>
      </w:pPr>
      <w:r w:rsidRPr="00556A1F">
        <w:rPr>
          <w:rFonts w:cstheme="minorHAnsi"/>
          <w:sz w:val="18"/>
          <w:szCs w:val="18"/>
        </w:rPr>
        <w:t>25.20 Proportion of received complaints on access to and delivery of health services and health insurance alleging discrimination on the basis of disability</w:t>
      </w:r>
      <w:r w:rsidRPr="00556A1F">
        <w:t xml:space="preserve"> </w:t>
      </w:r>
      <w:r w:rsidRPr="00556A1F">
        <w:rPr>
          <w:rFonts w:cstheme="minorHAnsi"/>
          <w:sz w:val="18"/>
          <w:szCs w:val="18"/>
        </w:rPr>
        <w:t>and/or involving persons with disabilities that have been investigated and adjudicated; proportion of those found in favour of the complainant; and proportion of the latter that have been complied with by the government and/or duty bearer (e.g. private health services provider); each disaggregated by kind of mechanism.</w:t>
      </w:r>
    </w:p>
    <w:p w14:paraId="78618DBA" w14:textId="5186FF4C" w:rsidR="00F172D4" w:rsidRDefault="00F172D4" w:rsidP="00F172D4">
      <w:pPr>
        <w:pStyle w:val="ListParagraph"/>
        <w:spacing w:after="0" w:line="240" w:lineRule="auto"/>
        <w:ind w:left="0"/>
        <w:rPr>
          <w:rFonts w:cstheme="minorHAnsi"/>
          <w:b/>
          <w:sz w:val="18"/>
          <w:szCs w:val="18"/>
        </w:rPr>
      </w:pPr>
    </w:p>
    <w:p w14:paraId="42FCE1A6" w14:textId="77777777" w:rsidR="00F172D4" w:rsidRDefault="00F172D4" w:rsidP="00F172D4">
      <w:pPr>
        <w:pStyle w:val="ListParagraph"/>
        <w:spacing w:after="0" w:line="240" w:lineRule="auto"/>
        <w:ind w:left="0"/>
        <w:rPr>
          <w:rFonts w:cstheme="minorHAnsi"/>
          <w:b/>
          <w:sz w:val="18"/>
          <w:szCs w:val="18"/>
        </w:rPr>
      </w:pPr>
    </w:p>
    <w:p w14:paraId="6F42D503" w14:textId="77777777" w:rsidR="0059022A" w:rsidRDefault="0059022A" w:rsidP="00F172D4">
      <w:pPr>
        <w:pStyle w:val="ListParagraph"/>
        <w:spacing w:after="0" w:line="240" w:lineRule="auto"/>
        <w:ind w:left="0"/>
        <w:rPr>
          <w:rFonts w:cstheme="minorHAnsi"/>
          <w:b/>
          <w:sz w:val="18"/>
          <w:szCs w:val="18"/>
        </w:rPr>
      </w:pPr>
    </w:p>
    <w:p w14:paraId="510747B4" w14:textId="259F6718" w:rsidR="00653DD5" w:rsidRPr="00556A1F" w:rsidRDefault="00653DD5" w:rsidP="0059022A">
      <w:pPr>
        <w:pStyle w:val="Heading2"/>
      </w:pPr>
      <w:r w:rsidRPr="00556A1F">
        <w:t>Outcome</w:t>
      </w:r>
      <w:r w:rsidR="00F172D4">
        <w:t xml:space="preserve"> </w:t>
      </w:r>
      <w:r w:rsidR="00F172D4" w:rsidRPr="00556A1F">
        <w:t>Indicators</w:t>
      </w:r>
    </w:p>
    <w:p w14:paraId="1F56A32D"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 xml:space="preserve">25.21 Maternal mortality ratio (SDG indicator 3.1.1) disaggregated by age and disability of the person.   </w:t>
      </w:r>
    </w:p>
    <w:p w14:paraId="59BEC692"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25.22 Proportion of women and girls of reproductive age who have their need for family planning satisfied with modern methods (based on SDG indicator 3.7.1) disaggregated by age and disability.</w:t>
      </w:r>
    </w:p>
    <w:p w14:paraId="06D4A4FC"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25.23 Number of new HIV infections per 1,000 uninfected population, by sex, age and key population (SDG indicator 3.3.1) and disability.</w:t>
      </w:r>
    </w:p>
    <w:p w14:paraId="26CA1823" w14:textId="77777777" w:rsidR="00653DD5" w:rsidRPr="00556A1F" w:rsidRDefault="00653DD5" w:rsidP="00384639">
      <w:pPr>
        <w:spacing w:after="0" w:line="240" w:lineRule="auto"/>
        <w:jc w:val="both"/>
        <w:rPr>
          <w:rFonts w:cstheme="minorHAnsi"/>
          <w:sz w:val="18"/>
          <w:szCs w:val="18"/>
        </w:rPr>
      </w:pPr>
      <w:r w:rsidRPr="00556A1F">
        <w:rPr>
          <w:rFonts w:cstheme="minorHAnsi"/>
          <w:sz w:val="18"/>
          <w:szCs w:val="18"/>
        </w:rPr>
        <w:t xml:space="preserve">25.24 Tuberculosis, malaria and hepatitis B incidence per 1,000 population (SDG indicators 3.3.2, 3.3.3, and 3.3.4) among population of persons with disabilities compared to others. </w:t>
      </w:r>
    </w:p>
    <w:p w14:paraId="320CC038"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25.25 Probability of dying (per 1000) between ages 15 and 60 years, disaggregated by sex (WHO indicator), disability, and indigenous/minority background.</w:t>
      </w:r>
    </w:p>
    <w:p w14:paraId="2E370574"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25.26 Prevalence of undernourishment (SDG indicator 2.1.1) disaggregated by sex, age and disability.</w:t>
      </w:r>
    </w:p>
    <w:p w14:paraId="0FD8F634" w14:textId="77777777" w:rsidR="00653DD5" w:rsidRPr="00556A1F" w:rsidRDefault="00653DD5" w:rsidP="00FA3963">
      <w:pPr>
        <w:spacing w:after="0" w:line="240" w:lineRule="auto"/>
        <w:jc w:val="both"/>
        <w:rPr>
          <w:rFonts w:cstheme="minorHAnsi"/>
          <w:sz w:val="18"/>
          <w:szCs w:val="18"/>
        </w:rPr>
      </w:pPr>
      <w:r w:rsidRPr="00556A1F">
        <w:rPr>
          <w:rFonts w:cstheme="minorHAnsi"/>
          <w:sz w:val="18"/>
          <w:szCs w:val="18"/>
        </w:rPr>
        <w:t>25.27 Prevalence of malnutrition among children under 5 years of age, by type (wasting and overweight) (</w:t>
      </w:r>
      <w:r w:rsidRPr="00556A1F" w:rsidDel="004F14D7">
        <w:rPr>
          <w:rFonts w:cstheme="minorHAnsi"/>
          <w:sz w:val="18"/>
          <w:szCs w:val="18"/>
        </w:rPr>
        <w:t>SDG</w:t>
      </w:r>
      <w:r w:rsidRPr="00556A1F">
        <w:rPr>
          <w:rFonts w:cstheme="minorHAnsi"/>
          <w:sz w:val="18"/>
          <w:szCs w:val="18"/>
        </w:rPr>
        <w:t xml:space="preserve"> indicator 2.2.2) and by sex, age and disability.</w:t>
      </w:r>
    </w:p>
    <w:p w14:paraId="1169F22C" w14:textId="77777777" w:rsidR="00653DD5" w:rsidRPr="00556A1F" w:rsidRDefault="00653DD5" w:rsidP="00726FF3">
      <w:pPr>
        <w:spacing w:after="0" w:line="240" w:lineRule="auto"/>
        <w:jc w:val="both"/>
        <w:rPr>
          <w:rFonts w:cstheme="minorHAnsi"/>
          <w:sz w:val="18"/>
          <w:szCs w:val="18"/>
        </w:rPr>
      </w:pPr>
      <w:r w:rsidRPr="00556A1F">
        <w:rPr>
          <w:rFonts w:cstheme="minorHAnsi"/>
          <w:sz w:val="18"/>
          <w:szCs w:val="18"/>
        </w:rPr>
        <w:t>25.28 Proportion of births attended by skilled health personnel (SDG indicator 3.1.2). disaggregated by age and disability of the individual giving birth.</w:t>
      </w:r>
    </w:p>
    <w:p w14:paraId="287C4E30" w14:textId="77777777" w:rsidR="00653DD5" w:rsidRPr="00556A1F" w:rsidRDefault="00653DD5" w:rsidP="00EB2E1E">
      <w:pPr>
        <w:spacing w:after="0" w:line="240" w:lineRule="auto"/>
        <w:jc w:val="both"/>
        <w:rPr>
          <w:rFonts w:cstheme="minorHAnsi"/>
          <w:sz w:val="18"/>
          <w:szCs w:val="18"/>
        </w:rPr>
      </w:pPr>
      <w:r w:rsidRPr="00556A1F">
        <w:rPr>
          <w:rFonts w:cstheme="minorHAnsi"/>
          <w:sz w:val="18"/>
          <w:szCs w:val="18"/>
        </w:rPr>
        <w:t>25.29 Proportion of women and girls who make their own informed decisions regarding sexual relations, contraceptive use and reproductive health care (based on SDG indicator 5.6.1) by age and disability.</w:t>
      </w:r>
    </w:p>
    <w:p w14:paraId="43D056DD" w14:textId="77777777" w:rsidR="00653DD5" w:rsidRPr="00556A1F" w:rsidRDefault="00653DD5" w:rsidP="00F07D78">
      <w:pPr>
        <w:spacing w:after="0" w:line="240" w:lineRule="auto"/>
        <w:jc w:val="both"/>
        <w:rPr>
          <w:rFonts w:cstheme="minorHAnsi"/>
          <w:sz w:val="18"/>
          <w:szCs w:val="18"/>
        </w:rPr>
      </w:pPr>
      <w:r w:rsidRPr="00556A1F">
        <w:rPr>
          <w:rFonts w:cstheme="minorHAnsi"/>
          <w:sz w:val="18"/>
          <w:szCs w:val="18"/>
        </w:rPr>
        <w:t>25.30 Annual rates of involuntary hospitalisation per 100 000 individuals in the general population.</w:t>
      </w:r>
    </w:p>
    <w:p w14:paraId="2AA12471" w14:textId="77777777" w:rsidR="00653DD5" w:rsidRPr="00556A1F" w:rsidRDefault="00653DD5" w:rsidP="00F07D78">
      <w:pPr>
        <w:spacing w:after="0" w:line="240" w:lineRule="auto"/>
        <w:jc w:val="both"/>
        <w:rPr>
          <w:rFonts w:cstheme="minorHAnsi"/>
          <w:sz w:val="18"/>
          <w:szCs w:val="18"/>
        </w:rPr>
      </w:pPr>
    </w:p>
    <w:p w14:paraId="43D86A35" w14:textId="77777777" w:rsidR="009A66A9" w:rsidRPr="00556A1F" w:rsidRDefault="009A66A9" w:rsidP="006218AE">
      <w:pPr>
        <w:spacing w:after="120"/>
        <w:jc w:val="center"/>
        <w:rPr>
          <w:rFonts w:cstheme="minorHAnsi"/>
          <w:b/>
          <w:sz w:val="18"/>
          <w:szCs w:val="18"/>
        </w:rPr>
      </w:pPr>
    </w:p>
    <w:p w14:paraId="0C3CED9E" w14:textId="4AD2B140" w:rsidR="0059022A" w:rsidRPr="0059022A" w:rsidRDefault="006C68B3" w:rsidP="0059022A">
      <w:pPr>
        <w:pStyle w:val="Heading1"/>
      </w:pPr>
      <w:r w:rsidRPr="00556A1F">
        <w:t>ANNEX</w:t>
      </w:r>
      <w:r w:rsidR="0059022A">
        <w:br/>
      </w:r>
    </w:p>
    <w:p w14:paraId="13DF1F13" w14:textId="0B527ADF" w:rsidR="00E90D0B" w:rsidRPr="00E90D0B" w:rsidRDefault="00E90D0B" w:rsidP="00E90D0B">
      <w:pPr>
        <w:spacing w:after="0"/>
        <w:rPr>
          <w:rFonts w:cstheme="minorHAnsi"/>
          <w:sz w:val="18"/>
          <w:szCs w:val="18"/>
        </w:rPr>
      </w:pPr>
      <w:r>
        <w:rPr>
          <w:rFonts w:cstheme="minorHAnsi"/>
          <w:b/>
          <w:sz w:val="18"/>
          <w:szCs w:val="18"/>
        </w:rPr>
        <w:t xml:space="preserve">* </w:t>
      </w:r>
      <w:r>
        <w:rPr>
          <w:rFonts w:cstheme="minorHAnsi"/>
          <w:sz w:val="18"/>
          <w:szCs w:val="18"/>
        </w:rPr>
        <w:t xml:space="preserve">See the report of the Special Rapporteur on the rights of persons with disabilities on the right to health of persons with disabilities, </w:t>
      </w:r>
      <w:hyperlink r:id="rId11" w:history="1">
        <w:r w:rsidRPr="00386F8F">
          <w:rPr>
            <w:rStyle w:val="Hyperlink"/>
            <w:rFonts w:cstheme="minorHAnsi"/>
            <w:sz w:val="18"/>
            <w:szCs w:val="18"/>
          </w:rPr>
          <w:t>A/73/161</w:t>
        </w:r>
      </w:hyperlink>
      <w:r>
        <w:rPr>
          <w:rFonts w:cstheme="minorHAnsi"/>
          <w:sz w:val="18"/>
          <w:szCs w:val="18"/>
        </w:rPr>
        <w:t>.</w:t>
      </w:r>
    </w:p>
    <w:sectPr w:rsidR="00E90D0B" w:rsidRPr="00E90D0B" w:rsidSect="006218AE">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AC86" w14:textId="77777777" w:rsidR="00E91378" w:rsidRDefault="00E91378" w:rsidP="006C68B3">
      <w:pPr>
        <w:spacing w:after="0" w:line="240" w:lineRule="auto"/>
      </w:pPr>
      <w:r>
        <w:separator/>
      </w:r>
    </w:p>
  </w:endnote>
  <w:endnote w:type="continuationSeparator" w:id="0">
    <w:p w14:paraId="73B00E16" w14:textId="77777777" w:rsidR="00E91378" w:rsidRDefault="00E91378" w:rsidP="006C68B3">
      <w:pPr>
        <w:spacing w:after="0" w:line="240" w:lineRule="auto"/>
      </w:pPr>
      <w:r>
        <w:continuationSeparator/>
      </w:r>
    </w:p>
  </w:endnote>
  <w:endnote w:id="1">
    <w:p w14:paraId="02FFD9D2"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Including people living with HIV/AIDS.</w:t>
      </w:r>
    </w:p>
  </w:endnote>
  <w:endnote w:id="2">
    <w:p w14:paraId="2C540DCE" w14:textId="77777777" w:rsidR="00653DD5" w:rsidRPr="00FB166C" w:rsidRDefault="00653DD5" w:rsidP="002C6CA2">
      <w:pPr>
        <w:pStyle w:val="EndnoteText"/>
        <w:jc w:val="both"/>
        <w:rPr>
          <w:rFonts w:cstheme="minorHAnsi"/>
          <w:sz w:val="18"/>
          <w:szCs w:val="18"/>
        </w:rPr>
      </w:pPr>
      <w:r w:rsidRPr="00FB166C">
        <w:rPr>
          <w:rStyle w:val="EndnoteReference"/>
          <w:rFonts w:cstheme="minorHAnsi"/>
          <w:sz w:val="18"/>
          <w:szCs w:val="18"/>
        </w:rPr>
        <w:endnoteRef/>
      </w:r>
      <w:r w:rsidRPr="00FB166C">
        <w:rPr>
          <w:rFonts w:cstheme="minorHAnsi"/>
          <w:sz w:val="18"/>
          <w:szCs w:val="18"/>
        </w:rPr>
        <w:t xml:space="preserve"> This includes:</w:t>
      </w:r>
    </w:p>
    <w:p w14:paraId="2FA25A60" w14:textId="77777777" w:rsidR="00653DD5" w:rsidRPr="00FB166C" w:rsidRDefault="00653DD5" w:rsidP="00487EC7">
      <w:pPr>
        <w:pStyle w:val="ListParagraph"/>
        <w:numPr>
          <w:ilvl w:val="0"/>
          <w:numId w:val="12"/>
        </w:numPr>
        <w:spacing w:after="0" w:line="240" w:lineRule="auto"/>
        <w:ind w:left="709" w:hanging="357"/>
        <w:jc w:val="both"/>
        <w:rPr>
          <w:rFonts w:cstheme="minorHAnsi"/>
          <w:sz w:val="18"/>
          <w:szCs w:val="18"/>
        </w:rPr>
      </w:pPr>
      <w:r w:rsidRPr="00FB166C">
        <w:rPr>
          <w:rFonts w:cstheme="minorHAnsi"/>
          <w:sz w:val="18"/>
          <w:szCs w:val="18"/>
        </w:rPr>
        <w:t>non-discrimination on the basis of disability;</w:t>
      </w:r>
    </w:p>
    <w:p w14:paraId="0271EABF" w14:textId="77777777" w:rsidR="00653DD5" w:rsidRPr="00FB166C" w:rsidRDefault="00653DD5" w:rsidP="00487EC7">
      <w:pPr>
        <w:pStyle w:val="ListParagraph"/>
        <w:numPr>
          <w:ilvl w:val="0"/>
          <w:numId w:val="12"/>
        </w:numPr>
        <w:spacing w:after="0" w:line="240" w:lineRule="auto"/>
        <w:ind w:left="709" w:hanging="357"/>
        <w:jc w:val="both"/>
        <w:rPr>
          <w:rFonts w:cstheme="minorHAnsi"/>
          <w:sz w:val="18"/>
          <w:szCs w:val="18"/>
        </w:rPr>
      </w:pPr>
      <w:r w:rsidRPr="00FB166C">
        <w:rPr>
          <w:rFonts w:cstheme="minorHAnsi"/>
          <w:sz w:val="18"/>
          <w:szCs w:val="18"/>
        </w:rPr>
        <w:t>recognising the free and informed consent of persons with disabilities on an equal basis with others;</w:t>
      </w:r>
    </w:p>
    <w:p w14:paraId="67475B01" w14:textId="77777777" w:rsidR="00653DD5" w:rsidRPr="00FB166C" w:rsidRDefault="00653DD5" w:rsidP="002C6CA2">
      <w:pPr>
        <w:pStyle w:val="ListParagraph"/>
        <w:numPr>
          <w:ilvl w:val="0"/>
          <w:numId w:val="12"/>
        </w:numPr>
        <w:spacing w:after="0" w:line="240" w:lineRule="auto"/>
        <w:ind w:left="709" w:hanging="357"/>
        <w:jc w:val="both"/>
        <w:rPr>
          <w:rFonts w:cstheme="minorHAnsi"/>
          <w:sz w:val="18"/>
          <w:szCs w:val="18"/>
        </w:rPr>
      </w:pPr>
      <w:r w:rsidRPr="00FB166C">
        <w:rPr>
          <w:rFonts w:cstheme="minorHAnsi"/>
          <w:sz w:val="18"/>
          <w:szCs w:val="18"/>
        </w:rPr>
        <w:t>mainstream health and prevention programmes and services, on an equal basis with others;</w:t>
      </w:r>
    </w:p>
    <w:p w14:paraId="377B295B" w14:textId="77777777" w:rsidR="00653DD5" w:rsidRPr="00556A1F" w:rsidRDefault="00653DD5" w:rsidP="002C6CA2">
      <w:pPr>
        <w:pStyle w:val="ListParagraph"/>
        <w:numPr>
          <w:ilvl w:val="0"/>
          <w:numId w:val="12"/>
        </w:numPr>
        <w:spacing w:after="0" w:line="240" w:lineRule="auto"/>
        <w:ind w:left="709" w:hanging="357"/>
        <w:jc w:val="both"/>
        <w:rPr>
          <w:rFonts w:cstheme="minorHAnsi"/>
          <w:sz w:val="18"/>
          <w:szCs w:val="18"/>
        </w:rPr>
      </w:pPr>
      <w:r w:rsidRPr="00556A1F">
        <w:rPr>
          <w:rFonts w:cstheme="minorHAnsi"/>
          <w:sz w:val="18"/>
          <w:szCs w:val="18"/>
        </w:rPr>
        <w:t xml:space="preserve">specific services within general health services including: early identification &amp; early intervention as appropriate (including early childhood disability screening and </w:t>
      </w:r>
      <w:r w:rsidRPr="00556A1F">
        <w:rPr>
          <w:rFonts w:cstheme="minorHAnsi"/>
          <w:iCs/>
          <w:sz w:val="18"/>
          <w:szCs w:val="18"/>
        </w:rPr>
        <w:t>planning for targeted service provision such as physiotherapy, occupational therapy, speech therapy, sign language communication, early childhood stimulation, etc., and provision of assistive devices and technology for mobility, vision, hearing, communication and self-care)</w:t>
      </w:r>
      <w:r w:rsidRPr="00556A1F">
        <w:rPr>
          <w:rFonts w:cstheme="minorHAnsi"/>
          <w:sz w:val="18"/>
          <w:szCs w:val="18"/>
        </w:rPr>
        <w:t xml:space="preserve">; </w:t>
      </w:r>
    </w:p>
    <w:p w14:paraId="0AEE596F" w14:textId="77777777" w:rsidR="00653DD5" w:rsidRPr="00556A1F" w:rsidRDefault="00653DD5" w:rsidP="002C6CA2">
      <w:pPr>
        <w:pStyle w:val="ListParagraph"/>
        <w:numPr>
          <w:ilvl w:val="0"/>
          <w:numId w:val="12"/>
        </w:numPr>
        <w:spacing w:after="0" w:line="240" w:lineRule="auto"/>
        <w:ind w:left="709" w:hanging="357"/>
        <w:jc w:val="both"/>
        <w:rPr>
          <w:rFonts w:cstheme="minorHAnsi"/>
          <w:sz w:val="18"/>
          <w:szCs w:val="18"/>
        </w:rPr>
      </w:pPr>
      <w:r w:rsidRPr="00556A1F">
        <w:rPr>
          <w:rFonts w:cstheme="minorHAnsi"/>
          <w:sz w:val="18"/>
          <w:szCs w:val="18"/>
        </w:rPr>
        <w:t>services addressing minimising and preventing further impairment(s);</w:t>
      </w:r>
    </w:p>
    <w:p w14:paraId="74E9B4D6" w14:textId="77777777" w:rsidR="00653DD5" w:rsidRPr="00556A1F" w:rsidRDefault="00653DD5" w:rsidP="00C53B2C">
      <w:pPr>
        <w:pStyle w:val="ListParagraph"/>
        <w:numPr>
          <w:ilvl w:val="0"/>
          <w:numId w:val="12"/>
        </w:numPr>
        <w:spacing w:after="0" w:line="240" w:lineRule="auto"/>
        <w:ind w:left="709" w:hanging="357"/>
        <w:jc w:val="both"/>
        <w:rPr>
          <w:rFonts w:cstheme="minorHAnsi"/>
          <w:sz w:val="18"/>
          <w:szCs w:val="18"/>
        </w:rPr>
      </w:pPr>
      <w:r w:rsidRPr="00556A1F">
        <w:rPr>
          <w:rFonts w:cstheme="minorHAnsi"/>
          <w:sz w:val="18"/>
          <w:szCs w:val="18"/>
        </w:rPr>
        <w:t xml:space="preserve"> all areas of health, including, among others, sexual and reproductive health, HIV/AIDS, adolescent and older person’s health, mental health services.  Mental health services should be provided as a general service available to all individuals, including persons with any type of disability, and as a disability-specific service for people with psychosocial disabilities. Such services must be based on free and informed consent of the person concerned and should include a wide range of alternatives to conventional services including peer support, crisis support, psychotherapy and counselling (including trauma counselling), etc.</w:t>
      </w:r>
    </w:p>
  </w:endnote>
  <w:endnote w:id="3">
    <w:p w14:paraId="44CB7AD1" w14:textId="6B0EF6AC" w:rsidR="00653DD5" w:rsidRPr="00556A1F" w:rsidRDefault="00653DD5" w:rsidP="002C6CA2">
      <w:pPr>
        <w:pStyle w:val="EndnoteText"/>
        <w:jc w:val="both"/>
        <w:rPr>
          <w:rFonts w:cstheme="minorHAnsi"/>
          <w:sz w:val="18"/>
          <w:szCs w:val="18"/>
        </w:rPr>
      </w:pPr>
      <w:r w:rsidRPr="00556A1F">
        <w:rPr>
          <w:rStyle w:val="EndnoteReference"/>
          <w:rFonts w:cstheme="minorHAnsi"/>
          <w:sz w:val="18"/>
          <w:szCs w:val="18"/>
        </w:rPr>
        <w:endnoteRef/>
      </w:r>
      <w:r w:rsidRPr="00556A1F">
        <w:rPr>
          <w:rFonts w:cstheme="minorHAnsi"/>
          <w:sz w:val="18"/>
          <w:szCs w:val="18"/>
        </w:rPr>
        <w:t xml:space="preserve"> Implementation of universal health coverage — from packages of essential health services to health financing reforms — should include the full range of health-care services that persons with disabilities may need, including health-related </w:t>
      </w:r>
      <w:proofErr w:type="spellStart"/>
      <w:r w:rsidRPr="00556A1F">
        <w:rPr>
          <w:rFonts w:cstheme="minorHAnsi"/>
          <w:sz w:val="18"/>
          <w:szCs w:val="18"/>
        </w:rPr>
        <w:t>habilitation</w:t>
      </w:r>
      <w:proofErr w:type="spellEnd"/>
      <w:r w:rsidRPr="00556A1F">
        <w:rPr>
          <w:rFonts w:cstheme="minorHAnsi"/>
          <w:sz w:val="18"/>
          <w:szCs w:val="18"/>
        </w:rPr>
        <w:t xml:space="preserve"> and rehabilitation, ass</w:t>
      </w:r>
      <w:r w:rsidR="00E90D0B">
        <w:rPr>
          <w:rFonts w:cstheme="minorHAnsi"/>
          <w:sz w:val="18"/>
          <w:szCs w:val="18"/>
        </w:rPr>
        <w:t>istive devices and technologies</w:t>
      </w:r>
      <w:r w:rsidRPr="00556A1F">
        <w:rPr>
          <w:rFonts w:cstheme="minorHAnsi"/>
          <w:sz w:val="18"/>
          <w:szCs w:val="18"/>
        </w:rPr>
        <w:t>.</w:t>
      </w:r>
    </w:p>
  </w:endnote>
  <w:endnote w:id="4">
    <w:p w14:paraId="4D336E2E" w14:textId="34730573" w:rsidR="00653DD5" w:rsidRPr="00A5287C" w:rsidRDefault="00653DD5" w:rsidP="00C35D0C">
      <w:pPr>
        <w:pStyle w:val="EndnoteText"/>
        <w:jc w:val="both"/>
        <w:rPr>
          <w:sz w:val="18"/>
          <w:szCs w:val="18"/>
        </w:rPr>
      </w:pPr>
      <w:r w:rsidRPr="00556A1F">
        <w:rPr>
          <w:rStyle w:val="EndnoteReference"/>
          <w:rFonts w:cstheme="minorHAnsi"/>
          <w:sz w:val="18"/>
          <w:szCs w:val="18"/>
        </w:rPr>
        <w:endnoteRef/>
      </w:r>
      <w:r w:rsidRPr="00556A1F">
        <w:rPr>
          <w:rFonts w:cstheme="minorHAnsi"/>
          <w:sz w:val="18"/>
          <w:szCs w:val="18"/>
        </w:rPr>
        <w:t xml:space="preserve"> Health care providers</w:t>
      </w:r>
      <w:r w:rsidRPr="00993F18">
        <w:rPr>
          <w:rFonts w:cstheme="minorHAnsi"/>
          <w:sz w:val="18"/>
          <w:szCs w:val="18"/>
        </w:rPr>
        <w:t xml:space="preserve"> </w:t>
      </w:r>
      <w:r>
        <w:rPr>
          <w:rFonts w:cstheme="minorHAnsi"/>
          <w:sz w:val="18"/>
          <w:szCs w:val="18"/>
        </w:rPr>
        <w:t xml:space="preserve">should </w:t>
      </w:r>
      <w:r w:rsidRPr="00993F18">
        <w:rPr>
          <w:rFonts w:cstheme="minorHAnsi"/>
          <w:sz w:val="18"/>
          <w:szCs w:val="18"/>
        </w:rPr>
        <w:t>directly address pe</w:t>
      </w:r>
      <w:r>
        <w:rPr>
          <w:rFonts w:cstheme="minorHAnsi"/>
          <w:sz w:val="18"/>
          <w:szCs w:val="18"/>
        </w:rPr>
        <w:t>rsons</w:t>
      </w:r>
      <w:r w:rsidRPr="00993F18">
        <w:rPr>
          <w:rFonts w:cstheme="minorHAnsi"/>
          <w:sz w:val="18"/>
          <w:szCs w:val="18"/>
        </w:rPr>
        <w:t xml:space="preserve"> with disabilities in discussing their health care and seeking </w:t>
      </w:r>
      <w:r>
        <w:rPr>
          <w:rFonts w:cstheme="minorHAnsi"/>
          <w:sz w:val="18"/>
          <w:szCs w:val="18"/>
        </w:rPr>
        <w:t xml:space="preserve">their individual </w:t>
      </w:r>
      <w:r w:rsidRPr="00993F18">
        <w:rPr>
          <w:rFonts w:cstheme="minorHAnsi"/>
          <w:sz w:val="18"/>
          <w:szCs w:val="18"/>
        </w:rPr>
        <w:t>free and informed consent, while respecting the involvement of their chosen supporters.</w:t>
      </w:r>
      <w:r>
        <w:rPr>
          <w:rFonts w:cstheme="minorHAnsi"/>
          <w:sz w:val="18"/>
          <w:szCs w:val="18"/>
        </w:rPr>
        <w:t xml:space="preserve"> Advance directives and powers of attorney shall be </w:t>
      </w:r>
      <w:r w:rsidRPr="003C3331">
        <w:rPr>
          <w:rFonts w:cstheme="minorHAnsi"/>
          <w:sz w:val="18"/>
          <w:szCs w:val="18"/>
        </w:rPr>
        <w:t>accepted as support measures subject to the person’s right to revoke them at any time as an exercise of their legal capacity.  When, despite significant efforts, it proves to not be feasible to obtain a person’s will, protocols will be in place to determine the best interpretation of the person’s will and preferences based on evidence (including “</w:t>
      </w:r>
      <w:r w:rsidRPr="003C3331">
        <w:rPr>
          <w:sz w:val="18"/>
          <w:szCs w:val="18"/>
        </w:rPr>
        <w:t>consideration of the previously manifested preferences, values, attitudes, narratives and actions, inclusive of verbal or non-verbal communication, of the person concerned</w:t>
      </w:r>
      <w:r w:rsidR="00FC753E">
        <w:rPr>
          <w:sz w:val="18"/>
          <w:szCs w:val="18"/>
        </w:rPr>
        <w:t>”,</w:t>
      </w:r>
      <w:r w:rsidRPr="003C3331">
        <w:rPr>
          <w:sz w:val="18"/>
          <w:szCs w:val="18"/>
        </w:rPr>
        <w:t xml:space="preserve"> </w:t>
      </w:r>
      <w:hyperlink r:id="rId1" w:history="1">
        <w:r w:rsidRPr="00E90D0B">
          <w:rPr>
            <w:rStyle w:val="Hyperlink"/>
            <w:sz w:val="18"/>
            <w:szCs w:val="18"/>
          </w:rPr>
          <w:t>A/HRC/37/56</w:t>
        </w:r>
      </w:hyperlink>
      <w:r w:rsidRPr="003C3331">
        <w:rPr>
          <w:sz w:val="18"/>
          <w:szCs w:val="18"/>
        </w:rPr>
        <w:t>, para. 31)</w:t>
      </w:r>
      <w:r w:rsidRPr="003C3331">
        <w:rPr>
          <w:rFonts w:cstheme="minorHAnsi"/>
          <w:sz w:val="18"/>
          <w:szCs w:val="18"/>
        </w:rPr>
        <w:t>, and subject to being corrected by subsequent expressions of will or decision-making by the individual (whether or not obtained through support measures).</w:t>
      </w:r>
      <w:r>
        <w:rPr>
          <w:rFonts w:cstheme="minorHAnsi"/>
          <w:sz w:val="18"/>
          <w:szCs w:val="18"/>
        </w:rPr>
        <w:t xml:space="preserve"> </w:t>
      </w:r>
    </w:p>
  </w:endnote>
  <w:endnote w:id="5">
    <w:p w14:paraId="4916B4C6"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This includes health, mental health, family, civil, and criminal law.</w:t>
      </w:r>
    </w:p>
  </w:endnote>
  <w:endnote w:id="6">
    <w:p w14:paraId="0721F683"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Third party includes family member, </w:t>
      </w:r>
      <w:r>
        <w:rPr>
          <w:rFonts w:cstheme="minorHAnsi"/>
          <w:sz w:val="18"/>
          <w:szCs w:val="18"/>
        </w:rPr>
        <w:t xml:space="preserve">legal </w:t>
      </w:r>
      <w:r w:rsidRPr="004F45B7">
        <w:rPr>
          <w:rFonts w:cstheme="minorHAnsi"/>
          <w:sz w:val="18"/>
          <w:szCs w:val="18"/>
        </w:rPr>
        <w:t>guardian, health or social worker or professional.</w:t>
      </w:r>
    </w:p>
  </w:endnote>
  <w:endnote w:id="7">
    <w:p w14:paraId="3CFAA641" w14:textId="77777777" w:rsidR="00653DD5" w:rsidRPr="00E635BB" w:rsidRDefault="00653DD5" w:rsidP="00E87262">
      <w:pPr>
        <w:pStyle w:val="EndnoteText"/>
        <w:rPr>
          <w:rFonts w:cstheme="minorHAnsi"/>
          <w:sz w:val="18"/>
          <w:szCs w:val="18"/>
        </w:rPr>
      </w:pPr>
      <w:r w:rsidRPr="004F45B7">
        <w:rPr>
          <w:rStyle w:val="EndnoteReference"/>
          <w:rFonts w:cstheme="minorHAnsi"/>
          <w:sz w:val="18"/>
          <w:szCs w:val="18"/>
        </w:rPr>
        <w:endnoteRef/>
      </w:r>
      <w:r w:rsidRPr="00E635BB">
        <w:rPr>
          <w:rFonts w:cstheme="minorHAnsi"/>
          <w:sz w:val="18"/>
          <w:szCs w:val="18"/>
        </w:rPr>
        <w:t xml:space="preserve"> E.g. sterilization, abortion, etc.</w:t>
      </w:r>
    </w:p>
  </w:endnote>
  <w:endnote w:id="8">
    <w:p w14:paraId="76C8DAF6" w14:textId="77777777" w:rsidR="00653DD5" w:rsidRPr="004F45B7" w:rsidRDefault="00653DD5" w:rsidP="00C24029">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E.g. contraception, neuroleptics, growth attenuating drugs</w:t>
      </w:r>
      <w:r>
        <w:rPr>
          <w:rFonts w:cstheme="minorHAnsi"/>
          <w:sz w:val="18"/>
          <w:szCs w:val="18"/>
        </w:rPr>
        <w:t xml:space="preserve">, </w:t>
      </w:r>
      <w:r w:rsidRPr="00C5763B">
        <w:rPr>
          <w:rFonts w:cstheme="minorHAnsi"/>
          <w:sz w:val="18"/>
          <w:szCs w:val="18"/>
        </w:rPr>
        <w:t>mind-altering medications</w:t>
      </w:r>
      <w:r>
        <w:rPr>
          <w:rFonts w:cstheme="minorHAnsi"/>
          <w:sz w:val="18"/>
          <w:szCs w:val="18"/>
        </w:rPr>
        <w:t>, etc.</w:t>
      </w:r>
    </w:p>
  </w:endnote>
  <w:endnote w:id="9">
    <w:p w14:paraId="1284F6EC"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Consultation</w:t>
      </w:r>
      <w:r>
        <w:rPr>
          <w:rFonts w:cstheme="minorHAnsi"/>
          <w:sz w:val="18"/>
          <w:szCs w:val="18"/>
        </w:rPr>
        <w:t xml:space="preserve"> rooms</w:t>
      </w:r>
      <w:r w:rsidRPr="004F45B7">
        <w:rPr>
          <w:rFonts w:cstheme="minorHAnsi"/>
          <w:sz w:val="18"/>
          <w:szCs w:val="18"/>
        </w:rPr>
        <w:t>, treatment and operation facilities, toilets, waiting areas.</w:t>
      </w:r>
    </w:p>
  </w:endnote>
  <w:endnote w:id="10">
    <w:p w14:paraId="12017069"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w:t>
      </w:r>
      <w:r>
        <w:rPr>
          <w:rFonts w:cstheme="minorHAnsi"/>
          <w:sz w:val="18"/>
          <w:szCs w:val="18"/>
        </w:rPr>
        <w:t>Among others</w:t>
      </w:r>
      <w:r w:rsidRPr="004F45B7">
        <w:rPr>
          <w:rFonts w:cstheme="minorHAnsi"/>
          <w:sz w:val="18"/>
          <w:szCs w:val="18"/>
        </w:rPr>
        <w:t xml:space="preserve">, </w:t>
      </w:r>
      <w:r>
        <w:rPr>
          <w:rFonts w:cstheme="minorHAnsi"/>
          <w:sz w:val="18"/>
          <w:szCs w:val="18"/>
        </w:rPr>
        <w:t xml:space="preserve">information for </w:t>
      </w:r>
      <w:r w:rsidRPr="004F45B7">
        <w:rPr>
          <w:rFonts w:cstheme="minorHAnsi"/>
          <w:sz w:val="18"/>
          <w:szCs w:val="18"/>
        </w:rPr>
        <w:t>patient</w:t>
      </w:r>
      <w:r>
        <w:rPr>
          <w:rFonts w:cstheme="minorHAnsi"/>
          <w:sz w:val="18"/>
          <w:szCs w:val="18"/>
        </w:rPr>
        <w:t>s in accessible languages and formats including</w:t>
      </w:r>
      <w:r w:rsidRPr="004F45B7">
        <w:rPr>
          <w:rFonts w:cstheme="minorHAnsi"/>
          <w:sz w:val="18"/>
          <w:szCs w:val="18"/>
        </w:rPr>
        <w:t xml:space="preserve"> </w:t>
      </w:r>
      <w:r>
        <w:rPr>
          <w:rFonts w:cstheme="minorHAnsi"/>
          <w:sz w:val="18"/>
          <w:szCs w:val="18"/>
        </w:rPr>
        <w:t xml:space="preserve">sign language, indigenous/minority languages, </w:t>
      </w:r>
      <w:r w:rsidRPr="004F45B7">
        <w:rPr>
          <w:rFonts w:cstheme="minorHAnsi"/>
          <w:sz w:val="18"/>
          <w:szCs w:val="18"/>
        </w:rPr>
        <w:t>Braille</w:t>
      </w:r>
      <w:r>
        <w:rPr>
          <w:rFonts w:cstheme="minorHAnsi"/>
          <w:sz w:val="18"/>
          <w:szCs w:val="18"/>
        </w:rPr>
        <w:t>, etc</w:t>
      </w:r>
      <w:r w:rsidRPr="004F45B7">
        <w:rPr>
          <w:rFonts w:cstheme="minorHAnsi"/>
          <w:sz w:val="18"/>
          <w:szCs w:val="18"/>
        </w:rPr>
        <w:t>.</w:t>
      </w:r>
      <w:r>
        <w:rPr>
          <w:rFonts w:cstheme="minorHAnsi"/>
          <w:sz w:val="18"/>
          <w:szCs w:val="18"/>
        </w:rPr>
        <w:t xml:space="preserve"> and interpretation into sign language, indigenous/minority languages.</w:t>
      </w:r>
      <w:r w:rsidRPr="004F45B7">
        <w:rPr>
          <w:rFonts w:cstheme="minorHAnsi"/>
          <w:sz w:val="18"/>
          <w:szCs w:val="18"/>
        </w:rPr>
        <w:t xml:space="preserve"> </w:t>
      </w:r>
    </w:p>
  </w:endnote>
  <w:endnote w:id="11">
    <w:p w14:paraId="5C423A38"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The protocol should:</w:t>
      </w:r>
    </w:p>
    <w:p w14:paraId="73C05A85" w14:textId="77777777" w:rsidR="00653DD5" w:rsidRDefault="00653DD5" w:rsidP="00E87262">
      <w:pPr>
        <w:pStyle w:val="ListParagraph"/>
        <w:numPr>
          <w:ilvl w:val="0"/>
          <w:numId w:val="4"/>
        </w:numPr>
        <w:spacing w:after="0" w:line="240" w:lineRule="auto"/>
        <w:rPr>
          <w:rFonts w:cstheme="minorHAnsi"/>
          <w:sz w:val="18"/>
          <w:szCs w:val="18"/>
        </w:rPr>
      </w:pPr>
      <w:r>
        <w:rPr>
          <w:rFonts w:cstheme="minorHAnsi"/>
          <w:sz w:val="18"/>
          <w:szCs w:val="18"/>
        </w:rPr>
        <w:t>explicitly be inclusive of persons with disabilities;</w:t>
      </w:r>
    </w:p>
    <w:p w14:paraId="355D9AE6" w14:textId="77777777" w:rsidR="00653DD5" w:rsidRPr="004F45B7" w:rsidRDefault="00653DD5" w:rsidP="00E87262">
      <w:pPr>
        <w:pStyle w:val="ListParagraph"/>
        <w:numPr>
          <w:ilvl w:val="0"/>
          <w:numId w:val="4"/>
        </w:numPr>
        <w:spacing w:after="0" w:line="240" w:lineRule="auto"/>
        <w:rPr>
          <w:rFonts w:cstheme="minorHAnsi"/>
          <w:sz w:val="18"/>
          <w:szCs w:val="18"/>
        </w:rPr>
      </w:pPr>
      <w:r w:rsidRPr="004F45B7">
        <w:rPr>
          <w:rFonts w:cstheme="minorHAnsi"/>
          <w:sz w:val="18"/>
          <w:szCs w:val="18"/>
        </w:rPr>
        <w:t>prohibit non-consensual treatment and consent provided by a third party;</w:t>
      </w:r>
    </w:p>
    <w:p w14:paraId="630C49B0" w14:textId="77777777" w:rsidR="00653DD5" w:rsidRPr="004F45B7" w:rsidRDefault="00653DD5" w:rsidP="00E87262">
      <w:pPr>
        <w:pStyle w:val="ListParagraph"/>
        <w:numPr>
          <w:ilvl w:val="0"/>
          <w:numId w:val="4"/>
        </w:numPr>
        <w:spacing w:after="0" w:line="240" w:lineRule="auto"/>
        <w:rPr>
          <w:rFonts w:cstheme="minorHAnsi"/>
          <w:sz w:val="18"/>
          <w:szCs w:val="18"/>
        </w:rPr>
      </w:pPr>
      <w:r w:rsidRPr="004F45B7">
        <w:rPr>
          <w:rFonts w:cstheme="minorHAnsi"/>
          <w:sz w:val="18"/>
          <w:szCs w:val="18"/>
        </w:rPr>
        <w:t>recognise and ensure the provision of support which respects the individual’s autonomy, will and preferences;</w:t>
      </w:r>
    </w:p>
    <w:p w14:paraId="6973C07F" w14:textId="77777777" w:rsidR="00653DD5" w:rsidRPr="004F45B7" w:rsidRDefault="00653DD5" w:rsidP="00E87262">
      <w:pPr>
        <w:pStyle w:val="ListParagraph"/>
        <w:numPr>
          <w:ilvl w:val="0"/>
          <w:numId w:val="4"/>
        </w:numPr>
        <w:spacing w:after="0" w:line="240" w:lineRule="auto"/>
        <w:rPr>
          <w:rFonts w:cstheme="minorHAnsi"/>
          <w:sz w:val="18"/>
          <w:szCs w:val="18"/>
        </w:rPr>
      </w:pPr>
      <w:r w:rsidRPr="004F45B7">
        <w:rPr>
          <w:rFonts w:cstheme="minorHAnsi"/>
          <w:sz w:val="18"/>
          <w:szCs w:val="18"/>
        </w:rPr>
        <w:t>recognise and make available accessible and alternative communication methods;</w:t>
      </w:r>
    </w:p>
    <w:p w14:paraId="18ACC6FE" w14:textId="77777777" w:rsidR="00653DD5" w:rsidRPr="00834B87" w:rsidRDefault="00653DD5" w:rsidP="00834B87">
      <w:pPr>
        <w:pStyle w:val="ListParagraph"/>
        <w:numPr>
          <w:ilvl w:val="0"/>
          <w:numId w:val="4"/>
        </w:numPr>
        <w:spacing w:after="0" w:line="240" w:lineRule="auto"/>
        <w:ind w:left="714" w:hanging="357"/>
        <w:rPr>
          <w:rFonts w:cstheme="minorHAnsi"/>
          <w:sz w:val="18"/>
          <w:szCs w:val="18"/>
        </w:rPr>
      </w:pPr>
      <w:r w:rsidRPr="004F45B7">
        <w:rPr>
          <w:rFonts w:cstheme="minorHAnsi"/>
          <w:sz w:val="18"/>
          <w:szCs w:val="18"/>
        </w:rPr>
        <w:t xml:space="preserve">recognise advance directives/planning instruments subject to the </w:t>
      </w:r>
      <w:r>
        <w:rPr>
          <w:rFonts w:cstheme="minorHAnsi"/>
          <w:sz w:val="18"/>
          <w:szCs w:val="18"/>
        </w:rPr>
        <w:t>individual’s</w:t>
      </w:r>
      <w:r w:rsidRPr="004F45B7">
        <w:rPr>
          <w:rFonts w:cstheme="minorHAnsi"/>
          <w:sz w:val="18"/>
          <w:szCs w:val="18"/>
        </w:rPr>
        <w:t xml:space="preserve"> exercise of legal capacity at all times.</w:t>
      </w:r>
    </w:p>
    <w:p w14:paraId="375AC59B" w14:textId="68C5729A" w:rsidR="00653DD5" w:rsidRPr="004F45B7" w:rsidRDefault="00653DD5" w:rsidP="00C5763B">
      <w:pPr>
        <w:pStyle w:val="ListParagraph"/>
        <w:numPr>
          <w:ilvl w:val="0"/>
          <w:numId w:val="4"/>
        </w:numPr>
        <w:spacing w:after="0" w:line="240" w:lineRule="auto"/>
        <w:ind w:left="714" w:hanging="357"/>
        <w:rPr>
          <w:rFonts w:cstheme="minorHAnsi"/>
          <w:sz w:val="18"/>
          <w:szCs w:val="18"/>
        </w:rPr>
      </w:pPr>
      <w:r w:rsidRPr="00C04DAA">
        <w:rPr>
          <w:rFonts w:cstheme="minorHAnsi"/>
          <w:sz w:val="18"/>
          <w:szCs w:val="18"/>
        </w:rPr>
        <w:t>ensure that when it has not been possible to obtain expression of the person’s will, despite significant efforts, the best interpretation of will and preferences will determine the course of action and not the ‘best interests’ standard.</w:t>
      </w:r>
      <w:r>
        <w:rPr>
          <w:rFonts w:cstheme="minorHAnsi"/>
          <w:sz w:val="18"/>
          <w:szCs w:val="18"/>
        </w:rPr>
        <w:t xml:space="preserve"> (See </w:t>
      </w:r>
      <w:hyperlink r:id="rId2" w:history="1">
        <w:r w:rsidRPr="00E90D0B">
          <w:rPr>
            <w:rStyle w:val="Hyperlink"/>
            <w:rFonts w:cstheme="minorHAnsi"/>
            <w:sz w:val="18"/>
            <w:szCs w:val="18"/>
          </w:rPr>
          <w:t>General Comment no 1</w:t>
        </w:r>
      </w:hyperlink>
      <w:r w:rsidRPr="00C04DAA">
        <w:rPr>
          <w:rFonts w:cstheme="minorHAnsi"/>
          <w:sz w:val="18"/>
          <w:szCs w:val="18"/>
        </w:rPr>
        <w:t xml:space="preserve"> of t</w:t>
      </w:r>
      <w:r>
        <w:rPr>
          <w:rFonts w:cstheme="minorHAnsi"/>
          <w:sz w:val="18"/>
          <w:szCs w:val="18"/>
        </w:rPr>
        <w:t>he CRPD Committee on Article 12, e</w:t>
      </w:r>
      <w:r w:rsidRPr="00C04DAA">
        <w:rPr>
          <w:rFonts w:cstheme="minorHAnsi"/>
          <w:sz w:val="18"/>
          <w:szCs w:val="18"/>
        </w:rPr>
        <w:t>qual recognition before the law)</w:t>
      </w:r>
      <w:r>
        <w:rPr>
          <w:rFonts w:cstheme="minorHAnsi"/>
          <w:sz w:val="18"/>
          <w:szCs w:val="18"/>
        </w:rPr>
        <w:t>.</w:t>
      </w:r>
    </w:p>
  </w:endnote>
  <w:endnote w:id="12">
    <w:p w14:paraId="305BA227"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This is defined as the average coverage of essential services based on tracer interventions that include reproductive, maternal, </w:t>
      </w:r>
      <w:proofErr w:type="spellStart"/>
      <w:r w:rsidRPr="004F45B7">
        <w:rPr>
          <w:rFonts w:cstheme="minorHAnsi"/>
          <w:sz w:val="18"/>
          <w:szCs w:val="18"/>
        </w:rPr>
        <w:t>newborn</w:t>
      </w:r>
      <w:proofErr w:type="spellEnd"/>
      <w:r w:rsidRPr="004F45B7">
        <w:rPr>
          <w:rFonts w:cstheme="minorHAnsi"/>
          <w:sz w:val="18"/>
          <w:szCs w:val="18"/>
        </w:rPr>
        <w:t xml:space="preserve"> and child health, infectious diseases, non-communicable diseases and service capacity and access, among the general and the most disadvantaged population.</w:t>
      </w:r>
    </w:p>
  </w:endnote>
  <w:endnote w:id="13">
    <w:p w14:paraId="466879A6" w14:textId="77777777" w:rsidR="00653DD5" w:rsidRPr="004F45B7" w:rsidRDefault="00653DD5" w:rsidP="00E87262">
      <w:pPr>
        <w:pStyle w:val="EndnoteText"/>
        <w:rPr>
          <w:rFonts w:cstheme="minorHAnsi"/>
          <w:sz w:val="18"/>
          <w:szCs w:val="18"/>
        </w:rPr>
      </w:pPr>
      <w:r w:rsidRPr="004F45B7">
        <w:rPr>
          <w:rStyle w:val="EndnoteReference"/>
          <w:rFonts w:cstheme="minorHAnsi"/>
          <w:sz w:val="18"/>
          <w:szCs w:val="18"/>
        </w:rPr>
        <w:endnoteRef/>
      </w:r>
      <w:r w:rsidRPr="004F45B7">
        <w:rPr>
          <w:rFonts w:cstheme="minorHAnsi"/>
          <w:sz w:val="18"/>
          <w:szCs w:val="18"/>
        </w:rPr>
        <w:t xml:space="preserve"> See metadata on SDG indicator, </w:t>
      </w:r>
      <w:r>
        <w:rPr>
          <w:rFonts w:cstheme="minorHAnsi"/>
          <w:sz w:val="18"/>
          <w:szCs w:val="18"/>
        </w:rPr>
        <w:t>where under</w:t>
      </w:r>
      <w:r w:rsidRPr="004F45B7">
        <w:rPr>
          <w:rFonts w:cstheme="minorHAnsi"/>
          <w:sz w:val="18"/>
          <w:szCs w:val="18"/>
        </w:rPr>
        <w:t xml:space="preserve"> </w:t>
      </w:r>
      <w:r>
        <w:rPr>
          <w:rFonts w:cstheme="minorHAnsi"/>
          <w:sz w:val="18"/>
          <w:szCs w:val="18"/>
        </w:rPr>
        <w:t xml:space="preserve">disaggregation, it states; </w:t>
      </w:r>
      <w:r w:rsidRPr="004F45B7">
        <w:rPr>
          <w:rFonts w:cstheme="minorHAnsi"/>
          <w:sz w:val="18"/>
          <w:szCs w:val="18"/>
        </w:rPr>
        <w:t>“Equity is central to the definition of UHC, and therefore the UHC service coverage index should be used to communicate information about inequalities in service coverage within countries. This can be done by presenting the index separately for the national population vs disadvantaged populations to highlight differences between them.”</w:t>
      </w:r>
    </w:p>
  </w:endnote>
  <w:endnote w:id="14">
    <w:p w14:paraId="310FBA16" w14:textId="596911A4" w:rsidR="00653DD5" w:rsidRPr="00DD35DD" w:rsidRDefault="00653DD5" w:rsidP="00C30125">
      <w:pPr>
        <w:pStyle w:val="EndnoteText"/>
        <w:jc w:val="both"/>
        <w:rPr>
          <w:sz w:val="18"/>
          <w:szCs w:val="18"/>
        </w:rPr>
      </w:pPr>
      <w:r w:rsidRPr="004F45B7">
        <w:rPr>
          <w:rStyle w:val="EndnoteReference"/>
          <w:rFonts w:cstheme="minorHAnsi"/>
          <w:sz w:val="18"/>
          <w:szCs w:val="18"/>
        </w:rPr>
        <w:endnoteRef/>
      </w:r>
      <w:r w:rsidRPr="004F45B7">
        <w:rPr>
          <w:rFonts w:cstheme="minorHAnsi"/>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E90D0B">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43629D3B" w14:textId="77777777" w:rsidR="00653DD5" w:rsidRPr="00DD35DD" w:rsidRDefault="00653DD5" w:rsidP="00C30125">
      <w:pPr>
        <w:pStyle w:val="EndnoteText"/>
        <w:numPr>
          <w:ilvl w:val="0"/>
          <w:numId w:val="7"/>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3936C5F6" w14:textId="77777777" w:rsidR="00653DD5" w:rsidRPr="00DD35DD" w:rsidRDefault="00653DD5" w:rsidP="00C30125">
      <w:pPr>
        <w:pStyle w:val="EndnoteText"/>
        <w:numPr>
          <w:ilvl w:val="0"/>
          <w:numId w:val="7"/>
        </w:numPr>
        <w:ind w:left="714" w:hanging="357"/>
        <w:contextualSpacing/>
        <w:rPr>
          <w:sz w:val="18"/>
          <w:szCs w:val="18"/>
        </w:rPr>
      </w:pPr>
      <w:r w:rsidRPr="00DD35DD">
        <w:rPr>
          <w:sz w:val="18"/>
          <w:szCs w:val="18"/>
        </w:rPr>
        <w:t>ensure provision of appropriate and accessible information</w:t>
      </w:r>
      <w:r>
        <w:rPr>
          <w:sz w:val="18"/>
          <w:szCs w:val="18"/>
        </w:rPr>
        <w:t>;</w:t>
      </w:r>
    </w:p>
    <w:p w14:paraId="05554CEE" w14:textId="77777777" w:rsidR="00653DD5" w:rsidRPr="00DD35DD" w:rsidRDefault="00653DD5" w:rsidP="00C30125">
      <w:pPr>
        <w:pStyle w:val="EndnoteText"/>
        <w:numPr>
          <w:ilvl w:val="0"/>
          <w:numId w:val="7"/>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347502C7" w14:textId="77777777" w:rsidR="00653DD5" w:rsidRPr="00DD35DD" w:rsidRDefault="00653DD5" w:rsidP="00C30125">
      <w:pPr>
        <w:pStyle w:val="EndnoteText"/>
        <w:numPr>
          <w:ilvl w:val="0"/>
          <w:numId w:val="7"/>
        </w:numPr>
        <w:ind w:left="714" w:hanging="357"/>
        <w:contextualSpacing/>
        <w:rPr>
          <w:sz w:val="18"/>
          <w:szCs w:val="18"/>
        </w:rPr>
      </w:pPr>
      <w:r w:rsidRPr="00DD35DD">
        <w:rPr>
          <w:sz w:val="18"/>
          <w:szCs w:val="18"/>
        </w:rPr>
        <w:t>include both registered and unregistered organ</w:t>
      </w:r>
      <w:r>
        <w:rPr>
          <w:sz w:val="18"/>
          <w:szCs w:val="18"/>
        </w:rPr>
        <w:t>izations;</w:t>
      </w:r>
    </w:p>
    <w:p w14:paraId="07F86E9A" w14:textId="77777777" w:rsidR="00653DD5" w:rsidRDefault="00653DD5" w:rsidP="00C30125">
      <w:pPr>
        <w:pStyle w:val="EndnoteText"/>
        <w:numPr>
          <w:ilvl w:val="0"/>
          <w:numId w:val="7"/>
        </w:numPr>
        <w:ind w:left="714" w:hanging="357"/>
        <w:contextualSpacing/>
        <w:rPr>
          <w:sz w:val="18"/>
          <w:szCs w:val="18"/>
        </w:rPr>
      </w:pPr>
      <w:r w:rsidRPr="00DD35DD">
        <w:rPr>
          <w:sz w:val="18"/>
          <w:szCs w:val="18"/>
        </w:rPr>
        <w:t>ensure ea</w:t>
      </w:r>
      <w:r>
        <w:rPr>
          <w:sz w:val="18"/>
          <w:szCs w:val="18"/>
        </w:rPr>
        <w:t>rly and continuous involvement;</w:t>
      </w:r>
    </w:p>
    <w:p w14:paraId="60B7C968" w14:textId="77777777" w:rsidR="00653DD5" w:rsidRPr="00C30125" w:rsidRDefault="00653DD5" w:rsidP="00C30125">
      <w:pPr>
        <w:pStyle w:val="EndnoteText"/>
        <w:numPr>
          <w:ilvl w:val="0"/>
          <w:numId w:val="7"/>
        </w:numPr>
        <w:ind w:left="714" w:hanging="357"/>
        <w:contextualSpacing/>
        <w:rPr>
          <w:sz w:val="18"/>
          <w:szCs w:val="18"/>
        </w:rPr>
      </w:pPr>
      <w:r w:rsidRPr="00C30125">
        <w:rPr>
          <w:rFonts w:cstheme="minorHAnsi"/>
          <w:sz w:val="18"/>
          <w:szCs w:val="18"/>
        </w:rPr>
        <w:t>cover related expenses of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DB5A6" w14:textId="77777777" w:rsidR="00E91378" w:rsidRDefault="00E91378" w:rsidP="006C68B3">
      <w:pPr>
        <w:spacing w:after="0" w:line="240" w:lineRule="auto"/>
      </w:pPr>
      <w:r>
        <w:separator/>
      </w:r>
    </w:p>
  </w:footnote>
  <w:footnote w:type="continuationSeparator" w:id="0">
    <w:p w14:paraId="6145358D" w14:textId="77777777" w:rsidR="00E91378" w:rsidRDefault="00E91378" w:rsidP="006C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775"/>
    <w:multiLevelType w:val="multilevel"/>
    <w:tmpl w:val="95B83BC8"/>
    <w:lvl w:ilvl="0">
      <w:start w:val="25"/>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E03AB"/>
    <w:multiLevelType w:val="hybridMultilevel"/>
    <w:tmpl w:val="80C694A6"/>
    <w:lvl w:ilvl="0" w:tplc="8E56E31E">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34EB2"/>
    <w:multiLevelType w:val="hybridMultilevel"/>
    <w:tmpl w:val="3EA0071C"/>
    <w:lvl w:ilvl="0" w:tplc="0B16B2F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B10F5"/>
    <w:multiLevelType w:val="hybridMultilevel"/>
    <w:tmpl w:val="7F0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86FC9"/>
    <w:multiLevelType w:val="hybridMultilevel"/>
    <w:tmpl w:val="7898C926"/>
    <w:lvl w:ilvl="0" w:tplc="677EB46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24DBF"/>
    <w:multiLevelType w:val="hybridMultilevel"/>
    <w:tmpl w:val="D084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70C30"/>
    <w:multiLevelType w:val="hybridMultilevel"/>
    <w:tmpl w:val="587C09D0"/>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01D76"/>
    <w:multiLevelType w:val="multilevel"/>
    <w:tmpl w:val="CC50B698"/>
    <w:lvl w:ilvl="0">
      <w:start w:val="2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14"/>
  </w:num>
  <w:num w:numId="8">
    <w:abstractNumId w:val="6"/>
  </w:num>
  <w:num w:numId="9">
    <w:abstractNumId w:val="9"/>
  </w:num>
  <w:num w:numId="10">
    <w:abstractNumId w:val="2"/>
  </w:num>
  <w:num w:numId="11">
    <w:abstractNumId w:val="12"/>
  </w:num>
  <w:num w:numId="12">
    <w:abstractNumId w:val="0"/>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1F37"/>
    <w:rsid w:val="00020C08"/>
    <w:rsid w:val="0003482B"/>
    <w:rsid w:val="00053F7E"/>
    <w:rsid w:val="00060DB5"/>
    <w:rsid w:val="00062A7E"/>
    <w:rsid w:val="00063553"/>
    <w:rsid w:val="00076E0E"/>
    <w:rsid w:val="000833A4"/>
    <w:rsid w:val="000B154F"/>
    <w:rsid w:val="000B21D7"/>
    <w:rsid w:val="000C1B34"/>
    <w:rsid w:val="000C2ACA"/>
    <w:rsid w:val="000E0AB7"/>
    <w:rsid w:val="000F124D"/>
    <w:rsid w:val="00137DC5"/>
    <w:rsid w:val="00140F9B"/>
    <w:rsid w:val="0015545C"/>
    <w:rsid w:val="00155867"/>
    <w:rsid w:val="001619BF"/>
    <w:rsid w:val="001712D4"/>
    <w:rsid w:val="00175A6E"/>
    <w:rsid w:val="001779B8"/>
    <w:rsid w:val="00184B6C"/>
    <w:rsid w:val="00194498"/>
    <w:rsid w:val="001A321D"/>
    <w:rsid w:val="001A348D"/>
    <w:rsid w:val="001C2A75"/>
    <w:rsid w:val="001F007F"/>
    <w:rsid w:val="001F0196"/>
    <w:rsid w:val="001F3785"/>
    <w:rsid w:val="00200E47"/>
    <w:rsid w:val="0020177E"/>
    <w:rsid w:val="00210F19"/>
    <w:rsid w:val="00211BC3"/>
    <w:rsid w:val="002364CD"/>
    <w:rsid w:val="0025740C"/>
    <w:rsid w:val="00267120"/>
    <w:rsid w:val="002677DB"/>
    <w:rsid w:val="00287523"/>
    <w:rsid w:val="002B2C17"/>
    <w:rsid w:val="002C6CA2"/>
    <w:rsid w:val="002D6476"/>
    <w:rsid w:val="002F4D2B"/>
    <w:rsid w:val="0030588D"/>
    <w:rsid w:val="00320E7F"/>
    <w:rsid w:val="00321A10"/>
    <w:rsid w:val="00322D09"/>
    <w:rsid w:val="00324221"/>
    <w:rsid w:val="003304B7"/>
    <w:rsid w:val="0033675C"/>
    <w:rsid w:val="00361FBD"/>
    <w:rsid w:val="00362BE9"/>
    <w:rsid w:val="003665DD"/>
    <w:rsid w:val="003759C9"/>
    <w:rsid w:val="00376A5B"/>
    <w:rsid w:val="00384639"/>
    <w:rsid w:val="00393AB9"/>
    <w:rsid w:val="003963B0"/>
    <w:rsid w:val="003A3D3E"/>
    <w:rsid w:val="003A4BE4"/>
    <w:rsid w:val="003A6452"/>
    <w:rsid w:val="003B1FB1"/>
    <w:rsid w:val="003B6E8C"/>
    <w:rsid w:val="003C3331"/>
    <w:rsid w:val="003D4A98"/>
    <w:rsid w:val="00412C84"/>
    <w:rsid w:val="00415567"/>
    <w:rsid w:val="00427BC1"/>
    <w:rsid w:val="00454A60"/>
    <w:rsid w:val="004656EF"/>
    <w:rsid w:val="00482339"/>
    <w:rsid w:val="004824A8"/>
    <w:rsid w:val="00484C7A"/>
    <w:rsid w:val="004850E8"/>
    <w:rsid w:val="004867E3"/>
    <w:rsid w:val="00487EC7"/>
    <w:rsid w:val="00490796"/>
    <w:rsid w:val="004974DF"/>
    <w:rsid w:val="004B01AA"/>
    <w:rsid w:val="004B1CDF"/>
    <w:rsid w:val="004B7AAA"/>
    <w:rsid w:val="004B7D89"/>
    <w:rsid w:val="004E326A"/>
    <w:rsid w:val="004F14D7"/>
    <w:rsid w:val="004F45B7"/>
    <w:rsid w:val="004F6353"/>
    <w:rsid w:val="004F771C"/>
    <w:rsid w:val="0051326C"/>
    <w:rsid w:val="00522024"/>
    <w:rsid w:val="005335F0"/>
    <w:rsid w:val="00556A1F"/>
    <w:rsid w:val="0055748C"/>
    <w:rsid w:val="00560508"/>
    <w:rsid w:val="0056270E"/>
    <w:rsid w:val="005761D6"/>
    <w:rsid w:val="0059022A"/>
    <w:rsid w:val="00595CE4"/>
    <w:rsid w:val="005D1CC0"/>
    <w:rsid w:val="005D69A7"/>
    <w:rsid w:val="005E1F98"/>
    <w:rsid w:val="005E36B8"/>
    <w:rsid w:val="0060062B"/>
    <w:rsid w:val="00601E75"/>
    <w:rsid w:val="006218AE"/>
    <w:rsid w:val="006268B6"/>
    <w:rsid w:val="00626BB7"/>
    <w:rsid w:val="00645E40"/>
    <w:rsid w:val="00647F04"/>
    <w:rsid w:val="00650713"/>
    <w:rsid w:val="0065360C"/>
    <w:rsid w:val="00653DD5"/>
    <w:rsid w:val="00656EFB"/>
    <w:rsid w:val="00661855"/>
    <w:rsid w:val="006634DF"/>
    <w:rsid w:val="00664CB7"/>
    <w:rsid w:val="0069647D"/>
    <w:rsid w:val="006A00FC"/>
    <w:rsid w:val="006A1B4F"/>
    <w:rsid w:val="006A2869"/>
    <w:rsid w:val="006B5CDD"/>
    <w:rsid w:val="006C1278"/>
    <w:rsid w:val="006C3934"/>
    <w:rsid w:val="006C68B3"/>
    <w:rsid w:val="006D1454"/>
    <w:rsid w:val="006D7651"/>
    <w:rsid w:val="00726FF3"/>
    <w:rsid w:val="007411C7"/>
    <w:rsid w:val="00761878"/>
    <w:rsid w:val="007821F0"/>
    <w:rsid w:val="00786018"/>
    <w:rsid w:val="007A1118"/>
    <w:rsid w:val="007B7BAE"/>
    <w:rsid w:val="007C3C59"/>
    <w:rsid w:val="007F617C"/>
    <w:rsid w:val="008033E2"/>
    <w:rsid w:val="00805A58"/>
    <w:rsid w:val="00810B8E"/>
    <w:rsid w:val="0082338D"/>
    <w:rsid w:val="008329B2"/>
    <w:rsid w:val="00833CED"/>
    <w:rsid w:val="00834B87"/>
    <w:rsid w:val="008411A4"/>
    <w:rsid w:val="0084351D"/>
    <w:rsid w:val="0086339D"/>
    <w:rsid w:val="0087251E"/>
    <w:rsid w:val="00885AD3"/>
    <w:rsid w:val="00890D18"/>
    <w:rsid w:val="00891815"/>
    <w:rsid w:val="008B3E0E"/>
    <w:rsid w:val="008B5045"/>
    <w:rsid w:val="008C11D9"/>
    <w:rsid w:val="008C3BBF"/>
    <w:rsid w:val="008D47A8"/>
    <w:rsid w:val="008E69B0"/>
    <w:rsid w:val="008F13BB"/>
    <w:rsid w:val="008F2775"/>
    <w:rsid w:val="00912A32"/>
    <w:rsid w:val="009164E9"/>
    <w:rsid w:val="00916863"/>
    <w:rsid w:val="00922415"/>
    <w:rsid w:val="00924217"/>
    <w:rsid w:val="00925CF3"/>
    <w:rsid w:val="009463DD"/>
    <w:rsid w:val="0094757F"/>
    <w:rsid w:val="009502B5"/>
    <w:rsid w:val="00961739"/>
    <w:rsid w:val="00963271"/>
    <w:rsid w:val="009770C9"/>
    <w:rsid w:val="009A66A9"/>
    <w:rsid w:val="009B6586"/>
    <w:rsid w:val="009C0922"/>
    <w:rsid w:val="009D5C76"/>
    <w:rsid w:val="009E2DC2"/>
    <w:rsid w:val="009F4431"/>
    <w:rsid w:val="009F6E73"/>
    <w:rsid w:val="009F74BF"/>
    <w:rsid w:val="00A31E24"/>
    <w:rsid w:val="00A5287C"/>
    <w:rsid w:val="00A7428E"/>
    <w:rsid w:val="00A8667D"/>
    <w:rsid w:val="00A96D2B"/>
    <w:rsid w:val="00A976AD"/>
    <w:rsid w:val="00AB2681"/>
    <w:rsid w:val="00AC58C8"/>
    <w:rsid w:val="00AD73CE"/>
    <w:rsid w:val="00AE06BE"/>
    <w:rsid w:val="00AE61FE"/>
    <w:rsid w:val="00AF7B0E"/>
    <w:rsid w:val="00B04820"/>
    <w:rsid w:val="00B16DB1"/>
    <w:rsid w:val="00B3087B"/>
    <w:rsid w:val="00B545A4"/>
    <w:rsid w:val="00B71350"/>
    <w:rsid w:val="00B8625C"/>
    <w:rsid w:val="00B868FC"/>
    <w:rsid w:val="00B86EE3"/>
    <w:rsid w:val="00BA2C54"/>
    <w:rsid w:val="00BA4CA9"/>
    <w:rsid w:val="00BB24BD"/>
    <w:rsid w:val="00BC1B5A"/>
    <w:rsid w:val="00BC2634"/>
    <w:rsid w:val="00BD36B5"/>
    <w:rsid w:val="00BD40BE"/>
    <w:rsid w:val="00BD4FCB"/>
    <w:rsid w:val="00BF03F2"/>
    <w:rsid w:val="00BF1D9C"/>
    <w:rsid w:val="00C04DAA"/>
    <w:rsid w:val="00C054DB"/>
    <w:rsid w:val="00C11FD7"/>
    <w:rsid w:val="00C130AE"/>
    <w:rsid w:val="00C138B9"/>
    <w:rsid w:val="00C24029"/>
    <w:rsid w:val="00C30125"/>
    <w:rsid w:val="00C3076D"/>
    <w:rsid w:val="00C35D0C"/>
    <w:rsid w:val="00C45A8F"/>
    <w:rsid w:val="00C52283"/>
    <w:rsid w:val="00C57475"/>
    <w:rsid w:val="00C5763B"/>
    <w:rsid w:val="00C81439"/>
    <w:rsid w:val="00C81D3F"/>
    <w:rsid w:val="00C82085"/>
    <w:rsid w:val="00CA0DBB"/>
    <w:rsid w:val="00CA54CC"/>
    <w:rsid w:val="00CD27F8"/>
    <w:rsid w:val="00CD384B"/>
    <w:rsid w:val="00CF40E6"/>
    <w:rsid w:val="00D00C89"/>
    <w:rsid w:val="00D02798"/>
    <w:rsid w:val="00D32011"/>
    <w:rsid w:val="00D34D57"/>
    <w:rsid w:val="00D46E60"/>
    <w:rsid w:val="00D5700F"/>
    <w:rsid w:val="00D83F05"/>
    <w:rsid w:val="00D908BB"/>
    <w:rsid w:val="00D91155"/>
    <w:rsid w:val="00D91B7C"/>
    <w:rsid w:val="00D96912"/>
    <w:rsid w:val="00DB0645"/>
    <w:rsid w:val="00DE16F5"/>
    <w:rsid w:val="00DF08B8"/>
    <w:rsid w:val="00DF3712"/>
    <w:rsid w:val="00DF7BDB"/>
    <w:rsid w:val="00E24F1C"/>
    <w:rsid w:val="00E25706"/>
    <w:rsid w:val="00E30F17"/>
    <w:rsid w:val="00E42357"/>
    <w:rsid w:val="00E434D8"/>
    <w:rsid w:val="00E56E89"/>
    <w:rsid w:val="00E635BB"/>
    <w:rsid w:val="00E72B46"/>
    <w:rsid w:val="00E87262"/>
    <w:rsid w:val="00E900DF"/>
    <w:rsid w:val="00E90D0B"/>
    <w:rsid w:val="00E91378"/>
    <w:rsid w:val="00EB2E1E"/>
    <w:rsid w:val="00EB6526"/>
    <w:rsid w:val="00ED15CC"/>
    <w:rsid w:val="00ED349D"/>
    <w:rsid w:val="00ED4516"/>
    <w:rsid w:val="00EE61CF"/>
    <w:rsid w:val="00EE7E90"/>
    <w:rsid w:val="00EF51E0"/>
    <w:rsid w:val="00F054F7"/>
    <w:rsid w:val="00F07D78"/>
    <w:rsid w:val="00F172D4"/>
    <w:rsid w:val="00F228F8"/>
    <w:rsid w:val="00F357AE"/>
    <w:rsid w:val="00F5597C"/>
    <w:rsid w:val="00F63625"/>
    <w:rsid w:val="00F77534"/>
    <w:rsid w:val="00F81046"/>
    <w:rsid w:val="00F9082D"/>
    <w:rsid w:val="00F951E1"/>
    <w:rsid w:val="00F95ED5"/>
    <w:rsid w:val="00F96ADD"/>
    <w:rsid w:val="00FA3963"/>
    <w:rsid w:val="00FA417A"/>
    <w:rsid w:val="00FC1EB7"/>
    <w:rsid w:val="00FC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7D31B"/>
  <w14:defaultImageDpi w14:val="32767"/>
  <w15:docId w15:val="{600ED0C2-3C8A-4FA6-8B95-E424D99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59022A"/>
    <w:pPr>
      <w:spacing w:after="0" w:line="240" w:lineRule="auto"/>
      <w:jc w:val="center"/>
      <w:outlineLvl w:val="0"/>
    </w:pPr>
    <w:rPr>
      <w:rFonts w:cstheme="minorHAnsi"/>
      <w:b/>
      <w:sz w:val="18"/>
      <w:szCs w:val="18"/>
    </w:rPr>
  </w:style>
  <w:style w:type="paragraph" w:styleId="Heading2">
    <w:name w:val="heading 2"/>
    <w:basedOn w:val="ListParagraph"/>
    <w:next w:val="Normal"/>
    <w:link w:val="Heading2Char"/>
    <w:uiPriority w:val="9"/>
    <w:unhideWhenUsed/>
    <w:qFormat/>
    <w:rsid w:val="0059022A"/>
    <w:pPr>
      <w:spacing w:after="0" w:line="240" w:lineRule="auto"/>
      <w:ind w:left="0"/>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C"/>
    <w:rPr>
      <w:rFonts w:ascii="Segoe UI" w:hAnsi="Segoe UI" w:cs="Segoe UI"/>
      <w:sz w:val="18"/>
      <w:szCs w:val="18"/>
      <w:lang w:val="en-GB"/>
    </w:rPr>
  </w:style>
  <w:style w:type="character" w:styleId="CommentReference">
    <w:name w:val="annotation reference"/>
    <w:basedOn w:val="DefaultParagraphFont"/>
    <w:uiPriority w:val="99"/>
    <w:semiHidden/>
    <w:unhideWhenUsed/>
    <w:rsid w:val="004974DF"/>
    <w:rPr>
      <w:sz w:val="16"/>
      <w:szCs w:val="16"/>
    </w:rPr>
  </w:style>
  <w:style w:type="paragraph" w:styleId="CommentText">
    <w:name w:val="annotation text"/>
    <w:basedOn w:val="Normal"/>
    <w:link w:val="CommentTextChar"/>
    <w:uiPriority w:val="99"/>
    <w:unhideWhenUsed/>
    <w:rsid w:val="004974DF"/>
    <w:pPr>
      <w:spacing w:line="240" w:lineRule="auto"/>
    </w:pPr>
    <w:rPr>
      <w:sz w:val="20"/>
      <w:szCs w:val="20"/>
    </w:rPr>
  </w:style>
  <w:style w:type="character" w:customStyle="1" w:styleId="CommentTextChar">
    <w:name w:val="Comment Text Char"/>
    <w:basedOn w:val="DefaultParagraphFont"/>
    <w:link w:val="CommentText"/>
    <w:uiPriority w:val="99"/>
    <w:rsid w:val="004974DF"/>
    <w:rPr>
      <w:sz w:val="20"/>
      <w:szCs w:val="20"/>
      <w:lang w:val="en-GB"/>
    </w:rPr>
  </w:style>
  <w:style w:type="paragraph" w:styleId="CommentSubject">
    <w:name w:val="annotation subject"/>
    <w:basedOn w:val="CommentText"/>
    <w:next w:val="CommentText"/>
    <w:link w:val="CommentSubjectChar"/>
    <w:uiPriority w:val="99"/>
    <w:semiHidden/>
    <w:unhideWhenUsed/>
    <w:rsid w:val="004974DF"/>
    <w:rPr>
      <w:b/>
      <w:bCs/>
    </w:rPr>
  </w:style>
  <w:style w:type="character" w:customStyle="1" w:styleId="CommentSubjectChar">
    <w:name w:val="Comment Subject Char"/>
    <w:basedOn w:val="CommentTextChar"/>
    <w:link w:val="CommentSubject"/>
    <w:uiPriority w:val="99"/>
    <w:semiHidden/>
    <w:rsid w:val="004974DF"/>
    <w:rPr>
      <w:b/>
      <w:bCs/>
      <w:sz w:val="20"/>
      <w:szCs w:val="20"/>
      <w:lang w:val="en-GB"/>
    </w:rPr>
  </w:style>
  <w:style w:type="paragraph" w:styleId="NormalWeb">
    <w:name w:val="Normal (Web)"/>
    <w:basedOn w:val="Normal"/>
    <w:uiPriority w:val="99"/>
    <w:semiHidden/>
    <w:unhideWhenUsed/>
    <w:rsid w:val="00063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6C68B3"/>
    <w:pPr>
      <w:spacing w:after="0" w:line="240" w:lineRule="auto"/>
    </w:pPr>
    <w:rPr>
      <w:sz w:val="20"/>
      <w:szCs w:val="20"/>
    </w:rPr>
  </w:style>
  <w:style w:type="character" w:customStyle="1" w:styleId="EndnoteTextChar">
    <w:name w:val="Endnote Text Char"/>
    <w:basedOn w:val="DefaultParagraphFont"/>
    <w:link w:val="EndnoteText"/>
    <w:uiPriority w:val="99"/>
    <w:rsid w:val="006C68B3"/>
    <w:rPr>
      <w:sz w:val="20"/>
      <w:szCs w:val="20"/>
      <w:lang w:val="en-GB"/>
    </w:rPr>
  </w:style>
  <w:style w:type="character" w:styleId="EndnoteReference">
    <w:name w:val="endnote reference"/>
    <w:basedOn w:val="DefaultParagraphFont"/>
    <w:uiPriority w:val="99"/>
    <w:unhideWhenUsed/>
    <w:rsid w:val="006C68B3"/>
    <w:rPr>
      <w:vertAlign w:val="superscript"/>
    </w:rPr>
  </w:style>
  <w:style w:type="character" w:styleId="Hyperlink">
    <w:name w:val="Hyperlink"/>
    <w:basedOn w:val="DefaultParagraphFont"/>
    <w:uiPriority w:val="99"/>
    <w:unhideWhenUsed/>
    <w:rsid w:val="008B5045"/>
    <w:rPr>
      <w:color w:val="0563C1" w:themeColor="hyperlink"/>
      <w:u w:val="single"/>
    </w:rPr>
  </w:style>
  <w:style w:type="paragraph" w:styleId="Revision">
    <w:name w:val="Revision"/>
    <w:hidden/>
    <w:uiPriority w:val="99"/>
    <w:semiHidden/>
    <w:rsid w:val="006218AE"/>
    <w:rPr>
      <w:sz w:val="22"/>
      <w:szCs w:val="22"/>
      <w:lang w:val="en-GB"/>
    </w:rPr>
  </w:style>
  <w:style w:type="paragraph" w:customStyle="1" w:styleId="Default">
    <w:name w:val="Default"/>
    <w:rsid w:val="006D7651"/>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C52283"/>
    <w:rPr>
      <w:color w:val="954F72" w:themeColor="followedHyperlink"/>
      <w:u w:val="single"/>
    </w:rPr>
  </w:style>
  <w:style w:type="character" w:customStyle="1" w:styleId="Heading1Char">
    <w:name w:val="Heading 1 Char"/>
    <w:basedOn w:val="DefaultParagraphFont"/>
    <w:link w:val="Heading1"/>
    <w:uiPriority w:val="9"/>
    <w:rsid w:val="0059022A"/>
    <w:rPr>
      <w:rFonts w:cstheme="minorHAnsi"/>
      <w:b/>
      <w:sz w:val="18"/>
      <w:szCs w:val="18"/>
      <w:lang w:val="en-GB"/>
    </w:rPr>
  </w:style>
  <w:style w:type="character" w:customStyle="1" w:styleId="Heading2Char">
    <w:name w:val="Heading 2 Char"/>
    <w:basedOn w:val="DefaultParagraphFont"/>
    <w:link w:val="Heading2"/>
    <w:uiPriority w:val="9"/>
    <w:rsid w:val="0059022A"/>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6789">
      <w:bodyDiv w:val="1"/>
      <w:marLeft w:val="0"/>
      <w:marRight w:val="0"/>
      <w:marTop w:val="0"/>
      <w:marBottom w:val="0"/>
      <w:divBdr>
        <w:top w:val="none" w:sz="0" w:space="0" w:color="auto"/>
        <w:left w:val="none" w:sz="0" w:space="0" w:color="auto"/>
        <w:bottom w:val="none" w:sz="0" w:space="0" w:color="auto"/>
        <w:right w:val="none" w:sz="0" w:space="0" w:color="auto"/>
      </w:divBdr>
      <w:divsChild>
        <w:div w:id="1687172028">
          <w:marLeft w:val="0"/>
          <w:marRight w:val="0"/>
          <w:marTop w:val="0"/>
          <w:marBottom w:val="0"/>
          <w:divBdr>
            <w:top w:val="none" w:sz="0" w:space="0" w:color="auto"/>
            <w:left w:val="none" w:sz="0" w:space="0" w:color="auto"/>
            <w:bottom w:val="none" w:sz="0" w:space="0" w:color="auto"/>
            <w:right w:val="none" w:sz="0" w:space="0" w:color="auto"/>
          </w:divBdr>
        </w:div>
        <w:div w:id="1278876484">
          <w:marLeft w:val="0"/>
          <w:marRight w:val="0"/>
          <w:marTop w:val="0"/>
          <w:marBottom w:val="0"/>
          <w:divBdr>
            <w:top w:val="none" w:sz="0" w:space="0" w:color="auto"/>
            <w:left w:val="none" w:sz="0" w:space="0" w:color="auto"/>
            <w:bottom w:val="none" w:sz="0" w:space="0" w:color="auto"/>
            <w:right w:val="none" w:sz="0" w:space="0" w:color="auto"/>
          </w:divBdr>
        </w:div>
        <w:div w:id="2131168978">
          <w:marLeft w:val="0"/>
          <w:marRight w:val="0"/>
          <w:marTop w:val="0"/>
          <w:marBottom w:val="0"/>
          <w:divBdr>
            <w:top w:val="none" w:sz="0" w:space="0" w:color="auto"/>
            <w:left w:val="none" w:sz="0" w:space="0" w:color="auto"/>
            <w:bottom w:val="none" w:sz="0" w:space="0" w:color="auto"/>
            <w:right w:val="none" w:sz="0" w:space="0" w:color="auto"/>
          </w:divBdr>
        </w:div>
      </w:divsChild>
    </w:div>
    <w:div w:id="296037392">
      <w:bodyDiv w:val="1"/>
      <w:marLeft w:val="0"/>
      <w:marRight w:val="0"/>
      <w:marTop w:val="0"/>
      <w:marBottom w:val="0"/>
      <w:divBdr>
        <w:top w:val="none" w:sz="0" w:space="0" w:color="auto"/>
        <w:left w:val="none" w:sz="0" w:space="0" w:color="auto"/>
        <w:bottom w:val="none" w:sz="0" w:space="0" w:color="auto"/>
        <w:right w:val="none" w:sz="0" w:space="0" w:color="auto"/>
      </w:divBdr>
      <w:divsChild>
        <w:div w:id="1459686492">
          <w:marLeft w:val="0"/>
          <w:marRight w:val="0"/>
          <w:marTop w:val="0"/>
          <w:marBottom w:val="0"/>
          <w:divBdr>
            <w:top w:val="none" w:sz="0" w:space="0" w:color="auto"/>
            <w:left w:val="none" w:sz="0" w:space="0" w:color="auto"/>
            <w:bottom w:val="none" w:sz="0" w:space="0" w:color="auto"/>
            <w:right w:val="none" w:sz="0" w:space="0" w:color="auto"/>
          </w:divBdr>
        </w:div>
        <w:div w:id="542451115">
          <w:marLeft w:val="0"/>
          <w:marRight w:val="0"/>
          <w:marTop w:val="0"/>
          <w:marBottom w:val="0"/>
          <w:divBdr>
            <w:top w:val="none" w:sz="0" w:space="0" w:color="auto"/>
            <w:left w:val="none" w:sz="0" w:space="0" w:color="auto"/>
            <w:bottom w:val="none" w:sz="0" w:space="0" w:color="auto"/>
            <w:right w:val="none" w:sz="0" w:space="0" w:color="auto"/>
          </w:divBdr>
        </w:div>
        <w:div w:id="528445422">
          <w:marLeft w:val="0"/>
          <w:marRight w:val="0"/>
          <w:marTop w:val="0"/>
          <w:marBottom w:val="0"/>
          <w:divBdr>
            <w:top w:val="none" w:sz="0" w:space="0" w:color="auto"/>
            <w:left w:val="none" w:sz="0" w:space="0" w:color="auto"/>
            <w:bottom w:val="none" w:sz="0" w:space="0" w:color="auto"/>
            <w:right w:val="none" w:sz="0" w:space="0" w:color="auto"/>
          </w:divBdr>
        </w:div>
        <w:div w:id="671416550">
          <w:marLeft w:val="0"/>
          <w:marRight w:val="0"/>
          <w:marTop w:val="0"/>
          <w:marBottom w:val="0"/>
          <w:divBdr>
            <w:top w:val="none" w:sz="0" w:space="0" w:color="auto"/>
            <w:left w:val="none" w:sz="0" w:space="0" w:color="auto"/>
            <w:bottom w:val="none" w:sz="0" w:space="0" w:color="auto"/>
            <w:right w:val="none" w:sz="0" w:space="0" w:color="auto"/>
          </w:divBdr>
        </w:div>
        <w:div w:id="1935671550">
          <w:marLeft w:val="0"/>
          <w:marRight w:val="0"/>
          <w:marTop w:val="0"/>
          <w:marBottom w:val="0"/>
          <w:divBdr>
            <w:top w:val="none" w:sz="0" w:space="0" w:color="auto"/>
            <w:left w:val="none" w:sz="0" w:space="0" w:color="auto"/>
            <w:bottom w:val="none" w:sz="0" w:space="0" w:color="auto"/>
            <w:right w:val="none" w:sz="0" w:space="0" w:color="auto"/>
          </w:divBdr>
        </w:div>
        <w:div w:id="641889183">
          <w:marLeft w:val="0"/>
          <w:marRight w:val="0"/>
          <w:marTop w:val="0"/>
          <w:marBottom w:val="0"/>
          <w:divBdr>
            <w:top w:val="none" w:sz="0" w:space="0" w:color="auto"/>
            <w:left w:val="none" w:sz="0" w:space="0" w:color="auto"/>
            <w:bottom w:val="none" w:sz="0" w:space="0" w:color="auto"/>
            <w:right w:val="none" w:sz="0" w:space="0" w:color="auto"/>
          </w:divBdr>
        </w:div>
        <w:div w:id="1219702034">
          <w:marLeft w:val="0"/>
          <w:marRight w:val="0"/>
          <w:marTop w:val="0"/>
          <w:marBottom w:val="0"/>
          <w:divBdr>
            <w:top w:val="none" w:sz="0" w:space="0" w:color="auto"/>
            <w:left w:val="none" w:sz="0" w:space="0" w:color="auto"/>
            <w:bottom w:val="none" w:sz="0" w:space="0" w:color="auto"/>
            <w:right w:val="none" w:sz="0" w:space="0" w:color="auto"/>
          </w:divBdr>
        </w:div>
      </w:divsChild>
    </w:div>
    <w:div w:id="341055496">
      <w:bodyDiv w:val="1"/>
      <w:marLeft w:val="0"/>
      <w:marRight w:val="0"/>
      <w:marTop w:val="0"/>
      <w:marBottom w:val="0"/>
      <w:divBdr>
        <w:top w:val="none" w:sz="0" w:space="0" w:color="auto"/>
        <w:left w:val="none" w:sz="0" w:space="0" w:color="auto"/>
        <w:bottom w:val="none" w:sz="0" w:space="0" w:color="auto"/>
        <w:right w:val="none" w:sz="0" w:space="0" w:color="auto"/>
      </w:divBdr>
    </w:div>
    <w:div w:id="410860030">
      <w:bodyDiv w:val="1"/>
      <w:marLeft w:val="0"/>
      <w:marRight w:val="0"/>
      <w:marTop w:val="0"/>
      <w:marBottom w:val="0"/>
      <w:divBdr>
        <w:top w:val="none" w:sz="0" w:space="0" w:color="auto"/>
        <w:left w:val="none" w:sz="0" w:space="0" w:color="auto"/>
        <w:bottom w:val="none" w:sz="0" w:space="0" w:color="auto"/>
        <w:right w:val="none" w:sz="0" w:space="0" w:color="auto"/>
      </w:divBdr>
      <w:divsChild>
        <w:div w:id="1500995668">
          <w:marLeft w:val="0"/>
          <w:marRight w:val="0"/>
          <w:marTop w:val="0"/>
          <w:marBottom w:val="30"/>
          <w:divBdr>
            <w:top w:val="none" w:sz="0" w:space="0" w:color="auto"/>
            <w:left w:val="none" w:sz="0" w:space="0" w:color="auto"/>
            <w:bottom w:val="none" w:sz="0" w:space="0" w:color="auto"/>
            <w:right w:val="none" w:sz="0" w:space="0" w:color="auto"/>
          </w:divBdr>
          <w:divsChild>
            <w:div w:id="648247335">
              <w:marLeft w:val="0"/>
              <w:marRight w:val="360"/>
              <w:marTop w:val="0"/>
              <w:marBottom w:val="0"/>
              <w:divBdr>
                <w:top w:val="none" w:sz="0" w:space="0" w:color="auto"/>
                <w:left w:val="none" w:sz="0" w:space="0" w:color="auto"/>
                <w:bottom w:val="none" w:sz="0" w:space="0" w:color="auto"/>
                <w:right w:val="none" w:sz="0" w:space="0" w:color="auto"/>
              </w:divBdr>
              <w:divsChild>
                <w:div w:id="863709908">
                  <w:marLeft w:val="0"/>
                  <w:marRight w:val="0"/>
                  <w:marTop w:val="0"/>
                  <w:marBottom w:val="0"/>
                  <w:divBdr>
                    <w:top w:val="none" w:sz="0" w:space="0" w:color="auto"/>
                    <w:left w:val="none" w:sz="0" w:space="0" w:color="auto"/>
                    <w:bottom w:val="none" w:sz="0" w:space="0" w:color="auto"/>
                    <w:right w:val="none" w:sz="0" w:space="0" w:color="auto"/>
                  </w:divBdr>
                </w:div>
              </w:divsChild>
            </w:div>
            <w:div w:id="782652232">
              <w:marLeft w:val="0"/>
              <w:marRight w:val="150"/>
              <w:marTop w:val="0"/>
              <w:marBottom w:val="0"/>
              <w:divBdr>
                <w:top w:val="none" w:sz="0" w:space="0" w:color="auto"/>
                <w:left w:val="none" w:sz="0" w:space="0" w:color="auto"/>
                <w:bottom w:val="none" w:sz="0" w:space="0" w:color="auto"/>
                <w:right w:val="none" w:sz="0" w:space="0" w:color="auto"/>
              </w:divBdr>
            </w:div>
            <w:div w:id="1355419291">
              <w:marLeft w:val="0"/>
              <w:marRight w:val="0"/>
              <w:marTop w:val="0"/>
              <w:marBottom w:val="0"/>
              <w:divBdr>
                <w:top w:val="none" w:sz="0" w:space="0" w:color="auto"/>
                <w:left w:val="none" w:sz="0" w:space="0" w:color="auto"/>
                <w:bottom w:val="none" w:sz="0" w:space="0" w:color="auto"/>
                <w:right w:val="none" w:sz="0" w:space="0" w:color="auto"/>
              </w:divBdr>
              <w:divsChild>
                <w:div w:id="308175950">
                  <w:marLeft w:val="0"/>
                  <w:marRight w:val="0"/>
                  <w:marTop w:val="0"/>
                  <w:marBottom w:val="0"/>
                  <w:divBdr>
                    <w:top w:val="none" w:sz="0" w:space="0" w:color="auto"/>
                    <w:left w:val="none" w:sz="0" w:space="0" w:color="auto"/>
                    <w:bottom w:val="dotted" w:sz="6" w:space="2" w:color="CCCCCC"/>
                    <w:right w:val="none" w:sz="0" w:space="0" w:color="auto"/>
                  </w:divBdr>
                  <w:divsChild>
                    <w:div w:id="236088862">
                      <w:marLeft w:val="0"/>
                      <w:marRight w:val="0"/>
                      <w:marTop w:val="0"/>
                      <w:marBottom w:val="0"/>
                      <w:divBdr>
                        <w:top w:val="none" w:sz="0" w:space="0" w:color="auto"/>
                        <w:left w:val="none" w:sz="0" w:space="0" w:color="auto"/>
                        <w:bottom w:val="none" w:sz="0" w:space="0" w:color="auto"/>
                        <w:right w:val="none" w:sz="0" w:space="0" w:color="auto"/>
                      </w:divBdr>
                    </w:div>
                    <w:div w:id="2007172924">
                      <w:marLeft w:val="0"/>
                      <w:marRight w:val="150"/>
                      <w:marTop w:val="0"/>
                      <w:marBottom w:val="0"/>
                      <w:divBdr>
                        <w:top w:val="none" w:sz="0" w:space="0" w:color="auto"/>
                        <w:left w:val="none" w:sz="0" w:space="0" w:color="auto"/>
                        <w:bottom w:val="none" w:sz="0" w:space="0" w:color="auto"/>
                        <w:right w:val="none" w:sz="0" w:space="0" w:color="auto"/>
                      </w:divBdr>
                      <w:divsChild>
                        <w:div w:id="403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9321">
                  <w:marLeft w:val="0"/>
                  <w:marRight w:val="0"/>
                  <w:marTop w:val="0"/>
                  <w:marBottom w:val="0"/>
                  <w:divBdr>
                    <w:top w:val="none" w:sz="0" w:space="0" w:color="auto"/>
                    <w:left w:val="none" w:sz="0" w:space="0" w:color="auto"/>
                    <w:bottom w:val="dotted" w:sz="6" w:space="2" w:color="CCCCCC"/>
                    <w:right w:val="none" w:sz="0" w:space="0" w:color="auto"/>
                  </w:divBdr>
                  <w:divsChild>
                    <w:div w:id="708578262">
                      <w:marLeft w:val="0"/>
                      <w:marRight w:val="0"/>
                      <w:marTop w:val="0"/>
                      <w:marBottom w:val="0"/>
                      <w:divBdr>
                        <w:top w:val="none" w:sz="0" w:space="0" w:color="auto"/>
                        <w:left w:val="none" w:sz="0" w:space="0" w:color="auto"/>
                        <w:bottom w:val="none" w:sz="0" w:space="0" w:color="auto"/>
                        <w:right w:val="none" w:sz="0" w:space="0" w:color="auto"/>
                      </w:divBdr>
                    </w:div>
                    <w:div w:id="2020236716">
                      <w:marLeft w:val="0"/>
                      <w:marRight w:val="15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667">
      <w:bodyDiv w:val="1"/>
      <w:marLeft w:val="0"/>
      <w:marRight w:val="0"/>
      <w:marTop w:val="0"/>
      <w:marBottom w:val="0"/>
      <w:divBdr>
        <w:top w:val="none" w:sz="0" w:space="0" w:color="auto"/>
        <w:left w:val="none" w:sz="0" w:space="0" w:color="auto"/>
        <w:bottom w:val="none" w:sz="0" w:space="0" w:color="auto"/>
        <w:right w:val="none" w:sz="0" w:space="0" w:color="auto"/>
      </w:divBdr>
      <w:divsChild>
        <w:div w:id="537161547">
          <w:marLeft w:val="0"/>
          <w:marRight w:val="0"/>
          <w:marTop w:val="0"/>
          <w:marBottom w:val="0"/>
          <w:divBdr>
            <w:top w:val="none" w:sz="0" w:space="0" w:color="auto"/>
            <w:left w:val="none" w:sz="0" w:space="0" w:color="auto"/>
            <w:bottom w:val="dotted" w:sz="6" w:space="2" w:color="CCCCCC"/>
            <w:right w:val="none" w:sz="0" w:space="0" w:color="auto"/>
          </w:divBdr>
          <w:divsChild>
            <w:div w:id="1533300662">
              <w:marLeft w:val="0"/>
              <w:marRight w:val="0"/>
              <w:marTop w:val="0"/>
              <w:marBottom w:val="0"/>
              <w:divBdr>
                <w:top w:val="none" w:sz="0" w:space="0" w:color="auto"/>
                <w:left w:val="none" w:sz="0" w:space="0" w:color="auto"/>
                <w:bottom w:val="none" w:sz="0" w:space="0" w:color="auto"/>
                <w:right w:val="none" w:sz="0" w:space="0" w:color="auto"/>
              </w:divBdr>
            </w:div>
          </w:divsChild>
        </w:div>
        <w:div w:id="1160077836">
          <w:marLeft w:val="0"/>
          <w:marRight w:val="0"/>
          <w:marTop w:val="0"/>
          <w:marBottom w:val="0"/>
          <w:divBdr>
            <w:top w:val="none" w:sz="0" w:space="0" w:color="auto"/>
            <w:left w:val="none" w:sz="0" w:space="0" w:color="auto"/>
            <w:bottom w:val="dotted" w:sz="6" w:space="2" w:color="CCCCCC"/>
            <w:right w:val="none" w:sz="0" w:space="0" w:color="auto"/>
          </w:divBdr>
          <w:divsChild>
            <w:div w:id="226380341">
              <w:marLeft w:val="0"/>
              <w:marRight w:val="150"/>
              <w:marTop w:val="0"/>
              <w:marBottom w:val="0"/>
              <w:divBdr>
                <w:top w:val="none" w:sz="0" w:space="0" w:color="auto"/>
                <w:left w:val="none" w:sz="0" w:space="0" w:color="auto"/>
                <w:bottom w:val="none" w:sz="0" w:space="0" w:color="auto"/>
                <w:right w:val="none" w:sz="0" w:space="0" w:color="auto"/>
              </w:divBdr>
              <w:divsChild>
                <w:div w:id="703096779">
                  <w:marLeft w:val="0"/>
                  <w:marRight w:val="0"/>
                  <w:marTop w:val="0"/>
                  <w:marBottom w:val="0"/>
                  <w:divBdr>
                    <w:top w:val="none" w:sz="0" w:space="0" w:color="auto"/>
                    <w:left w:val="none" w:sz="0" w:space="0" w:color="auto"/>
                    <w:bottom w:val="none" w:sz="0" w:space="0" w:color="auto"/>
                    <w:right w:val="none" w:sz="0" w:space="0" w:color="auto"/>
                  </w:divBdr>
                </w:div>
              </w:divsChild>
            </w:div>
            <w:div w:id="1698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456">
      <w:bodyDiv w:val="1"/>
      <w:marLeft w:val="0"/>
      <w:marRight w:val="0"/>
      <w:marTop w:val="0"/>
      <w:marBottom w:val="0"/>
      <w:divBdr>
        <w:top w:val="none" w:sz="0" w:space="0" w:color="auto"/>
        <w:left w:val="none" w:sz="0" w:space="0" w:color="auto"/>
        <w:bottom w:val="none" w:sz="0" w:space="0" w:color="auto"/>
        <w:right w:val="none" w:sz="0" w:space="0" w:color="auto"/>
      </w:divBdr>
    </w:div>
    <w:div w:id="770705619">
      <w:bodyDiv w:val="1"/>
      <w:marLeft w:val="0"/>
      <w:marRight w:val="0"/>
      <w:marTop w:val="0"/>
      <w:marBottom w:val="0"/>
      <w:divBdr>
        <w:top w:val="none" w:sz="0" w:space="0" w:color="auto"/>
        <w:left w:val="none" w:sz="0" w:space="0" w:color="auto"/>
        <w:bottom w:val="none" w:sz="0" w:space="0" w:color="auto"/>
        <w:right w:val="none" w:sz="0" w:space="0" w:color="auto"/>
      </w:divBdr>
      <w:divsChild>
        <w:div w:id="274487894">
          <w:marLeft w:val="0"/>
          <w:marRight w:val="0"/>
          <w:marTop w:val="0"/>
          <w:marBottom w:val="0"/>
          <w:divBdr>
            <w:top w:val="none" w:sz="0" w:space="0" w:color="auto"/>
            <w:left w:val="none" w:sz="0" w:space="0" w:color="auto"/>
            <w:bottom w:val="dotted" w:sz="6" w:space="2" w:color="CCCCCC"/>
            <w:right w:val="none" w:sz="0" w:space="0" w:color="auto"/>
          </w:divBdr>
          <w:divsChild>
            <w:div w:id="510073453">
              <w:marLeft w:val="0"/>
              <w:marRight w:val="150"/>
              <w:marTop w:val="0"/>
              <w:marBottom w:val="0"/>
              <w:divBdr>
                <w:top w:val="none" w:sz="0" w:space="0" w:color="auto"/>
                <w:left w:val="none" w:sz="0" w:space="0" w:color="auto"/>
                <w:bottom w:val="none" w:sz="0" w:space="0" w:color="auto"/>
                <w:right w:val="none" w:sz="0" w:space="0" w:color="auto"/>
              </w:divBdr>
              <w:divsChild>
                <w:div w:id="1406418088">
                  <w:marLeft w:val="0"/>
                  <w:marRight w:val="0"/>
                  <w:marTop w:val="0"/>
                  <w:marBottom w:val="0"/>
                  <w:divBdr>
                    <w:top w:val="none" w:sz="0" w:space="0" w:color="auto"/>
                    <w:left w:val="none" w:sz="0" w:space="0" w:color="auto"/>
                    <w:bottom w:val="none" w:sz="0" w:space="0" w:color="auto"/>
                    <w:right w:val="none" w:sz="0" w:space="0" w:color="auto"/>
                  </w:divBdr>
                </w:div>
              </w:divsChild>
            </w:div>
            <w:div w:id="1426920089">
              <w:marLeft w:val="0"/>
              <w:marRight w:val="0"/>
              <w:marTop w:val="0"/>
              <w:marBottom w:val="0"/>
              <w:divBdr>
                <w:top w:val="none" w:sz="0" w:space="0" w:color="auto"/>
                <w:left w:val="none" w:sz="0" w:space="0" w:color="auto"/>
                <w:bottom w:val="none" w:sz="0" w:space="0" w:color="auto"/>
                <w:right w:val="none" w:sz="0" w:space="0" w:color="auto"/>
              </w:divBdr>
            </w:div>
          </w:divsChild>
        </w:div>
        <w:div w:id="1769932556">
          <w:marLeft w:val="0"/>
          <w:marRight w:val="0"/>
          <w:marTop w:val="0"/>
          <w:marBottom w:val="0"/>
          <w:divBdr>
            <w:top w:val="none" w:sz="0" w:space="0" w:color="auto"/>
            <w:left w:val="none" w:sz="0" w:space="0" w:color="auto"/>
            <w:bottom w:val="dotted" w:sz="6" w:space="2" w:color="CCCCCC"/>
            <w:right w:val="none" w:sz="0" w:space="0" w:color="auto"/>
          </w:divBdr>
          <w:divsChild>
            <w:div w:id="1835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49">
      <w:bodyDiv w:val="1"/>
      <w:marLeft w:val="0"/>
      <w:marRight w:val="0"/>
      <w:marTop w:val="0"/>
      <w:marBottom w:val="0"/>
      <w:divBdr>
        <w:top w:val="none" w:sz="0" w:space="0" w:color="auto"/>
        <w:left w:val="none" w:sz="0" w:space="0" w:color="auto"/>
        <w:bottom w:val="none" w:sz="0" w:space="0" w:color="auto"/>
        <w:right w:val="none" w:sz="0" w:space="0" w:color="auto"/>
      </w:divBdr>
      <w:divsChild>
        <w:div w:id="618144295">
          <w:marLeft w:val="0"/>
          <w:marRight w:val="0"/>
          <w:marTop w:val="0"/>
          <w:marBottom w:val="30"/>
          <w:divBdr>
            <w:top w:val="none" w:sz="0" w:space="0" w:color="auto"/>
            <w:left w:val="none" w:sz="0" w:space="0" w:color="auto"/>
            <w:bottom w:val="none" w:sz="0" w:space="0" w:color="auto"/>
            <w:right w:val="none" w:sz="0" w:space="0" w:color="auto"/>
          </w:divBdr>
          <w:divsChild>
            <w:div w:id="1079792500">
              <w:marLeft w:val="0"/>
              <w:marRight w:val="0"/>
              <w:marTop w:val="0"/>
              <w:marBottom w:val="0"/>
              <w:divBdr>
                <w:top w:val="none" w:sz="0" w:space="0" w:color="auto"/>
                <w:left w:val="none" w:sz="0" w:space="0" w:color="auto"/>
                <w:bottom w:val="none" w:sz="0" w:space="0" w:color="auto"/>
                <w:right w:val="none" w:sz="0" w:space="0" w:color="auto"/>
              </w:divBdr>
              <w:divsChild>
                <w:div w:id="884875451">
                  <w:marLeft w:val="0"/>
                  <w:marRight w:val="0"/>
                  <w:marTop w:val="0"/>
                  <w:marBottom w:val="0"/>
                  <w:divBdr>
                    <w:top w:val="none" w:sz="0" w:space="0" w:color="auto"/>
                    <w:left w:val="none" w:sz="0" w:space="0" w:color="auto"/>
                    <w:bottom w:val="dotted" w:sz="6" w:space="2" w:color="CCCCCC"/>
                    <w:right w:val="none" w:sz="0" w:space="0" w:color="auto"/>
                  </w:divBdr>
                  <w:divsChild>
                    <w:div w:id="369495656">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150"/>
                      <w:marTop w:val="0"/>
                      <w:marBottom w:val="0"/>
                      <w:divBdr>
                        <w:top w:val="none" w:sz="0" w:space="0" w:color="auto"/>
                        <w:left w:val="none" w:sz="0" w:space="0" w:color="auto"/>
                        <w:bottom w:val="none" w:sz="0" w:space="0" w:color="auto"/>
                        <w:right w:val="none" w:sz="0" w:space="0" w:color="auto"/>
                      </w:divBdr>
                      <w:divsChild>
                        <w:div w:id="870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6037">
                  <w:marLeft w:val="0"/>
                  <w:marRight w:val="0"/>
                  <w:marTop w:val="0"/>
                  <w:marBottom w:val="0"/>
                  <w:divBdr>
                    <w:top w:val="none" w:sz="0" w:space="0" w:color="auto"/>
                    <w:left w:val="none" w:sz="0" w:space="0" w:color="auto"/>
                    <w:bottom w:val="dotted" w:sz="6" w:space="2" w:color="CCCCCC"/>
                    <w:right w:val="none" w:sz="0" w:space="0" w:color="auto"/>
                  </w:divBdr>
                  <w:divsChild>
                    <w:div w:id="103576589">
                      <w:marLeft w:val="0"/>
                      <w:marRight w:val="150"/>
                      <w:marTop w:val="0"/>
                      <w:marBottom w:val="0"/>
                      <w:divBdr>
                        <w:top w:val="none" w:sz="0" w:space="0" w:color="auto"/>
                        <w:left w:val="none" w:sz="0" w:space="0" w:color="auto"/>
                        <w:bottom w:val="none" w:sz="0" w:space="0" w:color="auto"/>
                        <w:right w:val="none" w:sz="0" w:space="0" w:color="auto"/>
                      </w:divBdr>
                      <w:divsChild>
                        <w:div w:id="1166168687">
                          <w:marLeft w:val="0"/>
                          <w:marRight w:val="0"/>
                          <w:marTop w:val="0"/>
                          <w:marBottom w:val="0"/>
                          <w:divBdr>
                            <w:top w:val="none" w:sz="0" w:space="0" w:color="auto"/>
                            <w:left w:val="none" w:sz="0" w:space="0" w:color="auto"/>
                            <w:bottom w:val="none" w:sz="0" w:space="0" w:color="auto"/>
                            <w:right w:val="none" w:sz="0" w:space="0" w:color="auto"/>
                          </w:divBdr>
                        </w:div>
                      </w:divsChild>
                    </w:div>
                    <w:div w:id="908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3859">
              <w:marLeft w:val="0"/>
              <w:marRight w:val="360"/>
              <w:marTop w:val="0"/>
              <w:marBottom w:val="0"/>
              <w:divBdr>
                <w:top w:val="none" w:sz="0" w:space="0" w:color="auto"/>
                <w:left w:val="none" w:sz="0" w:space="0" w:color="auto"/>
                <w:bottom w:val="none" w:sz="0" w:space="0" w:color="auto"/>
                <w:right w:val="none" w:sz="0" w:space="0" w:color="auto"/>
              </w:divBdr>
              <w:divsChild>
                <w:div w:id="328216288">
                  <w:marLeft w:val="0"/>
                  <w:marRight w:val="0"/>
                  <w:marTop w:val="0"/>
                  <w:marBottom w:val="0"/>
                  <w:divBdr>
                    <w:top w:val="none" w:sz="0" w:space="0" w:color="auto"/>
                    <w:left w:val="none" w:sz="0" w:space="0" w:color="auto"/>
                    <w:bottom w:val="none" w:sz="0" w:space="0" w:color="auto"/>
                    <w:right w:val="none" w:sz="0" w:space="0" w:color="auto"/>
                  </w:divBdr>
                </w:div>
              </w:divsChild>
            </w:div>
            <w:div w:id="18440109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73/1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undocs.org/en/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3E0FF-68B2-407B-99F1-4864239E7FD7}"/>
</file>

<file path=customXml/itemProps2.xml><?xml version="1.0" encoding="utf-8"?>
<ds:datastoreItem xmlns:ds="http://schemas.openxmlformats.org/officeDocument/2006/customXml" ds:itemID="{C2EE3C0D-5DA0-4E66-9D3C-4ABC933DA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434AB-C343-48CF-BBE6-F17FD1AE0950}">
  <ds:schemaRefs>
    <ds:schemaRef ds:uri="http://schemas.openxmlformats.org/officeDocument/2006/bibliography"/>
  </ds:schemaRefs>
</ds:datastoreItem>
</file>

<file path=customXml/itemProps4.xml><?xml version="1.0" encoding="utf-8"?>
<ds:datastoreItem xmlns:ds="http://schemas.openxmlformats.org/officeDocument/2006/customXml" ds:itemID="{CEE5420B-8E02-4E76-BDD2-8C63AF940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dcterms:created xsi:type="dcterms:W3CDTF">2020-08-24T15:03:00Z</dcterms:created>
  <dcterms:modified xsi:type="dcterms:W3CDTF">2021-01-30T20:41:00Z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