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9ABE6" w14:textId="77777777" w:rsidR="001D3762" w:rsidRDefault="001D3762" w:rsidP="00FA3963">
      <w:pPr>
        <w:spacing w:after="0" w:line="240" w:lineRule="auto"/>
        <w:jc w:val="center"/>
        <w:rPr>
          <w:b/>
          <w:sz w:val="18"/>
          <w:szCs w:val="18"/>
        </w:rPr>
      </w:pPr>
    </w:p>
    <w:p w14:paraId="43DC481D" w14:textId="07933728" w:rsidR="001D3762" w:rsidRPr="00EB6526" w:rsidRDefault="001D3762" w:rsidP="00FA3963">
      <w:pPr>
        <w:spacing w:after="0" w:line="240" w:lineRule="auto"/>
        <w:jc w:val="center"/>
        <w:rPr>
          <w:rFonts w:cstheme="minorHAnsi"/>
          <w:b/>
          <w:sz w:val="18"/>
          <w:szCs w:val="18"/>
        </w:rPr>
      </w:pPr>
      <w:r>
        <w:rPr>
          <w:b/>
          <w:sz w:val="18"/>
          <w:szCs w:val="18"/>
        </w:rPr>
        <w:t>Article 25 – Indicateurs illustratifs du droit à la santé</w:t>
      </w:r>
      <w:r w:rsidR="00856820">
        <w:rPr>
          <w:b/>
          <w:sz w:val="18"/>
          <w:szCs w:val="18"/>
        </w:rPr>
        <w:t>*</w:t>
      </w:r>
    </w:p>
    <w:p w14:paraId="74C756A0" w14:textId="77777777" w:rsidR="001D3762" w:rsidRPr="00EB6526" w:rsidRDefault="001D3762" w:rsidP="00FA3963">
      <w:pPr>
        <w:spacing w:after="0" w:line="240" w:lineRule="auto"/>
        <w:jc w:val="center"/>
        <w:rPr>
          <w:rFonts w:cstheme="minorHAnsi"/>
          <w:b/>
          <w:sz w:val="18"/>
          <w:szCs w:val="18"/>
        </w:rPr>
      </w:pPr>
      <w:r>
        <w:rPr>
          <w:b/>
          <w:sz w:val="18"/>
          <w:szCs w:val="18"/>
        </w:rPr>
        <w:t>Jouissance du meilleur état de santé possible sans discrimination fondée sur le handicap</w:t>
      </w:r>
    </w:p>
    <w:p w14:paraId="1E532D04" w14:textId="4F725370" w:rsidR="001D3762" w:rsidRPr="00EB6526" w:rsidRDefault="001D3762" w:rsidP="00FA3963">
      <w:pPr>
        <w:pStyle w:val="ListParagraph"/>
        <w:spacing w:after="0" w:line="240" w:lineRule="auto"/>
        <w:ind w:left="0"/>
        <w:rPr>
          <w:rFonts w:cstheme="minorHAnsi"/>
          <w:b/>
          <w:sz w:val="18"/>
          <w:szCs w:val="18"/>
        </w:rPr>
      </w:pPr>
      <w:r>
        <w:rPr>
          <w:b/>
          <w:sz w:val="18"/>
          <w:szCs w:val="18"/>
        </w:rPr>
        <w:t>Attributs</w:t>
      </w:r>
    </w:p>
    <w:p w14:paraId="34E55556" w14:textId="77777777" w:rsidR="001D3762" w:rsidRPr="001D3762" w:rsidRDefault="001D3762" w:rsidP="001D3762">
      <w:pPr>
        <w:pStyle w:val="ListParagraph"/>
        <w:numPr>
          <w:ilvl w:val="0"/>
          <w:numId w:val="15"/>
        </w:numPr>
        <w:spacing w:after="0" w:line="240" w:lineRule="auto"/>
        <w:rPr>
          <w:rFonts w:cstheme="minorHAnsi"/>
          <w:b/>
          <w:sz w:val="18"/>
          <w:szCs w:val="18"/>
        </w:rPr>
      </w:pPr>
      <w:r w:rsidRPr="001D3762">
        <w:rPr>
          <w:b/>
          <w:sz w:val="18"/>
          <w:szCs w:val="18"/>
        </w:rPr>
        <w:t>Égalité d'accès aux services généraux et spécifiques au sein des services de santé généraux</w:t>
      </w:r>
    </w:p>
    <w:p w14:paraId="5D07A6C5" w14:textId="77777777" w:rsidR="001D3762" w:rsidRPr="001D3762" w:rsidRDefault="001D3762" w:rsidP="001D3762">
      <w:pPr>
        <w:pStyle w:val="ListParagraph"/>
        <w:numPr>
          <w:ilvl w:val="0"/>
          <w:numId w:val="15"/>
        </w:numPr>
        <w:spacing w:after="0" w:line="240" w:lineRule="auto"/>
        <w:rPr>
          <w:rFonts w:cstheme="minorHAnsi"/>
          <w:b/>
          <w:sz w:val="18"/>
          <w:szCs w:val="18"/>
        </w:rPr>
      </w:pPr>
      <w:r w:rsidRPr="001D3762">
        <w:rPr>
          <w:b/>
          <w:sz w:val="18"/>
          <w:szCs w:val="18"/>
        </w:rPr>
        <w:t>Assurance maladie inclusive</w:t>
      </w:r>
    </w:p>
    <w:p w14:paraId="0995CE4D" w14:textId="77777777" w:rsidR="001D3762" w:rsidRPr="001D3762" w:rsidRDefault="001D3762" w:rsidP="001D3762">
      <w:pPr>
        <w:pStyle w:val="ListParagraph"/>
        <w:numPr>
          <w:ilvl w:val="0"/>
          <w:numId w:val="15"/>
        </w:numPr>
        <w:spacing w:after="0" w:line="240" w:lineRule="auto"/>
        <w:rPr>
          <w:rFonts w:cstheme="minorHAnsi"/>
          <w:b/>
          <w:sz w:val="18"/>
          <w:szCs w:val="18"/>
        </w:rPr>
      </w:pPr>
      <w:r w:rsidRPr="001D3762">
        <w:rPr>
          <w:b/>
          <w:sz w:val="18"/>
          <w:szCs w:val="18"/>
        </w:rPr>
        <w:t>Consentement libre et éclairé</w:t>
      </w:r>
    </w:p>
    <w:p w14:paraId="531827AE" w14:textId="77777777" w:rsidR="001D3762" w:rsidRPr="00EB6526" w:rsidRDefault="001D3762" w:rsidP="00FA3963">
      <w:pPr>
        <w:spacing w:after="0" w:line="240" w:lineRule="auto"/>
        <w:jc w:val="center"/>
        <w:rPr>
          <w:rFonts w:cstheme="minorHAnsi"/>
          <w:b/>
          <w:sz w:val="18"/>
          <w:szCs w:val="18"/>
        </w:rPr>
      </w:pPr>
    </w:p>
    <w:p w14:paraId="151AFF42" w14:textId="77777777" w:rsidR="001D3762" w:rsidRPr="00127D9C" w:rsidRDefault="001D3762" w:rsidP="001D3762">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6A2867A5" w14:textId="77777777" w:rsidR="001D3762" w:rsidRPr="00EB6526" w:rsidRDefault="001D3762" w:rsidP="00FA3963">
      <w:pPr>
        <w:spacing w:after="0" w:line="240" w:lineRule="auto"/>
        <w:jc w:val="both"/>
        <w:rPr>
          <w:rFonts w:cstheme="minorHAnsi"/>
          <w:sz w:val="18"/>
          <w:szCs w:val="18"/>
        </w:rPr>
      </w:pPr>
      <w:r>
        <w:rPr>
          <w:sz w:val="18"/>
          <w:szCs w:val="18"/>
        </w:rPr>
        <w:t xml:space="preserve">25.1 Législation relative à la santé qui reconnaît explicitement : </w:t>
      </w:r>
    </w:p>
    <w:p w14:paraId="2B1D0B98" w14:textId="77777777" w:rsidR="001D3762" w:rsidRPr="00EB6526" w:rsidRDefault="001D3762" w:rsidP="00FA3963">
      <w:pPr>
        <w:pStyle w:val="ListParagraph"/>
        <w:numPr>
          <w:ilvl w:val="0"/>
          <w:numId w:val="8"/>
        </w:numPr>
        <w:tabs>
          <w:tab w:val="left" w:pos="117"/>
        </w:tabs>
        <w:spacing w:after="0" w:line="240" w:lineRule="auto"/>
        <w:ind w:left="0" w:hanging="25"/>
        <w:jc w:val="both"/>
        <w:rPr>
          <w:rFonts w:cstheme="minorHAnsi"/>
          <w:sz w:val="18"/>
          <w:szCs w:val="18"/>
        </w:rPr>
      </w:pPr>
      <w:r>
        <w:rPr>
          <w:sz w:val="18"/>
          <w:szCs w:val="18"/>
        </w:rPr>
        <w:t>l'égalité d'accès des personnes handicapées</w:t>
      </w:r>
      <w:r w:rsidRPr="00EB6526">
        <w:rPr>
          <w:rStyle w:val="EndnoteReference"/>
          <w:rFonts w:cstheme="minorHAnsi"/>
          <w:sz w:val="18"/>
          <w:szCs w:val="18"/>
        </w:rPr>
        <w:endnoteReference w:id="1"/>
      </w:r>
      <w:r>
        <w:rPr>
          <w:sz w:val="18"/>
          <w:szCs w:val="18"/>
        </w:rPr>
        <w:t xml:space="preserve"> à des services de santé abordables, accessibles, de qualité et adaptés à la culture, dans les milieux privés et publics ;</w:t>
      </w:r>
    </w:p>
    <w:p w14:paraId="14529A37" w14:textId="77777777" w:rsidR="001D3762" w:rsidRPr="00EB6526" w:rsidRDefault="001D3762" w:rsidP="00FA3963">
      <w:pPr>
        <w:pStyle w:val="ListParagraph"/>
        <w:numPr>
          <w:ilvl w:val="0"/>
          <w:numId w:val="8"/>
        </w:numPr>
        <w:tabs>
          <w:tab w:val="left" w:pos="117"/>
        </w:tabs>
        <w:spacing w:after="0" w:line="240" w:lineRule="auto"/>
        <w:ind w:left="0" w:hanging="25"/>
        <w:jc w:val="both"/>
        <w:rPr>
          <w:rFonts w:cstheme="minorHAnsi"/>
          <w:sz w:val="18"/>
          <w:szCs w:val="18"/>
        </w:rPr>
      </w:pPr>
      <w:proofErr w:type="gramStart"/>
      <w:r>
        <w:rPr>
          <w:sz w:val="18"/>
          <w:szCs w:val="18"/>
        </w:rPr>
        <w:t>le</w:t>
      </w:r>
      <w:proofErr w:type="gramEnd"/>
      <w:r>
        <w:rPr>
          <w:sz w:val="18"/>
          <w:szCs w:val="18"/>
        </w:rPr>
        <w:t xml:space="preserve"> refus d'aménagement raisonnable constitue une discrimination fondée sur le handicap ;</w:t>
      </w:r>
    </w:p>
    <w:p w14:paraId="3FF2FB35" w14:textId="77777777" w:rsidR="001D3762" w:rsidRPr="00EB6526" w:rsidRDefault="001D3762" w:rsidP="00FA3963">
      <w:pPr>
        <w:pStyle w:val="ListParagraph"/>
        <w:numPr>
          <w:ilvl w:val="0"/>
          <w:numId w:val="8"/>
        </w:numPr>
        <w:tabs>
          <w:tab w:val="left" w:pos="117"/>
        </w:tabs>
        <w:spacing w:after="0" w:line="240" w:lineRule="auto"/>
        <w:ind w:left="0" w:hanging="25"/>
        <w:jc w:val="both"/>
        <w:rPr>
          <w:rFonts w:cstheme="minorHAnsi"/>
          <w:sz w:val="18"/>
          <w:szCs w:val="18"/>
        </w:rPr>
      </w:pPr>
      <w:proofErr w:type="gramStart"/>
      <w:r>
        <w:rPr>
          <w:sz w:val="18"/>
          <w:szCs w:val="18"/>
        </w:rPr>
        <w:t>le</w:t>
      </w:r>
      <w:proofErr w:type="gramEnd"/>
      <w:r>
        <w:rPr>
          <w:sz w:val="18"/>
          <w:szCs w:val="18"/>
        </w:rPr>
        <w:t xml:space="preserve"> respect de la confidentialité des personnes handicapées, y compris les femmes, les enfants et les personnes âgées.</w:t>
      </w:r>
    </w:p>
    <w:p w14:paraId="679C082D" w14:textId="77777777" w:rsidR="001D3762" w:rsidRPr="002B2C17" w:rsidRDefault="001D3762" w:rsidP="00FA3963">
      <w:pPr>
        <w:spacing w:after="0" w:line="240" w:lineRule="auto"/>
        <w:jc w:val="both"/>
        <w:rPr>
          <w:rFonts w:cstheme="minorHAnsi"/>
          <w:sz w:val="18"/>
          <w:szCs w:val="18"/>
        </w:rPr>
      </w:pPr>
      <w:r>
        <w:rPr>
          <w:sz w:val="18"/>
          <w:szCs w:val="18"/>
        </w:rPr>
        <w:t>25.2 Textes législatifs et réglementaires garantissant aux femmes et aux filles l'accès aux soins de santé sexuelle et génésique, à l'information et à l'éducation (sur la base de l'indicateur ODD 5.6.2), y compris les femmes et les filles handicapées.25.3 Existence d'une politique/d'un plan national pour garantir que les personnes handicapées, en particulier les femmes, les enfants et les personnes âgées, aient accès à des services de santé de qualité et abordables,</w:t>
      </w:r>
      <w:r w:rsidRPr="002B2C17">
        <w:rPr>
          <w:rFonts w:cstheme="minorHAnsi"/>
          <w:sz w:val="18"/>
          <w:szCs w:val="18"/>
          <w:vertAlign w:val="superscript"/>
        </w:rPr>
        <w:endnoteReference w:id="2"/>
      </w:r>
      <w:r>
        <w:rPr>
          <w:sz w:val="18"/>
          <w:szCs w:val="18"/>
        </w:rPr>
        <w:t xml:space="preserve"> y compris l'accès à la couverture sanitaire universelle.</w:t>
      </w:r>
      <w:r w:rsidRPr="002B2C17">
        <w:rPr>
          <w:rFonts w:cstheme="minorHAnsi"/>
          <w:sz w:val="18"/>
          <w:szCs w:val="18"/>
          <w:vertAlign w:val="superscript"/>
        </w:rPr>
        <w:endnoteReference w:id="3"/>
      </w:r>
    </w:p>
    <w:p w14:paraId="67F2A413" w14:textId="77777777" w:rsidR="001D3762" w:rsidRPr="002B2C17" w:rsidRDefault="001D3762" w:rsidP="00FA3963">
      <w:pPr>
        <w:spacing w:after="0" w:line="240" w:lineRule="auto"/>
        <w:jc w:val="both"/>
        <w:rPr>
          <w:rFonts w:cstheme="minorHAnsi"/>
          <w:sz w:val="18"/>
          <w:szCs w:val="18"/>
        </w:rPr>
      </w:pPr>
      <w:r>
        <w:rPr>
          <w:sz w:val="18"/>
          <w:szCs w:val="18"/>
        </w:rPr>
        <w:t xml:space="preserve">(Idem 10.4) </w:t>
      </w:r>
    </w:p>
    <w:p w14:paraId="628D6529" w14:textId="77777777" w:rsidR="001D3762" w:rsidRPr="00EB6526" w:rsidRDefault="001D3762" w:rsidP="00FA3963">
      <w:pPr>
        <w:spacing w:after="0" w:line="240" w:lineRule="auto"/>
        <w:jc w:val="both"/>
        <w:rPr>
          <w:rFonts w:cstheme="minorHAnsi"/>
          <w:sz w:val="18"/>
          <w:szCs w:val="18"/>
        </w:rPr>
      </w:pPr>
      <w:r>
        <w:rPr>
          <w:sz w:val="18"/>
          <w:szCs w:val="18"/>
        </w:rPr>
        <w:t>25.4 Normes nationales d'accessibilité adoptées et appliquées aux établissements de santé publics et privés.</w:t>
      </w:r>
    </w:p>
    <w:p w14:paraId="65694DA9" w14:textId="0F9C7585" w:rsidR="001D3762" w:rsidRPr="00EB6526" w:rsidRDefault="001D3762" w:rsidP="001D3762">
      <w:pPr>
        <w:spacing w:after="0" w:line="240" w:lineRule="auto"/>
        <w:jc w:val="both"/>
        <w:rPr>
          <w:rFonts w:cstheme="minorHAnsi"/>
          <w:sz w:val="18"/>
          <w:szCs w:val="18"/>
        </w:rPr>
      </w:pPr>
      <w:r>
        <w:rPr>
          <w:sz w:val="18"/>
          <w:szCs w:val="18"/>
        </w:rPr>
        <w:t>25.5 La législation interdit aux assureurs maladie de discriminer les personnes handicapées sur la base d’incapacités/conditions de santé préexistantes.</w:t>
      </w:r>
    </w:p>
    <w:p w14:paraId="13D53FA3" w14:textId="77777777" w:rsidR="001D3762" w:rsidRPr="00601E75" w:rsidRDefault="001D3762" w:rsidP="00601E75">
      <w:pPr>
        <w:pStyle w:val="ListParagraph"/>
        <w:numPr>
          <w:ilvl w:val="1"/>
          <w:numId w:val="14"/>
        </w:numPr>
        <w:spacing w:after="0" w:line="240" w:lineRule="auto"/>
        <w:jc w:val="both"/>
        <w:rPr>
          <w:rFonts w:cstheme="minorHAnsi"/>
          <w:sz w:val="18"/>
          <w:szCs w:val="18"/>
        </w:rPr>
      </w:pPr>
      <w:r>
        <w:rPr>
          <w:sz w:val="18"/>
          <w:szCs w:val="18"/>
        </w:rPr>
        <w:t xml:space="preserve">Législation qui : </w:t>
      </w:r>
    </w:p>
    <w:p w14:paraId="76F711A0" w14:textId="77777777" w:rsidR="001D3762" w:rsidRPr="00DF7BDB" w:rsidRDefault="001D3762" w:rsidP="00601E75">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Reconnaît le droit à un consentement libre et éclairé à un traitement médical et le droit de refuser le traitement de chaque individu à tout moment, indépendamment de sa capacité juridique, de sa condition de liberté, y compris dans les situations de détresse mentale ;</w:t>
      </w:r>
    </w:p>
    <w:p w14:paraId="7F6C16EA" w14:textId="77777777" w:rsidR="001D3762" w:rsidRPr="00884B1E" w:rsidRDefault="001D3762" w:rsidP="00925CF3">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Interdit la discrimination dans l'exercice du consentement libre et éclairé, y compris le refus d'aménagements raisonnables ;</w:t>
      </w:r>
    </w:p>
    <w:p w14:paraId="70B80F82" w14:textId="77777777" w:rsidR="001D3762" w:rsidRPr="00884B1E" w:rsidRDefault="001D3762" w:rsidP="00C35D0C">
      <w:pPr>
        <w:pStyle w:val="ListParagraph"/>
        <w:numPr>
          <w:ilvl w:val="0"/>
          <w:numId w:val="6"/>
        </w:numPr>
        <w:tabs>
          <w:tab w:val="left" w:pos="132"/>
        </w:tabs>
        <w:spacing w:after="0" w:line="240" w:lineRule="auto"/>
        <w:ind w:left="0" w:hanging="10"/>
        <w:jc w:val="both"/>
        <w:rPr>
          <w:rFonts w:cstheme="minorHAnsi"/>
          <w:sz w:val="18"/>
          <w:szCs w:val="18"/>
        </w:rPr>
      </w:pPr>
      <w:r>
        <w:rPr>
          <w:sz w:val="18"/>
          <w:szCs w:val="18"/>
        </w:rPr>
        <w:t>S'assure que tous les renseignements sur la santé et les formulaires de consentement sont entièrement accessibles et culturellement appropriés ;</w:t>
      </w:r>
    </w:p>
    <w:p w14:paraId="6037DBD8" w14:textId="77777777" w:rsidR="001D3762" w:rsidRDefault="001D3762" w:rsidP="003C3331">
      <w:pPr>
        <w:pStyle w:val="ListParagraph"/>
        <w:tabs>
          <w:tab w:val="left" w:pos="132"/>
        </w:tabs>
        <w:spacing w:after="0" w:line="240" w:lineRule="auto"/>
        <w:ind w:left="0"/>
        <w:jc w:val="both"/>
        <w:rPr>
          <w:rFonts w:cstheme="minorHAnsi"/>
          <w:sz w:val="18"/>
          <w:szCs w:val="18"/>
        </w:rPr>
      </w:pPr>
      <w:r>
        <w:rPr>
          <w:sz w:val="18"/>
          <w:szCs w:val="18"/>
        </w:rPr>
        <w:t>- Exige des prestataires de soins de santé qu'ils agissent conformément aux directives préalables, aux procurations et aux autres formes de prise de décision assistée pour les décisions en matière de soins de santé.</w:t>
      </w:r>
      <w:r w:rsidRPr="00884B1E">
        <w:rPr>
          <w:rStyle w:val="EndnoteReference"/>
          <w:rFonts w:cstheme="minorHAnsi"/>
          <w:sz w:val="18"/>
          <w:szCs w:val="18"/>
        </w:rPr>
        <w:endnoteReference w:id="4"/>
      </w:r>
    </w:p>
    <w:p w14:paraId="59F9E3C7" w14:textId="77777777" w:rsidR="001D3762" w:rsidRPr="00EB6526" w:rsidRDefault="001D3762" w:rsidP="003C3331">
      <w:pPr>
        <w:pStyle w:val="ListParagraph"/>
        <w:tabs>
          <w:tab w:val="left" w:pos="132"/>
        </w:tabs>
        <w:spacing w:after="0" w:line="240" w:lineRule="auto"/>
        <w:ind w:left="0"/>
        <w:jc w:val="both"/>
        <w:rPr>
          <w:rFonts w:cstheme="minorHAnsi"/>
          <w:sz w:val="18"/>
          <w:szCs w:val="18"/>
        </w:rPr>
      </w:pPr>
      <w:r>
        <w:rPr>
          <w:sz w:val="18"/>
          <w:szCs w:val="18"/>
        </w:rPr>
        <w:t>25.7 Aucune disposition dans la législation ou la réglementation</w:t>
      </w:r>
      <w:r w:rsidRPr="00EB6526">
        <w:rPr>
          <w:rStyle w:val="EndnoteReference"/>
          <w:rFonts w:cstheme="minorHAnsi"/>
          <w:sz w:val="18"/>
          <w:szCs w:val="18"/>
        </w:rPr>
        <w:endnoteReference w:id="5"/>
      </w:r>
      <w:r>
        <w:rPr>
          <w:sz w:val="18"/>
          <w:szCs w:val="18"/>
        </w:rPr>
        <w:t xml:space="preserve"> qui permettent :</w:t>
      </w:r>
    </w:p>
    <w:p w14:paraId="62A4423A" w14:textId="77777777" w:rsidR="001D3762" w:rsidRPr="00EB6526" w:rsidRDefault="001D3762" w:rsidP="00E434D8">
      <w:pPr>
        <w:pStyle w:val="ListParagraph"/>
        <w:numPr>
          <w:ilvl w:val="0"/>
          <w:numId w:val="4"/>
        </w:numPr>
        <w:tabs>
          <w:tab w:val="left" w:pos="132"/>
        </w:tabs>
        <w:spacing w:after="0" w:line="240" w:lineRule="auto"/>
        <w:ind w:left="0" w:hanging="21"/>
        <w:jc w:val="both"/>
        <w:rPr>
          <w:rFonts w:cstheme="minorHAnsi"/>
          <w:sz w:val="18"/>
          <w:szCs w:val="18"/>
        </w:rPr>
      </w:pPr>
      <w:r>
        <w:rPr>
          <w:sz w:val="18"/>
          <w:szCs w:val="18"/>
        </w:rPr>
        <w:t>Consentement à être représenté ou remplacé par un tiers ;</w:t>
      </w:r>
      <w:r w:rsidRPr="00EB6526">
        <w:rPr>
          <w:rStyle w:val="EndnoteReference"/>
          <w:rFonts w:cstheme="minorHAnsi"/>
          <w:sz w:val="18"/>
          <w:szCs w:val="18"/>
        </w:rPr>
        <w:endnoteReference w:id="6"/>
      </w:r>
    </w:p>
    <w:p w14:paraId="1B27E532" w14:textId="5FBF796A" w:rsidR="001D3762" w:rsidRPr="001D3762" w:rsidRDefault="001D3762" w:rsidP="001D3762">
      <w:pPr>
        <w:spacing w:after="0" w:line="240" w:lineRule="auto"/>
        <w:jc w:val="both"/>
        <w:rPr>
          <w:rFonts w:cstheme="minorHAnsi"/>
          <w:sz w:val="18"/>
          <w:szCs w:val="18"/>
        </w:rPr>
      </w:pPr>
      <w:r>
        <w:rPr>
          <w:sz w:val="18"/>
          <w:szCs w:val="18"/>
        </w:rPr>
        <w:t>- Tout type de traitement involontaire, y compris par toute forme de chirurgie ;</w:t>
      </w:r>
      <w:r w:rsidRPr="00EB6526">
        <w:rPr>
          <w:rStyle w:val="EndnoteReference"/>
          <w:rFonts w:cstheme="minorHAnsi"/>
          <w:sz w:val="18"/>
          <w:szCs w:val="18"/>
        </w:rPr>
        <w:endnoteReference w:id="7"/>
      </w:r>
      <w:r>
        <w:rPr>
          <w:sz w:val="18"/>
          <w:szCs w:val="18"/>
        </w:rPr>
        <w:t xml:space="preserve"> l'administration de tout type de médicament,</w:t>
      </w:r>
      <w:r w:rsidRPr="00EB6526">
        <w:rPr>
          <w:rStyle w:val="EndnoteReference"/>
          <w:rFonts w:cstheme="minorHAnsi"/>
          <w:sz w:val="18"/>
          <w:szCs w:val="18"/>
        </w:rPr>
        <w:endnoteReference w:id="8"/>
      </w:r>
      <w:r>
        <w:rPr>
          <w:sz w:val="18"/>
          <w:szCs w:val="18"/>
        </w:rPr>
        <w:t xml:space="preserve"> thérapie (p. ex. ECT), dispositifs mécaniques, ceintures ou dispositifs de retenue.</w:t>
      </w:r>
    </w:p>
    <w:p w14:paraId="64907F69" w14:textId="77777777" w:rsidR="001D3762" w:rsidRPr="00664CB7" w:rsidRDefault="001D3762" w:rsidP="00F951E1">
      <w:pPr>
        <w:spacing w:after="0" w:line="240" w:lineRule="auto"/>
        <w:jc w:val="both"/>
        <w:rPr>
          <w:rFonts w:cstheme="minorHAnsi"/>
          <w:sz w:val="18"/>
          <w:szCs w:val="18"/>
        </w:rPr>
      </w:pPr>
      <w:r>
        <w:rPr>
          <w:sz w:val="18"/>
          <w:szCs w:val="18"/>
        </w:rPr>
        <w:t>25.8 Les cours et formations obligatoires sur le droit à la santé des personnes handicapées, le consentement libre et éclairé et les déterminants sociaux sous-jacents ayant une incidence sur la santé, y compris la santé mentale, font partie intégrante des programmes de formation de base des étudiants des programmes de médecine et de santé dans les universités et autres établissements d'enseignement.</w:t>
      </w:r>
    </w:p>
    <w:p w14:paraId="097F3EFF" w14:textId="77777777" w:rsidR="001D3762" w:rsidRDefault="001D3762" w:rsidP="00FA3963">
      <w:pPr>
        <w:tabs>
          <w:tab w:val="left" w:pos="735"/>
        </w:tabs>
        <w:spacing w:after="0" w:line="240" w:lineRule="auto"/>
        <w:rPr>
          <w:b/>
          <w:sz w:val="18"/>
          <w:szCs w:val="18"/>
        </w:rPr>
      </w:pPr>
    </w:p>
    <w:p w14:paraId="1674CD97" w14:textId="72B4E0A0" w:rsidR="001D3762" w:rsidRPr="00EB6526" w:rsidRDefault="001D3762" w:rsidP="00FA3963">
      <w:pPr>
        <w:tabs>
          <w:tab w:val="left" w:pos="735"/>
        </w:tabs>
        <w:spacing w:after="0" w:line="240" w:lineRule="auto"/>
        <w:rPr>
          <w:rFonts w:cstheme="minorHAnsi"/>
          <w:b/>
          <w:sz w:val="18"/>
          <w:szCs w:val="18"/>
        </w:rPr>
      </w:pPr>
      <w:r>
        <w:rPr>
          <w:b/>
          <w:sz w:val="18"/>
          <w:szCs w:val="18"/>
        </w:rPr>
        <w:t>Indicateurs de Processus</w:t>
      </w:r>
    </w:p>
    <w:p w14:paraId="19FFE9A8" w14:textId="77777777" w:rsidR="001D3762" w:rsidRPr="00EB6526" w:rsidRDefault="001D3762" w:rsidP="00FA3963">
      <w:pPr>
        <w:spacing w:after="0" w:line="240" w:lineRule="auto"/>
        <w:jc w:val="both"/>
        <w:rPr>
          <w:rFonts w:cstheme="minorHAnsi"/>
          <w:sz w:val="18"/>
          <w:szCs w:val="18"/>
        </w:rPr>
      </w:pPr>
      <w:r>
        <w:rPr>
          <w:sz w:val="18"/>
          <w:szCs w:val="18"/>
        </w:rPr>
        <w:t>25.9 Proportion de cliniques de santé publique, d'hôpitaux et d'autres établissements offrant des soins de santé qui répondent aux normes nationales d'accessibilité, y compris les bâtiments et l'environnement,</w:t>
      </w:r>
      <w:r w:rsidRPr="00EB6526">
        <w:rPr>
          <w:rStyle w:val="EndnoteReference"/>
          <w:rFonts w:cstheme="minorHAnsi"/>
          <w:sz w:val="18"/>
          <w:szCs w:val="18"/>
        </w:rPr>
        <w:endnoteReference w:id="9"/>
      </w:r>
      <w:r>
        <w:rPr>
          <w:sz w:val="18"/>
          <w:szCs w:val="18"/>
        </w:rPr>
        <w:t xml:space="preserve"> le matériel médical et sanitaire, l’information et la communication accessibles.</w:t>
      </w:r>
    </w:p>
    <w:p w14:paraId="09B396AB" w14:textId="77777777" w:rsidR="001D3762" w:rsidRDefault="001D3762" w:rsidP="00DB0645">
      <w:pPr>
        <w:spacing w:after="0" w:line="240" w:lineRule="auto"/>
        <w:jc w:val="both"/>
        <w:rPr>
          <w:rFonts w:cstheme="minorHAnsi"/>
          <w:sz w:val="18"/>
          <w:szCs w:val="18"/>
        </w:rPr>
      </w:pPr>
      <w:r>
        <w:rPr>
          <w:sz w:val="18"/>
          <w:szCs w:val="18"/>
        </w:rPr>
        <w:t>25.10 Proportion de cliniques et d'hôpitaux de santé publique qui proposent des méthodes de communication accessibles et alternatives.</w:t>
      </w:r>
      <w:r w:rsidRPr="00EB6526">
        <w:rPr>
          <w:rStyle w:val="EndnoteReference"/>
          <w:rFonts w:cstheme="minorHAnsi"/>
          <w:sz w:val="18"/>
          <w:szCs w:val="18"/>
        </w:rPr>
        <w:endnoteReference w:id="10"/>
      </w:r>
      <w:r>
        <w:rPr>
          <w:sz w:val="18"/>
          <w:szCs w:val="18"/>
        </w:rPr>
        <w:t xml:space="preserve"> </w:t>
      </w:r>
    </w:p>
    <w:p w14:paraId="49A7E048" w14:textId="77777777" w:rsidR="001D3762" w:rsidRPr="00BE3277" w:rsidRDefault="001D3762" w:rsidP="00BE3277">
      <w:pPr>
        <w:pStyle w:val="CommentText"/>
        <w:spacing w:after="0"/>
        <w:jc w:val="both"/>
        <w:rPr>
          <w:sz w:val="18"/>
          <w:szCs w:val="18"/>
          <w:lang w:val="fr-BE"/>
        </w:rPr>
      </w:pPr>
      <w:r>
        <w:rPr>
          <w:sz w:val="18"/>
          <w:szCs w:val="18"/>
        </w:rPr>
        <w:t xml:space="preserve">25.11 Proportion du </w:t>
      </w:r>
      <w:r w:rsidRPr="008B73DF">
        <w:rPr>
          <w:sz w:val="18"/>
          <w:szCs w:val="18"/>
        </w:rPr>
        <w:t xml:space="preserve">budget affecté à la santé mentale qui est alloué aux services et </w:t>
      </w:r>
      <w:r w:rsidRPr="00BE3277">
        <w:rPr>
          <w:sz w:val="18"/>
          <w:szCs w:val="18"/>
        </w:rPr>
        <w:t>soutien</w:t>
      </w:r>
      <w:r>
        <w:rPr>
          <w:sz w:val="18"/>
          <w:szCs w:val="18"/>
        </w:rPr>
        <w:t>s</w:t>
      </w:r>
      <w:r w:rsidRPr="00BE3277">
        <w:rPr>
          <w:sz w:val="18"/>
          <w:szCs w:val="18"/>
        </w:rPr>
        <w:t xml:space="preserve"> communautaires</w:t>
      </w:r>
      <w:r w:rsidRPr="008B73DF">
        <w:rPr>
          <w:sz w:val="18"/>
          <w:szCs w:val="18"/>
        </w:rPr>
        <w:t xml:space="preserve"> (par</w:t>
      </w:r>
      <w:r>
        <w:rPr>
          <w:sz w:val="18"/>
          <w:szCs w:val="18"/>
        </w:rPr>
        <w:t xml:space="preserve"> opposition au budget alloué aux hôpitaux et lits psychiatriques).</w:t>
      </w:r>
    </w:p>
    <w:p w14:paraId="485412E8" w14:textId="77777777" w:rsidR="001D3762" w:rsidRPr="00E0772E" w:rsidRDefault="001D3762" w:rsidP="00E434D8">
      <w:pPr>
        <w:spacing w:after="0" w:line="240" w:lineRule="auto"/>
        <w:jc w:val="both"/>
        <w:rPr>
          <w:rFonts w:cstheme="minorHAnsi"/>
          <w:sz w:val="18"/>
          <w:szCs w:val="18"/>
        </w:rPr>
      </w:pPr>
      <w:r>
        <w:rPr>
          <w:sz w:val="18"/>
          <w:szCs w:val="18"/>
        </w:rPr>
        <w:t xml:space="preserve">25.12 </w:t>
      </w:r>
      <w:r w:rsidRPr="001C046D">
        <w:rPr>
          <w:rFonts w:cstheme="minorHAnsi"/>
          <w:sz w:val="18"/>
          <w:szCs w:val="18"/>
        </w:rPr>
        <w:t>Proportion de la population consacrant une grande part de ses dépenses ou de ses revenus domestiques aux services de soins de santé</w:t>
      </w:r>
      <w:r>
        <w:rPr>
          <w:sz w:val="18"/>
          <w:szCs w:val="18"/>
        </w:rPr>
        <w:t xml:space="preserve"> (indicateur ODD 3.8.2) ventilé par sexe, âge et handicap.</w:t>
      </w:r>
    </w:p>
    <w:p w14:paraId="5C662592" w14:textId="77777777" w:rsidR="001D3762" w:rsidRPr="00EB6526" w:rsidRDefault="001D3762" w:rsidP="00E434D8">
      <w:pPr>
        <w:spacing w:after="0" w:line="240" w:lineRule="auto"/>
        <w:jc w:val="both"/>
        <w:rPr>
          <w:rFonts w:cstheme="minorHAnsi"/>
          <w:sz w:val="18"/>
          <w:szCs w:val="18"/>
        </w:rPr>
      </w:pPr>
      <w:r>
        <w:rPr>
          <w:sz w:val="18"/>
          <w:szCs w:val="18"/>
        </w:rPr>
        <w:t xml:space="preserve">25.13 Proportion de personnes handicapées sur la population totale qui utilisent des programmes de soins de santé soutenus par le gouvernement, par âge, sexe et type de handicap. </w:t>
      </w:r>
    </w:p>
    <w:p w14:paraId="55BC4354" w14:textId="77777777" w:rsidR="001D3762" w:rsidRPr="00EB6526" w:rsidRDefault="001D3762" w:rsidP="00C52283">
      <w:pPr>
        <w:spacing w:after="0" w:line="240" w:lineRule="auto"/>
        <w:jc w:val="both"/>
        <w:rPr>
          <w:rFonts w:cstheme="minorHAnsi"/>
          <w:sz w:val="18"/>
          <w:szCs w:val="18"/>
        </w:rPr>
      </w:pPr>
      <w:r>
        <w:rPr>
          <w:sz w:val="18"/>
          <w:szCs w:val="18"/>
        </w:rPr>
        <w:t>25.14 Coût moyen des soins de santé à la charge des personnes handicapées par rapport à d'autres personnes, par sexe, âge et handicap.</w:t>
      </w:r>
    </w:p>
    <w:p w14:paraId="08EE9551" w14:textId="2C5EAD67" w:rsidR="001D3762" w:rsidRPr="001D3762" w:rsidRDefault="001D3762" w:rsidP="001D3762">
      <w:pPr>
        <w:spacing w:after="0" w:line="240" w:lineRule="auto"/>
        <w:jc w:val="both"/>
        <w:rPr>
          <w:rFonts w:cstheme="minorHAnsi"/>
          <w:sz w:val="18"/>
          <w:szCs w:val="18"/>
        </w:rPr>
      </w:pPr>
      <w:r>
        <w:rPr>
          <w:sz w:val="18"/>
          <w:szCs w:val="18"/>
        </w:rPr>
        <w:t>25.15 Protocole adopté sur le droit à un consentement libre et éclairé au traitement et le droit de refuser un traitement qui s'applique à tous les services de santé, entre autres aux services de santé mentale, y compris dans les situations de détresse mentale.</w:t>
      </w:r>
      <w:r w:rsidRPr="00EB6526">
        <w:rPr>
          <w:rStyle w:val="EndnoteReference"/>
          <w:rFonts w:cstheme="minorHAnsi"/>
          <w:sz w:val="18"/>
          <w:szCs w:val="18"/>
        </w:rPr>
        <w:endnoteReference w:id="11"/>
      </w:r>
      <w:r>
        <w:rPr>
          <w:sz w:val="18"/>
          <w:szCs w:val="18"/>
        </w:rPr>
        <w:t xml:space="preserve"> </w:t>
      </w:r>
    </w:p>
    <w:p w14:paraId="43E2EE76" w14:textId="77777777" w:rsidR="001D3762" w:rsidRPr="00EB6526" w:rsidRDefault="001D3762" w:rsidP="00FA3963">
      <w:pPr>
        <w:spacing w:after="0" w:line="240" w:lineRule="auto"/>
        <w:jc w:val="both"/>
        <w:rPr>
          <w:rFonts w:eastAsia="Times New Roman" w:cstheme="minorHAnsi"/>
          <w:sz w:val="18"/>
          <w:szCs w:val="18"/>
        </w:rPr>
      </w:pPr>
      <w:r>
        <w:rPr>
          <w:sz w:val="18"/>
          <w:szCs w:val="18"/>
        </w:rPr>
        <w:t>25.16 Couverture des services de santé essentiels</w:t>
      </w:r>
      <w:r w:rsidRPr="00EB6526">
        <w:rPr>
          <w:rStyle w:val="EndnoteReference"/>
          <w:rFonts w:cstheme="minorHAnsi"/>
          <w:sz w:val="18"/>
          <w:szCs w:val="18"/>
        </w:rPr>
        <w:endnoteReference w:id="12"/>
      </w:r>
      <w:r>
        <w:rPr>
          <w:sz w:val="18"/>
          <w:szCs w:val="18"/>
        </w:rPr>
        <w:t xml:space="preserve"> ventilée par sexe, âge et handicap (indicateur ODD 3.8.1)</w:t>
      </w:r>
      <w:r w:rsidRPr="00EB6526">
        <w:rPr>
          <w:rStyle w:val="EndnoteReference"/>
          <w:rFonts w:eastAsia="Times New Roman" w:cstheme="minorHAnsi"/>
          <w:sz w:val="18"/>
          <w:szCs w:val="18"/>
          <w:lang w:eastAsia="en-GB"/>
        </w:rPr>
        <w:endnoteReference w:id="13"/>
      </w:r>
    </w:p>
    <w:p w14:paraId="73E2FAE2" w14:textId="77777777" w:rsidR="001D3762" w:rsidRPr="00EB6526" w:rsidRDefault="001D3762" w:rsidP="00FA3963">
      <w:pPr>
        <w:spacing w:after="0" w:line="240" w:lineRule="auto"/>
        <w:jc w:val="both"/>
        <w:rPr>
          <w:rFonts w:cstheme="minorHAnsi"/>
          <w:sz w:val="18"/>
          <w:szCs w:val="18"/>
        </w:rPr>
      </w:pPr>
      <w:r>
        <w:rPr>
          <w:sz w:val="18"/>
          <w:szCs w:val="18"/>
        </w:rPr>
        <w:t>25.17 Processus de consultation entrepris pour assurer la participation active des personnes handicapées, y compris par l’intermédiaire des  organisations qui les représentent, à la conception, à la mise en œuvre et au suivi des lois, réglementations, politiques et programmes,</w:t>
      </w:r>
      <w:r>
        <w:rPr>
          <w:rStyle w:val="EndnoteReference"/>
          <w:sz w:val="18"/>
          <w:szCs w:val="18"/>
        </w:rPr>
        <w:t xml:space="preserve"> </w:t>
      </w:r>
      <w:r>
        <w:rPr>
          <w:sz w:val="18"/>
          <w:szCs w:val="18"/>
        </w:rPr>
        <w:t>liés à la santé, y compris la santé sexuelle, génésique et mentale.</w:t>
      </w:r>
      <w:r>
        <w:rPr>
          <w:rStyle w:val="EndnoteReference"/>
          <w:sz w:val="18"/>
          <w:szCs w:val="18"/>
        </w:rPr>
        <w:t xml:space="preserve"> </w:t>
      </w:r>
      <w:r w:rsidRPr="00EB6526">
        <w:rPr>
          <w:rStyle w:val="EndnoteReference"/>
          <w:rFonts w:cstheme="minorHAnsi"/>
          <w:sz w:val="18"/>
          <w:szCs w:val="18"/>
        </w:rPr>
        <w:endnoteReference w:id="14"/>
      </w:r>
      <w:r>
        <w:rPr>
          <w:sz w:val="18"/>
          <w:szCs w:val="18"/>
        </w:rPr>
        <w:t xml:space="preserve"> </w:t>
      </w:r>
    </w:p>
    <w:p w14:paraId="65BF9E05" w14:textId="77777777" w:rsidR="001D3762" w:rsidRPr="00EB6526" w:rsidRDefault="001D3762" w:rsidP="00FA3963">
      <w:pPr>
        <w:spacing w:after="0" w:line="240" w:lineRule="auto"/>
        <w:jc w:val="both"/>
        <w:rPr>
          <w:rFonts w:cstheme="minorHAnsi"/>
          <w:sz w:val="18"/>
          <w:szCs w:val="18"/>
        </w:rPr>
      </w:pPr>
      <w:r>
        <w:rPr>
          <w:sz w:val="18"/>
          <w:szCs w:val="18"/>
        </w:rPr>
        <w:t>25.18 Proportion de personnel, notamment de professionnels de la santé, travaillant dans le secteur public et privé de la santé et de ceux impliqués dans la prestation de programmes et de services de santé, formés au droit à la santé des personnes handicapées et au consentement libre et éclairé.</w:t>
      </w:r>
    </w:p>
    <w:p w14:paraId="031E11A4" w14:textId="77777777" w:rsidR="001D3762" w:rsidRPr="00EB6526" w:rsidRDefault="001D3762" w:rsidP="00BE3277">
      <w:pPr>
        <w:spacing w:after="0" w:line="240" w:lineRule="auto"/>
        <w:jc w:val="both"/>
        <w:rPr>
          <w:rFonts w:cstheme="minorHAnsi"/>
          <w:sz w:val="18"/>
          <w:szCs w:val="18"/>
        </w:rPr>
      </w:pPr>
      <w:r>
        <w:rPr>
          <w:sz w:val="18"/>
          <w:szCs w:val="18"/>
        </w:rPr>
        <w:t xml:space="preserve">25.19 Campagnes et activités de sensibilisation destinées aux personnes handicapées et à leurs familles concernant les informations, programmes et services de santé pour les personnes handicapées, en particulier les femmes, les enfants et les personnes âgées handicapés, y compris sur le consentement libre et éclairé, la santé mentale et le bien-être, la santé sexuelle et génésique, les avantages de la pratique d'une activité physique, entre autres. </w:t>
      </w:r>
    </w:p>
    <w:p w14:paraId="567C958A" w14:textId="77777777" w:rsidR="001D3762" w:rsidRPr="00EB6526" w:rsidRDefault="001D3762" w:rsidP="007B7BAE">
      <w:pPr>
        <w:spacing w:after="0" w:line="240" w:lineRule="auto"/>
        <w:jc w:val="both"/>
        <w:rPr>
          <w:rFonts w:cstheme="minorHAnsi"/>
          <w:sz w:val="18"/>
          <w:szCs w:val="18"/>
        </w:rPr>
      </w:pPr>
      <w:r>
        <w:rPr>
          <w:sz w:val="18"/>
          <w:szCs w:val="18"/>
        </w:rPr>
        <w:t>25.20 Proportion de plaintes reçues concernant l'accès aux services de santé et à la prestation de services de santé et à l'assurance-maladie alléguant une discrimination fondée sur le handicap</w:t>
      </w:r>
      <w:r>
        <w:t xml:space="preserve"> </w:t>
      </w:r>
      <w:r>
        <w:rPr>
          <w:sz w:val="18"/>
          <w:szCs w:val="18"/>
        </w:rPr>
        <w:t>et/ou impliquant des personnes handicapées qui ont fait l'objet d'une enquête et d'une décision ; proportion de celles jugées en faveur du plaignant ; et proportion de ces dernières qui ont été respectées par le gouvernement et/ou le détenteur d'obligations (par exemple, un prestataire de services de santé privé) ; à chaque fois ventilée par type de mécanisme.</w:t>
      </w:r>
    </w:p>
    <w:p w14:paraId="0481C18D" w14:textId="136729D8" w:rsidR="001D3762" w:rsidRPr="00EB6526" w:rsidRDefault="001D3762" w:rsidP="00FA3963">
      <w:pPr>
        <w:spacing w:after="0" w:line="240" w:lineRule="auto"/>
        <w:rPr>
          <w:rFonts w:cstheme="minorHAnsi"/>
          <w:b/>
          <w:sz w:val="18"/>
          <w:szCs w:val="18"/>
        </w:rPr>
      </w:pPr>
      <w:r>
        <w:rPr>
          <w:b/>
          <w:sz w:val="18"/>
          <w:szCs w:val="18"/>
        </w:rPr>
        <w:lastRenderedPageBreak/>
        <w:t>Indicateurs de Résultat</w:t>
      </w:r>
    </w:p>
    <w:p w14:paraId="00EAFFB7" w14:textId="77777777" w:rsidR="001D3762" w:rsidRPr="00EB6526" w:rsidRDefault="001D3762" w:rsidP="00FA3963">
      <w:pPr>
        <w:spacing w:after="0" w:line="240" w:lineRule="auto"/>
        <w:jc w:val="both"/>
        <w:rPr>
          <w:rFonts w:cstheme="minorHAnsi"/>
          <w:sz w:val="18"/>
          <w:szCs w:val="18"/>
        </w:rPr>
      </w:pPr>
      <w:r>
        <w:rPr>
          <w:sz w:val="18"/>
          <w:szCs w:val="18"/>
        </w:rPr>
        <w:t xml:space="preserve">25.21 Taux de mortalité maternelle (indicateur ODD 3.1.1) ventilé par âge et handicap de la personne.  </w:t>
      </w:r>
    </w:p>
    <w:p w14:paraId="5260B984" w14:textId="77777777" w:rsidR="001D3762" w:rsidRPr="00EB6526" w:rsidRDefault="001D3762" w:rsidP="001C046D">
      <w:pPr>
        <w:spacing w:after="0" w:line="240" w:lineRule="auto"/>
        <w:jc w:val="both"/>
        <w:rPr>
          <w:rFonts w:cstheme="minorHAnsi"/>
          <w:sz w:val="18"/>
          <w:szCs w:val="18"/>
        </w:rPr>
      </w:pPr>
      <w:r>
        <w:rPr>
          <w:sz w:val="18"/>
          <w:szCs w:val="18"/>
        </w:rPr>
        <w:t xml:space="preserve">25.22 Proportion de femmes et de filles en âge de procréer qui </w:t>
      </w:r>
      <w:r w:rsidRPr="001C046D">
        <w:rPr>
          <w:sz w:val="18"/>
          <w:szCs w:val="18"/>
        </w:rPr>
        <w:t xml:space="preserve">utilisent des méthodes modernes </w:t>
      </w:r>
      <w:r>
        <w:rPr>
          <w:sz w:val="18"/>
          <w:szCs w:val="18"/>
        </w:rPr>
        <w:t>pour satisfaire leur besoin de planification familiale</w:t>
      </w:r>
      <w:r w:rsidRPr="001C046D">
        <w:rPr>
          <w:sz w:val="18"/>
          <w:szCs w:val="18"/>
        </w:rPr>
        <w:t xml:space="preserve"> </w:t>
      </w:r>
      <w:r>
        <w:rPr>
          <w:sz w:val="18"/>
          <w:szCs w:val="18"/>
        </w:rPr>
        <w:t>(basées sur l'indicateur ODD 3.7.1) ventilée par âge et handicap.</w:t>
      </w:r>
      <w:r>
        <w:rPr>
          <w:rFonts w:ascii="Arial" w:hAnsi="Arial" w:cs="Arial"/>
          <w:sz w:val="25"/>
          <w:szCs w:val="25"/>
        </w:rPr>
        <w:t xml:space="preserve"> </w:t>
      </w:r>
    </w:p>
    <w:p w14:paraId="63B9D2F8" w14:textId="77777777" w:rsidR="001D3762" w:rsidRPr="00EB6526" w:rsidRDefault="001D3762" w:rsidP="00FA3963">
      <w:pPr>
        <w:spacing w:after="0" w:line="240" w:lineRule="auto"/>
        <w:jc w:val="both"/>
        <w:rPr>
          <w:rFonts w:cstheme="minorHAnsi"/>
          <w:sz w:val="18"/>
          <w:szCs w:val="18"/>
        </w:rPr>
      </w:pPr>
      <w:r>
        <w:rPr>
          <w:sz w:val="18"/>
          <w:szCs w:val="18"/>
        </w:rPr>
        <w:t xml:space="preserve">25.23 Nombre de nouvelles infections à VIH pour 1 000 personnes </w:t>
      </w:r>
      <w:r w:rsidRPr="001C046D">
        <w:rPr>
          <w:sz w:val="18"/>
          <w:szCs w:val="18"/>
        </w:rPr>
        <w:t xml:space="preserve">séronégatives, par sexe, âge et appartenance à un groupe de population à risque </w:t>
      </w:r>
      <w:r>
        <w:rPr>
          <w:sz w:val="18"/>
          <w:szCs w:val="18"/>
        </w:rPr>
        <w:t>(indicateur 3.3.1 des ODD) et handicap.</w:t>
      </w:r>
    </w:p>
    <w:p w14:paraId="6ADF6D7A" w14:textId="77777777" w:rsidR="001D3762" w:rsidRDefault="001D3762" w:rsidP="00384639">
      <w:pPr>
        <w:spacing w:after="0" w:line="240" w:lineRule="auto"/>
        <w:jc w:val="both"/>
        <w:rPr>
          <w:rFonts w:cstheme="minorHAnsi"/>
          <w:sz w:val="18"/>
          <w:szCs w:val="18"/>
        </w:rPr>
      </w:pPr>
      <w:r>
        <w:rPr>
          <w:sz w:val="18"/>
          <w:szCs w:val="18"/>
        </w:rPr>
        <w:t xml:space="preserve">25.24 Incidence de la tuberculose, du paludisme et de l'hépatite B pour 1 000 habitants (indicateurs ODD 3.3.2, 3.3.3 et 3.3.4) parmi la population de personnes handicapées par rapport aux autres. </w:t>
      </w:r>
    </w:p>
    <w:p w14:paraId="1877C50D" w14:textId="77777777" w:rsidR="001D3762" w:rsidRPr="00EB6526" w:rsidRDefault="001D3762" w:rsidP="00FA3963">
      <w:pPr>
        <w:spacing w:after="0" w:line="240" w:lineRule="auto"/>
        <w:jc w:val="both"/>
        <w:rPr>
          <w:rFonts w:cstheme="minorHAnsi"/>
          <w:sz w:val="18"/>
          <w:szCs w:val="18"/>
        </w:rPr>
      </w:pPr>
      <w:r>
        <w:rPr>
          <w:sz w:val="18"/>
          <w:szCs w:val="18"/>
        </w:rPr>
        <w:t>25.25 Probabilité de mourir (pour 1 000) entre 15 et 60 ans, ventilée par sexe (indicateur OMS), handicap et origine autochtone/minoritaire.</w:t>
      </w:r>
    </w:p>
    <w:p w14:paraId="45CF5492" w14:textId="77777777" w:rsidR="001D3762" w:rsidRPr="00EB6526" w:rsidRDefault="001D3762" w:rsidP="00FA3963">
      <w:pPr>
        <w:spacing w:after="0" w:line="240" w:lineRule="auto"/>
        <w:jc w:val="both"/>
        <w:rPr>
          <w:rFonts w:cstheme="minorHAnsi"/>
          <w:sz w:val="18"/>
          <w:szCs w:val="18"/>
        </w:rPr>
      </w:pPr>
      <w:r>
        <w:rPr>
          <w:sz w:val="18"/>
          <w:szCs w:val="18"/>
        </w:rPr>
        <w:t>25.26 Prévalence de la sous-alimentation (indicateur ODD 2.1.1) ventilée par sexe, âge et handicap.</w:t>
      </w:r>
    </w:p>
    <w:p w14:paraId="3DEC3E81" w14:textId="77777777" w:rsidR="001D3762" w:rsidRPr="00EB6526" w:rsidRDefault="001D3762" w:rsidP="00FA3963">
      <w:pPr>
        <w:spacing w:after="0" w:line="240" w:lineRule="auto"/>
        <w:jc w:val="both"/>
        <w:rPr>
          <w:rFonts w:cstheme="minorHAnsi"/>
          <w:sz w:val="18"/>
          <w:szCs w:val="18"/>
        </w:rPr>
      </w:pPr>
      <w:r>
        <w:rPr>
          <w:sz w:val="18"/>
          <w:szCs w:val="18"/>
        </w:rPr>
        <w:t xml:space="preserve">25.27 Prévalence de la malnutrition chez les enfants de moins de 5 ans, </w:t>
      </w:r>
      <w:r w:rsidRPr="001C046D">
        <w:rPr>
          <w:sz w:val="18"/>
          <w:szCs w:val="18"/>
        </w:rPr>
        <w:t xml:space="preserve">par forme (surpoids et émaciation) </w:t>
      </w:r>
      <w:r>
        <w:rPr>
          <w:sz w:val="18"/>
          <w:szCs w:val="18"/>
        </w:rPr>
        <w:t>(indicateur ODD 2.2.2) et par sexe, âge et handicap.</w:t>
      </w:r>
    </w:p>
    <w:p w14:paraId="2B26B00F" w14:textId="77777777" w:rsidR="001D3762" w:rsidRPr="00EB6526" w:rsidRDefault="001D3762" w:rsidP="001C046D">
      <w:pPr>
        <w:spacing w:after="0" w:line="240" w:lineRule="auto"/>
        <w:jc w:val="both"/>
        <w:rPr>
          <w:rFonts w:cstheme="minorHAnsi"/>
          <w:sz w:val="18"/>
          <w:szCs w:val="18"/>
        </w:rPr>
      </w:pPr>
      <w:r>
        <w:rPr>
          <w:sz w:val="18"/>
          <w:szCs w:val="18"/>
        </w:rPr>
        <w:t xml:space="preserve">25.28 </w:t>
      </w:r>
      <w:r w:rsidRPr="001C046D">
        <w:rPr>
          <w:sz w:val="18"/>
          <w:szCs w:val="18"/>
        </w:rPr>
        <w:t>Proportion d’accouchements assistés par du personnel de santé qualifié</w:t>
      </w:r>
      <w:r>
        <w:rPr>
          <w:sz w:val="18"/>
          <w:szCs w:val="18"/>
        </w:rPr>
        <w:t xml:space="preserve"> (indicateur ODD 3.1.2) ventilée par âge et handicap de la personne qui accouche.</w:t>
      </w:r>
    </w:p>
    <w:p w14:paraId="063CF716" w14:textId="77777777" w:rsidR="001D3762" w:rsidRDefault="001D3762" w:rsidP="00EB2E1E">
      <w:pPr>
        <w:spacing w:after="0" w:line="240" w:lineRule="auto"/>
        <w:jc w:val="both"/>
        <w:rPr>
          <w:rFonts w:cstheme="minorHAnsi"/>
          <w:sz w:val="18"/>
          <w:szCs w:val="18"/>
        </w:rPr>
      </w:pPr>
      <w:r>
        <w:rPr>
          <w:sz w:val="18"/>
          <w:szCs w:val="18"/>
        </w:rPr>
        <w:t>25.29 Proportion de femmes et de filles qui prennent leurs propres décisions éclairées concernant les relations sexuelles, l'utilisation des contraceptifs et les soins de santé génésique (sur la base de l'indicateur ODD 5.6.1) par âge et handicap.</w:t>
      </w:r>
    </w:p>
    <w:p w14:paraId="6BDFACFA" w14:textId="77777777" w:rsidR="001D3762" w:rsidRDefault="001D3762" w:rsidP="00F07D78">
      <w:pPr>
        <w:spacing w:after="0" w:line="240" w:lineRule="auto"/>
        <w:jc w:val="both"/>
        <w:rPr>
          <w:rFonts w:cstheme="minorHAnsi"/>
          <w:sz w:val="18"/>
          <w:szCs w:val="18"/>
        </w:rPr>
      </w:pPr>
      <w:r>
        <w:rPr>
          <w:sz w:val="18"/>
          <w:szCs w:val="18"/>
        </w:rPr>
        <w:t>25.30 Taux annuels d'hospitalisation involontaire pour 100 000 personnes dans la population générale.</w:t>
      </w:r>
    </w:p>
    <w:p w14:paraId="7EFBF68A" w14:textId="77777777" w:rsidR="001D3762" w:rsidRPr="00EB6526" w:rsidRDefault="001D3762" w:rsidP="00F07D78">
      <w:pPr>
        <w:spacing w:after="0" w:line="240" w:lineRule="auto"/>
        <w:jc w:val="both"/>
        <w:rPr>
          <w:rFonts w:cstheme="minorHAnsi"/>
          <w:sz w:val="18"/>
          <w:szCs w:val="18"/>
        </w:rPr>
      </w:pPr>
    </w:p>
    <w:p w14:paraId="43D86A35" w14:textId="1EB58835" w:rsidR="009A66A9" w:rsidRPr="00856820" w:rsidRDefault="00856820" w:rsidP="00856820">
      <w:pPr>
        <w:spacing w:after="0"/>
        <w:rPr>
          <w:rFonts w:cstheme="minorHAnsi"/>
          <w:sz w:val="18"/>
          <w:szCs w:val="18"/>
        </w:rPr>
      </w:pPr>
      <w:r w:rsidRPr="00856820">
        <w:rPr>
          <w:rFonts w:cstheme="minorHAnsi"/>
          <w:b/>
          <w:sz w:val="18"/>
          <w:szCs w:val="18"/>
        </w:rPr>
        <w:t xml:space="preserve">* </w:t>
      </w:r>
      <w:r w:rsidRPr="00856820">
        <w:rPr>
          <w:rFonts w:cstheme="minorHAnsi"/>
          <w:sz w:val="18"/>
          <w:szCs w:val="18"/>
        </w:rPr>
        <w:t>Voir le rapport de la Rapporteuse spéciale sur les droits des personnes</w:t>
      </w:r>
      <w:r>
        <w:rPr>
          <w:rFonts w:cstheme="minorHAnsi"/>
          <w:sz w:val="18"/>
          <w:szCs w:val="18"/>
        </w:rPr>
        <w:t xml:space="preserve"> handicapées concernant le droit des personnes handicapées </w:t>
      </w:r>
      <w:r w:rsidRPr="00856820">
        <w:rPr>
          <w:rFonts w:cstheme="minorHAnsi"/>
          <w:sz w:val="18"/>
          <w:szCs w:val="18"/>
        </w:rPr>
        <w:t xml:space="preserve">de  jouir  du  meilleur  état  de  santé  </w:t>
      </w:r>
      <w:r>
        <w:rPr>
          <w:rFonts w:cstheme="minorHAnsi"/>
          <w:sz w:val="18"/>
          <w:szCs w:val="18"/>
        </w:rPr>
        <w:t>possible</w:t>
      </w:r>
      <w:r w:rsidRPr="00856820">
        <w:rPr>
          <w:rFonts w:cstheme="minorHAnsi"/>
          <w:sz w:val="18"/>
          <w:szCs w:val="18"/>
        </w:rPr>
        <w:t xml:space="preserve">, </w:t>
      </w:r>
      <w:hyperlink r:id="rId11" w:history="1">
        <w:r w:rsidRPr="00856820">
          <w:rPr>
            <w:rStyle w:val="Hyperlink"/>
            <w:rFonts w:cstheme="minorHAnsi"/>
            <w:sz w:val="18"/>
            <w:szCs w:val="18"/>
          </w:rPr>
          <w:t>A/73/161</w:t>
        </w:r>
      </w:hyperlink>
      <w:r w:rsidRPr="00856820">
        <w:rPr>
          <w:rFonts w:cstheme="minorHAnsi"/>
          <w:sz w:val="18"/>
          <w:szCs w:val="18"/>
        </w:rPr>
        <w:t>.</w:t>
      </w:r>
    </w:p>
    <w:sectPr w:rsidR="009A66A9" w:rsidRPr="00856820" w:rsidSect="006218AE">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DCF0" w14:textId="77777777" w:rsidR="00A67BAE" w:rsidRDefault="00A67BAE" w:rsidP="006C68B3">
      <w:pPr>
        <w:spacing w:after="0" w:line="240" w:lineRule="auto"/>
      </w:pPr>
      <w:r>
        <w:separator/>
      </w:r>
    </w:p>
  </w:endnote>
  <w:endnote w:type="continuationSeparator" w:id="0">
    <w:p w14:paraId="369E3EAE" w14:textId="77777777" w:rsidR="00A67BAE" w:rsidRDefault="00A67BAE" w:rsidP="006C68B3">
      <w:pPr>
        <w:spacing w:after="0" w:line="240" w:lineRule="auto"/>
      </w:pPr>
      <w:r>
        <w:continuationSeparator/>
      </w:r>
    </w:p>
  </w:endnote>
  <w:endnote w:id="1">
    <w:p w14:paraId="232E18ED"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Y compris les personnes vivant avec le VIH/SIDA.</w:t>
      </w:r>
    </w:p>
  </w:endnote>
  <w:endnote w:id="2">
    <w:p w14:paraId="3A7EFB43" w14:textId="77777777" w:rsidR="001D3762" w:rsidRPr="00FB166C" w:rsidRDefault="001D3762" w:rsidP="002C6CA2">
      <w:pPr>
        <w:pStyle w:val="EndnoteText"/>
        <w:jc w:val="both"/>
        <w:rPr>
          <w:rFonts w:cstheme="minorHAnsi"/>
          <w:sz w:val="18"/>
          <w:szCs w:val="18"/>
        </w:rPr>
      </w:pPr>
      <w:r>
        <w:rPr>
          <w:rStyle w:val="EndnoteReference"/>
          <w:rFonts w:cstheme="minorHAnsi"/>
          <w:sz w:val="18"/>
          <w:szCs w:val="18"/>
        </w:rPr>
        <w:endnoteRef/>
      </w:r>
      <w:r>
        <w:rPr>
          <w:sz w:val="18"/>
          <w:szCs w:val="18"/>
        </w:rPr>
        <w:t xml:space="preserve"> Cela comprend :</w:t>
      </w:r>
    </w:p>
    <w:p w14:paraId="347A17E6" w14:textId="77777777" w:rsidR="001D3762" w:rsidRPr="00FB166C" w:rsidRDefault="001D3762" w:rsidP="00487EC7">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non</w:t>
      </w:r>
      <w:proofErr w:type="gramEnd"/>
      <w:r>
        <w:rPr>
          <w:sz w:val="18"/>
          <w:szCs w:val="18"/>
        </w:rPr>
        <w:t>-discrimination fondée sur le handicap ;</w:t>
      </w:r>
    </w:p>
    <w:p w14:paraId="4AF3B53C" w14:textId="77777777" w:rsidR="001D3762" w:rsidRPr="00FB166C" w:rsidRDefault="001D3762" w:rsidP="00487EC7">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reconnaître</w:t>
      </w:r>
      <w:proofErr w:type="gramEnd"/>
      <w:r>
        <w:rPr>
          <w:sz w:val="18"/>
          <w:szCs w:val="18"/>
        </w:rPr>
        <w:t xml:space="preserve"> le consentement libre et éclairé des personnes handicapées sur un pied d'égalité avec les autres ;</w:t>
      </w:r>
      <w:bookmarkStart w:id="0" w:name="_GoBack"/>
      <w:bookmarkEnd w:id="0"/>
    </w:p>
    <w:p w14:paraId="027CA11B" w14:textId="77777777" w:rsidR="001D3762" w:rsidRPr="00FB166C" w:rsidRDefault="001D3762" w:rsidP="002C6CA2">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intégrer</w:t>
      </w:r>
      <w:proofErr w:type="gramEnd"/>
      <w:r>
        <w:rPr>
          <w:sz w:val="18"/>
          <w:szCs w:val="18"/>
        </w:rPr>
        <w:t xml:space="preserve"> les programmes et services de santé et de prévention, sur la base de l'égalité avec les autres ;</w:t>
      </w:r>
    </w:p>
    <w:p w14:paraId="023D4847" w14:textId="77777777" w:rsidR="001D3762" w:rsidRPr="00463DC4" w:rsidRDefault="001D3762" w:rsidP="00463DC4">
      <w:pPr>
        <w:pStyle w:val="ListParagraph"/>
        <w:numPr>
          <w:ilvl w:val="0"/>
          <w:numId w:val="12"/>
        </w:numPr>
        <w:spacing w:after="0" w:line="240" w:lineRule="auto"/>
        <w:ind w:left="709" w:hanging="357"/>
        <w:jc w:val="both"/>
        <w:rPr>
          <w:rFonts w:cstheme="minorHAnsi"/>
          <w:sz w:val="18"/>
          <w:szCs w:val="18"/>
        </w:rPr>
      </w:pPr>
      <w:r>
        <w:rPr>
          <w:sz w:val="18"/>
          <w:szCs w:val="18"/>
        </w:rPr>
        <w:t xml:space="preserve">services spécifiques au sein des services de santé généraux, y compris : identification précoce et intervention précoce, le cas échéant (y compris le dépistage des handicaps de la petite enfance et la </w:t>
      </w:r>
      <w:r>
        <w:rPr>
          <w:iCs/>
          <w:sz w:val="18"/>
          <w:szCs w:val="18"/>
        </w:rPr>
        <w:t>planification de la prestation de services ciblés tels que la physiothérapie, l'ergothérapie, l'orthophonie, la communication en langue des signes, la stimulation de la petite enfance, etc., et la prestation des appareils fonctionnels et des technologies d’assistance dédiés à la mobilité, la vision, l’audition, la communication et aux soins auto-administrés)</w:t>
      </w:r>
      <w:r>
        <w:rPr>
          <w:sz w:val="18"/>
          <w:szCs w:val="18"/>
        </w:rPr>
        <w:t xml:space="preserve"> ; </w:t>
      </w:r>
    </w:p>
    <w:p w14:paraId="040A7981" w14:textId="77777777" w:rsidR="001D3762" w:rsidRPr="00FB166C" w:rsidRDefault="001D3762" w:rsidP="002C6CA2">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des</w:t>
      </w:r>
      <w:proofErr w:type="gramEnd"/>
      <w:r>
        <w:rPr>
          <w:sz w:val="18"/>
          <w:szCs w:val="18"/>
        </w:rPr>
        <w:t xml:space="preserve"> services visant à minimiser et à prévenir d'autres incapacités ;</w:t>
      </w:r>
    </w:p>
    <w:p w14:paraId="20E40CB2" w14:textId="77777777" w:rsidR="001D3762" w:rsidRPr="00924217" w:rsidRDefault="001D3762" w:rsidP="00C53B2C">
      <w:pPr>
        <w:pStyle w:val="ListParagraph"/>
        <w:numPr>
          <w:ilvl w:val="0"/>
          <w:numId w:val="12"/>
        </w:numPr>
        <w:spacing w:after="0" w:line="240" w:lineRule="auto"/>
        <w:ind w:left="709" w:hanging="357"/>
        <w:jc w:val="both"/>
        <w:rPr>
          <w:rFonts w:cstheme="minorHAnsi"/>
          <w:sz w:val="18"/>
          <w:szCs w:val="18"/>
        </w:rPr>
      </w:pPr>
      <w:proofErr w:type="gramStart"/>
      <w:r>
        <w:rPr>
          <w:sz w:val="18"/>
          <w:szCs w:val="18"/>
        </w:rPr>
        <w:t>tous</w:t>
      </w:r>
      <w:proofErr w:type="gramEnd"/>
      <w:r>
        <w:rPr>
          <w:sz w:val="18"/>
          <w:szCs w:val="18"/>
        </w:rPr>
        <w:t xml:space="preserve"> les domaines de la santé, y compris, entre autres, la santé sexuelle et génésique, le VIH/SIDA, la santé des adolescents et des personnes âgées, les services de santé mentale. Les services de santé mentale devraient être fournis en tant que service général accessible à toutes les personnes, y compris les personnes avec tout type de handicap, et en tant que service spécifique au handicap pour les personnes handicapées psychosociales. Ces services doivent être basés sur le consentement libre et éclairé de la personne concernée et devraient inclure un large éventail d'alternatives aux services conventionnels, notamment le soutien par les pairs, le soutien en cas de crise, la psychothérapie et le conseil (y compris l’accompagnement pour surmonter des traumatismes), etc.</w:t>
      </w:r>
    </w:p>
  </w:endnote>
  <w:endnote w:id="3">
    <w:p w14:paraId="67C7DBC6" w14:textId="77777777" w:rsidR="001D3762" w:rsidRPr="00FB166C" w:rsidRDefault="001D3762" w:rsidP="002C6CA2">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La mise en œuvre de la couverture sanitaire universelle — des ensembles de services de santé essentiels aux réformes du financement de la santé — devrait inclure la gamme complète des services de santé dont les personnes handicapées peuvent avoir besoin, y compris l'adaptation et la réadaptation liées à la santé, les appareils et technologies d'assistance.</w:t>
      </w:r>
    </w:p>
  </w:endnote>
  <w:endnote w:id="4">
    <w:p w14:paraId="79471627" w14:textId="50385CF1" w:rsidR="001D3762" w:rsidRPr="00A5287C" w:rsidRDefault="001D3762" w:rsidP="00C35D0C">
      <w:pPr>
        <w:pStyle w:val="EndnoteText"/>
        <w:jc w:val="both"/>
        <w:rPr>
          <w:sz w:val="18"/>
          <w:szCs w:val="18"/>
        </w:rPr>
      </w:pPr>
      <w:r>
        <w:rPr>
          <w:rStyle w:val="EndnoteReference"/>
          <w:rFonts w:cstheme="minorHAnsi"/>
          <w:sz w:val="18"/>
          <w:szCs w:val="18"/>
        </w:rPr>
        <w:endnoteRef/>
      </w:r>
      <w:r>
        <w:t xml:space="preserve"> </w:t>
      </w:r>
      <w:r>
        <w:rPr>
          <w:sz w:val="18"/>
          <w:szCs w:val="18"/>
        </w:rPr>
        <w:t xml:space="preserve">Les prestataires de soins de santé devraient s'adresser directement aux personnes en situation de handicap en discutant de leurs soins de santé et en recherchant leur consentement libre et éclairé individuel, tout en respectant la participation de leurs aidants choisis. Les directives anticipées et les procurations sont acceptées comme des mesures de soutien soumises au droit de la personne de les révoquer à tout moment dans le cadre de l'exercice de sa capacité juridique. Lorsque, malgré des efforts importants, il s'avère impossible d'obtenir la volonté d'une personne, des protocoles seront en place pour déterminer la meilleure interprétation de la volonté et des préférences de la personne sur la base de </w:t>
      </w:r>
      <w:r w:rsidRPr="00C85696">
        <w:rPr>
          <w:sz w:val="18"/>
          <w:szCs w:val="18"/>
        </w:rPr>
        <w:t>preuves (y compris «</w:t>
      </w:r>
      <w:r w:rsidR="00C85696" w:rsidRPr="00C85696">
        <w:rPr>
          <w:sz w:val="18"/>
          <w:szCs w:val="18"/>
        </w:rPr>
        <w:t>compte tenu de ses préférences, de ses valeurs et de ses attitudes passées, de ce qu’elle a dit et fait, et de ce qu’elle a communiqué de manière verbale ou non verbale</w:t>
      </w:r>
      <w:r w:rsidR="00C85696" w:rsidRPr="00C85696">
        <w:rPr>
          <w:sz w:val="18"/>
          <w:szCs w:val="18"/>
        </w:rPr>
        <w:t> »</w:t>
      </w:r>
      <w:r>
        <w:rPr>
          <w:sz w:val="18"/>
          <w:szCs w:val="18"/>
        </w:rPr>
        <w:t xml:space="preserve">, </w:t>
      </w:r>
      <w:hyperlink r:id="rId1" w:history="1">
        <w:r w:rsidRPr="00856820">
          <w:rPr>
            <w:rStyle w:val="Hyperlink"/>
            <w:sz w:val="18"/>
            <w:szCs w:val="18"/>
          </w:rPr>
          <w:t>A/HRC/37</w:t>
        </w:r>
        <w:r w:rsidRPr="00856820">
          <w:rPr>
            <w:rStyle w:val="Hyperlink"/>
            <w:sz w:val="18"/>
            <w:szCs w:val="18"/>
          </w:rPr>
          <w:t>/</w:t>
        </w:r>
        <w:r w:rsidRPr="00856820">
          <w:rPr>
            <w:rStyle w:val="Hyperlink"/>
            <w:sz w:val="18"/>
            <w:szCs w:val="18"/>
          </w:rPr>
          <w:t>56</w:t>
        </w:r>
      </w:hyperlink>
      <w:r>
        <w:rPr>
          <w:sz w:val="18"/>
          <w:szCs w:val="18"/>
        </w:rPr>
        <w:t>, par. 31), et sous réserve d'être corrigés par des expressions ultérieures de volonté ou de prise de décision par l'individu (obtenues ou non par des mesures de soutien).</w:t>
      </w:r>
    </w:p>
  </w:endnote>
  <w:endnote w:id="5">
    <w:p w14:paraId="3729C8CF"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Cela comprend la santé, la santé mentale, la famille, le droit civil et le droit pénal.</w:t>
      </w:r>
    </w:p>
  </w:endnote>
  <w:endnote w:id="6">
    <w:p w14:paraId="590983BD"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Le tiers comprend un membre de la famille, un tuteur légal, un travailleur social ou de la santé ou un professionnel.</w:t>
      </w:r>
    </w:p>
  </w:endnote>
  <w:endnote w:id="7">
    <w:p w14:paraId="5D0FE1FE" w14:textId="77777777" w:rsidR="001D3762" w:rsidRPr="00E635BB"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Par exemple, stérilisation, avortement, etc.</w:t>
      </w:r>
    </w:p>
  </w:endnote>
  <w:endnote w:id="8">
    <w:p w14:paraId="455DC289" w14:textId="77777777" w:rsidR="001D3762" w:rsidRPr="004F45B7" w:rsidRDefault="001D3762" w:rsidP="00C24029">
      <w:pPr>
        <w:pStyle w:val="EndnoteText"/>
        <w:rPr>
          <w:rFonts w:cstheme="minorHAnsi"/>
          <w:sz w:val="18"/>
          <w:szCs w:val="18"/>
        </w:rPr>
      </w:pPr>
      <w:r>
        <w:rPr>
          <w:rStyle w:val="EndnoteReference"/>
          <w:rFonts w:cstheme="minorHAnsi"/>
          <w:sz w:val="18"/>
          <w:szCs w:val="18"/>
        </w:rPr>
        <w:endnoteRef/>
      </w:r>
      <w:r>
        <w:t xml:space="preserve"> </w:t>
      </w:r>
      <w:r>
        <w:rPr>
          <w:sz w:val="18"/>
          <w:szCs w:val="18"/>
        </w:rPr>
        <w:t>Par exemple, contraception, neuroleptiques, médicaments atténuant la croissance, médicaments psychotropes, etc.</w:t>
      </w:r>
    </w:p>
  </w:endnote>
  <w:endnote w:id="9">
    <w:p w14:paraId="38FCE5E0"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Salles de consultation, installations de traitement et d'opération, toilettes, zones d'attente.</w:t>
      </w:r>
    </w:p>
  </w:endnote>
  <w:endnote w:id="10">
    <w:p w14:paraId="590B8FA0"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 xml:space="preserve">Entre autres, des informations pour les patients dans des langues et des formats accessibles, y compris la langue des signes, les langues autochtones/minoritaires, le braille, etc. et l'interprétation en langue des signes, en langues autochtones/minoritaires. </w:t>
      </w:r>
    </w:p>
  </w:endnote>
  <w:endnote w:id="11">
    <w:p w14:paraId="2B91D161"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Le protocole devrait :</w:t>
      </w:r>
    </w:p>
    <w:p w14:paraId="141A516E" w14:textId="77777777" w:rsidR="001D3762" w:rsidRDefault="001D3762" w:rsidP="00E87262">
      <w:pPr>
        <w:pStyle w:val="ListParagraph"/>
        <w:numPr>
          <w:ilvl w:val="0"/>
          <w:numId w:val="4"/>
        </w:numPr>
        <w:spacing w:after="0" w:line="240" w:lineRule="auto"/>
        <w:rPr>
          <w:rFonts w:cstheme="minorHAnsi"/>
          <w:sz w:val="18"/>
          <w:szCs w:val="18"/>
        </w:rPr>
      </w:pPr>
      <w:proofErr w:type="gramStart"/>
      <w:r>
        <w:rPr>
          <w:sz w:val="18"/>
          <w:szCs w:val="18"/>
        </w:rPr>
        <w:t>être</w:t>
      </w:r>
      <w:proofErr w:type="gramEnd"/>
      <w:r>
        <w:rPr>
          <w:sz w:val="18"/>
          <w:szCs w:val="18"/>
        </w:rPr>
        <w:t xml:space="preserve"> explicitement inclusif des personnes handicapées ;</w:t>
      </w:r>
    </w:p>
    <w:p w14:paraId="50B29E9C" w14:textId="77777777" w:rsidR="001D3762" w:rsidRPr="004F45B7" w:rsidRDefault="001D3762" w:rsidP="00E87262">
      <w:pPr>
        <w:pStyle w:val="ListParagraph"/>
        <w:numPr>
          <w:ilvl w:val="0"/>
          <w:numId w:val="4"/>
        </w:numPr>
        <w:spacing w:after="0" w:line="240" w:lineRule="auto"/>
        <w:rPr>
          <w:rFonts w:cstheme="minorHAnsi"/>
          <w:sz w:val="18"/>
          <w:szCs w:val="18"/>
        </w:rPr>
      </w:pPr>
      <w:proofErr w:type="gramStart"/>
      <w:r>
        <w:rPr>
          <w:sz w:val="18"/>
          <w:szCs w:val="18"/>
        </w:rPr>
        <w:t>interdire</w:t>
      </w:r>
      <w:proofErr w:type="gramEnd"/>
      <w:r>
        <w:rPr>
          <w:sz w:val="18"/>
          <w:szCs w:val="18"/>
        </w:rPr>
        <w:t xml:space="preserve"> le traitement non consensuel et le consentement fournis par un tiers ;</w:t>
      </w:r>
    </w:p>
    <w:p w14:paraId="6F7BA29B" w14:textId="77777777" w:rsidR="001D3762" w:rsidRPr="004F45B7" w:rsidRDefault="001D3762" w:rsidP="00E87262">
      <w:pPr>
        <w:pStyle w:val="ListParagraph"/>
        <w:numPr>
          <w:ilvl w:val="0"/>
          <w:numId w:val="4"/>
        </w:numPr>
        <w:spacing w:after="0" w:line="240" w:lineRule="auto"/>
        <w:rPr>
          <w:rFonts w:cstheme="minorHAnsi"/>
          <w:sz w:val="18"/>
          <w:szCs w:val="18"/>
        </w:rPr>
      </w:pPr>
      <w:proofErr w:type="gramStart"/>
      <w:r>
        <w:rPr>
          <w:sz w:val="18"/>
          <w:szCs w:val="18"/>
        </w:rPr>
        <w:t>reconnaître</w:t>
      </w:r>
      <w:proofErr w:type="gramEnd"/>
      <w:r>
        <w:rPr>
          <w:sz w:val="18"/>
          <w:szCs w:val="18"/>
        </w:rPr>
        <w:t xml:space="preserve"> et assurer une aide qui respecte l'autonomie, la volonté et les préférences de l'individu ;</w:t>
      </w:r>
    </w:p>
    <w:p w14:paraId="751A0FA3" w14:textId="77777777" w:rsidR="001D3762" w:rsidRPr="004F45B7" w:rsidRDefault="001D3762" w:rsidP="00E87262">
      <w:pPr>
        <w:pStyle w:val="ListParagraph"/>
        <w:numPr>
          <w:ilvl w:val="0"/>
          <w:numId w:val="4"/>
        </w:numPr>
        <w:spacing w:after="0" w:line="240" w:lineRule="auto"/>
        <w:rPr>
          <w:rFonts w:cstheme="minorHAnsi"/>
          <w:sz w:val="18"/>
          <w:szCs w:val="18"/>
        </w:rPr>
      </w:pPr>
      <w:proofErr w:type="gramStart"/>
      <w:r>
        <w:rPr>
          <w:sz w:val="18"/>
          <w:szCs w:val="18"/>
        </w:rPr>
        <w:t>reconnaître</w:t>
      </w:r>
      <w:proofErr w:type="gramEnd"/>
      <w:r>
        <w:rPr>
          <w:sz w:val="18"/>
          <w:szCs w:val="18"/>
        </w:rPr>
        <w:t xml:space="preserve"> et mettre à disposition des méthodes de communication accessibles et alternatives ;</w:t>
      </w:r>
    </w:p>
    <w:p w14:paraId="03D6DFD2" w14:textId="77777777" w:rsidR="001D3762" w:rsidRPr="00834B87" w:rsidRDefault="001D3762" w:rsidP="00834B87">
      <w:pPr>
        <w:pStyle w:val="ListParagraph"/>
        <w:numPr>
          <w:ilvl w:val="0"/>
          <w:numId w:val="4"/>
        </w:numPr>
        <w:spacing w:after="0" w:line="240" w:lineRule="auto"/>
        <w:ind w:left="714" w:hanging="357"/>
        <w:rPr>
          <w:rFonts w:cstheme="minorHAnsi"/>
          <w:sz w:val="18"/>
          <w:szCs w:val="18"/>
        </w:rPr>
      </w:pPr>
      <w:proofErr w:type="gramStart"/>
      <w:r>
        <w:rPr>
          <w:sz w:val="18"/>
          <w:szCs w:val="18"/>
        </w:rPr>
        <w:t>reconnaître</w:t>
      </w:r>
      <w:proofErr w:type="gramEnd"/>
      <w:r>
        <w:rPr>
          <w:sz w:val="18"/>
          <w:szCs w:val="18"/>
        </w:rPr>
        <w:t xml:space="preserve"> les directives anticipées/instruments de planification soumis à l'exercice de la capacité juridique de l'individu en tout temps.</w:t>
      </w:r>
    </w:p>
    <w:p w14:paraId="65553BA7" w14:textId="3DCD4998" w:rsidR="001D3762" w:rsidRPr="004F45B7" w:rsidRDefault="001D3762" w:rsidP="00C5763B">
      <w:pPr>
        <w:pStyle w:val="ListParagraph"/>
        <w:numPr>
          <w:ilvl w:val="0"/>
          <w:numId w:val="4"/>
        </w:numPr>
        <w:spacing w:after="0" w:line="240" w:lineRule="auto"/>
        <w:ind w:left="714" w:hanging="357"/>
        <w:rPr>
          <w:rFonts w:cstheme="minorHAnsi"/>
          <w:sz w:val="18"/>
          <w:szCs w:val="18"/>
        </w:rPr>
      </w:pPr>
      <w:proofErr w:type="gramStart"/>
      <w:r>
        <w:rPr>
          <w:sz w:val="18"/>
          <w:szCs w:val="18"/>
        </w:rPr>
        <w:t>s'assurer</w:t>
      </w:r>
      <w:proofErr w:type="gramEnd"/>
      <w:r>
        <w:rPr>
          <w:sz w:val="18"/>
          <w:szCs w:val="18"/>
        </w:rPr>
        <w:t xml:space="preserve"> que lorsqu'il n'a pas été possible d'obtenir l'expression de la volonté de la personne, malgré des efforts importants, la meilleure interprétation de la volonté et des préférences déterminera la ligne de conduite et non la norme de « l'intérêt supérieur ». (Voir </w:t>
      </w:r>
      <w:hyperlink r:id="rId2" w:history="1">
        <w:r w:rsidR="00856820" w:rsidRPr="00856820">
          <w:rPr>
            <w:rStyle w:val="Hyperlink"/>
            <w:sz w:val="18"/>
            <w:szCs w:val="18"/>
          </w:rPr>
          <w:t>l’</w:t>
        </w:r>
        <w:r w:rsidRPr="00856820">
          <w:rPr>
            <w:rStyle w:val="Hyperlink"/>
            <w:sz w:val="18"/>
            <w:szCs w:val="18"/>
          </w:rPr>
          <w:t>Observation générale n° 1</w:t>
        </w:r>
      </w:hyperlink>
      <w:r>
        <w:rPr>
          <w:sz w:val="18"/>
          <w:szCs w:val="18"/>
        </w:rPr>
        <w:t xml:space="preserve"> du Comité CDPH sur l'article 12, reconnaissance égale devant la loi).</w:t>
      </w:r>
    </w:p>
  </w:endnote>
  <w:endnote w:id="12">
    <w:p w14:paraId="11DE50A2"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Cela est défini comme la couverture moyenne des services essentiels basée sur des interventions de suivi qui incluent la santé génésique, maternelle, néonatale et infantile, les maladies infectieuses, les maladies non transmissibles et la capacité et l'accès aux services, parmi la population générale et la plus défavorisée.</w:t>
      </w:r>
    </w:p>
  </w:endnote>
  <w:endnote w:id="13">
    <w:p w14:paraId="18C81DF6" w14:textId="77777777" w:rsidR="001D3762" w:rsidRPr="004F45B7" w:rsidRDefault="001D3762" w:rsidP="00E87262">
      <w:pPr>
        <w:pStyle w:val="EndnoteText"/>
        <w:rPr>
          <w:rFonts w:cstheme="minorHAnsi"/>
          <w:sz w:val="18"/>
          <w:szCs w:val="18"/>
        </w:rPr>
      </w:pPr>
      <w:r>
        <w:rPr>
          <w:rStyle w:val="EndnoteReference"/>
          <w:rFonts w:cstheme="minorHAnsi"/>
          <w:sz w:val="18"/>
          <w:szCs w:val="18"/>
        </w:rPr>
        <w:endnoteRef/>
      </w:r>
      <w:r>
        <w:t xml:space="preserve"> </w:t>
      </w:r>
      <w:r>
        <w:rPr>
          <w:sz w:val="18"/>
          <w:szCs w:val="18"/>
        </w:rPr>
        <w:t>Voir les métadonnées sur l'indicateur ODD, où sous ventilation, il indique ; « L'équité est au cœur de la définition de la CSU, et donc l'indice de couverture des services de la CSU devrait être utilisé pour communiquer des informations sur les inégalités de couverture des services au sein des pays. Cela peut être fait en présentant l'indice séparément pour la population nationale vs les populations défavorisées pour mettre en évidence les différences entre elles. »</w:t>
      </w:r>
    </w:p>
  </w:endnote>
  <w:endnote w:id="14">
    <w:p w14:paraId="5032284E" w14:textId="19DEC8F7" w:rsidR="001D3762" w:rsidRPr="00DD35DD" w:rsidRDefault="001D3762" w:rsidP="00C30125">
      <w:pPr>
        <w:pStyle w:val="EndnoteText"/>
        <w:jc w:val="both"/>
        <w:rPr>
          <w:sz w:val="18"/>
          <w:szCs w:val="18"/>
        </w:rPr>
      </w:pPr>
      <w:r>
        <w:rPr>
          <w:rStyle w:val="EndnoteReference"/>
          <w:rFonts w:cstheme="minorHAnsi"/>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3" w:history="1">
        <w:r w:rsidRPr="00856820">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2F410C2F" w14:textId="77777777" w:rsidR="001D3762" w:rsidRPr="00DD35DD" w:rsidRDefault="001D3762" w:rsidP="00C30125">
      <w:pPr>
        <w:pStyle w:val="EndnoteText"/>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D7D245D" w14:textId="77777777" w:rsidR="001D3762" w:rsidRPr="00DD35DD" w:rsidRDefault="001D3762" w:rsidP="00C30125">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74E8F3F3" w14:textId="77777777" w:rsidR="001D3762" w:rsidRPr="00DD35DD" w:rsidRDefault="001D3762" w:rsidP="00C30125">
      <w:pPr>
        <w:pStyle w:val="EndnoteText"/>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27E3AE56" w14:textId="77777777" w:rsidR="001D3762" w:rsidRPr="00DD35DD" w:rsidRDefault="001D3762" w:rsidP="00C30125">
      <w:pPr>
        <w:pStyle w:val="EndnoteText"/>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64A3D2DC" w14:textId="77777777" w:rsidR="001D3762" w:rsidRDefault="001D3762" w:rsidP="00C30125">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7BDD35E8" w14:textId="77777777" w:rsidR="001D3762" w:rsidRPr="00C30125" w:rsidRDefault="001D3762" w:rsidP="00C30125">
      <w:pPr>
        <w:pStyle w:val="EndnoteText"/>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A6FB" w14:textId="77777777" w:rsidR="00A67BAE" w:rsidRDefault="00A67BAE" w:rsidP="006C68B3">
      <w:pPr>
        <w:spacing w:after="0" w:line="240" w:lineRule="auto"/>
      </w:pPr>
      <w:r>
        <w:separator/>
      </w:r>
    </w:p>
  </w:footnote>
  <w:footnote w:type="continuationSeparator" w:id="0">
    <w:p w14:paraId="52C9B6A2" w14:textId="77777777" w:rsidR="00A67BAE" w:rsidRDefault="00A67BAE" w:rsidP="006C6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591"/>
    <w:multiLevelType w:val="hybridMultilevel"/>
    <w:tmpl w:val="2D06B1B8"/>
    <w:lvl w:ilvl="0" w:tplc="1B76CF28">
      <w:start w:val="1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775"/>
    <w:multiLevelType w:val="multilevel"/>
    <w:tmpl w:val="95B83BC8"/>
    <w:lvl w:ilvl="0">
      <w:start w:val="25"/>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E03AB"/>
    <w:multiLevelType w:val="hybridMultilevel"/>
    <w:tmpl w:val="80C694A6"/>
    <w:lvl w:ilvl="0" w:tplc="8E56E31E">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34EB2"/>
    <w:multiLevelType w:val="hybridMultilevel"/>
    <w:tmpl w:val="3EA0071C"/>
    <w:lvl w:ilvl="0" w:tplc="0B16B2F6">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B10F5"/>
    <w:multiLevelType w:val="hybridMultilevel"/>
    <w:tmpl w:val="7F08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86FC9"/>
    <w:multiLevelType w:val="hybridMultilevel"/>
    <w:tmpl w:val="7898C926"/>
    <w:lvl w:ilvl="0" w:tplc="677EB46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F7C43"/>
    <w:multiLevelType w:val="hybridMultilevel"/>
    <w:tmpl w:val="E9E6DE64"/>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70C30"/>
    <w:multiLevelType w:val="hybridMultilevel"/>
    <w:tmpl w:val="587C09D0"/>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E01D76"/>
    <w:multiLevelType w:val="multilevel"/>
    <w:tmpl w:val="CC50B698"/>
    <w:lvl w:ilvl="0">
      <w:start w:val="2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92170"/>
    <w:multiLevelType w:val="hybridMultilevel"/>
    <w:tmpl w:val="11F6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13"/>
  </w:num>
  <w:num w:numId="8">
    <w:abstractNumId w:val="6"/>
  </w:num>
  <w:num w:numId="9">
    <w:abstractNumId w:val="9"/>
  </w:num>
  <w:num w:numId="10">
    <w:abstractNumId w:val="2"/>
  </w:num>
  <w:num w:numId="11">
    <w:abstractNumId w:val="11"/>
  </w:num>
  <w:num w:numId="12">
    <w:abstractNumId w:val="0"/>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0"/>
  <w:activeWritingStyle w:appName="MSWord" w:lang="fr-CH" w:vendorID="64" w:dllVersion="6" w:nlCheck="1" w:checkStyle="0"/>
  <w:activeWritingStyle w:appName="MSWord" w:lang="fr-FR" w:vendorID="64" w:dllVersion="0" w:nlCheck="1" w:checkStyle="0"/>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1F37"/>
    <w:rsid w:val="00020C08"/>
    <w:rsid w:val="0003482B"/>
    <w:rsid w:val="00053F7E"/>
    <w:rsid w:val="00062A7E"/>
    <w:rsid w:val="00063553"/>
    <w:rsid w:val="00076E0E"/>
    <w:rsid w:val="000833A4"/>
    <w:rsid w:val="000B154F"/>
    <w:rsid w:val="000B21D7"/>
    <w:rsid w:val="000C1B34"/>
    <w:rsid w:val="000C2ACA"/>
    <w:rsid w:val="000E0AB7"/>
    <w:rsid w:val="000F124D"/>
    <w:rsid w:val="00137DC5"/>
    <w:rsid w:val="00140F9B"/>
    <w:rsid w:val="0015545C"/>
    <w:rsid w:val="00155867"/>
    <w:rsid w:val="001619BF"/>
    <w:rsid w:val="00163A96"/>
    <w:rsid w:val="001712D4"/>
    <w:rsid w:val="00175A6E"/>
    <w:rsid w:val="001779B8"/>
    <w:rsid w:val="00184B6C"/>
    <w:rsid w:val="00194498"/>
    <w:rsid w:val="001A348D"/>
    <w:rsid w:val="001C046D"/>
    <w:rsid w:val="001C2A75"/>
    <w:rsid w:val="001D3762"/>
    <w:rsid w:val="001F007F"/>
    <w:rsid w:val="001F0196"/>
    <w:rsid w:val="001F3785"/>
    <w:rsid w:val="00200E47"/>
    <w:rsid w:val="0020177E"/>
    <w:rsid w:val="00210F19"/>
    <w:rsid w:val="00232BC5"/>
    <w:rsid w:val="002364CD"/>
    <w:rsid w:val="0025740C"/>
    <w:rsid w:val="00267120"/>
    <w:rsid w:val="002677DB"/>
    <w:rsid w:val="00287523"/>
    <w:rsid w:val="002B2C17"/>
    <w:rsid w:val="002C6CA2"/>
    <w:rsid w:val="002F4D2B"/>
    <w:rsid w:val="0030588D"/>
    <w:rsid w:val="00320E7F"/>
    <w:rsid w:val="00321A10"/>
    <w:rsid w:val="00322D09"/>
    <w:rsid w:val="00324221"/>
    <w:rsid w:val="003304B7"/>
    <w:rsid w:val="0033675C"/>
    <w:rsid w:val="00361FBD"/>
    <w:rsid w:val="00362BE9"/>
    <w:rsid w:val="003665DD"/>
    <w:rsid w:val="003759C9"/>
    <w:rsid w:val="00376A5B"/>
    <w:rsid w:val="00384639"/>
    <w:rsid w:val="00393AB9"/>
    <w:rsid w:val="003963B0"/>
    <w:rsid w:val="003A3D3E"/>
    <w:rsid w:val="003A4BE4"/>
    <w:rsid w:val="003A6452"/>
    <w:rsid w:val="003B1FB1"/>
    <w:rsid w:val="003B6E8C"/>
    <w:rsid w:val="003C3331"/>
    <w:rsid w:val="003D4A98"/>
    <w:rsid w:val="003E3A8C"/>
    <w:rsid w:val="00412C84"/>
    <w:rsid w:val="00415567"/>
    <w:rsid w:val="00427BC1"/>
    <w:rsid w:val="00463DC4"/>
    <w:rsid w:val="004656EF"/>
    <w:rsid w:val="00482339"/>
    <w:rsid w:val="00484C7A"/>
    <w:rsid w:val="004850E8"/>
    <w:rsid w:val="00487EC7"/>
    <w:rsid w:val="00490796"/>
    <w:rsid w:val="004974DF"/>
    <w:rsid w:val="004B1CDF"/>
    <w:rsid w:val="004B7AAA"/>
    <w:rsid w:val="004B7D89"/>
    <w:rsid w:val="004E326A"/>
    <w:rsid w:val="004F14D7"/>
    <w:rsid w:val="004F45B7"/>
    <w:rsid w:val="004F6353"/>
    <w:rsid w:val="004F771C"/>
    <w:rsid w:val="0051326C"/>
    <w:rsid w:val="00522024"/>
    <w:rsid w:val="005335F0"/>
    <w:rsid w:val="0055748C"/>
    <w:rsid w:val="00560508"/>
    <w:rsid w:val="0056270E"/>
    <w:rsid w:val="005761D6"/>
    <w:rsid w:val="00595CE4"/>
    <w:rsid w:val="005A7F3A"/>
    <w:rsid w:val="005D1CC0"/>
    <w:rsid w:val="005D69A7"/>
    <w:rsid w:val="005E1F98"/>
    <w:rsid w:val="005E36B8"/>
    <w:rsid w:val="0060062B"/>
    <w:rsid w:val="00601E75"/>
    <w:rsid w:val="006218AE"/>
    <w:rsid w:val="00626BB7"/>
    <w:rsid w:val="00645E40"/>
    <w:rsid w:val="00647F04"/>
    <w:rsid w:val="00650713"/>
    <w:rsid w:val="0065360C"/>
    <w:rsid w:val="00656EFB"/>
    <w:rsid w:val="00661855"/>
    <w:rsid w:val="006634DF"/>
    <w:rsid w:val="00664CB7"/>
    <w:rsid w:val="0069647D"/>
    <w:rsid w:val="006A00FC"/>
    <w:rsid w:val="006A1B4F"/>
    <w:rsid w:val="006A2869"/>
    <w:rsid w:val="006B5CDD"/>
    <w:rsid w:val="006B668E"/>
    <w:rsid w:val="006C1278"/>
    <w:rsid w:val="006C3934"/>
    <w:rsid w:val="006C68B3"/>
    <w:rsid w:val="006D1454"/>
    <w:rsid w:val="006D7651"/>
    <w:rsid w:val="00726FF3"/>
    <w:rsid w:val="007411C7"/>
    <w:rsid w:val="00761878"/>
    <w:rsid w:val="007821F0"/>
    <w:rsid w:val="00786018"/>
    <w:rsid w:val="007A1118"/>
    <w:rsid w:val="007B7BAE"/>
    <w:rsid w:val="007C3C59"/>
    <w:rsid w:val="007F617C"/>
    <w:rsid w:val="00805A58"/>
    <w:rsid w:val="00810B8E"/>
    <w:rsid w:val="0082338D"/>
    <w:rsid w:val="008329B2"/>
    <w:rsid w:val="00833CED"/>
    <w:rsid w:val="00834B87"/>
    <w:rsid w:val="008411A4"/>
    <w:rsid w:val="0084351D"/>
    <w:rsid w:val="00856820"/>
    <w:rsid w:val="0087251E"/>
    <w:rsid w:val="00885AD3"/>
    <w:rsid w:val="00890D18"/>
    <w:rsid w:val="00891815"/>
    <w:rsid w:val="008B3E0E"/>
    <w:rsid w:val="008B5045"/>
    <w:rsid w:val="008B73DF"/>
    <w:rsid w:val="008C3BBF"/>
    <w:rsid w:val="008E69B0"/>
    <w:rsid w:val="008F13BB"/>
    <w:rsid w:val="008F2775"/>
    <w:rsid w:val="00912A32"/>
    <w:rsid w:val="009164E9"/>
    <w:rsid w:val="00916863"/>
    <w:rsid w:val="00922415"/>
    <w:rsid w:val="00924217"/>
    <w:rsid w:val="00925CF3"/>
    <w:rsid w:val="009463DD"/>
    <w:rsid w:val="0094757F"/>
    <w:rsid w:val="009502B5"/>
    <w:rsid w:val="00963271"/>
    <w:rsid w:val="009770C9"/>
    <w:rsid w:val="009A66A9"/>
    <w:rsid w:val="009B6586"/>
    <w:rsid w:val="009C0922"/>
    <w:rsid w:val="009D5C76"/>
    <w:rsid w:val="009E2DC2"/>
    <w:rsid w:val="009F4431"/>
    <w:rsid w:val="009F6E73"/>
    <w:rsid w:val="009F74BF"/>
    <w:rsid w:val="00A31E24"/>
    <w:rsid w:val="00A5287C"/>
    <w:rsid w:val="00A67BAE"/>
    <w:rsid w:val="00A8667D"/>
    <w:rsid w:val="00A96D2B"/>
    <w:rsid w:val="00A976AD"/>
    <w:rsid w:val="00AB2681"/>
    <w:rsid w:val="00AC58C8"/>
    <w:rsid w:val="00AD73CE"/>
    <w:rsid w:val="00AE06BE"/>
    <w:rsid w:val="00AE61FE"/>
    <w:rsid w:val="00AF7B0E"/>
    <w:rsid w:val="00B04820"/>
    <w:rsid w:val="00B16DB1"/>
    <w:rsid w:val="00B3087B"/>
    <w:rsid w:val="00B361EB"/>
    <w:rsid w:val="00B545A4"/>
    <w:rsid w:val="00B71350"/>
    <w:rsid w:val="00B86EE3"/>
    <w:rsid w:val="00BA2C54"/>
    <w:rsid w:val="00BA4CA9"/>
    <w:rsid w:val="00BB24BD"/>
    <w:rsid w:val="00BC1B5A"/>
    <w:rsid w:val="00BC2634"/>
    <w:rsid w:val="00BD36B5"/>
    <w:rsid w:val="00BD40BE"/>
    <w:rsid w:val="00BD4FCB"/>
    <w:rsid w:val="00BE3277"/>
    <w:rsid w:val="00BF03F2"/>
    <w:rsid w:val="00BF1D9C"/>
    <w:rsid w:val="00C04DAA"/>
    <w:rsid w:val="00C054DB"/>
    <w:rsid w:val="00C11FD7"/>
    <w:rsid w:val="00C130AE"/>
    <w:rsid w:val="00C138B9"/>
    <w:rsid w:val="00C24029"/>
    <w:rsid w:val="00C30125"/>
    <w:rsid w:val="00C3076D"/>
    <w:rsid w:val="00C35D0C"/>
    <w:rsid w:val="00C45A8F"/>
    <w:rsid w:val="00C52283"/>
    <w:rsid w:val="00C57475"/>
    <w:rsid w:val="00C5763B"/>
    <w:rsid w:val="00C81439"/>
    <w:rsid w:val="00C81D3F"/>
    <w:rsid w:val="00C82085"/>
    <w:rsid w:val="00C85696"/>
    <w:rsid w:val="00CA0DBB"/>
    <w:rsid w:val="00CA54CC"/>
    <w:rsid w:val="00CD27F8"/>
    <w:rsid w:val="00CD384B"/>
    <w:rsid w:val="00CF40E6"/>
    <w:rsid w:val="00D02798"/>
    <w:rsid w:val="00D32011"/>
    <w:rsid w:val="00D34D57"/>
    <w:rsid w:val="00D46E60"/>
    <w:rsid w:val="00D5700F"/>
    <w:rsid w:val="00D83F05"/>
    <w:rsid w:val="00D908BB"/>
    <w:rsid w:val="00D91155"/>
    <w:rsid w:val="00D91B7C"/>
    <w:rsid w:val="00DB0645"/>
    <w:rsid w:val="00DF08B8"/>
    <w:rsid w:val="00DF3712"/>
    <w:rsid w:val="00DF7BDB"/>
    <w:rsid w:val="00E0772E"/>
    <w:rsid w:val="00E20B10"/>
    <w:rsid w:val="00E24F1C"/>
    <w:rsid w:val="00E25706"/>
    <w:rsid w:val="00E30F17"/>
    <w:rsid w:val="00E42357"/>
    <w:rsid w:val="00E434D8"/>
    <w:rsid w:val="00E56E89"/>
    <w:rsid w:val="00E635BB"/>
    <w:rsid w:val="00E72B46"/>
    <w:rsid w:val="00E87262"/>
    <w:rsid w:val="00E900DF"/>
    <w:rsid w:val="00EB2E1E"/>
    <w:rsid w:val="00EB6526"/>
    <w:rsid w:val="00EC0879"/>
    <w:rsid w:val="00ED15CC"/>
    <w:rsid w:val="00ED349D"/>
    <w:rsid w:val="00ED4516"/>
    <w:rsid w:val="00EE61CF"/>
    <w:rsid w:val="00F054F7"/>
    <w:rsid w:val="00F07D78"/>
    <w:rsid w:val="00F228F8"/>
    <w:rsid w:val="00F357AE"/>
    <w:rsid w:val="00F5597C"/>
    <w:rsid w:val="00F63625"/>
    <w:rsid w:val="00F77534"/>
    <w:rsid w:val="00F81046"/>
    <w:rsid w:val="00F9082D"/>
    <w:rsid w:val="00F951E1"/>
    <w:rsid w:val="00F95ED5"/>
    <w:rsid w:val="00F96ADD"/>
    <w:rsid w:val="00FA3963"/>
    <w:rsid w:val="00FA417A"/>
    <w:rsid w:val="00FC1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67D31B"/>
  <w14:defaultImageDpi w14:val="32767"/>
  <w15:docId w15:val="{600ED0C2-3C8A-4FA6-8B95-E424D99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1C"/>
    <w:rPr>
      <w:rFonts w:ascii="Segoe UI" w:hAnsi="Segoe UI" w:cs="Segoe UI"/>
      <w:sz w:val="18"/>
      <w:szCs w:val="18"/>
      <w:lang w:val="fr-FR"/>
    </w:rPr>
  </w:style>
  <w:style w:type="character" w:styleId="CommentReference">
    <w:name w:val="annotation reference"/>
    <w:basedOn w:val="DefaultParagraphFont"/>
    <w:uiPriority w:val="99"/>
    <w:semiHidden/>
    <w:unhideWhenUsed/>
    <w:rsid w:val="004974DF"/>
    <w:rPr>
      <w:sz w:val="16"/>
      <w:szCs w:val="16"/>
    </w:rPr>
  </w:style>
  <w:style w:type="paragraph" w:styleId="CommentText">
    <w:name w:val="annotation text"/>
    <w:basedOn w:val="Normal"/>
    <w:link w:val="CommentTextChar"/>
    <w:uiPriority w:val="99"/>
    <w:unhideWhenUsed/>
    <w:rsid w:val="004974DF"/>
    <w:pPr>
      <w:spacing w:line="240" w:lineRule="auto"/>
    </w:pPr>
    <w:rPr>
      <w:sz w:val="20"/>
      <w:szCs w:val="20"/>
    </w:rPr>
  </w:style>
  <w:style w:type="character" w:customStyle="1" w:styleId="CommentTextChar">
    <w:name w:val="Comment Text Char"/>
    <w:basedOn w:val="DefaultParagraphFont"/>
    <w:link w:val="CommentText"/>
    <w:uiPriority w:val="99"/>
    <w:rsid w:val="004974DF"/>
    <w:rPr>
      <w:sz w:val="20"/>
      <w:szCs w:val="20"/>
      <w:lang w:val="fr-FR"/>
    </w:rPr>
  </w:style>
  <w:style w:type="paragraph" w:styleId="CommentSubject">
    <w:name w:val="annotation subject"/>
    <w:basedOn w:val="CommentText"/>
    <w:next w:val="CommentText"/>
    <w:link w:val="CommentSubjectChar"/>
    <w:uiPriority w:val="99"/>
    <w:semiHidden/>
    <w:unhideWhenUsed/>
    <w:rsid w:val="004974DF"/>
    <w:rPr>
      <w:b/>
      <w:bCs/>
    </w:rPr>
  </w:style>
  <w:style w:type="character" w:customStyle="1" w:styleId="CommentSubjectChar">
    <w:name w:val="Comment Subject Char"/>
    <w:basedOn w:val="CommentTextChar"/>
    <w:link w:val="CommentSubject"/>
    <w:uiPriority w:val="99"/>
    <w:semiHidden/>
    <w:rsid w:val="004974DF"/>
    <w:rPr>
      <w:b/>
      <w:bCs/>
      <w:sz w:val="20"/>
      <w:szCs w:val="20"/>
      <w:lang w:val="fr-FR"/>
    </w:rPr>
  </w:style>
  <w:style w:type="paragraph" w:styleId="NormalWeb">
    <w:name w:val="Normal (Web)"/>
    <w:basedOn w:val="Normal"/>
    <w:uiPriority w:val="99"/>
    <w:semiHidden/>
    <w:unhideWhenUsed/>
    <w:rsid w:val="00063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unhideWhenUsed/>
    <w:rsid w:val="006C68B3"/>
    <w:pPr>
      <w:spacing w:after="0" w:line="240" w:lineRule="auto"/>
    </w:pPr>
    <w:rPr>
      <w:sz w:val="20"/>
      <w:szCs w:val="20"/>
    </w:rPr>
  </w:style>
  <w:style w:type="character" w:customStyle="1" w:styleId="EndnoteTextChar">
    <w:name w:val="Endnote Text Char"/>
    <w:basedOn w:val="DefaultParagraphFont"/>
    <w:link w:val="EndnoteText"/>
    <w:uiPriority w:val="99"/>
    <w:rsid w:val="006C68B3"/>
    <w:rPr>
      <w:sz w:val="20"/>
      <w:szCs w:val="20"/>
      <w:lang w:val="fr-FR"/>
    </w:rPr>
  </w:style>
  <w:style w:type="character" w:styleId="EndnoteReference">
    <w:name w:val="endnote reference"/>
    <w:basedOn w:val="DefaultParagraphFont"/>
    <w:uiPriority w:val="99"/>
    <w:unhideWhenUsed/>
    <w:rsid w:val="006C68B3"/>
    <w:rPr>
      <w:vertAlign w:val="superscript"/>
    </w:rPr>
  </w:style>
  <w:style w:type="character" w:styleId="Hyperlink">
    <w:name w:val="Hyperlink"/>
    <w:basedOn w:val="DefaultParagraphFont"/>
    <w:uiPriority w:val="99"/>
    <w:unhideWhenUsed/>
    <w:rsid w:val="008B5045"/>
    <w:rPr>
      <w:color w:val="0563C1" w:themeColor="hyperlink"/>
      <w:u w:val="single"/>
    </w:rPr>
  </w:style>
  <w:style w:type="paragraph" w:styleId="Revision">
    <w:name w:val="Revision"/>
    <w:hidden/>
    <w:uiPriority w:val="99"/>
    <w:semiHidden/>
    <w:rsid w:val="006218AE"/>
    <w:rPr>
      <w:sz w:val="22"/>
      <w:szCs w:val="22"/>
    </w:rPr>
  </w:style>
  <w:style w:type="paragraph" w:customStyle="1" w:styleId="Default">
    <w:name w:val="Default"/>
    <w:rsid w:val="006D7651"/>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522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6789">
      <w:bodyDiv w:val="1"/>
      <w:marLeft w:val="0"/>
      <w:marRight w:val="0"/>
      <w:marTop w:val="0"/>
      <w:marBottom w:val="0"/>
      <w:divBdr>
        <w:top w:val="none" w:sz="0" w:space="0" w:color="auto"/>
        <w:left w:val="none" w:sz="0" w:space="0" w:color="auto"/>
        <w:bottom w:val="none" w:sz="0" w:space="0" w:color="auto"/>
        <w:right w:val="none" w:sz="0" w:space="0" w:color="auto"/>
      </w:divBdr>
      <w:divsChild>
        <w:div w:id="1687172028">
          <w:marLeft w:val="0"/>
          <w:marRight w:val="0"/>
          <w:marTop w:val="0"/>
          <w:marBottom w:val="0"/>
          <w:divBdr>
            <w:top w:val="none" w:sz="0" w:space="0" w:color="auto"/>
            <w:left w:val="none" w:sz="0" w:space="0" w:color="auto"/>
            <w:bottom w:val="none" w:sz="0" w:space="0" w:color="auto"/>
            <w:right w:val="none" w:sz="0" w:space="0" w:color="auto"/>
          </w:divBdr>
        </w:div>
        <w:div w:id="1278876484">
          <w:marLeft w:val="0"/>
          <w:marRight w:val="0"/>
          <w:marTop w:val="0"/>
          <w:marBottom w:val="0"/>
          <w:divBdr>
            <w:top w:val="none" w:sz="0" w:space="0" w:color="auto"/>
            <w:left w:val="none" w:sz="0" w:space="0" w:color="auto"/>
            <w:bottom w:val="none" w:sz="0" w:space="0" w:color="auto"/>
            <w:right w:val="none" w:sz="0" w:space="0" w:color="auto"/>
          </w:divBdr>
        </w:div>
        <w:div w:id="2131168978">
          <w:marLeft w:val="0"/>
          <w:marRight w:val="0"/>
          <w:marTop w:val="0"/>
          <w:marBottom w:val="0"/>
          <w:divBdr>
            <w:top w:val="none" w:sz="0" w:space="0" w:color="auto"/>
            <w:left w:val="none" w:sz="0" w:space="0" w:color="auto"/>
            <w:bottom w:val="none" w:sz="0" w:space="0" w:color="auto"/>
            <w:right w:val="none" w:sz="0" w:space="0" w:color="auto"/>
          </w:divBdr>
        </w:div>
      </w:divsChild>
    </w:div>
    <w:div w:id="296037392">
      <w:bodyDiv w:val="1"/>
      <w:marLeft w:val="0"/>
      <w:marRight w:val="0"/>
      <w:marTop w:val="0"/>
      <w:marBottom w:val="0"/>
      <w:divBdr>
        <w:top w:val="none" w:sz="0" w:space="0" w:color="auto"/>
        <w:left w:val="none" w:sz="0" w:space="0" w:color="auto"/>
        <w:bottom w:val="none" w:sz="0" w:space="0" w:color="auto"/>
        <w:right w:val="none" w:sz="0" w:space="0" w:color="auto"/>
      </w:divBdr>
      <w:divsChild>
        <w:div w:id="1459686492">
          <w:marLeft w:val="0"/>
          <w:marRight w:val="0"/>
          <w:marTop w:val="0"/>
          <w:marBottom w:val="0"/>
          <w:divBdr>
            <w:top w:val="none" w:sz="0" w:space="0" w:color="auto"/>
            <w:left w:val="none" w:sz="0" w:space="0" w:color="auto"/>
            <w:bottom w:val="none" w:sz="0" w:space="0" w:color="auto"/>
            <w:right w:val="none" w:sz="0" w:space="0" w:color="auto"/>
          </w:divBdr>
        </w:div>
        <w:div w:id="542451115">
          <w:marLeft w:val="0"/>
          <w:marRight w:val="0"/>
          <w:marTop w:val="0"/>
          <w:marBottom w:val="0"/>
          <w:divBdr>
            <w:top w:val="none" w:sz="0" w:space="0" w:color="auto"/>
            <w:left w:val="none" w:sz="0" w:space="0" w:color="auto"/>
            <w:bottom w:val="none" w:sz="0" w:space="0" w:color="auto"/>
            <w:right w:val="none" w:sz="0" w:space="0" w:color="auto"/>
          </w:divBdr>
        </w:div>
        <w:div w:id="528445422">
          <w:marLeft w:val="0"/>
          <w:marRight w:val="0"/>
          <w:marTop w:val="0"/>
          <w:marBottom w:val="0"/>
          <w:divBdr>
            <w:top w:val="none" w:sz="0" w:space="0" w:color="auto"/>
            <w:left w:val="none" w:sz="0" w:space="0" w:color="auto"/>
            <w:bottom w:val="none" w:sz="0" w:space="0" w:color="auto"/>
            <w:right w:val="none" w:sz="0" w:space="0" w:color="auto"/>
          </w:divBdr>
        </w:div>
        <w:div w:id="671416550">
          <w:marLeft w:val="0"/>
          <w:marRight w:val="0"/>
          <w:marTop w:val="0"/>
          <w:marBottom w:val="0"/>
          <w:divBdr>
            <w:top w:val="none" w:sz="0" w:space="0" w:color="auto"/>
            <w:left w:val="none" w:sz="0" w:space="0" w:color="auto"/>
            <w:bottom w:val="none" w:sz="0" w:space="0" w:color="auto"/>
            <w:right w:val="none" w:sz="0" w:space="0" w:color="auto"/>
          </w:divBdr>
        </w:div>
        <w:div w:id="1935671550">
          <w:marLeft w:val="0"/>
          <w:marRight w:val="0"/>
          <w:marTop w:val="0"/>
          <w:marBottom w:val="0"/>
          <w:divBdr>
            <w:top w:val="none" w:sz="0" w:space="0" w:color="auto"/>
            <w:left w:val="none" w:sz="0" w:space="0" w:color="auto"/>
            <w:bottom w:val="none" w:sz="0" w:space="0" w:color="auto"/>
            <w:right w:val="none" w:sz="0" w:space="0" w:color="auto"/>
          </w:divBdr>
        </w:div>
        <w:div w:id="641889183">
          <w:marLeft w:val="0"/>
          <w:marRight w:val="0"/>
          <w:marTop w:val="0"/>
          <w:marBottom w:val="0"/>
          <w:divBdr>
            <w:top w:val="none" w:sz="0" w:space="0" w:color="auto"/>
            <w:left w:val="none" w:sz="0" w:space="0" w:color="auto"/>
            <w:bottom w:val="none" w:sz="0" w:space="0" w:color="auto"/>
            <w:right w:val="none" w:sz="0" w:space="0" w:color="auto"/>
          </w:divBdr>
        </w:div>
        <w:div w:id="1219702034">
          <w:marLeft w:val="0"/>
          <w:marRight w:val="0"/>
          <w:marTop w:val="0"/>
          <w:marBottom w:val="0"/>
          <w:divBdr>
            <w:top w:val="none" w:sz="0" w:space="0" w:color="auto"/>
            <w:left w:val="none" w:sz="0" w:space="0" w:color="auto"/>
            <w:bottom w:val="none" w:sz="0" w:space="0" w:color="auto"/>
            <w:right w:val="none" w:sz="0" w:space="0" w:color="auto"/>
          </w:divBdr>
        </w:div>
      </w:divsChild>
    </w:div>
    <w:div w:id="341055496">
      <w:bodyDiv w:val="1"/>
      <w:marLeft w:val="0"/>
      <w:marRight w:val="0"/>
      <w:marTop w:val="0"/>
      <w:marBottom w:val="0"/>
      <w:divBdr>
        <w:top w:val="none" w:sz="0" w:space="0" w:color="auto"/>
        <w:left w:val="none" w:sz="0" w:space="0" w:color="auto"/>
        <w:bottom w:val="none" w:sz="0" w:space="0" w:color="auto"/>
        <w:right w:val="none" w:sz="0" w:space="0" w:color="auto"/>
      </w:divBdr>
    </w:div>
    <w:div w:id="410860030">
      <w:bodyDiv w:val="1"/>
      <w:marLeft w:val="0"/>
      <w:marRight w:val="0"/>
      <w:marTop w:val="0"/>
      <w:marBottom w:val="0"/>
      <w:divBdr>
        <w:top w:val="none" w:sz="0" w:space="0" w:color="auto"/>
        <w:left w:val="none" w:sz="0" w:space="0" w:color="auto"/>
        <w:bottom w:val="none" w:sz="0" w:space="0" w:color="auto"/>
        <w:right w:val="none" w:sz="0" w:space="0" w:color="auto"/>
      </w:divBdr>
      <w:divsChild>
        <w:div w:id="1500995668">
          <w:marLeft w:val="0"/>
          <w:marRight w:val="0"/>
          <w:marTop w:val="0"/>
          <w:marBottom w:val="30"/>
          <w:divBdr>
            <w:top w:val="none" w:sz="0" w:space="0" w:color="auto"/>
            <w:left w:val="none" w:sz="0" w:space="0" w:color="auto"/>
            <w:bottom w:val="none" w:sz="0" w:space="0" w:color="auto"/>
            <w:right w:val="none" w:sz="0" w:space="0" w:color="auto"/>
          </w:divBdr>
          <w:divsChild>
            <w:div w:id="648247335">
              <w:marLeft w:val="0"/>
              <w:marRight w:val="360"/>
              <w:marTop w:val="0"/>
              <w:marBottom w:val="0"/>
              <w:divBdr>
                <w:top w:val="none" w:sz="0" w:space="0" w:color="auto"/>
                <w:left w:val="none" w:sz="0" w:space="0" w:color="auto"/>
                <w:bottom w:val="none" w:sz="0" w:space="0" w:color="auto"/>
                <w:right w:val="none" w:sz="0" w:space="0" w:color="auto"/>
              </w:divBdr>
              <w:divsChild>
                <w:div w:id="863709908">
                  <w:marLeft w:val="0"/>
                  <w:marRight w:val="0"/>
                  <w:marTop w:val="0"/>
                  <w:marBottom w:val="0"/>
                  <w:divBdr>
                    <w:top w:val="none" w:sz="0" w:space="0" w:color="auto"/>
                    <w:left w:val="none" w:sz="0" w:space="0" w:color="auto"/>
                    <w:bottom w:val="none" w:sz="0" w:space="0" w:color="auto"/>
                    <w:right w:val="none" w:sz="0" w:space="0" w:color="auto"/>
                  </w:divBdr>
                </w:div>
              </w:divsChild>
            </w:div>
            <w:div w:id="782652232">
              <w:marLeft w:val="0"/>
              <w:marRight w:val="150"/>
              <w:marTop w:val="0"/>
              <w:marBottom w:val="0"/>
              <w:divBdr>
                <w:top w:val="none" w:sz="0" w:space="0" w:color="auto"/>
                <w:left w:val="none" w:sz="0" w:space="0" w:color="auto"/>
                <w:bottom w:val="none" w:sz="0" w:space="0" w:color="auto"/>
                <w:right w:val="none" w:sz="0" w:space="0" w:color="auto"/>
              </w:divBdr>
            </w:div>
            <w:div w:id="1355419291">
              <w:marLeft w:val="0"/>
              <w:marRight w:val="0"/>
              <w:marTop w:val="0"/>
              <w:marBottom w:val="0"/>
              <w:divBdr>
                <w:top w:val="none" w:sz="0" w:space="0" w:color="auto"/>
                <w:left w:val="none" w:sz="0" w:space="0" w:color="auto"/>
                <w:bottom w:val="none" w:sz="0" w:space="0" w:color="auto"/>
                <w:right w:val="none" w:sz="0" w:space="0" w:color="auto"/>
              </w:divBdr>
              <w:divsChild>
                <w:div w:id="308175950">
                  <w:marLeft w:val="0"/>
                  <w:marRight w:val="0"/>
                  <w:marTop w:val="0"/>
                  <w:marBottom w:val="0"/>
                  <w:divBdr>
                    <w:top w:val="none" w:sz="0" w:space="0" w:color="auto"/>
                    <w:left w:val="none" w:sz="0" w:space="0" w:color="auto"/>
                    <w:bottom w:val="dotted" w:sz="6" w:space="2" w:color="CCCCCC"/>
                    <w:right w:val="none" w:sz="0" w:space="0" w:color="auto"/>
                  </w:divBdr>
                  <w:divsChild>
                    <w:div w:id="236088862">
                      <w:marLeft w:val="0"/>
                      <w:marRight w:val="0"/>
                      <w:marTop w:val="0"/>
                      <w:marBottom w:val="0"/>
                      <w:divBdr>
                        <w:top w:val="none" w:sz="0" w:space="0" w:color="auto"/>
                        <w:left w:val="none" w:sz="0" w:space="0" w:color="auto"/>
                        <w:bottom w:val="none" w:sz="0" w:space="0" w:color="auto"/>
                        <w:right w:val="none" w:sz="0" w:space="0" w:color="auto"/>
                      </w:divBdr>
                    </w:div>
                    <w:div w:id="2007172924">
                      <w:marLeft w:val="0"/>
                      <w:marRight w:val="150"/>
                      <w:marTop w:val="0"/>
                      <w:marBottom w:val="0"/>
                      <w:divBdr>
                        <w:top w:val="none" w:sz="0" w:space="0" w:color="auto"/>
                        <w:left w:val="none" w:sz="0" w:space="0" w:color="auto"/>
                        <w:bottom w:val="none" w:sz="0" w:space="0" w:color="auto"/>
                        <w:right w:val="none" w:sz="0" w:space="0" w:color="auto"/>
                      </w:divBdr>
                      <w:divsChild>
                        <w:div w:id="4038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9321">
                  <w:marLeft w:val="0"/>
                  <w:marRight w:val="0"/>
                  <w:marTop w:val="0"/>
                  <w:marBottom w:val="0"/>
                  <w:divBdr>
                    <w:top w:val="none" w:sz="0" w:space="0" w:color="auto"/>
                    <w:left w:val="none" w:sz="0" w:space="0" w:color="auto"/>
                    <w:bottom w:val="dotted" w:sz="6" w:space="2" w:color="CCCCCC"/>
                    <w:right w:val="none" w:sz="0" w:space="0" w:color="auto"/>
                  </w:divBdr>
                  <w:divsChild>
                    <w:div w:id="708578262">
                      <w:marLeft w:val="0"/>
                      <w:marRight w:val="0"/>
                      <w:marTop w:val="0"/>
                      <w:marBottom w:val="0"/>
                      <w:divBdr>
                        <w:top w:val="none" w:sz="0" w:space="0" w:color="auto"/>
                        <w:left w:val="none" w:sz="0" w:space="0" w:color="auto"/>
                        <w:bottom w:val="none" w:sz="0" w:space="0" w:color="auto"/>
                        <w:right w:val="none" w:sz="0" w:space="0" w:color="auto"/>
                      </w:divBdr>
                    </w:div>
                    <w:div w:id="2020236716">
                      <w:marLeft w:val="0"/>
                      <w:marRight w:val="150"/>
                      <w:marTop w:val="0"/>
                      <w:marBottom w:val="0"/>
                      <w:divBdr>
                        <w:top w:val="none" w:sz="0" w:space="0" w:color="auto"/>
                        <w:left w:val="none" w:sz="0" w:space="0" w:color="auto"/>
                        <w:bottom w:val="none" w:sz="0" w:space="0" w:color="auto"/>
                        <w:right w:val="none" w:sz="0" w:space="0" w:color="auto"/>
                      </w:divBdr>
                      <w:divsChild>
                        <w:div w:id="9272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369667">
      <w:bodyDiv w:val="1"/>
      <w:marLeft w:val="0"/>
      <w:marRight w:val="0"/>
      <w:marTop w:val="0"/>
      <w:marBottom w:val="0"/>
      <w:divBdr>
        <w:top w:val="none" w:sz="0" w:space="0" w:color="auto"/>
        <w:left w:val="none" w:sz="0" w:space="0" w:color="auto"/>
        <w:bottom w:val="none" w:sz="0" w:space="0" w:color="auto"/>
        <w:right w:val="none" w:sz="0" w:space="0" w:color="auto"/>
      </w:divBdr>
      <w:divsChild>
        <w:div w:id="537161547">
          <w:marLeft w:val="0"/>
          <w:marRight w:val="0"/>
          <w:marTop w:val="0"/>
          <w:marBottom w:val="0"/>
          <w:divBdr>
            <w:top w:val="none" w:sz="0" w:space="0" w:color="auto"/>
            <w:left w:val="none" w:sz="0" w:space="0" w:color="auto"/>
            <w:bottom w:val="dotted" w:sz="6" w:space="2" w:color="CCCCCC"/>
            <w:right w:val="none" w:sz="0" w:space="0" w:color="auto"/>
          </w:divBdr>
          <w:divsChild>
            <w:div w:id="1533300662">
              <w:marLeft w:val="0"/>
              <w:marRight w:val="0"/>
              <w:marTop w:val="0"/>
              <w:marBottom w:val="0"/>
              <w:divBdr>
                <w:top w:val="none" w:sz="0" w:space="0" w:color="auto"/>
                <w:left w:val="none" w:sz="0" w:space="0" w:color="auto"/>
                <w:bottom w:val="none" w:sz="0" w:space="0" w:color="auto"/>
                <w:right w:val="none" w:sz="0" w:space="0" w:color="auto"/>
              </w:divBdr>
            </w:div>
          </w:divsChild>
        </w:div>
        <w:div w:id="1160077836">
          <w:marLeft w:val="0"/>
          <w:marRight w:val="0"/>
          <w:marTop w:val="0"/>
          <w:marBottom w:val="0"/>
          <w:divBdr>
            <w:top w:val="none" w:sz="0" w:space="0" w:color="auto"/>
            <w:left w:val="none" w:sz="0" w:space="0" w:color="auto"/>
            <w:bottom w:val="dotted" w:sz="6" w:space="2" w:color="CCCCCC"/>
            <w:right w:val="none" w:sz="0" w:space="0" w:color="auto"/>
          </w:divBdr>
          <w:divsChild>
            <w:div w:id="226380341">
              <w:marLeft w:val="0"/>
              <w:marRight w:val="150"/>
              <w:marTop w:val="0"/>
              <w:marBottom w:val="0"/>
              <w:divBdr>
                <w:top w:val="none" w:sz="0" w:space="0" w:color="auto"/>
                <w:left w:val="none" w:sz="0" w:space="0" w:color="auto"/>
                <w:bottom w:val="none" w:sz="0" w:space="0" w:color="auto"/>
                <w:right w:val="none" w:sz="0" w:space="0" w:color="auto"/>
              </w:divBdr>
              <w:divsChild>
                <w:div w:id="703096779">
                  <w:marLeft w:val="0"/>
                  <w:marRight w:val="0"/>
                  <w:marTop w:val="0"/>
                  <w:marBottom w:val="0"/>
                  <w:divBdr>
                    <w:top w:val="none" w:sz="0" w:space="0" w:color="auto"/>
                    <w:left w:val="none" w:sz="0" w:space="0" w:color="auto"/>
                    <w:bottom w:val="none" w:sz="0" w:space="0" w:color="auto"/>
                    <w:right w:val="none" w:sz="0" w:space="0" w:color="auto"/>
                  </w:divBdr>
                </w:div>
              </w:divsChild>
            </w:div>
            <w:div w:id="16986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9456">
      <w:bodyDiv w:val="1"/>
      <w:marLeft w:val="0"/>
      <w:marRight w:val="0"/>
      <w:marTop w:val="0"/>
      <w:marBottom w:val="0"/>
      <w:divBdr>
        <w:top w:val="none" w:sz="0" w:space="0" w:color="auto"/>
        <w:left w:val="none" w:sz="0" w:space="0" w:color="auto"/>
        <w:bottom w:val="none" w:sz="0" w:space="0" w:color="auto"/>
        <w:right w:val="none" w:sz="0" w:space="0" w:color="auto"/>
      </w:divBdr>
    </w:div>
    <w:div w:id="770705619">
      <w:bodyDiv w:val="1"/>
      <w:marLeft w:val="0"/>
      <w:marRight w:val="0"/>
      <w:marTop w:val="0"/>
      <w:marBottom w:val="0"/>
      <w:divBdr>
        <w:top w:val="none" w:sz="0" w:space="0" w:color="auto"/>
        <w:left w:val="none" w:sz="0" w:space="0" w:color="auto"/>
        <w:bottom w:val="none" w:sz="0" w:space="0" w:color="auto"/>
        <w:right w:val="none" w:sz="0" w:space="0" w:color="auto"/>
      </w:divBdr>
      <w:divsChild>
        <w:div w:id="274487894">
          <w:marLeft w:val="0"/>
          <w:marRight w:val="0"/>
          <w:marTop w:val="0"/>
          <w:marBottom w:val="0"/>
          <w:divBdr>
            <w:top w:val="none" w:sz="0" w:space="0" w:color="auto"/>
            <w:left w:val="none" w:sz="0" w:space="0" w:color="auto"/>
            <w:bottom w:val="dotted" w:sz="6" w:space="2" w:color="CCCCCC"/>
            <w:right w:val="none" w:sz="0" w:space="0" w:color="auto"/>
          </w:divBdr>
          <w:divsChild>
            <w:div w:id="510073453">
              <w:marLeft w:val="0"/>
              <w:marRight w:val="150"/>
              <w:marTop w:val="0"/>
              <w:marBottom w:val="0"/>
              <w:divBdr>
                <w:top w:val="none" w:sz="0" w:space="0" w:color="auto"/>
                <w:left w:val="none" w:sz="0" w:space="0" w:color="auto"/>
                <w:bottom w:val="none" w:sz="0" w:space="0" w:color="auto"/>
                <w:right w:val="none" w:sz="0" w:space="0" w:color="auto"/>
              </w:divBdr>
              <w:divsChild>
                <w:div w:id="1406418088">
                  <w:marLeft w:val="0"/>
                  <w:marRight w:val="0"/>
                  <w:marTop w:val="0"/>
                  <w:marBottom w:val="0"/>
                  <w:divBdr>
                    <w:top w:val="none" w:sz="0" w:space="0" w:color="auto"/>
                    <w:left w:val="none" w:sz="0" w:space="0" w:color="auto"/>
                    <w:bottom w:val="none" w:sz="0" w:space="0" w:color="auto"/>
                    <w:right w:val="none" w:sz="0" w:space="0" w:color="auto"/>
                  </w:divBdr>
                </w:div>
              </w:divsChild>
            </w:div>
            <w:div w:id="1426920089">
              <w:marLeft w:val="0"/>
              <w:marRight w:val="0"/>
              <w:marTop w:val="0"/>
              <w:marBottom w:val="0"/>
              <w:divBdr>
                <w:top w:val="none" w:sz="0" w:space="0" w:color="auto"/>
                <w:left w:val="none" w:sz="0" w:space="0" w:color="auto"/>
                <w:bottom w:val="none" w:sz="0" w:space="0" w:color="auto"/>
                <w:right w:val="none" w:sz="0" w:space="0" w:color="auto"/>
              </w:divBdr>
            </w:div>
          </w:divsChild>
        </w:div>
        <w:div w:id="1769932556">
          <w:marLeft w:val="0"/>
          <w:marRight w:val="0"/>
          <w:marTop w:val="0"/>
          <w:marBottom w:val="0"/>
          <w:divBdr>
            <w:top w:val="none" w:sz="0" w:space="0" w:color="auto"/>
            <w:left w:val="none" w:sz="0" w:space="0" w:color="auto"/>
            <w:bottom w:val="dotted" w:sz="6" w:space="2" w:color="CCCCCC"/>
            <w:right w:val="none" w:sz="0" w:space="0" w:color="auto"/>
          </w:divBdr>
          <w:divsChild>
            <w:div w:id="1835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49">
      <w:bodyDiv w:val="1"/>
      <w:marLeft w:val="0"/>
      <w:marRight w:val="0"/>
      <w:marTop w:val="0"/>
      <w:marBottom w:val="0"/>
      <w:divBdr>
        <w:top w:val="none" w:sz="0" w:space="0" w:color="auto"/>
        <w:left w:val="none" w:sz="0" w:space="0" w:color="auto"/>
        <w:bottom w:val="none" w:sz="0" w:space="0" w:color="auto"/>
        <w:right w:val="none" w:sz="0" w:space="0" w:color="auto"/>
      </w:divBdr>
      <w:divsChild>
        <w:div w:id="618144295">
          <w:marLeft w:val="0"/>
          <w:marRight w:val="0"/>
          <w:marTop w:val="0"/>
          <w:marBottom w:val="30"/>
          <w:divBdr>
            <w:top w:val="none" w:sz="0" w:space="0" w:color="auto"/>
            <w:left w:val="none" w:sz="0" w:space="0" w:color="auto"/>
            <w:bottom w:val="none" w:sz="0" w:space="0" w:color="auto"/>
            <w:right w:val="none" w:sz="0" w:space="0" w:color="auto"/>
          </w:divBdr>
          <w:divsChild>
            <w:div w:id="1079792500">
              <w:marLeft w:val="0"/>
              <w:marRight w:val="0"/>
              <w:marTop w:val="0"/>
              <w:marBottom w:val="0"/>
              <w:divBdr>
                <w:top w:val="none" w:sz="0" w:space="0" w:color="auto"/>
                <w:left w:val="none" w:sz="0" w:space="0" w:color="auto"/>
                <w:bottom w:val="none" w:sz="0" w:space="0" w:color="auto"/>
                <w:right w:val="none" w:sz="0" w:space="0" w:color="auto"/>
              </w:divBdr>
              <w:divsChild>
                <w:div w:id="884875451">
                  <w:marLeft w:val="0"/>
                  <w:marRight w:val="0"/>
                  <w:marTop w:val="0"/>
                  <w:marBottom w:val="0"/>
                  <w:divBdr>
                    <w:top w:val="none" w:sz="0" w:space="0" w:color="auto"/>
                    <w:left w:val="none" w:sz="0" w:space="0" w:color="auto"/>
                    <w:bottom w:val="dotted" w:sz="6" w:space="2" w:color="CCCCCC"/>
                    <w:right w:val="none" w:sz="0" w:space="0" w:color="auto"/>
                  </w:divBdr>
                  <w:divsChild>
                    <w:div w:id="369495656">
                      <w:marLeft w:val="0"/>
                      <w:marRight w:val="0"/>
                      <w:marTop w:val="0"/>
                      <w:marBottom w:val="0"/>
                      <w:divBdr>
                        <w:top w:val="none" w:sz="0" w:space="0" w:color="auto"/>
                        <w:left w:val="none" w:sz="0" w:space="0" w:color="auto"/>
                        <w:bottom w:val="none" w:sz="0" w:space="0" w:color="auto"/>
                        <w:right w:val="none" w:sz="0" w:space="0" w:color="auto"/>
                      </w:divBdr>
                    </w:div>
                    <w:div w:id="1584216999">
                      <w:marLeft w:val="0"/>
                      <w:marRight w:val="150"/>
                      <w:marTop w:val="0"/>
                      <w:marBottom w:val="0"/>
                      <w:divBdr>
                        <w:top w:val="none" w:sz="0" w:space="0" w:color="auto"/>
                        <w:left w:val="none" w:sz="0" w:space="0" w:color="auto"/>
                        <w:bottom w:val="none" w:sz="0" w:space="0" w:color="auto"/>
                        <w:right w:val="none" w:sz="0" w:space="0" w:color="auto"/>
                      </w:divBdr>
                      <w:divsChild>
                        <w:div w:id="8709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6037">
                  <w:marLeft w:val="0"/>
                  <w:marRight w:val="0"/>
                  <w:marTop w:val="0"/>
                  <w:marBottom w:val="0"/>
                  <w:divBdr>
                    <w:top w:val="none" w:sz="0" w:space="0" w:color="auto"/>
                    <w:left w:val="none" w:sz="0" w:space="0" w:color="auto"/>
                    <w:bottom w:val="dotted" w:sz="6" w:space="2" w:color="CCCCCC"/>
                    <w:right w:val="none" w:sz="0" w:space="0" w:color="auto"/>
                  </w:divBdr>
                  <w:divsChild>
                    <w:div w:id="103576589">
                      <w:marLeft w:val="0"/>
                      <w:marRight w:val="150"/>
                      <w:marTop w:val="0"/>
                      <w:marBottom w:val="0"/>
                      <w:divBdr>
                        <w:top w:val="none" w:sz="0" w:space="0" w:color="auto"/>
                        <w:left w:val="none" w:sz="0" w:space="0" w:color="auto"/>
                        <w:bottom w:val="none" w:sz="0" w:space="0" w:color="auto"/>
                        <w:right w:val="none" w:sz="0" w:space="0" w:color="auto"/>
                      </w:divBdr>
                      <w:divsChild>
                        <w:div w:id="1166168687">
                          <w:marLeft w:val="0"/>
                          <w:marRight w:val="0"/>
                          <w:marTop w:val="0"/>
                          <w:marBottom w:val="0"/>
                          <w:divBdr>
                            <w:top w:val="none" w:sz="0" w:space="0" w:color="auto"/>
                            <w:left w:val="none" w:sz="0" w:space="0" w:color="auto"/>
                            <w:bottom w:val="none" w:sz="0" w:space="0" w:color="auto"/>
                            <w:right w:val="none" w:sz="0" w:space="0" w:color="auto"/>
                          </w:divBdr>
                        </w:div>
                      </w:divsChild>
                    </w:div>
                    <w:div w:id="9083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3859">
              <w:marLeft w:val="0"/>
              <w:marRight w:val="360"/>
              <w:marTop w:val="0"/>
              <w:marBottom w:val="0"/>
              <w:divBdr>
                <w:top w:val="none" w:sz="0" w:space="0" w:color="auto"/>
                <w:left w:val="none" w:sz="0" w:space="0" w:color="auto"/>
                <w:bottom w:val="none" w:sz="0" w:space="0" w:color="auto"/>
                <w:right w:val="none" w:sz="0" w:space="0" w:color="auto"/>
              </w:divBdr>
              <w:divsChild>
                <w:div w:id="328216288">
                  <w:marLeft w:val="0"/>
                  <w:marRight w:val="0"/>
                  <w:marTop w:val="0"/>
                  <w:marBottom w:val="0"/>
                  <w:divBdr>
                    <w:top w:val="none" w:sz="0" w:space="0" w:color="auto"/>
                    <w:left w:val="none" w:sz="0" w:space="0" w:color="auto"/>
                    <w:bottom w:val="none" w:sz="0" w:space="0" w:color="auto"/>
                    <w:right w:val="none" w:sz="0" w:space="0" w:color="auto"/>
                  </w:divBdr>
                </w:div>
              </w:divsChild>
            </w:div>
            <w:div w:id="18440109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296738">
      <w:bodyDiv w:val="1"/>
      <w:marLeft w:val="0"/>
      <w:marRight w:val="0"/>
      <w:marTop w:val="0"/>
      <w:marBottom w:val="0"/>
      <w:divBdr>
        <w:top w:val="none" w:sz="0" w:space="0" w:color="auto"/>
        <w:left w:val="none" w:sz="0" w:space="0" w:color="auto"/>
        <w:bottom w:val="none" w:sz="0" w:space="0" w:color="auto"/>
        <w:right w:val="none" w:sz="0" w:space="0" w:color="auto"/>
      </w:divBdr>
    </w:div>
    <w:div w:id="125373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fr/A/73/16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1&amp;Lang=en" TargetMode="External"/><Relationship Id="rId1" Type="http://schemas.openxmlformats.org/officeDocument/2006/relationships/hyperlink" Target="https://undocs.org/fr/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211E2-BB14-456A-A1D4-04FDA2346791}">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C4829D82-6EB6-4BC2-950E-69EE95716224}">
  <ds:schemaRefs>
    <ds:schemaRef ds:uri="http://schemas.microsoft.com/sharepoint/v3/contenttype/forms"/>
  </ds:schemaRefs>
</ds:datastoreItem>
</file>

<file path=customXml/itemProps3.xml><?xml version="1.0" encoding="utf-8"?>
<ds:datastoreItem xmlns:ds="http://schemas.openxmlformats.org/officeDocument/2006/customXml" ds:itemID="{6D46B2D0-F0ED-4045-A095-F76FF716081E}"/>
</file>

<file path=customXml/itemProps4.xml><?xml version="1.0" encoding="utf-8"?>
<ds:datastoreItem xmlns:ds="http://schemas.openxmlformats.org/officeDocument/2006/customXml" ds:itemID="{EF67C2E2-3CB6-4CCD-80EC-1CE1FC7B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2020-08-24T15:01:00Z</dcterms:created>
  <dcterms:modified xsi:type="dcterms:W3CDTF">2020-08-24T15:01:00Z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