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0E9B6" w14:textId="77777777" w:rsidR="00801563" w:rsidRDefault="00801563" w:rsidP="00FA3963">
      <w:pPr>
        <w:spacing w:after="0" w:line="240" w:lineRule="auto"/>
        <w:jc w:val="center"/>
        <w:rPr>
          <w:b/>
          <w:sz w:val="18"/>
          <w:szCs w:val="18"/>
        </w:rPr>
      </w:pPr>
    </w:p>
    <w:p w14:paraId="09465D17" w14:textId="558A0FE7" w:rsidR="00801563" w:rsidRPr="00EB6526" w:rsidRDefault="00801563" w:rsidP="00FA3963">
      <w:pPr>
        <w:spacing w:after="0" w:line="240" w:lineRule="auto"/>
        <w:jc w:val="center"/>
        <w:rPr>
          <w:rFonts w:cstheme="minorHAnsi"/>
          <w:b/>
          <w:sz w:val="18"/>
          <w:szCs w:val="18"/>
        </w:rPr>
      </w:pPr>
      <w:r>
        <w:rPr>
          <w:b/>
          <w:sz w:val="18"/>
          <w:szCs w:val="18"/>
        </w:rPr>
        <w:t>Artículo 25 - Indicadores sobre el derecho a la salud*</w:t>
      </w:r>
    </w:p>
    <w:p w14:paraId="6B6DF7AC" w14:textId="77777777" w:rsidR="00801563" w:rsidRPr="00EB6526" w:rsidRDefault="00801563" w:rsidP="00FA3963">
      <w:pPr>
        <w:spacing w:after="0" w:line="240" w:lineRule="auto"/>
        <w:jc w:val="center"/>
        <w:rPr>
          <w:rFonts w:cstheme="minorHAnsi"/>
          <w:b/>
          <w:sz w:val="18"/>
          <w:szCs w:val="18"/>
        </w:rPr>
      </w:pPr>
      <w:r>
        <w:rPr>
          <w:b/>
          <w:sz w:val="18"/>
          <w:szCs w:val="18"/>
        </w:rPr>
        <w:t>Disfrute del más alto nivel de salud posible sin discriminación por motivos de discapacidad</w:t>
      </w:r>
    </w:p>
    <w:p w14:paraId="39D24EBA" w14:textId="77777777" w:rsidR="00801563" w:rsidRDefault="00801563" w:rsidP="00FA3963">
      <w:pPr>
        <w:pStyle w:val="ListParagraph"/>
        <w:spacing w:after="0" w:line="240" w:lineRule="auto"/>
        <w:ind w:left="0"/>
        <w:rPr>
          <w:b/>
          <w:sz w:val="18"/>
          <w:szCs w:val="18"/>
        </w:rPr>
      </w:pPr>
    </w:p>
    <w:p w14:paraId="74C363CA" w14:textId="4E62A7F5" w:rsidR="00801563" w:rsidRPr="00EB6526" w:rsidRDefault="00801563" w:rsidP="00FA3963">
      <w:pPr>
        <w:pStyle w:val="ListParagraph"/>
        <w:spacing w:after="0" w:line="240" w:lineRule="auto"/>
        <w:ind w:left="0"/>
        <w:rPr>
          <w:rFonts w:cstheme="minorHAnsi"/>
          <w:b/>
          <w:sz w:val="18"/>
          <w:szCs w:val="18"/>
        </w:rPr>
      </w:pPr>
      <w:r>
        <w:rPr>
          <w:b/>
          <w:sz w:val="18"/>
          <w:szCs w:val="18"/>
        </w:rPr>
        <w:t>Atributos</w:t>
      </w:r>
    </w:p>
    <w:p w14:paraId="2CA545C3" w14:textId="77777777" w:rsidR="00801563" w:rsidRPr="00801563" w:rsidRDefault="00801563" w:rsidP="00801563">
      <w:pPr>
        <w:pStyle w:val="ListParagraph"/>
        <w:numPr>
          <w:ilvl w:val="0"/>
          <w:numId w:val="14"/>
        </w:numPr>
        <w:spacing w:after="0" w:line="240" w:lineRule="auto"/>
        <w:rPr>
          <w:rFonts w:cstheme="minorHAnsi"/>
          <w:b/>
          <w:sz w:val="18"/>
          <w:szCs w:val="18"/>
        </w:rPr>
      </w:pPr>
      <w:r w:rsidRPr="00801563">
        <w:rPr>
          <w:b/>
          <w:sz w:val="18"/>
          <w:szCs w:val="18"/>
        </w:rPr>
        <w:t>Igualdad de acceso a servicios dentro de los servicios generales de salud</w:t>
      </w:r>
    </w:p>
    <w:p w14:paraId="5B722301" w14:textId="77777777" w:rsidR="00801563" w:rsidRPr="00801563" w:rsidRDefault="00801563" w:rsidP="00801563">
      <w:pPr>
        <w:pStyle w:val="ListParagraph"/>
        <w:numPr>
          <w:ilvl w:val="0"/>
          <w:numId w:val="14"/>
        </w:numPr>
        <w:spacing w:after="0" w:line="240" w:lineRule="auto"/>
        <w:rPr>
          <w:rFonts w:cstheme="minorHAnsi"/>
          <w:b/>
          <w:sz w:val="18"/>
          <w:szCs w:val="18"/>
        </w:rPr>
      </w:pPr>
      <w:r w:rsidRPr="00801563">
        <w:rPr>
          <w:b/>
          <w:sz w:val="18"/>
          <w:szCs w:val="18"/>
        </w:rPr>
        <w:t>Seguro de salud inclusivo</w:t>
      </w:r>
    </w:p>
    <w:p w14:paraId="44B5BD0C" w14:textId="77777777" w:rsidR="00801563" w:rsidRPr="00801563" w:rsidRDefault="00801563" w:rsidP="00801563">
      <w:pPr>
        <w:pStyle w:val="ListParagraph"/>
        <w:numPr>
          <w:ilvl w:val="0"/>
          <w:numId w:val="14"/>
        </w:numPr>
        <w:spacing w:after="0" w:line="240" w:lineRule="auto"/>
        <w:rPr>
          <w:rFonts w:cstheme="minorHAnsi"/>
          <w:b/>
          <w:sz w:val="18"/>
          <w:szCs w:val="18"/>
        </w:rPr>
      </w:pPr>
      <w:r w:rsidRPr="00801563">
        <w:rPr>
          <w:b/>
          <w:sz w:val="18"/>
          <w:szCs w:val="18"/>
        </w:rPr>
        <w:t>Consentimiento libre e informado</w:t>
      </w:r>
    </w:p>
    <w:p w14:paraId="0B224D7B" w14:textId="77777777" w:rsidR="00801563" w:rsidRPr="00EB6526" w:rsidRDefault="00801563" w:rsidP="00FA3963">
      <w:pPr>
        <w:spacing w:after="0" w:line="240" w:lineRule="auto"/>
        <w:jc w:val="center"/>
        <w:rPr>
          <w:rFonts w:cstheme="minorHAnsi"/>
          <w:b/>
          <w:sz w:val="18"/>
          <w:szCs w:val="18"/>
        </w:rPr>
      </w:pPr>
    </w:p>
    <w:p w14:paraId="3E030C2D" w14:textId="148FF89A" w:rsidR="00801563" w:rsidRPr="00EB6526" w:rsidRDefault="00801563" w:rsidP="00FA3963">
      <w:pPr>
        <w:spacing w:after="0" w:line="240" w:lineRule="auto"/>
        <w:rPr>
          <w:rFonts w:cstheme="minorHAnsi"/>
          <w:b/>
          <w:sz w:val="18"/>
          <w:szCs w:val="18"/>
        </w:rPr>
      </w:pPr>
      <w:r>
        <w:rPr>
          <w:b/>
          <w:sz w:val="18"/>
          <w:szCs w:val="18"/>
        </w:rPr>
        <w:t>Indicadores de Estructura</w:t>
      </w:r>
    </w:p>
    <w:p w14:paraId="15F6DF6F" w14:textId="77777777" w:rsidR="00801563" w:rsidRPr="00EB6526" w:rsidRDefault="00801563" w:rsidP="00FA3963">
      <w:pPr>
        <w:spacing w:after="0" w:line="240" w:lineRule="auto"/>
        <w:jc w:val="both"/>
        <w:rPr>
          <w:rFonts w:cstheme="minorHAnsi"/>
          <w:sz w:val="18"/>
          <w:szCs w:val="18"/>
        </w:rPr>
      </w:pPr>
      <w:r>
        <w:rPr>
          <w:sz w:val="18"/>
          <w:szCs w:val="18"/>
        </w:rPr>
        <w:t xml:space="preserve">25.1 Legislación relativa a la salud que reconoce explícitamente: </w:t>
      </w:r>
    </w:p>
    <w:p w14:paraId="3AE66AEF" w14:textId="77777777" w:rsidR="00801563" w:rsidRPr="00EB6526" w:rsidRDefault="00801563" w:rsidP="00FA3963">
      <w:pPr>
        <w:pStyle w:val="ListParagraph"/>
        <w:numPr>
          <w:ilvl w:val="0"/>
          <w:numId w:val="8"/>
        </w:numPr>
        <w:tabs>
          <w:tab w:val="left" w:pos="117"/>
        </w:tabs>
        <w:spacing w:after="0" w:line="240" w:lineRule="auto"/>
        <w:ind w:left="0" w:hanging="25"/>
        <w:jc w:val="both"/>
        <w:rPr>
          <w:rFonts w:cstheme="minorHAnsi"/>
          <w:sz w:val="18"/>
          <w:szCs w:val="18"/>
        </w:rPr>
      </w:pPr>
      <w:r>
        <w:rPr>
          <w:sz w:val="18"/>
          <w:szCs w:val="18"/>
        </w:rPr>
        <w:t>igualdad de acceso de las personas con discapacidad</w:t>
      </w:r>
      <w:r w:rsidRPr="00EB6526">
        <w:rPr>
          <w:rStyle w:val="EndnoteReference"/>
          <w:rFonts w:cstheme="minorHAnsi"/>
          <w:sz w:val="18"/>
          <w:szCs w:val="18"/>
        </w:rPr>
        <w:endnoteReference w:id="1"/>
      </w:r>
      <w:r>
        <w:rPr>
          <w:sz w:val="18"/>
          <w:szCs w:val="18"/>
        </w:rPr>
        <w:t xml:space="preserve"> a servicios de salud asequibles, accesibles, de calidad y que tengan en cuenta las diferencias culturales, tanto en el ámbito privado como en el público;</w:t>
      </w:r>
    </w:p>
    <w:p w14:paraId="34A122D9" w14:textId="77777777" w:rsidR="00801563" w:rsidRPr="00EB6526" w:rsidRDefault="00801563" w:rsidP="00FA3963">
      <w:pPr>
        <w:pStyle w:val="ListParagraph"/>
        <w:numPr>
          <w:ilvl w:val="0"/>
          <w:numId w:val="8"/>
        </w:numPr>
        <w:tabs>
          <w:tab w:val="left" w:pos="117"/>
        </w:tabs>
        <w:spacing w:after="0" w:line="240" w:lineRule="auto"/>
        <w:ind w:left="0" w:hanging="25"/>
        <w:jc w:val="both"/>
        <w:rPr>
          <w:rFonts w:cstheme="minorHAnsi"/>
          <w:sz w:val="18"/>
          <w:szCs w:val="18"/>
        </w:rPr>
      </w:pPr>
      <w:r>
        <w:rPr>
          <w:sz w:val="18"/>
          <w:szCs w:val="18"/>
        </w:rPr>
        <w:t>que la denegación de ajustes razonables constituye una discriminación basada en la discapacidad;</w:t>
      </w:r>
    </w:p>
    <w:p w14:paraId="24C2B860" w14:textId="77777777" w:rsidR="00801563" w:rsidRPr="00EB6526" w:rsidRDefault="00801563" w:rsidP="00FA3963">
      <w:pPr>
        <w:pStyle w:val="ListParagraph"/>
        <w:numPr>
          <w:ilvl w:val="0"/>
          <w:numId w:val="8"/>
        </w:numPr>
        <w:tabs>
          <w:tab w:val="left" w:pos="117"/>
        </w:tabs>
        <w:spacing w:after="0" w:line="240" w:lineRule="auto"/>
        <w:ind w:left="0" w:hanging="25"/>
        <w:jc w:val="both"/>
        <w:rPr>
          <w:rFonts w:cstheme="minorHAnsi"/>
          <w:sz w:val="18"/>
          <w:szCs w:val="18"/>
        </w:rPr>
      </w:pPr>
      <w:r>
        <w:rPr>
          <w:sz w:val="18"/>
          <w:szCs w:val="18"/>
        </w:rPr>
        <w:t>respeto de la confidencialidad de las personas con discapacidad, incluidas las mujeres, los niños y las personas de edad.</w:t>
      </w:r>
    </w:p>
    <w:p w14:paraId="5D27F0AC" w14:textId="77777777" w:rsidR="00801563" w:rsidRPr="00EB6526" w:rsidRDefault="00801563" w:rsidP="00FA3963">
      <w:pPr>
        <w:spacing w:after="0" w:line="240" w:lineRule="auto"/>
        <w:jc w:val="both"/>
        <w:rPr>
          <w:rFonts w:cstheme="minorHAnsi"/>
          <w:sz w:val="18"/>
          <w:szCs w:val="18"/>
        </w:rPr>
      </w:pPr>
      <w:r>
        <w:rPr>
          <w:sz w:val="18"/>
          <w:szCs w:val="18"/>
        </w:rPr>
        <w:t>25.2 Leyes y reglamentos que garantizan a las mujeres y niñas con discapacidad el acceso a la atención, información y educación en salud sexual y reproductiva (indicador 5.6.2 de los ODS), incluidas las mujeres y niñas con discapacidad.</w:t>
      </w:r>
    </w:p>
    <w:p w14:paraId="6048E05B" w14:textId="77777777" w:rsidR="00801563" w:rsidRPr="00EB6526" w:rsidRDefault="00801563" w:rsidP="00FA3963">
      <w:pPr>
        <w:spacing w:after="0" w:line="240" w:lineRule="auto"/>
        <w:jc w:val="both"/>
        <w:rPr>
          <w:rFonts w:cstheme="minorHAnsi"/>
          <w:sz w:val="18"/>
          <w:szCs w:val="18"/>
        </w:rPr>
      </w:pPr>
      <w:r>
        <w:rPr>
          <w:sz w:val="18"/>
          <w:szCs w:val="18"/>
        </w:rPr>
        <w:t>25.3 Existencia de una política/plan nacional para asegurar que las personas con discapacidad, en particular las mujeres, los niños y las personas de edad, tengan acceso a servicios de salud de calidad y asequibles,</w:t>
      </w:r>
      <w:r w:rsidRPr="00EB6526">
        <w:rPr>
          <w:rStyle w:val="EndnoteReference"/>
          <w:rFonts w:cstheme="minorHAnsi"/>
          <w:sz w:val="18"/>
          <w:szCs w:val="18"/>
        </w:rPr>
        <w:endnoteReference w:id="2"/>
      </w:r>
      <w:r>
        <w:rPr>
          <w:sz w:val="18"/>
          <w:szCs w:val="18"/>
        </w:rPr>
        <w:t xml:space="preserve"> incluido el acceso a la cobertura universal de salud</w:t>
      </w:r>
      <w:r w:rsidRPr="00EB6526">
        <w:rPr>
          <w:rStyle w:val="EndnoteReference"/>
          <w:rFonts w:cstheme="minorHAnsi"/>
          <w:sz w:val="18"/>
          <w:szCs w:val="18"/>
        </w:rPr>
        <w:endnoteReference w:id="3"/>
      </w:r>
      <w:r>
        <w:rPr>
          <w:sz w:val="18"/>
          <w:szCs w:val="18"/>
        </w:rPr>
        <w:t>. (</w:t>
      </w:r>
      <w:r w:rsidRPr="00863272">
        <w:rPr>
          <w:i/>
          <w:sz w:val="18"/>
          <w:szCs w:val="18"/>
        </w:rPr>
        <w:t>Ibid</w:t>
      </w:r>
      <w:r>
        <w:rPr>
          <w:sz w:val="18"/>
          <w:szCs w:val="18"/>
        </w:rPr>
        <w:t>. 10.4)</w:t>
      </w:r>
    </w:p>
    <w:p w14:paraId="66D3F625" w14:textId="77777777" w:rsidR="00801563" w:rsidRPr="00EB6526" w:rsidRDefault="00801563" w:rsidP="00FA3963">
      <w:pPr>
        <w:spacing w:after="0" w:line="240" w:lineRule="auto"/>
        <w:jc w:val="both"/>
        <w:rPr>
          <w:rFonts w:cstheme="minorHAnsi"/>
          <w:sz w:val="18"/>
          <w:szCs w:val="18"/>
        </w:rPr>
      </w:pPr>
      <w:r>
        <w:rPr>
          <w:sz w:val="18"/>
          <w:szCs w:val="18"/>
        </w:rPr>
        <w:t>25.4 Adopción de estándares nacionales de accesibilidad aplicables a los centros de salud públicos y privados.</w:t>
      </w:r>
    </w:p>
    <w:p w14:paraId="6C96E9A4" w14:textId="77777777" w:rsidR="00801563" w:rsidRPr="00EB6526" w:rsidRDefault="00801563" w:rsidP="00863272">
      <w:pPr>
        <w:spacing w:after="0" w:line="240" w:lineRule="auto"/>
        <w:jc w:val="both"/>
      </w:pPr>
      <w:r>
        <w:rPr>
          <w:sz w:val="18"/>
          <w:szCs w:val="18"/>
        </w:rPr>
        <w:t>25.5 La legislación prohíbe a las aseguradoras de salud discriminar a las personas con discapacidad sobre la base de deficiencias o condiciones de salud preexistentes.</w:t>
      </w:r>
    </w:p>
    <w:p w14:paraId="748E309C" w14:textId="77777777" w:rsidR="00801563" w:rsidRPr="00EB6526" w:rsidRDefault="00801563" w:rsidP="00E434D8">
      <w:pPr>
        <w:spacing w:after="0" w:line="240" w:lineRule="auto"/>
        <w:jc w:val="both"/>
        <w:rPr>
          <w:rFonts w:cstheme="minorHAnsi"/>
          <w:sz w:val="18"/>
          <w:szCs w:val="18"/>
        </w:rPr>
      </w:pPr>
      <w:r>
        <w:rPr>
          <w:sz w:val="18"/>
          <w:szCs w:val="18"/>
        </w:rPr>
        <w:t xml:space="preserve">25.6 Legislación que: </w:t>
      </w:r>
    </w:p>
    <w:p w14:paraId="0DEBD094" w14:textId="77777777" w:rsidR="00801563" w:rsidRPr="00EB6526" w:rsidRDefault="00801563" w:rsidP="00E434D8">
      <w:pPr>
        <w:pStyle w:val="ListParagraph"/>
        <w:numPr>
          <w:ilvl w:val="0"/>
          <w:numId w:val="6"/>
        </w:numPr>
        <w:tabs>
          <w:tab w:val="left" w:pos="132"/>
        </w:tabs>
        <w:spacing w:after="0" w:line="240" w:lineRule="auto"/>
        <w:ind w:left="0" w:hanging="10"/>
        <w:jc w:val="both"/>
        <w:rPr>
          <w:rFonts w:cstheme="minorHAnsi"/>
          <w:sz w:val="18"/>
          <w:szCs w:val="18"/>
        </w:rPr>
      </w:pPr>
      <w:r>
        <w:rPr>
          <w:sz w:val="18"/>
          <w:szCs w:val="18"/>
        </w:rPr>
        <w:t>Reconoce el derecho al consentimiento libre e informado para el tratamiento médico de cada individuo, independientemente de su capacidad jurídica o condición de libertad, incluso en situaciones de angustia mental;</w:t>
      </w:r>
    </w:p>
    <w:p w14:paraId="2AAD73A4" w14:textId="77777777" w:rsidR="00801563" w:rsidRPr="00863272" w:rsidRDefault="00801563" w:rsidP="000815A6">
      <w:pPr>
        <w:pStyle w:val="ListParagraph"/>
        <w:numPr>
          <w:ilvl w:val="0"/>
          <w:numId w:val="6"/>
        </w:numPr>
        <w:tabs>
          <w:tab w:val="left" w:pos="132"/>
        </w:tabs>
        <w:spacing w:after="0" w:line="240" w:lineRule="auto"/>
        <w:ind w:left="0" w:hanging="10"/>
        <w:jc w:val="both"/>
        <w:rPr>
          <w:rFonts w:cstheme="minorHAnsi"/>
          <w:sz w:val="18"/>
          <w:szCs w:val="18"/>
        </w:rPr>
      </w:pPr>
      <w:r>
        <w:rPr>
          <w:sz w:val="18"/>
          <w:szCs w:val="18"/>
        </w:rPr>
        <w:t xml:space="preserve">Prohíbe la discriminación en el ejercicio del consentimiento libre e informado, incluyendo la denegación de ajustes razonables; </w:t>
      </w:r>
    </w:p>
    <w:p w14:paraId="5B3A250E" w14:textId="77777777" w:rsidR="00801563" w:rsidRPr="000815A6" w:rsidRDefault="00801563">
      <w:pPr>
        <w:pStyle w:val="ListParagraph"/>
        <w:numPr>
          <w:ilvl w:val="0"/>
          <w:numId w:val="6"/>
        </w:numPr>
        <w:tabs>
          <w:tab w:val="left" w:pos="132"/>
        </w:tabs>
        <w:spacing w:after="0" w:line="240" w:lineRule="auto"/>
        <w:ind w:left="0" w:hanging="10"/>
        <w:jc w:val="both"/>
        <w:rPr>
          <w:rFonts w:cstheme="minorHAnsi"/>
          <w:sz w:val="18"/>
          <w:szCs w:val="18"/>
        </w:rPr>
      </w:pPr>
      <w:r>
        <w:rPr>
          <w:sz w:val="18"/>
          <w:szCs w:val="18"/>
        </w:rPr>
        <w:t>Asegura que toda la información de salud y los formularios de consentimiento sean completamente accesibles y culturalmente apropiados;</w:t>
      </w:r>
    </w:p>
    <w:p w14:paraId="60AC790E" w14:textId="77777777" w:rsidR="00801563" w:rsidRPr="00EB6526" w:rsidRDefault="00801563" w:rsidP="00E434D8">
      <w:pPr>
        <w:pStyle w:val="ListParagraph"/>
        <w:numPr>
          <w:ilvl w:val="0"/>
          <w:numId w:val="6"/>
        </w:numPr>
        <w:tabs>
          <w:tab w:val="left" w:pos="132"/>
        </w:tabs>
        <w:spacing w:after="0" w:line="240" w:lineRule="auto"/>
        <w:ind w:left="0" w:hanging="10"/>
        <w:jc w:val="both"/>
        <w:rPr>
          <w:rFonts w:cstheme="minorHAnsi"/>
          <w:sz w:val="18"/>
          <w:szCs w:val="18"/>
        </w:rPr>
      </w:pPr>
      <w:r>
        <w:rPr>
          <w:sz w:val="18"/>
          <w:szCs w:val="18"/>
        </w:rPr>
        <w:t>Exige a los proveedores del ámbito de la salud que actúen de acuerdo con  directivas anticipadas, poderes notariales y otras formas de toma de decisiones apoyadas para las decisiones en materia de atención sanitaria</w:t>
      </w:r>
      <w:r w:rsidRPr="00EB6526">
        <w:rPr>
          <w:rStyle w:val="EndnoteReference"/>
          <w:rFonts w:cstheme="minorHAnsi"/>
          <w:sz w:val="18"/>
          <w:szCs w:val="18"/>
        </w:rPr>
        <w:endnoteReference w:id="4"/>
      </w:r>
    </w:p>
    <w:p w14:paraId="53ACE84C" w14:textId="77777777" w:rsidR="00801563" w:rsidRPr="00EB6526" w:rsidRDefault="00801563" w:rsidP="00E434D8">
      <w:pPr>
        <w:spacing w:after="0" w:line="240" w:lineRule="auto"/>
        <w:jc w:val="both"/>
        <w:rPr>
          <w:rFonts w:cstheme="minorHAnsi"/>
          <w:sz w:val="18"/>
          <w:szCs w:val="18"/>
        </w:rPr>
      </w:pPr>
      <w:r>
        <w:rPr>
          <w:sz w:val="18"/>
          <w:szCs w:val="18"/>
        </w:rPr>
        <w:t>25.7 Ninguna disposición en la legislación o en los reglamentos</w:t>
      </w:r>
      <w:r w:rsidRPr="00EB6526">
        <w:rPr>
          <w:rStyle w:val="EndnoteReference"/>
          <w:rFonts w:cstheme="minorHAnsi"/>
          <w:sz w:val="18"/>
          <w:szCs w:val="18"/>
        </w:rPr>
        <w:endnoteReference w:id="5"/>
      </w:r>
      <w:r>
        <w:rPr>
          <w:sz w:val="18"/>
          <w:szCs w:val="18"/>
        </w:rPr>
        <w:t xml:space="preserve"> que permita:</w:t>
      </w:r>
    </w:p>
    <w:p w14:paraId="2B58A020" w14:textId="77777777" w:rsidR="00801563" w:rsidRPr="00EB6526" w:rsidRDefault="00801563" w:rsidP="00E434D8">
      <w:pPr>
        <w:pStyle w:val="ListParagraph"/>
        <w:numPr>
          <w:ilvl w:val="0"/>
          <w:numId w:val="4"/>
        </w:numPr>
        <w:tabs>
          <w:tab w:val="left" w:pos="132"/>
        </w:tabs>
        <w:spacing w:after="0" w:line="240" w:lineRule="auto"/>
        <w:ind w:left="0" w:hanging="21"/>
        <w:jc w:val="both"/>
        <w:rPr>
          <w:rFonts w:cstheme="minorHAnsi"/>
          <w:sz w:val="18"/>
          <w:szCs w:val="18"/>
        </w:rPr>
      </w:pPr>
      <w:r>
        <w:rPr>
          <w:sz w:val="18"/>
          <w:szCs w:val="18"/>
        </w:rPr>
        <w:t>Que el consentimiento lo otorgue un tercero</w:t>
      </w:r>
      <w:r w:rsidRPr="00EB6526">
        <w:rPr>
          <w:rStyle w:val="EndnoteReference"/>
          <w:rFonts w:cstheme="minorHAnsi"/>
          <w:sz w:val="18"/>
          <w:szCs w:val="18"/>
        </w:rPr>
        <w:endnoteReference w:id="6"/>
      </w:r>
      <w:r>
        <w:rPr>
          <w:sz w:val="18"/>
          <w:szCs w:val="18"/>
        </w:rPr>
        <w:t>;</w:t>
      </w:r>
    </w:p>
    <w:p w14:paraId="62937C3E" w14:textId="3DA58575" w:rsidR="00801563" w:rsidRPr="00801563" w:rsidRDefault="00801563" w:rsidP="00801563">
      <w:pPr>
        <w:spacing w:after="0" w:line="240" w:lineRule="auto"/>
        <w:jc w:val="both"/>
        <w:rPr>
          <w:rFonts w:cstheme="minorHAnsi"/>
          <w:sz w:val="18"/>
          <w:szCs w:val="18"/>
        </w:rPr>
      </w:pPr>
      <w:r>
        <w:rPr>
          <w:sz w:val="18"/>
          <w:szCs w:val="18"/>
        </w:rPr>
        <w:t>- Cualquier tipo de tratamiento involuntario, incluyendo cualquier forma de cirugía</w:t>
      </w:r>
      <w:r w:rsidRPr="00EB6526">
        <w:rPr>
          <w:rStyle w:val="EndnoteReference"/>
          <w:rFonts w:cstheme="minorHAnsi"/>
          <w:sz w:val="18"/>
          <w:szCs w:val="18"/>
        </w:rPr>
        <w:endnoteReference w:id="7"/>
      </w:r>
      <w:r>
        <w:rPr>
          <w:sz w:val="18"/>
          <w:szCs w:val="18"/>
        </w:rPr>
        <w:t>, administración de cualquier tipo de medicamentos</w:t>
      </w:r>
      <w:r w:rsidRPr="00EB6526">
        <w:rPr>
          <w:rStyle w:val="EndnoteReference"/>
          <w:rFonts w:cstheme="minorHAnsi"/>
          <w:sz w:val="18"/>
          <w:szCs w:val="18"/>
        </w:rPr>
        <w:endnoteReference w:id="8"/>
      </w:r>
      <w:r>
        <w:rPr>
          <w:sz w:val="18"/>
          <w:szCs w:val="18"/>
        </w:rPr>
        <w:t>, terapias (como TEC), dispositivos mecánicos, cinturones y correas.</w:t>
      </w:r>
    </w:p>
    <w:p w14:paraId="4F123708" w14:textId="77777777" w:rsidR="00801563" w:rsidRPr="00EB6526" w:rsidRDefault="00801563">
      <w:pPr>
        <w:spacing w:after="0" w:line="240" w:lineRule="auto"/>
        <w:jc w:val="both"/>
        <w:rPr>
          <w:rFonts w:cstheme="minorHAnsi"/>
          <w:sz w:val="18"/>
          <w:szCs w:val="18"/>
        </w:rPr>
      </w:pPr>
      <w:r>
        <w:rPr>
          <w:sz w:val="18"/>
          <w:szCs w:val="18"/>
        </w:rPr>
        <w:t>25.8 Los cursos y capacitaciones obligatorios sobre el derecho a la salud de las personas con discapacidad, el consentimiento libre e informado y los determinantes sociales subyacentes que afectan a la salud, incluida la salud mental, constituyen una parte esencial del currículo para los estudiantes de programas y médicos y de salud en universidades y otras instituciones educativas.</w:t>
      </w:r>
    </w:p>
    <w:p w14:paraId="4E73F604" w14:textId="77777777" w:rsidR="00801563" w:rsidRDefault="00801563" w:rsidP="00FA3963">
      <w:pPr>
        <w:tabs>
          <w:tab w:val="left" w:pos="735"/>
        </w:tabs>
        <w:spacing w:after="0" w:line="240" w:lineRule="auto"/>
        <w:rPr>
          <w:b/>
          <w:sz w:val="18"/>
          <w:szCs w:val="18"/>
        </w:rPr>
      </w:pPr>
    </w:p>
    <w:p w14:paraId="08D61CF4" w14:textId="30B39985" w:rsidR="00801563" w:rsidRPr="00EB6526" w:rsidRDefault="00801563" w:rsidP="00FA3963">
      <w:pPr>
        <w:tabs>
          <w:tab w:val="left" w:pos="735"/>
        </w:tabs>
        <w:spacing w:after="0" w:line="240" w:lineRule="auto"/>
        <w:rPr>
          <w:rFonts w:cstheme="minorHAnsi"/>
          <w:b/>
          <w:sz w:val="18"/>
          <w:szCs w:val="18"/>
        </w:rPr>
      </w:pPr>
      <w:r>
        <w:rPr>
          <w:b/>
          <w:sz w:val="18"/>
          <w:szCs w:val="18"/>
        </w:rPr>
        <w:t>Indicadores de Proceso</w:t>
      </w:r>
    </w:p>
    <w:p w14:paraId="19217776" w14:textId="77777777" w:rsidR="00801563" w:rsidRPr="00EB6526" w:rsidRDefault="00801563" w:rsidP="00FA3963">
      <w:pPr>
        <w:spacing w:after="0" w:line="240" w:lineRule="auto"/>
        <w:jc w:val="both"/>
        <w:rPr>
          <w:rFonts w:cstheme="minorHAnsi"/>
          <w:sz w:val="18"/>
          <w:szCs w:val="18"/>
        </w:rPr>
      </w:pPr>
      <w:r>
        <w:rPr>
          <w:sz w:val="18"/>
          <w:szCs w:val="18"/>
        </w:rPr>
        <w:t>25.9 Proporción de clínicas, hospitales y otras instalaciones que ofrezcan servicios de salud que cumplan los estándares nacionales de accesibilidad, incluyendo la accesibilidad en edificios y entornos</w:t>
      </w:r>
      <w:r w:rsidRPr="00EB6526">
        <w:rPr>
          <w:rStyle w:val="EndnoteReference"/>
          <w:rFonts w:cstheme="minorHAnsi"/>
          <w:sz w:val="18"/>
          <w:szCs w:val="18"/>
        </w:rPr>
        <w:endnoteReference w:id="9"/>
      </w:r>
      <w:r>
        <w:rPr>
          <w:sz w:val="18"/>
          <w:szCs w:val="18"/>
        </w:rPr>
        <w:t>, el equipo médico y de salud, la información y las comunicaciones.</w:t>
      </w:r>
    </w:p>
    <w:p w14:paraId="33F0B3E6" w14:textId="77777777" w:rsidR="00801563" w:rsidRDefault="00801563">
      <w:pPr>
        <w:spacing w:after="0" w:line="240" w:lineRule="auto"/>
        <w:jc w:val="both"/>
        <w:rPr>
          <w:sz w:val="18"/>
          <w:szCs w:val="18"/>
        </w:rPr>
      </w:pPr>
      <w:r>
        <w:rPr>
          <w:sz w:val="18"/>
          <w:szCs w:val="18"/>
        </w:rPr>
        <w:t>25.10 Proporción de clínicas y hospitales de salud pública que ofrecen métodos de comunicación accesibles y alternativos</w:t>
      </w:r>
      <w:r w:rsidRPr="00EB6526">
        <w:rPr>
          <w:rStyle w:val="EndnoteReference"/>
          <w:rFonts w:cstheme="minorHAnsi"/>
          <w:sz w:val="18"/>
          <w:szCs w:val="18"/>
        </w:rPr>
        <w:endnoteReference w:id="10"/>
      </w:r>
      <w:r>
        <w:rPr>
          <w:sz w:val="18"/>
          <w:szCs w:val="18"/>
        </w:rPr>
        <w:t xml:space="preserve"> </w:t>
      </w:r>
    </w:p>
    <w:p w14:paraId="343243B7" w14:textId="77777777" w:rsidR="00801563" w:rsidRPr="00EB6526" w:rsidRDefault="00801563">
      <w:pPr>
        <w:spacing w:after="0" w:line="240" w:lineRule="auto"/>
        <w:jc w:val="both"/>
        <w:rPr>
          <w:rFonts w:cstheme="minorHAnsi"/>
          <w:sz w:val="18"/>
          <w:szCs w:val="18"/>
        </w:rPr>
      </w:pPr>
      <w:r w:rsidRPr="000815A6">
        <w:rPr>
          <w:rFonts w:cstheme="minorHAnsi"/>
          <w:sz w:val="18"/>
          <w:szCs w:val="18"/>
        </w:rPr>
        <w:t>25.11 Proporción del presupuesto destinado a la salud mental que se asigna a los servicios y el apoyo bas</w:t>
      </w:r>
      <w:r>
        <w:rPr>
          <w:rFonts w:cstheme="minorHAnsi"/>
          <w:sz w:val="18"/>
          <w:szCs w:val="18"/>
        </w:rPr>
        <w:t xml:space="preserve">ados en la </w:t>
      </w:r>
      <w:r w:rsidRPr="000815A6">
        <w:rPr>
          <w:rFonts w:cstheme="minorHAnsi"/>
          <w:sz w:val="18"/>
          <w:szCs w:val="18"/>
        </w:rPr>
        <w:t>comuni</w:t>
      </w:r>
      <w:r>
        <w:rPr>
          <w:rFonts w:cstheme="minorHAnsi"/>
          <w:sz w:val="18"/>
          <w:szCs w:val="18"/>
        </w:rPr>
        <w:t>dad</w:t>
      </w:r>
      <w:r w:rsidRPr="000815A6">
        <w:rPr>
          <w:rFonts w:cstheme="minorHAnsi"/>
          <w:sz w:val="18"/>
          <w:szCs w:val="18"/>
        </w:rPr>
        <w:t xml:space="preserve"> (en contraposición al presupuesto asignado a los hospitales y camas psiquiátric</w:t>
      </w:r>
      <w:r>
        <w:rPr>
          <w:rFonts w:cstheme="minorHAnsi"/>
          <w:sz w:val="18"/>
          <w:szCs w:val="18"/>
        </w:rPr>
        <w:t>o</w:t>
      </w:r>
      <w:r w:rsidRPr="000815A6">
        <w:rPr>
          <w:rFonts w:cstheme="minorHAnsi"/>
          <w:sz w:val="18"/>
          <w:szCs w:val="18"/>
        </w:rPr>
        <w:t>s)</w:t>
      </w:r>
    </w:p>
    <w:p w14:paraId="075C9010" w14:textId="77777777" w:rsidR="00801563" w:rsidRPr="00EB6526" w:rsidRDefault="00801563" w:rsidP="00E434D8">
      <w:pPr>
        <w:spacing w:after="0" w:line="240" w:lineRule="auto"/>
        <w:jc w:val="both"/>
        <w:rPr>
          <w:rFonts w:cstheme="minorHAnsi"/>
          <w:sz w:val="18"/>
          <w:szCs w:val="18"/>
        </w:rPr>
      </w:pPr>
      <w:r>
        <w:rPr>
          <w:sz w:val="18"/>
          <w:szCs w:val="18"/>
        </w:rPr>
        <w:t>25.12 Proporción de la población con</w:t>
      </w:r>
      <w:r>
        <w:t xml:space="preserve"> </w:t>
      </w:r>
      <w:r w:rsidRPr="00172F66">
        <w:rPr>
          <w:sz w:val="18"/>
          <w:szCs w:val="18"/>
        </w:rPr>
        <w:t>grandes gastos del hogar en salud como parte del gasto o ingreso total del hogar</w:t>
      </w:r>
      <w:r>
        <w:rPr>
          <w:sz w:val="18"/>
          <w:szCs w:val="18"/>
        </w:rPr>
        <w:t xml:space="preserve"> (indicador 3.8.2 de los ODS), desglosado por edad, sexo y discapacidad.</w:t>
      </w:r>
    </w:p>
    <w:p w14:paraId="050F5B5B" w14:textId="77777777" w:rsidR="00801563" w:rsidRPr="00EB6526" w:rsidRDefault="00801563" w:rsidP="00E434D8">
      <w:pPr>
        <w:spacing w:after="0" w:line="240" w:lineRule="auto"/>
        <w:jc w:val="both"/>
        <w:rPr>
          <w:rFonts w:cstheme="minorHAnsi"/>
          <w:sz w:val="18"/>
          <w:szCs w:val="18"/>
        </w:rPr>
      </w:pPr>
      <w:r>
        <w:rPr>
          <w:sz w:val="18"/>
          <w:szCs w:val="18"/>
        </w:rPr>
        <w:t xml:space="preserve">25.13 Proporción de personas con discapacidad del total de la población que utiliza programas de asistencia médica financiados por el gobierno, por edad, género y tipo de discapacidad. </w:t>
      </w:r>
    </w:p>
    <w:p w14:paraId="3930659C" w14:textId="77777777" w:rsidR="00801563" w:rsidRPr="00EB6526" w:rsidRDefault="00801563">
      <w:pPr>
        <w:spacing w:after="0" w:line="240" w:lineRule="auto"/>
        <w:jc w:val="both"/>
        <w:rPr>
          <w:rFonts w:cstheme="minorHAnsi"/>
          <w:sz w:val="18"/>
          <w:szCs w:val="18"/>
        </w:rPr>
      </w:pPr>
      <w:r>
        <w:rPr>
          <w:sz w:val="18"/>
          <w:szCs w:val="18"/>
        </w:rPr>
        <w:t>25.14 Costo promedio de atención sanitaria de las personas con discapacidad en comparación con otras personas, por sexo, edad y discapacidad.</w:t>
      </w:r>
    </w:p>
    <w:p w14:paraId="62A98F7A" w14:textId="17B5223C" w:rsidR="00801563" w:rsidRPr="00801563" w:rsidRDefault="00801563" w:rsidP="00801563">
      <w:pPr>
        <w:spacing w:after="0" w:line="240" w:lineRule="auto"/>
        <w:jc w:val="both"/>
        <w:rPr>
          <w:rFonts w:cstheme="minorHAnsi"/>
          <w:sz w:val="18"/>
          <w:szCs w:val="18"/>
        </w:rPr>
      </w:pPr>
      <w:r>
        <w:rPr>
          <w:sz w:val="18"/>
          <w:szCs w:val="18"/>
        </w:rPr>
        <w:t>25.15 Protocolo adoptado sobre el derecho al consentimiento libre e informado para recibir tratamiento y el derecho a rechazar dicho tratamiento que se aplica a todos los servicios de atención sanitaria, como por ejemplo los servicios de salud mental, incluso en situaciones de angustia mental</w:t>
      </w:r>
      <w:r w:rsidRPr="00EB6526">
        <w:rPr>
          <w:rStyle w:val="EndnoteReference"/>
          <w:rFonts w:cstheme="minorHAnsi"/>
          <w:sz w:val="18"/>
          <w:szCs w:val="18"/>
        </w:rPr>
        <w:endnoteReference w:id="11"/>
      </w:r>
      <w:r>
        <w:rPr>
          <w:sz w:val="18"/>
          <w:szCs w:val="18"/>
        </w:rPr>
        <w:t xml:space="preserve">. </w:t>
      </w:r>
    </w:p>
    <w:p w14:paraId="1DF229EB" w14:textId="77777777" w:rsidR="00801563" w:rsidRPr="00EB6526" w:rsidRDefault="00801563" w:rsidP="00FA3963">
      <w:pPr>
        <w:spacing w:after="0" w:line="240" w:lineRule="auto"/>
        <w:jc w:val="both"/>
        <w:rPr>
          <w:rFonts w:eastAsia="Times New Roman" w:cstheme="minorHAnsi"/>
          <w:sz w:val="18"/>
          <w:szCs w:val="18"/>
        </w:rPr>
      </w:pPr>
      <w:r>
        <w:rPr>
          <w:sz w:val="18"/>
          <w:szCs w:val="18"/>
        </w:rPr>
        <w:t>25.16 Cobertura de los servicios esenciales de salud</w:t>
      </w:r>
      <w:r w:rsidRPr="00EB6526">
        <w:rPr>
          <w:rStyle w:val="EndnoteReference"/>
          <w:rFonts w:cstheme="minorHAnsi"/>
          <w:sz w:val="18"/>
          <w:szCs w:val="18"/>
        </w:rPr>
        <w:endnoteReference w:id="12"/>
      </w:r>
      <w:r>
        <w:rPr>
          <w:sz w:val="18"/>
          <w:szCs w:val="18"/>
        </w:rPr>
        <w:t xml:space="preserve"> desglosados por edad, sexo y discapacidad (indicador 3.8.1 de los ODS)</w:t>
      </w:r>
      <w:r w:rsidRPr="00EB6526">
        <w:rPr>
          <w:rStyle w:val="EndnoteReference"/>
          <w:rFonts w:eastAsia="Times New Roman" w:cstheme="minorHAnsi"/>
          <w:sz w:val="18"/>
          <w:szCs w:val="18"/>
          <w:lang w:eastAsia="en-GB"/>
        </w:rPr>
        <w:endnoteReference w:id="13"/>
      </w:r>
      <w:r>
        <w:rPr>
          <w:sz w:val="18"/>
          <w:szCs w:val="18"/>
        </w:rPr>
        <w:t>.</w:t>
      </w:r>
    </w:p>
    <w:p w14:paraId="6E3ED3BE" w14:textId="77777777" w:rsidR="00801563" w:rsidRPr="00EB6526" w:rsidRDefault="00801563" w:rsidP="00FA3963">
      <w:pPr>
        <w:spacing w:after="0" w:line="240" w:lineRule="auto"/>
        <w:jc w:val="both"/>
        <w:rPr>
          <w:rFonts w:cstheme="minorHAnsi"/>
          <w:sz w:val="18"/>
          <w:szCs w:val="18"/>
        </w:rPr>
      </w:pPr>
      <w:r>
        <w:rPr>
          <w:sz w:val="18"/>
          <w:szCs w:val="18"/>
        </w:rPr>
        <w:t>25.17 Procesos de consulta llevados a cabo para asegurar la participación activa de las personas con discapacidad, incluyendo a las organizaciones que las representan, en el diseño, la implementación y el monitoreo de leyes, reglamentos, políticas y programas, en relación con la salud, incluyendo la salud sexual, reproductiva y mental.</w:t>
      </w:r>
      <w:r>
        <w:rPr>
          <w:rStyle w:val="EndnoteReference"/>
          <w:sz w:val="18"/>
          <w:szCs w:val="18"/>
        </w:rPr>
        <w:t xml:space="preserve"> </w:t>
      </w:r>
      <w:r w:rsidRPr="00EB6526">
        <w:rPr>
          <w:rStyle w:val="EndnoteReference"/>
          <w:rFonts w:cstheme="minorHAnsi"/>
          <w:sz w:val="18"/>
          <w:szCs w:val="18"/>
        </w:rPr>
        <w:endnoteReference w:id="14"/>
      </w:r>
      <w:r>
        <w:rPr>
          <w:sz w:val="18"/>
          <w:szCs w:val="18"/>
        </w:rPr>
        <w:t xml:space="preserve"> </w:t>
      </w:r>
    </w:p>
    <w:p w14:paraId="7B4E02C7" w14:textId="77777777" w:rsidR="00801563" w:rsidRPr="00EB6526" w:rsidRDefault="00801563" w:rsidP="00FA3963">
      <w:pPr>
        <w:spacing w:after="0" w:line="240" w:lineRule="auto"/>
        <w:jc w:val="both"/>
        <w:rPr>
          <w:rFonts w:cstheme="minorHAnsi"/>
          <w:sz w:val="18"/>
          <w:szCs w:val="18"/>
        </w:rPr>
      </w:pPr>
      <w:r>
        <w:rPr>
          <w:sz w:val="18"/>
          <w:szCs w:val="18"/>
        </w:rPr>
        <w:t>25.18 Proporción del personal, en particular, los profesionales de la atención sanitaria, que trabajen en los sectores público y privado de la salud y en la prestación de programas y servicios de salud, con capacitación sobre el derecho a la salud de las personas con discapacidad y en el consentimiento libre e informado.</w:t>
      </w:r>
    </w:p>
    <w:p w14:paraId="3729DD33" w14:textId="6050E56F" w:rsidR="00801563" w:rsidRPr="00801563" w:rsidRDefault="00801563" w:rsidP="00801563">
      <w:pPr>
        <w:spacing w:after="0" w:line="240" w:lineRule="auto"/>
        <w:jc w:val="both"/>
        <w:rPr>
          <w:rFonts w:cstheme="minorHAnsi"/>
          <w:sz w:val="18"/>
          <w:szCs w:val="18"/>
        </w:rPr>
      </w:pPr>
      <w:r>
        <w:rPr>
          <w:sz w:val="18"/>
          <w:szCs w:val="18"/>
        </w:rPr>
        <w:t xml:space="preserve">25.19 Campañas y actividades de concienciación dirigidas a personas con discapacidad y a sus familias sobre los programas, servicios e información sanitaria para las personas con discapacidad, particularmente para mujeres, niños y personas de edad, que abarque el consentimiento libre e informado, el bienestar y la salud mental, la salud sexual y reproductiva, y los beneficios de la actividad física, entre otros. </w:t>
      </w:r>
    </w:p>
    <w:p w14:paraId="5C17C0C5" w14:textId="77777777" w:rsidR="00801563" w:rsidRPr="00EB6526" w:rsidRDefault="00801563">
      <w:pPr>
        <w:spacing w:after="0" w:line="240" w:lineRule="auto"/>
        <w:jc w:val="both"/>
        <w:rPr>
          <w:rFonts w:cstheme="minorHAnsi"/>
          <w:sz w:val="18"/>
          <w:szCs w:val="18"/>
        </w:rPr>
      </w:pPr>
      <w:r>
        <w:rPr>
          <w:sz w:val="18"/>
          <w:szCs w:val="18"/>
        </w:rPr>
        <w:t>25.20 Proporción de denuncias recibidas relativas al acceso y la prestación de los servicios sanitarios y seguros médicos en las que se alegue discriminación por discapacidad y/o que involucren personas con discapacidad, que han sido investigadas y resueltas; proporción de las mismas resueltas a favor del denunciante, y proporción de estas últimas cumplidas por el gobierno o el responsable (por ejemplo, el proveedor de servicios de salud privada); todas ellas desglosadas por tipo de mecanismo.</w:t>
      </w:r>
    </w:p>
    <w:p w14:paraId="0D52218E" w14:textId="60204C6E" w:rsidR="00801563" w:rsidRDefault="00801563" w:rsidP="00FA3963">
      <w:pPr>
        <w:spacing w:after="0" w:line="240" w:lineRule="auto"/>
        <w:rPr>
          <w:b/>
          <w:sz w:val="18"/>
          <w:szCs w:val="18"/>
        </w:rPr>
      </w:pPr>
    </w:p>
    <w:p w14:paraId="5220F5FF" w14:textId="77777777" w:rsidR="00801563" w:rsidRDefault="00801563" w:rsidP="00FA3963">
      <w:pPr>
        <w:spacing w:after="0" w:line="240" w:lineRule="auto"/>
        <w:rPr>
          <w:b/>
          <w:sz w:val="18"/>
          <w:szCs w:val="18"/>
        </w:rPr>
      </w:pPr>
    </w:p>
    <w:p w14:paraId="164B3E34" w14:textId="3B484F8B" w:rsidR="00801563" w:rsidRPr="00EB6526" w:rsidRDefault="00801563" w:rsidP="00FA3963">
      <w:pPr>
        <w:spacing w:after="0" w:line="240" w:lineRule="auto"/>
        <w:rPr>
          <w:rFonts w:cstheme="minorHAnsi"/>
          <w:b/>
          <w:sz w:val="18"/>
          <w:szCs w:val="18"/>
        </w:rPr>
      </w:pPr>
      <w:r>
        <w:rPr>
          <w:b/>
          <w:sz w:val="18"/>
          <w:szCs w:val="18"/>
        </w:rPr>
        <w:t>Indicadores de Resultado</w:t>
      </w:r>
    </w:p>
    <w:p w14:paraId="5F9E154C" w14:textId="77777777" w:rsidR="00801563" w:rsidRPr="00EB6526" w:rsidRDefault="00801563" w:rsidP="00FA3963">
      <w:pPr>
        <w:spacing w:after="0" w:line="240" w:lineRule="auto"/>
        <w:jc w:val="both"/>
        <w:rPr>
          <w:rFonts w:cstheme="minorHAnsi"/>
          <w:sz w:val="18"/>
          <w:szCs w:val="18"/>
        </w:rPr>
      </w:pPr>
      <w:r>
        <w:rPr>
          <w:sz w:val="18"/>
          <w:szCs w:val="18"/>
        </w:rPr>
        <w:t>25.21 Tasa de mortalidad materna (indicador 3.1.1 de los ODS) desglosada por edad y discapacidad de la persona.</w:t>
      </w:r>
    </w:p>
    <w:p w14:paraId="4EA3FE98" w14:textId="77777777" w:rsidR="00801563" w:rsidRPr="00EB6526" w:rsidRDefault="00801563" w:rsidP="00FA3963">
      <w:pPr>
        <w:spacing w:after="0" w:line="240" w:lineRule="auto"/>
        <w:jc w:val="both"/>
        <w:rPr>
          <w:rFonts w:cstheme="minorHAnsi"/>
          <w:sz w:val="18"/>
          <w:szCs w:val="18"/>
        </w:rPr>
      </w:pPr>
      <w:r>
        <w:rPr>
          <w:sz w:val="18"/>
          <w:szCs w:val="18"/>
        </w:rPr>
        <w:t>25.22 Proporción de mujeres y niñas en edad reproductiva que ven sus necesidades de planificación familiar satisfechas con métodos modernos (indicador 3.7.1 de los ODS), desglosadas por edad y discapacidad.</w:t>
      </w:r>
    </w:p>
    <w:p w14:paraId="046ADBF9" w14:textId="77777777" w:rsidR="00801563" w:rsidRDefault="00801563" w:rsidP="00FA3963">
      <w:pPr>
        <w:spacing w:after="0" w:line="240" w:lineRule="auto"/>
        <w:jc w:val="both"/>
        <w:rPr>
          <w:sz w:val="18"/>
          <w:szCs w:val="18"/>
        </w:rPr>
      </w:pPr>
      <w:r>
        <w:rPr>
          <w:sz w:val="18"/>
          <w:szCs w:val="18"/>
        </w:rPr>
        <w:t>25.23 Número de nuevas infecciones por el VIH por cada 1.000 personas no infectadas, por sexo, edad y población clave (indicador 3.3.1 de los ODS) y discapacidad.</w:t>
      </w:r>
    </w:p>
    <w:p w14:paraId="12858F44" w14:textId="77777777" w:rsidR="00801563" w:rsidRPr="00EB6526" w:rsidRDefault="00801563" w:rsidP="00FA3963">
      <w:pPr>
        <w:spacing w:after="0" w:line="240" w:lineRule="auto"/>
        <w:jc w:val="both"/>
        <w:rPr>
          <w:rFonts w:cstheme="minorHAnsi"/>
          <w:sz w:val="18"/>
          <w:szCs w:val="18"/>
        </w:rPr>
      </w:pPr>
      <w:r>
        <w:rPr>
          <w:sz w:val="18"/>
          <w:szCs w:val="18"/>
        </w:rPr>
        <w:t>25.24 Incidencia de tuberculosis, malaria y hepatitis B por cada 1.000 habitantes (indicadores 3.3.2, 3.3.3 y 3.3.4 de los ODS) entre la población de personas con discapacidad en comparación con los demás.</w:t>
      </w:r>
    </w:p>
    <w:p w14:paraId="28D5D2D6" w14:textId="77777777" w:rsidR="00801563" w:rsidRPr="00EB6526" w:rsidRDefault="00801563" w:rsidP="00FA3963">
      <w:pPr>
        <w:spacing w:after="0" w:line="240" w:lineRule="auto"/>
        <w:jc w:val="both"/>
        <w:rPr>
          <w:rFonts w:cstheme="minorHAnsi"/>
          <w:sz w:val="18"/>
          <w:szCs w:val="18"/>
        </w:rPr>
      </w:pPr>
      <w:r>
        <w:rPr>
          <w:sz w:val="18"/>
          <w:szCs w:val="18"/>
        </w:rPr>
        <w:t xml:space="preserve">25.25 </w:t>
      </w:r>
      <w:r w:rsidRPr="00587105">
        <w:rPr>
          <w:sz w:val="18"/>
          <w:szCs w:val="18"/>
        </w:rPr>
        <w:t>Probabilidad de morir (por 1000) entre los 15 y los 60 años de edad, desglosada por sexo (indicador de la OMS), discapacidad y origen indígena o minoritario.</w:t>
      </w:r>
      <w:r>
        <w:rPr>
          <w:sz w:val="18"/>
          <w:szCs w:val="18"/>
        </w:rPr>
        <w:t xml:space="preserve"> </w:t>
      </w:r>
    </w:p>
    <w:p w14:paraId="2E0618E3" w14:textId="77777777" w:rsidR="00801563" w:rsidRPr="00EB6526" w:rsidRDefault="00801563" w:rsidP="00FA3963">
      <w:pPr>
        <w:spacing w:after="0" w:line="240" w:lineRule="auto"/>
        <w:jc w:val="both"/>
        <w:rPr>
          <w:rFonts w:cstheme="minorHAnsi"/>
          <w:sz w:val="18"/>
          <w:szCs w:val="18"/>
        </w:rPr>
      </w:pPr>
      <w:r>
        <w:rPr>
          <w:sz w:val="18"/>
          <w:szCs w:val="18"/>
        </w:rPr>
        <w:t>25.26 Prevalencia de desnutrición (indicador ODS 2.1.1) desglosada por edad, sexo y discapacidad.</w:t>
      </w:r>
    </w:p>
    <w:p w14:paraId="3AF57855" w14:textId="77777777" w:rsidR="00801563" w:rsidRPr="008C1F19" w:rsidRDefault="00801563" w:rsidP="008C1F19">
      <w:pPr>
        <w:spacing w:after="0" w:line="240" w:lineRule="auto"/>
        <w:jc w:val="both"/>
        <w:rPr>
          <w:sz w:val="18"/>
          <w:szCs w:val="18"/>
        </w:rPr>
      </w:pPr>
      <w:r>
        <w:rPr>
          <w:sz w:val="18"/>
          <w:szCs w:val="18"/>
        </w:rPr>
        <w:t xml:space="preserve">25.27 </w:t>
      </w:r>
      <w:r w:rsidRPr="008C1F19">
        <w:rPr>
          <w:sz w:val="18"/>
          <w:szCs w:val="18"/>
        </w:rPr>
        <w:t xml:space="preserve">Prevalencia </w:t>
      </w:r>
      <w:r>
        <w:rPr>
          <w:sz w:val="18"/>
          <w:szCs w:val="18"/>
        </w:rPr>
        <w:t>de la malnutrición</w:t>
      </w:r>
      <w:r w:rsidRPr="008C1F19">
        <w:rPr>
          <w:sz w:val="18"/>
          <w:szCs w:val="18"/>
        </w:rPr>
        <w:t xml:space="preserve"> entre los niños</w:t>
      </w:r>
      <w:r>
        <w:rPr>
          <w:sz w:val="18"/>
          <w:szCs w:val="18"/>
        </w:rPr>
        <w:t xml:space="preserve"> </w:t>
      </w:r>
      <w:r w:rsidRPr="008C1F19">
        <w:rPr>
          <w:sz w:val="18"/>
          <w:szCs w:val="18"/>
        </w:rPr>
        <w:t>menores de 5 años, desglosada por tipo (emaciación y</w:t>
      </w:r>
    </w:p>
    <w:p w14:paraId="761633BC" w14:textId="77777777" w:rsidR="00801563" w:rsidRPr="00EB6526" w:rsidRDefault="00801563" w:rsidP="008C1F19">
      <w:pPr>
        <w:spacing w:after="0" w:line="240" w:lineRule="auto"/>
        <w:jc w:val="both"/>
        <w:rPr>
          <w:rFonts w:cstheme="minorHAnsi"/>
          <w:sz w:val="18"/>
          <w:szCs w:val="18"/>
        </w:rPr>
      </w:pPr>
      <w:r w:rsidRPr="008C1F19">
        <w:rPr>
          <w:sz w:val="18"/>
          <w:szCs w:val="18"/>
        </w:rPr>
        <w:t>sobrepeso)</w:t>
      </w:r>
      <w:r w:rsidRPr="008C1F19" w:rsidDel="008C1F19">
        <w:rPr>
          <w:sz w:val="18"/>
          <w:szCs w:val="18"/>
        </w:rPr>
        <w:t xml:space="preserve"> </w:t>
      </w:r>
      <w:r>
        <w:rPr>
          <w:sz w:val="18"/>
          <w:szCs w:val="18"/>
        </w:rPr>
        <w:t>(indicador ODS 2.2.2), y por edad, sexo y discapacidad.</w:t>
      </w:r>
    </w:p>
    <w:p w14:paraId="4CCBB1DA" w14:textId="77777777" w:rsidR="00801563" w:rsidRPr="00EB6526" w:rsidRDefault="00801563">
      <w:pPr>
        <w:spacing w:after="0" w:line="240" w:lineRule="auto"/>
        <w:jc w:val="both"/>
        <w:rPr>
          <w:rFonts w:cstheme="minorHAnsi"/>
          <w:sz w:val="18"/>
          <w:szCs w:val="18"/>
        </w:rPr>
      </w:pPr>
      <w:r>
        <w:rPr>
          <w:sz w:val="18"/>
          <w:szCs w:val="18"/>
        </w:rPr>
        <w:t>25.28 Proporción de partos asistidos por personal sanitario cualificado (indicador ODS 3.1.2) desglosado por edad y discapacidad de la persona que da a luz.</w:t>
      </w:r>
    </w:p>
    <w:p w14:paraId="3D72CA18" w14:textId="77777777" w:rsidR="00801563" w:rsidRDefault="00801563" w:rsidP="002169F8">
      <w:pPr>
        <w:spacing w:after="0" w:line="240" w:lineRule="auto"/>
        <w:jc w:val="both"/>
        <w:rPr>
          <w:sz w:val="18"/>
          <w:szCs w:val="18"/>
        </w:rPr>
      </w:pPr>
      <w:r>
        <w:rPr>
          <w:sz w:val="18"/>
          <w:szCs w:val="18"/>
        </w:rPr>
        <w:t>25.29 Proporción de mujeres y niñas que toman sus propias decisiones informadas con respecto a las relaciones sexuales, el uso de anticonceptivos y la salud reproductiva (basado en el indicador 5.6.1 de los ODS) por edad y discapacidad.</w:t>
      </w:r>
    </w:p>
    <w:p w14:paraId="77BFC2A6" w14:textId="77777777" w:rsidR="00801563" w:rsidRPr="00EB6526" w:rsidRDefault="00801563" w:rsidP="002169F8">
      <w:pPr>
        <w:spacing w:after="0" w:line="240" w:lineRule="auto"/>
        <w:jc w:val="both"/>
        <w:rPr>
          <w:rFonts w:cstheme="minorHAnsi"/>
          <w:sz w:val="18"/>
          <w:szCs w:val="18"/>
        </w:rPr>
      </w:pPr>
      <w:r>
        <w:rPr>
          <w:rFonts w:cstheme="minorHAnsi"/>
          <w:sz w:val="18"/>
          <w:szCs w:val="18"/>
        </w:rPr>
        <w:t>25.30 Tasa anual</w:t>
      </w:r>
      <w:r w:rsidRPr="00587105">
        <w:rPr>
          <w:rFonts w:cstheme="minorHAnsi"/>
          <w:sz w:val="18"/>
          <w:szCs w:val="18"/>
        </w:rPr>
        <w:t xml:space="preserve"> de hospitalización involuntaria por cada 100.000 personas en la población general.</w:t>
      </w:r>
    </w:p>
    <w:p w14:paraId="43D86A35" w14:textId="77777777" w:rsidR="009A66A9" w:rsidRPr="00EB6526" w:rsidRDefault="009A66A9" w:rsidP="006218AE">
      <w:pPr>
        <w:spacing w:after="120"/>
        <w:jc w:val="center"/>
        <w:rPr>
          <w:rFonts w:cstheme="minorHAnsi"/>
          <w:b/>
          <w:sz w:val="18"/>
          <w:szCs w:val="18"/>
        </w:rPr>
      </w:pPr>
    </w:p>
    <w:p w14:paraId="0DB2D808" w14:textId="5E910FFA" w:rsidR="00786018" w:rsidRDefault="006C68B3" w:rsidP="006218AE">
      <w:pPr>
        <w:spacing w:after="120"/>
        <w:jc w:val="center"/>
        <w:rPr>
          <w:b/>
          <w:sz w:val="18"/>
          <w:szCs w:val="18"/>
        </w:rPr>
      </w:pPr>
      <w:r>
        <w:rPr>
          <w:b/>
          <w:sz w:val="18"/>
          <w:szCs w:val="18"/>
        </w:rPr>
        <w:t>ANEXO</w:t>
      </w:r>
    </w:p>
    <w:p w14:paraId="7D213C50" w14:textId="08C4342D" w:rsidR="003D7658" w:rsidRPr="00EB6526" w:rsidRDefault="003D7658" w:rsidP="003D7658">
      <w:pPr>
        <w:spacing w:after="120"/>
        <w:rPr>
          <w:b/>
          <w:sz w:val="18"/>
          <w:szCs w:val="18"/>
        </w:rPr>
      </w:pPr>
      <w:r>
        <w:rPr>
          <w:b/>
          <w:sz w:val="18"/>
          <w:szCs w:val="18"/>
        </w:rPr>
        <w:t xml:space="preserve">* </w:t>
      </w:r>
      <w:proofErr w:type="spellStart"/>
      <w:r>
        <w:rPr>
          <w:sz w:val="18"/>
          <w:szCs w:val="18"/>
          <w:lang w:val="fr-FR"/>
        </w:rPr>
        <w:t>Véase</w:t>
      </w:r>
      <w:proofErr w:type="spellEnd"/>
      <w:r>
        <w:rPr>
          <w:sz w:val="18"/>
          <w:szCs w:val="18"/>
          <w:lang w:val="fr-FR"/>
        </w:rPr>
        <w:t xml:space="preserve"> el </w:t>
      </w:r>
      <w:r w:rsidRPr="00474C5B">
        <w:rPr>
          <w:rFonts w:cstheme="minorHAnsi"/>
          <w:sz w:val="18"/>
          <w:szCs w:val="18"/>
        </w:rPr>
        <w:t>informe</w:t>
      </w:r>
      <w:r>
        <w:rPr>
          <w:rFonts w:cstheme="minorHAnsi"/>
          <w:sz w:val="18"/>
          <w:szCs w:val="18"/>
        </w:rPr>
        <w:t xml:space="preserve"> sobre el derecho a la salud de la </w:t>
      </w:r>
      <w:r w:rsidRPr="00474C5B">
        <w:rPr>
          <w:rFonts w:cstheme="minorHAnsi"/>
          <w:sz w:val="18"/>
          <w:szCs w:val="18"/>
        </w:rPr>
        <w:t>Relator</w:t>
      </w:r>
      <w:r>
        <w:rPr>
          <w:rFonts w:cstheme="minorHAnsi"/>
          <w:sz w:val="18"/>
          <w:szCs w:val="18"/>
        </w:rPr>
        <w:t>a</w:t>
      </w:r>
      <w:r w:rsidRPr="00474C5B">
        <w:rPr>
          <w:rFonts w:cstheme="minorHAnsi"/>
          <w:sz w:val="18"/>
          <w:szCs w:val="18"/>
        </w:rPr>
        <w:t xml:space="preserve"> Especial sobre los derechos de las personas con</w:t>
      </w:r>
      <w:r w:rsidRPr="003D7658">
        <w:rPr>
          <w:rFonts w:cstheme="minorHAnsi"/>
          <w:sz w:val="20"/>
          <w:szCs w:val="20"/>
        </w:rPr>
        <w:t xml:space="preserve"> discapacidad, </w:t>
      </w:r>
      <w:hyperlink r:id="rId11" w:history="1">
        <w:r w:rsidR="00801563" w:rsidRPr="004A3CCB">
          <w:rPr>
            <w:rStyle w:val="Hyperlink"/>
            <w:sz w:val="18"/>
            <w:szCs w:val="20"/>
          </w:rPr>
          <w:t>A/73/161</w:t>
        </w:r>
      </w:hyperlink>
    </w:p>
    <w:sectPr w:rsidR="003D7658" w:rsidRPr="00EB6526" w:rsidSect="006218AE">
      <w:pgSz w:w="15840" w:h="12240" w:orient="landscape"/>
      <w:pgMar w:top="113"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8F2CF" w14:textId="77777777" w:rsidR="0085217E" w:rsidRDefault="0085217E" w:rsidP="006C68B3">
      <w:pPr>
        <w:spacing w:after="0" w:line="240" w:lineRule="auto"/>
      </w:pPr>
      <w:r>
        <w:separator/>
      </w:r>
    </w:p>
  </w:endnote>
  <w:endnote w:type="continuationSeparator" w:id="0">
    <w:p w14:paraId="45D08E58" w14:textId="77777777" w:rsidR="0085217E" w:rsidRDefault="0085217E" w:rsidP="006C68B3">
      <w:pPr>
        <w:spacing w:after="0" w:line="240" w:lineRule="auto"/>
      </w:pPr>
      <w:r>
        <w:continuationSeparator/>
      </w:r>
    </w:p>
  </w:endnote>
  <w:endnote w:id="1">
    <w:p w14:paraId="129B4288" w14:textId="77777777" w:rsidR="00801563" w:rsidRPr="007244A9" w:rsidRDefault="00801563" w:rsidP="007244A9">
      <w:pPr>
        <w:pStyle w:val="EndnoteText"/>
        <w:jc w:val="both"/>
        <w:rPr>
          <w:rFonts w:cstheme="minorHAnsi"/>
          <w:sz w:val="18"/>
          <w:szCs w:val="18"/>
        </w:rPr>
      </w:pPr>
      <w:r w:rsidRPr="007244A9">
        <w:rPr>
          <w:rStyle w:val="EndnoteReference"/>
          <w:rFonts w:cstheme="minorHAnsi"/>
          <w:sz w:val="18"/>
          <w:szCs w:val="18"/>
        </w:rPr>
        <w:endnoteRef/>
      </w:r>
      <w:r w:rsidRPr="007244A9">
        <w:rPr>
          <w:sz w:val="18"/>
          <w:szCs w:val="18"/>
        </w:rPr>
        <w:t xml:space="preserve"> Incluidas las personas que viven con el VIH/SIDA.</w:t>
      </w:r>
    </w:p>
  </w:endnote>
  <w:endnote w:id="2">
    <w:p w14:paraId="6954285B" w14:textId="77777777" w:rsidR="00801563" w:rsidRPr="007244A9" w:rsidRDefault="00801563" w:rsidP="007244A9">
      <w:pPr>
        <w:pStyle w:val="EndnoteText"/>
        <w:jc w:val="both"/>
        <w:rPr>
          <w:rFonts w:cstheme="minorHAnsi"/>
          <w:sz w:val="18"/>
          <w:szCs w:val="18"/>
        </w:rPr>
      </w:pPr>
      <w:r w:rsidRPr="007244A9">
        <w:rPr>
          <w:rStyle w:val="EndnoteReference"/>
          <w:rFonts w:cstheme="minorHAnsi"/>
          <w:sz w:val="18"/>
          <w:szCs w:val="18"/>
        </w:rPr>
        <w:endnoteRef/>
      </w:r>
      <w:r w:rsidRPr="007244A9">
        <w:rPr>
          <w:sz w:val="18"/>
          <w:szCs w:val="18"/>
        </w:rPr>
        <w:t xml:space="preserve"> Esto incluye:</w:t>
      </w:r>
    </w:p>
    <w:p w14:paraId="5C9D19CD" w14:textId="77777777" w:rsidR="00801563" w:rsidRPr="00863272" w:rsidRDefault="00801563" w:rsidP="007244A9">
      <w:pPr>
        <w:pStyle w:val="ListParagraph"/>
        <w:numPr>
          <w:ilvl w:val="0"/>
          <w:numId w:val="12"/>
        </w:numPr>
        <w:spacing w:after="0" w:line="240" w:lineRule="auto"/>
        <w:ind w:left="709" w:hanging="357"/>
        <w:jc w:val="both"/>
        <w:rPr>
          <w:rFonts w:cstheme="minorHAnsi"/>
          <w:sz w:val="18"/>
          <w:szCs w:val="18"/>
        </w:rPr>
      </w:pPr>
      <w:r>
        <w:rPr>
          <w:sz w:val="18"/>
          <w:szCs w:val="18"/>
        </w:rPr>
        <w:t>la no discriminación por razón de discapacidad</w:t>
      </w:r>
      <w:r w:rsidRPr="007244A9">
        <w:rPr>
          <w:sz w:val="18"/>
          <w:szCs w:val="18"/>
        </w:rPr>
        <w:t>;</w:t>
      </w:r>
    </w:p>
    <w:p w14:paraId="11F3B926" w14:textId="77777777" w:rsidR="00801563" w:rsidRPr="00863272" w:rsidRDefault="00801563" w:rsidP="007244A9">
      <w:pPr>
        <w:pStyle w:val="ListParagraph"/>
        <w:numPr>
          <w:ilvl w:val="0"/>
          <w:numId w:val="12"/>
        </w:numPr>
        <w:spacing w:after="0" w:line="240" w:lineRule="auto"/>
        <w:ind w:left="709" w:hanging="357"/>
        <w:jc w:val="both"/>
        <w:rPr>
          <w:rFonts w:cstheme="minorHAnsi"/>
          <w:sz w:val="18"/>
          <w:szCs w:val="18"/>
        </w:rPr>
      </w:pPr>
      <w:r>
        <w:rPr>
          <w:sz w:val="18"/>
          <w:szCs w:val="18"/>
        </w:rPr>
        <w:t>reconocer el consentimiento libre e informado de las personas con discapacidad en pie de igualdad con los demás;</w:t>
      </w:r>
    </w:p>
    <w:p w14:paraId="4E129AF4" w14:textId="77777777" w:rsidR="00801563" w:rsidRPr="007244A9" w:rsidRDefault="00801563" w:rsidP="007244A9">
      <w:pPr>
        <w:pStyle w:val="ListParagraph"/>
        <w:numPr>
          <w:ilvl w:val="0"/>
          <w:numId w:val="12"/>
        </w:numPr>
        <w:spacing w:after="0" w:line="240" w:lineRule="auto"/>
        <w:ind w:left="709" w:hanging="357"/>
        <w:jc w:val="both"/>
        <w:rPr>
          <w:rFonts w:cstheme="minorHAnsi"/>
          <w:sz w:val="18"/>
          <w:szCs w:val="18"/>
        </w:rPr>
      </w:pPr>
      <w:r>
        <w:rPr>
          <w:sz w:val="18"/>
          <w:szCs w:val="18"/>
        </w:rPr>
        <w:t>integrar servicios y programas de salud y prevención en igualdad de condiciones con los demás;</w:t>
      </w:r>
    </w:p>
    <w:p w14:paraId="3ACF6CAA" w14:textId="77777777" w:rsidR="00801563" w:rsidRPr="007244A9" w:rsidRDefault="00801563" w:rsidP="007244A9">
      <w:pPr>
        <w:pStyle w:val="ListParagraph"/>
        <w:numPr>
          <w:ilvl w:val="0"/>
          <w:numId w:val="12"/>
        </w:numPr>
        <w:spacing w:after="0" w:line="240" w:lineRule="auto"/>
        <w:ind w:left="709" w:hanging="357"/>
        <w:jc w:val="both"/>
        <w:rPr>
          <w:rFonts w:cstheme="minorHAnsi"/>
          <w:sz w:val="18"/>
          <w:szCs w:val="18"/>
        </w:rPr>
      </w:pPr>
      <w:r w:rsidRPr="007244A9">
        <w:rPr>
          <w:sz w:val="18"/>
          <w:szCs w:val="18"/>
        </w:rPr>
        <w:t xml:space="preserve">servicios específicos dentro de los servicios generales de salud, incluyendo: identificación e intervención temprana según corresponda (incluyendo la detección de discapacidad en la infancia y la </w:t>
      </w:r>
      <w:r w:rsidRPr="007244A9">
        <w:rPr>
          <w:iCs/>
          <w:sz w:val="18"/>
          <w:szCs w:val="18"/>
        </w:rPr>
        <w:t xml:space="preserve">planificación para la prestación de servicios específicos como fisioterapia, terapia ocupacional, terapia del habla, comunicación en lenguaje de señas, estimulación en la infancia, etc., y la provisión de </w:t>
      </w:r>
      <w:r>
        <w:rPr>
          <w:iCs/>
          <w:sz w:val="18"/>
          <w:szCs w:val="18"/>
        </w:rPr>
        <w:t xml:space="preserve">dispositivos y tecnologías de apoyo para la </w:t>
      </w:r>
      <w:r w:rsidRPr="007244A9">
        <w:rPr>
          <w:iCs/>
          <w:sz w:val="18"/>
          <w:szCs w:val="18"/>
        </w:rPr>
        <w:t>movilidad</w:t>
      </w:r>
      <w:r>
        <w:rPr>
          <w:iCs/>
          <w:sz w:val="18"/>
          <w:szCs w:val="18"/>
        </w:rPr>
        <w:t>, visión, audición, comunicación y auto cuidado</w:t>
      </w:r>
      <w:r w:rsidRPr="007244A9">
        <w:rPr>
          <w:iCs/>
          <w:sz w:val="18"/>
          <w:szCs w:val="18"/>
        </w:rPr>
        <w:t>)</w:t>
      </w:r>
      <w:r w:rsidRPr="007244A9">
        <w:rPr>
          <w:sz w:val="18"/>
          <w:szCs w:val="18"/>
        </w:rPr>
        <w:t xml:space="preserve">; </w:t>
      </w:r>
    </w:p>
    <w:p w14:paraId="4288906C" w14:textId="77777777" w:rsidR="00801563" w:rsidRPr="007244A9" w:rsidRDefault="00801563" w:rsidP="007244A9">
      <w:pPr>
        <w:pStyle w:val="ListParagraph"/>
        <w:numPr>
          <w:ilvl w:val="0"/>
          <w:numId w:val="12"/>
        </w:numPr>
        <w:spacing w:after="0" w:line="240" w:lineRule="auto"/>
        <w:ind w:left="709" w:hanging="357"/>
        <w:jc w:val="both"/>
        <w:rPr>
          <w:rFonts w:cstheme="minorHAnsi"/>
          <w:sz w:val="18"/>
          <w:szCs w:val="18"/>
        </w:rPr>
      </w:pPr>
      <w:r w:rsidRPr="007244A9">
        <w:rPr>
          <w:sz w:val="18"/>
          <w:szCs w:val="18"/>
        </w:rPr>
        <w:t>servicios que aborden la minimización y prevención de nuevas deficiencias;</w:t>
      </w:r>
    </w:p>
    <w:p w14:paraId="0C1950D6" w14:textId="77777777" w:rsidR="00801563" w:rsidRPr="000A7D3D" w:rsidRDefault="00801563" w:rsidP="000A7D3D">
      <w:pPr>
        <w:pStyle w:val="ListParagraph"/>
        <w:numPr>
          <w:ilvl w:val="0"/>
          <w:numId w:val="12"/>
        </w:numPr>
        <w:spacing w:after="0" w:line="240" w:lineRule="auto"/>
        <w:ind w:left="709" w:hanging="357"/>
        <w:jc w:val="both"/>
        <w:rPr>
          <w:rFonts w:cstheme="minorHAnsi"/>
          <w:sz w:val="18"/>
          <w:szCs w:val="18"/>
        </w:rPr>
      </w:pPr>
      <w:r w:rsidRPr="007244A9">
        <w:rPr>
          <w:sz w:val="18"/>
          <w:szCs w:val="18"/>
        </w:rPr>
        <w:t xml:space="preserve">abarcar todos los ámbitos de la salud, incluida la salud sexual y reproductiva, VIH/SIDA, la salud de los adolescentes y las personas </w:t>
      </w:r>
      <w:r>
        <w:rPr>
          <w:sz w:val="18"/>
          <w:szCs w:val="18"/>
        </w:rPr>
        <w:t>de edad y servicios de salud mental</w:t>
      </w:r>
      <w:r w:rsidRPr="007244A9">
        <w:rPr>
          <w:sz w:val="18"/>
          <w:szCs w:val="18"/>
        </w:rPr>
        <w:t>.</w:t>
      </w:r>
      <w:r>
        <w:rPr>
          <w:sz w:val="18"/>
          <w:szCs w:val="18"/>
        </w:rPr>
        <w:t xml:space="preserve"> L</w:t>
      </w:r>
      <w:r w:rsidRPr="007244A9">
        <w:rPr>
          <w:sz w:val="18"/>
          <w:szCs w:val="18"/>
        </w:rPr>
        <w:t xml:space="preserve">os servicios de salud mental deben prestarse como un servicio </w:t>
      </w:r>
      <w:r>
        <w:rPr>
          <w:sz w:val="18"/>
          <w:szCs w:val="18"/>
        </w:rPr>
        <w:t>general disponible para todas las</w:t>
      </w:r>
      <w:r w:rsidRPr="007244A9">
        <w:rPr>
          <w:sz w:val="18"/>
          <w:szCs w:val="18"/>
        </w:rPr>
        <w:t xml:space="preserve"> </w:t>
      </w:r>
      <w:r>
        <w:rPr>
          <w:sz w:val="18"/>
          <w:szCs w:val="18"/>
        </w:rPr>
        <w:t>personas</w:t>
      </w:r>
      <w:r w:rsidRPr="007244A9">
        <w:rPr>
          <w:sz w:val="18"/>
          <w:szCs w:val="18"/>
        </w:rPr>
        <w:t>, incluidas las personas con cualquier tipo de discapacidad, y como un servicio específico para las personas con discapacidad psicosocial. Estos servicios deben basarse en el consentimiento libre e informado de la persona interesada y deben incluir</w:t>
      </w:r>
      <w:r>
        <w:rPr>
          <w:sz w:val="18"/>
          <w:szCs w:val="18"/>
        </w:rPr>
        <w:t xml:space="preserve"> una amplia gama de alternativas a los servicios convencionales, incluyendo apoyo entre pares,</w:t>
      </w:r>
      <w:r w:rsidRPr="007244A9">
        <w:rPr>
          <w:sz w:val="18"/>
          <w:szCs w:val="18"/>
        </w:rPr>
        <w:t xml:space="preserve"> apoyo en caso de crisis, psicoterapia y asesoramiento (incluido el asesoramiento sobre traumas), etc</w:t>
      </w:r>
      <w:r>
        <w:rPr>
          <w:sz w:val="18"/>
          <w:szCs w:val="18"/>
        </w:rPr>
        <w:t>.</w:t>
      </w:r>
    </w:p>
  </w:endnote>
  <w:endnote w:id="3">
    <w:p w14:paraId="423ECDCD" w14:textId="77777777" w:rsidR="00801563" w:rsidRPr="007244A9" w:rsidRDefault="00801563" w:rsidP="007244A9">
      <w:pPr>
        <w:pStyle w:val="EndnoteText"/>
        <w:jc w:val="both"/>
        <w:rPr>
          <w:rFonts w:cstheme="minorHAnsi"/>
          <w:sz w:val="18"/>
          <w:szCs w:val="18"/>
        </w:rPr>
      </w:pPr>
      <w:r w:rsidRPr="007244A9">
        <w:rPr>
          <w:rStyle w:val="EndnoteReference"/>
          <w:rFonts w:cstheme="minorHAnsi"/>
          <w:sz w:val="18"/>
          <w:szCs w:val="18"/>
        </w:rPr>
        <w:endnoteRef/>
      </w:r>
      <w:r w:rsidRPr="007244A9">
        <w:rPr>
          <w:sz w:val="18"/>
          <w:szCs w:val="18"/>
        </w:rPr>
        <w:t xml:space="preserve"> La </w:t>
      </w:r>
      <w:r>
        <w:rPr>
          <w:sz w:val="18"/>
          <w:szCs w:val="18"/>
        </w:rPr>
        <w:t>implementación</w:t>
      </w:r>
      <w:r w:rsidRPr="007244A9">
        <w:rPr>
          <w:sz w:val="18"/>
          <w:szCs w:val="18"/>
        </w:rPr>
        <w:t xml:space="preserve"> de la cobertura universal de salud -desde paquetes de servicios esenciales de salud hasta reformas de la financiación de la salud- debería incluir toda la gama de servicios de sanidad que puedan necesitar las personas con discapacidad, incluidas la habilitación y rehabilitación relacionadas con la salud, los dispositivos de asistencia y las tecnologías.</w:t>
      </w:r>
    </w:p>
  </w:endnote>
  <w:endnote w:id="4">
    <w:p w14:paraId="7E6A03D1" w14:textId="77777777" w:rsidR="00801563" w:rsidRPr="003D7658" w:rsidRDefault="00801563" w:rsidP="007244A9">
      <w:pPr>
        <w:pStyle w:val="EndnoteText"/>
        <w:jc w:val="both"/>
        <w:rPr>
          <w:sz w:val="18"/>
          <w:szCs w:val="18"/>
        </w:rPr>
      </w:pPr>
      <w:r w:rsidRPr="007244A9">
        <w:rPr>
          <w:rStyle w:val="EndnoteReference"/>
          <w:rFonts w:cstheme="minorHAnsi"/>
          <w:sz w:val="18"/>
          <w:szCs w:val="18"/>
        </w:rPr>
        <w:endnoteRef/>
      </w:r>
      <w:r w:rsidRPr="007244A9">
        <w:rPr>
          <w:sz w:val="18"/>
          <w:szCs w:val="18"/>
        </w:rPr>
        <w:t xml:space="preserve"> </w:t>
      </w:r>
      <w:r>
        <w:rPr>
          <w:sz w:val="18"/>
          <w:szCs w:val="18"/>
        </w:rPr>
        <w:t>L</w:t>
      </w:r>
      <w:r w:rsidRPr="007244A9">
        <w:rPr>
          <w:sz w:val="18"/>
          <w:szCs w:val="18"/>
        </w:rPr>
        <w:t xml:space="preserve">os proveedores de atención sanitaria </w:t>
      </w:r>
      <w:r>
        <w:rPr>
          <w:sz w:val="18"/>
          <w:szCs w:val="18"/>
        </w:rPr>
        <w:t>deben</w:t>
      </w:r>
      <w:r w:rsidRPr="007244A9">
        <w:rPr>
          <w:sz w:val="18"/>
          <w:szCs w:val="18"/>
        </w:rPr>
        <w:t xml:space="preserve"> diri</w:t>
      </w:r>
      <w:r>
        <w:rPr>
          <w:sz w:val="18"/>
          <w:szCs w:val="18"/>
        </w:rPr>
        <w:t>girse</w:t>
      </w:r>
      <w:r w:rsidRPr="007244A9">
        <w:rPr>
          <w:sz w:val="18"/>
          <w:szCs w:val="18"/>
        </w:rPr>
        <w:t xml:space="preserve"> directamente a las personas con discapacidad </w:t>
      </w:r>
      <w:r>
        <w:rPr>
          <w:sz w:val="18"/>
          <w:szCs w:val="18"/>
        </w:rPr>
        <w:t>al</w:t>
      </w:r>
      <w:r w:rsidRPr="007244A9">
        <w:rPr>
          <w:sz w:val="18"/>
          <w:szCs w:val="18"/>
        </w:rPr>
        <w:t xml:space="preserve"> hablar de su atención </w:t>
      </w:r>
      <w:r>
        <w:rPr>
          <w:sz w:val="18"/>
          <w:szCs w:val="18"/>
        </w:rPr>
        <w:t xml:space="preserve">sanitaria </w:t>
      </w:r>
      <w:r w:rsidRPr="007244A9">
        <w:rPr>
          <w:sz w:val="18"/>
          <w:szCs w:val="18"/>
        </w:rPr>
        <w:t xml:space="preserve">y buscar el consentimiento libre e informado, respetando al mismo tiempo la participación de las personas escogidas </w:t>
      </w:r>
      <w:r>
        <w:rPr>
          <w:sz w:val="18"/>
          <w:szCs w:val="18"/>
        </w:rPr>
        <w:t>como</w:t>
      </w:r>
      <w:r w:rsidRPr="007244A9">
        <w:rPr>
          <w:sz w:val="18"/>
          <w:szCs w:val="18"/>
        </w:rPr>
        <w:t xml:space="preserve"> apoyo</w:t>
      </w:r>
      <w:r>
        <w:rPr>
          <w:sz w:val="18"/>
          <w:szCs w:val="18"/>
        </w:rPr>
        <w:t>s</w:t>
      </w:r>
      <w:r w:rsidRPr="007244A9">
        <w:rPr>
          <w:sz w:val="18"/>
          <w:szCs w:val="18"/>
        </w:rPr>
        <w:t>.</w:t>
      </w:r>
      <w:r>
        <w:rPr>
          <w:sz w:val="18"/>
          <w:szCs w:val="18"/>
        </w:rPr>
        <w:t xml:space="preserve"> </w:t>
      </w:r>
      <w:r w:rsidRPr="00587105">
        <w:rPr>
          <w:sz w:val="18"/>
          <w:szCs w:val="18"/>
        </w:rPr>
        <w:t xml:space="preserve">Las </w:t>
      </w:r>
      <w:r>
        <w:rPr>
          <w:sz w:val="18"/>
          <w:szCs w:val="18"/>
        </w:rPr>
        <w:t>directivas</w:t>
      </w:r>
      <w:r w:rsidRPr="00587105">
        <w:rPr>
          <w:sz w:val="18"/>
          <w:szCs w:val="18"/>
        </w:rPr>
        <w:t xml:space="preserve"> </w:t>
      </w:r>
      <w:r>
        <w:rPr>
          <w:sz w:val="18"/>
          <w:szCs w:val="18"/>
        </w:rPr>
        <w:t>anticipadas</w:t>
      </w:r>
      <w:r w:rsidRPr="00587105">
        <w:rPr>
          <w:sz w:val="18"/>
          <w:szCs w:val="18"/>
        </w:rPr>
        <w:t xml:space="preserve"> y los poderes se aceptarán como medidas de apoyo con sujeción al derecho de la persona a revocarlos en cualquier momento como ejercicio de su capacidad jurídica. Cuando, a pesar de importantes esfuerzos, se demuestre que no es factible obtener la voluntad de una persona, se establecerán protocolos para determinar la mejor interpretación de la voluntad y las preferencias de la persona sobre la base de pruebas (incluida "</w:t>
      </w:r>
      <w:r>
        <w:rPr>
          <w:rFonts w:cstheme="minorHAnsi"/>
          <w:sz w:val="18"/>
          <w:szCs w:val="18"/>
        </w:rPr>
        <w:t>tener</w:t>
      </w:r>
      <w:r w:rsidRPr="003D7658">
        <w:rPr>
          <w:rFonts w:cstheme="minorHAnsi"/>
          <w:sz w:val="18"/>
          <w:szCs w:val="18"/>
        </w:rPr>
        <w:t xml:space="preserve"> en</w:t>
      </w:r>
      <w:r>
        <w:rPr>
          <w:rFonts w:cstheme="minorHAnsi"/>
          <w:sz w:val="18"/>
          <w:szCs w:val="18"/>
        </w:rPr>
        <w:t xml:space="preserve"> cuenta las preferencias, los</w:t>
      </w:r>
      <w:r w:rsidRPr="003D7658">
        <w:rPr>
          <w:rFonts w:cstheme="minorHAnsi"/>
          <w:sz w:val="18"/>
          <w:szCs w:val="18"/>
        </w:rPr>
        <w:t xml:space="preserve"> valores, las actitudes, los argumentos y los hechos anteriores, incluidas</w:t>
      </w:r>
      <w:r>
        <w:rPr>
          <w:rFonts w:cstheme="minorHAnsi"/>
          <w:sz w:val="18"/>
          <w:szCs w:val="18"/>
        </w:rPr>
        <w:t xml:space="preserve"> las formas de comunicación verbales o</w:t>
      </w:r>
      <w:r w:rsidRPr="003D7658">
        <w:rPr>
          <w:rFonts w:cstheme="minorHAnsi"/>
          <w:sz w:val="18"/>
          <w:szCs w:val="18"/>
        </w:rPr>
        <w:t xml:space="preserve"> no verbales, de la persona concernida</w:t>
      </w:r>
      <w:r>
        <w:rPr>
          <w:sz w:val="18"/>
          <w:szCs w:val="18"/>
        </w:rPr>
        <w:t xml:space="preserve">", </w:t>
      </w:r>
      <w:hyperlink r:id="rId1" w:history="1">
        <w:r w:rsidRPr="003D7658">
          <w:rPr>
            <w:rStyle w:val="Hyperlink"/>
            <w:sz w:val="18"/>
            <w:szCs w:val="18"/>
          </w:rPr>
          <w:t>A/H</w:t>
        </w:r>
        <w:bookmarkStart w:id="0" w:name="_GoBack"/>
        <w:bookmarkEnd w:id="0"/>
        <w:r w:rsidRPr="003D7658">
          <w:rPr>
            <w:rStyle w:val="Hyperlink"/>
            <w:sz w:val="18"/>
            <w:szCs w:val="18"/>
          </w:rPr>
          <w:t>RC/37/56</w:t>
        </w:r>
      </w:hyperlink>
      <w:r>
        <w:rPr>
          <w:sz w:val="18"/>
          <w:szCs w:val="18"/>
        </w:rPr>
        <w:t>, párr</w:t>
      </w:r>
      <w:r w:rsidRPr="00587105">
        <w:rPr>
          <w:sz w:val="18"/>
          <w:szCs w:val="18"/>
        </w:rPr>
        <w:t>. 31), y con sujeción a su corrección mediante posteriores expresiones de voluntad o toma de decisiones por parte de la persona (obtenidas o no mediante medidas de apoyo).</w:t>
      </w:r>
    </w:p>
  </w:endnote>
  <w:endnote w:id="5">
    <w:p w14:paraId="44215AAB" w14:textId="77777777" w:rsidR="00801563" w:rsidRPr="007244A9" w:rsidRDefault="00801563" w:rsidP="007244A9">
      <w:pPr>
        <w:pStyle w:val="EndnoteText"/>
        <w:jc w:val="both"/>
        <w:rPr>
          <w:rFonts w:cstheme="minorHAnsi"/>
          <w:sz w:val="18"/>
          <w:szCs w:val="18"/>
        </w:rPr>
      </w:pPr>
      <w:r w:rsidRPr="007244A9">
        <w:rPr>
          <w:rStyle w:val="EndnoteReference"/>
          <w:rFonts w:cstheme="minorHAnsi"/>
          <w:sz w:val="18"/>
          <w:szCs w:val="18"/>
        </w:rPr>
        <w:endnoteRef/>
      </w:r>
      <w:r w:rsidRPr="007244A9">
        <w:rPr>
          <w:sz w:val="18"/>
          <w:szCs w:val="18"/>
        </w:rPr>
        <w:t xml:space="preserve"> Esto incluye salud, salud mental, familia, derecho civil y penal.</w:t>
      </w:r>
    </w:p>
  </w:endnote>
  <w:endnote w:id="6">
    <w:p w14:paraId="4EA021C5" w14:textId="77777777" w:rsidR="00801563" w:rsidRPr="007244A9" w:rsidRDefault="00801563" w:rsidP="007244A9">
      <w:pPr>
        <w:pStyle w:val="EndnoteText"/>
        <w:jc w:val="both"/>
        <w:rPr>
          <w:rFonts w:cstheme="minorHAnsi"/>
          <w:sz w:val="18"/>
          <w:szCs w:val="18"/>
        </w:rPr>
      </w:pPr>
      <w:r w:rsidRPr="007244A9">
        <w:rPr>
          <w:rStyle w:val="EndnoteReference"/>
          <w:rFonts w:cstheme="minorHAnsi"/>
          <w:sz w:val="18"/>
          <w:szCs w:val="18"/>
        </w:rPr>
        <w:endnoteRef/>
      </w:r>
      <w:r w:rsidRPr="007244A9">
        <w:rPr>
          <w:sz w:val="18"/>
          <w:szCs w:val="18"/>
        </w:rPr>
        <w:t xml:space="preserve"> Un tercero </w:t>
      </w:r>
      <w:r>
        <w:rPr>
          <w:sz w:val="18"/>
          <w:szCs w:val="18"/>
        </w:rPr>
        <w:t>puede ser</w:t>
      </w:r>
      <w:r w:rsidRPr="007244A9">
        <w:rPr>
          <w:sz w:val="18"/>
          <w:szCs w:val="18"/>
        </w:rPr>
        <w:t xml:space="preserve"> cualquier miembro de la familia, tutor, trabajador o profesional del ámbito social o sanitario.</w:t>
      </w:r>
    </w:p>
  </w:endnote>
  <w:endnote w:id="7">
    <w:p w14:paraId="703C5FA0" w14:textId="77777777" w:rsidR="00801563" w:rsidRPr="007244A9" w:rsidRDefault="00801563" w:rsidP="007244A9">
      <w:pPr>
        <w:pStyle w:val="EndnoteText"/>
        <w:jc w:val="both"/>
        <w:rPr>
          <w:rFonts w:cstheme="minorHAnsi"/>
          <w:sz w:val="18"/>
          <w:szCs w:val="18"/>
        </w:rPr>
      </w:pPr>
      <w:r w:rsidRPr="007244A9">
        <w:rPr>
          <w:rStyle w:val="EndnoteReference"/>
          <w:rFonts w:cstheme="minorHAnsi"/>
          <w:sz w:val="18"/>
          <w:szCs w:val="18"/>
        </w:rPr>
        <w:endnoteRef/>
      </w:r>
      <w:r w:rsidRPr="007244A9">
        <w:rPr>
          <w:sz w:val="18"/>
          <w:szCs w:val="18"/>
        </w:rPr>
        <w:t xml:space="preserve"> Por ejemplo, esterilización, aborto, etc.</w:t>
      </w:r>
    </w:p>
  </w:endnote>
  <w:endnote w:id="8">
    <w:p w14:paraId="572D6DE4" w14:textId="77777777" w:rsidR="00801563" w:rsidRPr="007244A9" w:rsidRDefault="00801563" w:rsidP="007244A9">
      <w:pPr>
        <w:pStyle w:val="EndnoteText"/>
        <w:jc w:val="both"/>
        <w:rPr>
          <w:rFonts w:cstheme="minorHAnsi"/>
          <w:sz w:val="18"/>
          <w:szCs w:val="18"/>
        </w:rPr>
      </w:pPr>
      <w:r w:rsidRPr="007244A9">
        <w:rPr>
          <w:rStyle w:val="EndnoteReference"/>
          <w:rFonts w:cstheme="minorHAnsi"/>
          <w:sz w:val="18"/>
          <w:szCs w:val="18"/>
        </w:rPr>
        <w:endnoteRef/>
      </w:r>
      <w:r w:rsidRPr="007244A9">
        <w:rPr>
          <w:sz w:val="18"/>
          <w:szCs w:val="18"/>
        </w:rPr>
        <w:t xml:space="preserve"> Por ejemplo, anticonceptivos, neurolépticos, medicamentos que atenúan el crecimiento</w:t>
      </w:r>
      <w:r>
        <w:rPr>
          <w:sz w:val="18"/>
          <w:szCs w:val="18"/>
        </w:rPr>
        <w:t xml:space="preserve"> o alterar el estado mental, etc</w:t>
      </w:r>
      <w:r w:rsidRPr="007244A9">
        <w:rPr>
          <w:sz w:val="18"/>
          <w:szCs w:val="18"/>
        </w:rPr>
        <w:t>.</w:t>
      </w:r>
    </w:p>
  </w:endnote>
  <w:endnote w:id="9">
    <w:p w14:paraId="04DDABE8" w14:textId="77777777" w:rsidR="00801563" w:rsidRPr="007244A9" w:rsidRDefault="00801563" w:rsidP="007244A9">
      <w:pPr>
        <w:pStyle w:val="EndnoteText"/>
        <w:jc w:val="both"/>
        <w:rPr>
          <w:rFonts w:cstheme="minorHAnsi"/>
          <w:sz w:val="18"/>
          <w:szCs w:val="18"/>
        </w:rPr>
      </w:pPr>
      <w:r w:rsidRPr="007244A9">
        <w:rPr>
          <w:rStyle w:val="EndnoteReference"/>
          <w:rFonts w:cstheme="minorHAnsi"/>
          <w:sz w:val="18"/>
          <w:szCs w:val="18"/>
        </w:rPr>
        <w:endnoteRef/>
      </w:r>
      <w:r w:rsidRPr="007244A9">
        <w:rPr>
          <w:sz w:val="18"/>
          <w:szCs w:val="18"/>
        </w:rPr>
        <w:t xml:space="preserve"> </w:t>
      </w:r>
      <w:r>
        <w:rPr>
          <w:sz w:val="18"/>
          <w:szCs w:val="18"/>
        </w:rPr>
        <w:t>Habitaciones</w:t>
      </w:r>
      <w:r w:rsidRPr="007244A9">
        <w:rPr>
          <w:sz w:val="18"/>
          <w:szCs w:val="18"/>
        </w:rPr>
        <w:t xml:space="preserve"> </w:t>
      </w:r>
      <w:r>
        <w:rPr>
          <w:sz w:val="18"/>
          <w:szCs w:val="18"/>
        </w:rPr>
        <w:t>para</w:t>
      </w:r>
      <w:r w:rsidRPr="007244A9">
        <w:rPr>
          <w:sz w:val="18"/>
          <w:szCs w:val="18"/>
        </w:rPr>
        <w:t xml:space="preserve"> consulta, tratamiento y operación, aseos, zonas de espera.</w:t>
      </w:r>
    </w:p>
  </w:endnote>
  <w:endnote w:id="10">
    <w:p w14:paraId="4718A239" w14:textId="77777777" w:rsidR="00801563" w:rsidRPr="007244A9" w:rsidRDefault="00801563" w:rsidP="007244A9">
      <w:pPr>
        <w:pStyle w:val="EndnoteText"/>
        <w:jc w:val="both"/>
        <w:rPr>
          <w:rFonts w:cstheme="minorHAnsi"/>
          <w:sz w:val="18"/>
          <w:szCs w:val="18"/>
        </w:rPr>
      </w:pPr>
      <w:r w:rsidRPr="007244A9">
        <w:rPr>
          <w:rStyle w:val="EndnoteReference"/>
          <w:rFonts w:cstheme="minorHAnsi"/>
          <w:sz w:val="18"/>
          <w:szCs w:val="18"/>
        </w:rPr>
        <w:endnoteRef/>
      </w:r>
      <w:r w:rsidRPr="007244A9">
        <w:rPr>
          <w:sz w:val="18"/>
          <w:szCs w:val="18"/>
        </w:rPr>
        <w:t xml:space="preserve"> </w:t>
      </w:r>
      <w:r>
        <w:rPr>
          <w:sz w:val="18"/>
          <w:szCs w:val="18"/>
        </w:rPr>
        <w:t>Entre otros</w:t>
      </w:r>
      <w:r w:rsidRPr="007244A9">
        <w:rPr>
          <w:sz w:val="18"/>
          <w:szCs w:val="18"/>
        </w:rPr>
        <w:t xml:space="preserve">, </w:t>
      </w:r>
      <w:r>
        <w:rPr>
          <w:sz w:val="18"/>
          <w:szCs w:val="18"/>
        </w:rPr>
        <w:t xml:space="preserve">información para pacientes en lenguajes accesibles, como </w:t>
      </w:r>
      <w:r w:rsidRPr="007244A9">
        <w:rPr>
          <w:sz w:val="18"/>
          <w:szCs w:val="18"/>
        </w:rPr>
        <w:t xml:space="preserve">lenguaje de señas </w:t>
      </w:r>
      <w:r>
        <w:rPr>
          <w:sz w:val="18"/>
          <w:szCs w:val="18"/>
        </w:rPr>
        <w:t xml:space="preserve">o idiomas indígenas/minoritarios, </w:t>
      </w:r>
      <w:r w:rsidRPr="007244A9">
        <w:rPr>
          <w:sz w:val="18"/>
          <w:szCs w:val="18"/>
        </w:rPr>
        <w:t>Braille</w:t>
      </w:r>
      <w:r>
        <w:rPr>
          <w:sz w:val="18"/>
          <w:szCs w:val="18"/>
        </w:rPr>
        <w:t>, etc. e interpretación en lenguaje de señas o idiomas indígenas/minoritarios</w:t>
      </w:r>
      <w:r w:rsidRPr="007244A9">
        <w:rPr>
          <w:sz w:val="18"/>
          <w:szCs w:val="18"/>
        </w:rPr>
        <w:t>.</w:t>
      </w:r>
    </w:p>
  </w:endnote>
  <w:endnote w:id="11">
    <w:p w14:paraId="17142E5D" w14:textId="77777777" w:rsidR="00801563" w:rsidRPr="007244A9" w:rsidRDefault="00801563" w:rsidP="007244A9">
      <w:pPr>
        <w:pStyle w:val="EndnoteText"/>
        <w:jc w:val="both"/>
        <w:rPr>
          <w:rFonts w:cstheme="minorHAnsi"/>
          <w:sz w:val="18"/>
          <w:szCs w:val="18"/>
        </w:rPr>
      </w:pPr>
      <w:r w:rsidRPr="007244A9">
        <w:rPr>
          <w:rStyle w:val="EndnoteReference"/>
          <w:rFonts w:cstheme="minorHAnsi"/>
          <w:sz w:val="18"/>
          <w:szCs w:val="18"/>
        </w:rPr>
        <w:endnoteRef/>
      </w:r>
      <w:r w:rsidRPr="007244A9">
        <w:rPr>
          <w:sz w:val="18"/>
          <w:szCs w:val="18"/>
        </w:rPr>
        <w:t xml:space="preserve"> El protocolo debería:</w:t>
      </w:r>
    </w:p>
    <w:p w14:paraId="7C436E76" w14:textId="77777777" w:rsidR="00801563" w:rsidRPr="00863272" w:rsidRDefault="00801563" w:rsidP="007244A9">
      <w:pPr>
        <w:pStyle w:val="ListParagraph"/>
        <w:numPr>
          <w:ilvl w:val="0"/>
          <w:numId w:val="4"/>
        </w:numPr>
        <w:spacing w:after="0" w:line="240" w:lineRule="auto"/>
        <w:jc w:val="both"/>
        <w:rPr>
          <w:rFonts w:cstheme="minorHAnsi"/>
          <w:sz w:val="18"/>
          <w:szCs w:val="18"/>
        </w:rPr>
      </w:pPr>
      <w:r>
        <w:rPr>
          <w:rFonts w:cstheme="minorHAnsi"/>
          <w:sz w:val="18"/>
          <w:szCs w:val="18"/>
        </w:rPr>
        <w:t>incluir explícitamente a las personas con discapacidad;</w:t>
      </w:r>
    </w:p>
    <w:p w14:paraId="41F1AC6A" w14:textId="77777777" w:rsidR="00801563" w:rsidRPr="007244A9" w:rsidRDefault="00801563" w:rsidP="007244A9">
      <w:pPr>
        <w:pStyle w:val="ListParagraph"/>
        <w:numPr>
          <w:ilvl w:val="0"/>
          <w:numId w:val="4"/>
        </w:numPr>
        <w:spacing w:after="0" w:line="240" w:lineRule="auto"/>
        <w:jc w:val="both"/>
        <w:rPr>
          <w:rFonts w:cstheme="minorHAnsi"/>
          <w:sz w:val="18"/>
          <w:szCs w:val="18"/>
        </w:rPr>
      </w:pPr>
      <w:r w:rsidRPr="007244A9">
        <w:rPr>
          <w:sz w:val="18"/>
          <w:szCs w:val="18"/>
        </w:rPr>
        <w:t>prohibir el tratamiento no consentido y el consentimiento proporcionado por un tercero;</w:t>
      </w:r>
    </w:p>
    <w:p w14:paraId="6F70289C" w14:textId="77777777" w:rsidR="00801563" w:rsidRPr="007244A9" w:rsidRDefault="00801563" w:rsidP="007244A9">
      <w:pPr>
        <w:pStyle w:val="ListParagraph"/>
        <w:numPr>
          <w:ilvl w:val="0"/>
          <w:numId w:val="4"/>
        </w:numPr>
        <w:spacing w:after="0" w:line="240" w:lineRule="auto"/>
        <w:jc w:val="both"/>
        <w:rPr>
          <w:rFonts w:cstheme="minorHAnsi"/>
          <w:sz w:val="18"/>
          <w:szCs w:val="18"/>
        </w:rPr>
      </w:pPr>
      <w:r w:rsidRPr="007244A9">
        <w:rPr>
          <w:sz w:val="18"/>
          <w:szCs w:val="18"/>
        </w:rPr>
        <w:t>reconocer y garantizar la prestación de un apoyo que respete la autonomía, la voluntad y las preferencias del individuo;</w:t>
      </w:r>
    </w:p>
    <w:p w14:paraId="3CD2DB2A" w14:textId="77777777" w:rsidR="00801563" w:rsidRPr="007244A9" w:rsidRDefault="00801563" w:rsidP="007244A9">
      <w:pPr>
        <w:pStyle w:val="ListParagraph"/>
        <w:numPr>
          <w:ilvl w:val="0"/>
          <w:numId w:val="4"/>
        </w:numPr>
        <w:spacing w:after="0" w:line="240" w:lineRule="auto"/>
        <w:jc w:val="both"/>
        <w:rPr>
          <w:rFonts w:cstheme="minorHAnsi"/>
          <w:sz w:val="18"/>
          <w:szCs w:val="18"/>
        </w:rPr>
      </w:pPr>
      <w:r w:rsidRPr="007244A9">
        <w:rPr>
          <w:sz w:val="18"/>
          <w:szCs w:val="18"/>
        </w:rPr>
        <w:t>reconocer y poner a disposición métodos de comunicación accesibles y alternativos;</w:t>
      </w:r>
    </w:p>
    <w:p w14:paraId="002EA2B8" w14:textId="77777777" w:rsidR="00801563" w:rsidRPr="00863272" w:rsidRDefault="00801563" w:rsidP="007244A9">
      <w:pPr>
        <w:pStyle w:val="ListParagraph"/>
        <w:numPr>
          <w:ilvl w:val="0"/>
          <w:numId w:val="4"/>
        </w:numPr>
        <w:spacing w:after="0" w:line="240" w:lineRule="auto"/>
        <w:ind w:left="714" w:hanging="357"/>
        <w:jc w:val="both"/>
        <w:rPr>
          <w:rFonts w:cstheme="minorHAnsi"/>
          <w:sz w:val="18"/>
          <w:szCs w:val="18"/>
        </w:rPr>
      </w:pPr>
      <w:r w:rsidRPr="007244A9">
        <w:rPr>
          <w:sz w:val="18"/>
          <w:szCs w:val="18"/>
        </w:rPr>
        <w:t>reconocer en todo momento las directivas de salud anticipadas/instrumentos de planificación sujetos al ejercicio de la capacidad jurídica de la persona</w:t>
      </w:r>
      <w:r>
        <w:rPr>
          <w:sz w:val="18"/>
          <w:szCs w:val="18"/>
        </w:rPr>
        <w:t xml:space="preserve"> en cualquier momento</w:t>
      </w:r>
      <w:r w:rsidRPr="007244A9">
        <w:rPr>
          <w:sz w:val="18"/>
          <w:szCs w:val="18"/>
        </w:rPr>
        <w:t>.</w:t>
      </w:r>
    </w:p>
    <w:p w14:paraId="182512C3" w14:textId="77777777" w:rsidR="00801563" w:rsidRPr="007244A9" w:rsidRDefault="00801563" w:rsidP="00587105">
      <w:pPr>
        <w:pStyle w:val="ListParagraph"/>
        <w:numPr>
          <w:ilvl w:val="0"/>
          <w:numId w:val="4"/>
        </w:numPr>
        <w:spacing w:after="0" w:line="240" w:lineRule="auto"/>
        <w:jc w:val="both"/>
        <w:rPr>
          <w:rFonts w:cstheme="minorHAnsi"/>
          <w:sz w:val="18"/>
          <w:szCs w:val="18"/>
        </w:rPr>
      </w:pPr>
      <w:r w:rsidRPr="00587105">
        <w:rPr>
          <w:rFonts w:cstheme="minorHAnsi"/>
          <w:sz w:val="18"/>
          <w:szCs w:val="18"/>
        </w:rPr>
        <w:t>garantizar que cuando no haya sido posible obtener la expresión de la voluntad de la persona, a pesar de esfuerzos significativos, la mejor interpretación de la voluntad y las preferencias determinará el curso de la acción y n</w:t>
      </w:r>
      <w:r>
        <w:rPr>
          <w:rFonts w:cstheme="minorHAnsi"/>
          <w:sz w:val="18"/>
          <w:szCs w:val="18"/>
        </w:rPr>
        <w:t xml:space="preserve">o la norma del "mejor interés" </w:t>
      </w:r>
      <w:r w:rsidRPr="00587105">
        <w:rPr>
          <w:rFonts w:cstheme="minorHAnsi"/>
          <w:sz w:val="18"/>
          <w:szCs w:val="18"/>
        </w:rPr>
        <w:t>(</w:t>
      </w:r>
      <w:r>
        <w:rPr>
          <w:rFonts w:cstheme="minorHAnsi"/>
          <w:sz w:val="18"/>
          <w:szCs w:val="18"/>
        </w:rPr>
        <w:t>v</w:t>
      </w:r>
      <w:r w:rsidRPr="00587105">
        <w:rPr>
          <w:rFonts w:cstheme="minorHAnsi"/>
          <w:sz w:val="18"/>
          <w:szCs w:val="18"/>
        </w:rPr>
        <w:t xml:space="preserve">éase la </w:t>
      </w:r>
      <w:hyperlink r:id="rId2" w:history="1">
        <w:r w:rsidRPr="003D7658">
          <w:rPr>
            <w:rStyle w:val="Hyperlink"/>
            <w:rFonts w:cstheme="minorHAnsi"/>
            <w:sz w:val="18"/>
            <w:szCs w:val="18"/>
          </w:rPr>
          <w:t>Observación General nº 1</w:t>
        </w:r>
      </w:hyperlink>
      <w:r w:rsidRPr="00587105">
        <w:rPr>
          <w:rFonts w:cstheme="minorHAnsi"/>
          <w:sz w:val="18"/>
          <w:szCs w:val="18"/>
        </w:rPr>
        <w:t xml:space="preserve"> del Comité de la CDPD sobre el artículo 12, reconocimiento </w:t>
      </w:r>
      <w:r>
        <w:rPr>
          <w:rFonts w:cstheme="minorHAnsi"/>
          <w:sz w:val="18"/>
          <w:szCs w:val="18"/>
        </w:rPr>
        <w:t xml:space="preserve">igualitario </w:t>
      </w:r>
      <w:r w:rsidRPr="00587105">
        <w:rPr>
          <w:rFonts w:cstheme="minorHAnsi"/>
          <w:sz w:val="18"/>
          <w:szCs w:val="18"/>
        </w:rPr>
        <w:t>ante la ley).</w:t>
      </w:r>
    </w:p>
  </w:endnote>
  <w:endnote w:id="12">
    <w:p w14:paraId="614D72DE" w14:textId="77777777" w:rsidR="00801563" w:rsidRPr="007244A9" w:rsidRDefault="00801563" w:rsidP="007244A9">
      <w:pPr>
        <w:pStyle w:val="EndnoteText"/>
        <w:jc w:val="both"/>
        <w:rPr>
          <w:rFonts w:cstheme="minorHAnsi"/>
          <w:sz w:val="18"/>
          <w:szCs w:val="18"/>
        </w:rPr>
      </w:pPr>
      <w:r w:rsidRPr="007244A9">
        <w:rPr>
          <w:rStyle w:val="EndnoteReference"/>
          <w:rFonts w:cstheme="minorHAnsi"/>
          <w:sz w:val="18"/>
          <w:szCs w:val="18"/>
        </w:rPr>
        <w:endnoteRef/>
      </w:r>
      <w:r w:rsidRPr="00D25F94">
        <w:rPr>
          <w:sz w:val="18"/>
          <w:szCs w:val="18"/>
        </w:rPr>
        <w:t xml:space="preserve">Esto se define como la cobertura promedio de servicios esenciales basados ​​en intervenciones </w:t>
      </w:r>
      <w:r>
        <w:rPr>
          <w:sz w:val="18"/>
          <w:szCs w:val="18"/>
        </w:rPr>
        <w:t xml:space="preserve">de seguimiento </w:t>
      </w:r>
      <w:r w:rsidRPr="00D25F94">
        <w:rPr>
          <w:sz w:val="18"/>
          <w:szCs w:val="18"/>
        </w:rPr>
        <w:t>que incluyen salud reproductiva, materna, neonatal e infantil, enfermedades infecciosas, enfermedades no transmisibles y capacidad y acceso a servicios, entre la población general y más desfavorecida.</w:t>
      </w:r>
    </w:p>
  </w:endnote>
  <w:endnote w:id="13">
    <w:p w14:paraId="733CA769" w14:textId="77777777" w:rsidR="00801563" w:rsidRPr="007244A9" w:rsidRDefault="00801563" w:rsidP="007244A9">
      <w:pPr>
        <w:pStyle w:val="EndnoteText"/>
        <w:jc w:val="both"/>
        <w:rPr>
          <w:rFonts w:cstheme="minorHAnsi"/>
          <w:sz w:val="18"/>
          <w:szCs w:val="18"/>
        </w:rPr>
      </w:pPr>
      <w:r w:rsidRPr="007244A9">
        <w:rPr>
          <w:rStyle w:val="EndnoteReference"/>
          <w:rFonts w:cstheme="minorHAnsi"/>
          <w:sz w:val="18"/>
          <w:szCs w:val="18"/>
        </w:rPr>
        <w:endnoteRef/>
      </w:r>
      <w:r w:rsidRPr="007244A9">
        <w:rPr>
          <w:sz w:val="18"/>
          <w:szCs w:val="18"/>
        </w:rPr>
        <w:t xml:space="preserve"> Véanse metadatos sobre el indicador ODS, </w:t>
      </w:r>
      <w:r>
        <w:rPr>
          <w:sz w:val="18"/>
          <w:szCs w:val="18"/>
        </w:rPr>
        <w:t xml:space="preserve">donde, bajo desglose, </w:t>
      </w:r>
      <w:r w:rsidRPr="007244A9">
        <w:rPr>
          <w:sz w:val="18"/>
          <w:szCs w:val="18"/>
        </w:rPr>
        <w:t>expone que</w:t>
      </w:r>
      <w:r>
        <w:rPr>
          <w:sz w:val="18"/>
          <w:szCs w:val="18"/>
        </w:rPr>
        <w:t>:</w:t>
      </w:r>
      <w:r w:rsidRPr="007244A9">
        <w:rPr>
          <w:sz w:val="18"/>
          <w:szCs w:val="18"/>
        </w:rPr>
        <w:t xml:space="preserve"> "La equidad es clave para la definición de la CSU, y por lo tanto el índice de cobertura de servicios de CSU debe utilizarse para comunicar información sobre desigualdades en la cobertura de servicios dentro de los países. Esto se puede llevar cabo presentando el índice desglosado entre población nacional y poblaciones desfavorecidas para resaltar las diferencias entre ellas".</w:t>
      </w:r>
    </w:p>
  </w:endnote>
  <w:endnote w:id="14">
    <w:p w14:paraId="78EF67B8" w14:textId="77777777" w:rsidR="00801563" w:rsidRPr="007244A9" w:rsidRDefault="00801563" w:rsidP="007244A9">
      <w:pPr>
        <w:pStyle w:val="EndnoteText"/>
        <w:jc w:val="both"/>
        <w:rPr>
          <w:rFonts w:cstheme="minorHAnsi"/>
          <w:sz w:val="18"/>
          <w:szCs w:val="18"/>
        </w:rPr>
      </w:pPr>
      <w:r w:rsidRPr="007244A9">
        <w:rPr>
          <w:rStyle w:val="EndnoteReference"/>
          <w:rFonts w:cstheme="minorHAnsi"/>
          <w:sz w:val="18"/>
          <w:szCs w:val="18"/>
        </w:rPr>
        <w:endnoteRef/>
      </w:r>
      <w:r w:rsidRPr="007244A9">
        <w:rPr>
          <w:sz w:val="18"/>
          <w:szCs w:val="18"/>
        </w:rPr>
        <w:t xml:space="preserve"> Este indicador requiere la verificación de las actividades concretas emprendidas por las autoridades públicas para involucrar a las personas con discapacidad en los procesos de toma de decisiones relacionados con cuestiones que les afectan directa o indirectamente, de conformidad con el artículo 4.3 de la CDPD</w:t>
      </w:r>
      <w:r>
        <w:rPr>
          <w:sz w:val="18"/>
          <w:szCs w:val="18"/>
        </w:rPr>
        <w:t xml:space="preserve"> y </w:t>
      </w:r>
      <w:hyperlink r:id="rId3" w:history="1">
        <w:r w:rsidRPr="003D7658">
          <w:rPr>
            <w:rStyle w:val="Hyperlink"/>
            <w:sz w:val="18"/>
            <w:szCs w:val="18"/>
          </w:rPr>
          <w:t>la Observación general N.º 7</w:t>
        </w:r>
      </w:hyperlink>
      <w:r>
        <w:rPr>
          <w:sz w:val="18"/>
          <w:szCs w:val="18"/>
        </w:rPr>
        <w:t xml:space="preserve"> del Comité</w:t>
      </w:r>
      <w:r w:rsidRPr="007244A9">
        <w:rPr>
          <w:sz w:val="18"/>
          <w:szCs w:val="18"/>
        </w:rPr>
        <w:t>, incluidas reuniones de consulta, sesiones informativas técnicas, encuestas de consulta en línea, solicitud de comentarios sobre proyectos de ley y políticas, entre otros métodos participativos. A este respecto, los Estados deben</w:t>
      </w:r>
      <w:r>
        <w:rPr>
          <w:sz w:val="18"/>
          <w:szCs w:val="18"/>
        </w:rPr>
        <w:t>:</w:t>
      </w:r>
    </w:p>
    <w:p w14:paraId="136AF25C" w14:textId="77777777" w:rsidR="00801563" w:rsidRPr="007244A9" w:rsidRDefault="00801563" w:rsidP="007244A9">
      <w:pPr>
        <w:pStyle w:val="EndnoteText"/>
        <w:numPr>
          <w:ilvl w:val="0"/>
          <w:numId w:val="7"/>
        </w:numPr>
        <w:jc w:val="both"/>
        <w:rPr>
          <w:rFonts w:cstheme="minorHAnsi"/>
          <w:sz w:val="18"/>
          <w:szCs w:val="18"/>
        </w:rPr>
      </w:pPr>
      <w:r w:rsidRPr="007244A9">
        <w:rPr>
          <w:sz w:val="18"/>
          <w:szCs w:val="18"/>
        </w:rPr>
        <w:t>garantizar la transparencia</w:t>
      </w:r>
      <w:r>
        <w:rPr>
          <w:sz w:val="18"/>
          <w:szCs w:val="18"/>
        </w:rPr>
        <w:t xml:space="preserve"> y accesibilidad</w:t>
      </w:r>
      <w:r w:rsidRPr="007244A9">
        <w:rPr>
          <w:sz w:val="18"/>
          <w:szCs w:val="18"/>
        </w:rPr>
        <w:t xml:space="preserve"> de los procesos de consulta</w:t>
      </w:r>
    </w:p>
    <w:p w14:paraId="08E07849" w14:textId="77777777" w:rsidR="00801563" w:rsidRPr="007244A9" w:rsidRDefault="00801563" w:rsidP="007244A9">
      <w:pPr>
        <w:pStyle w:val="EndnoteText"/>
        <w:numPr>
          <w:ilvl w:val="0"/>
          <w:numId w:val="7"/>
        </w:numPr>
        <w:jc w:val="both"/>
        <w:rPr>
          <w:rFonts w:cstheme="minorHAnsi"/>
          <w:sz w:val="18"/>
          <w:szCs w:val="18"/>
        </w:rPr>
      </w:pPr>
      <w:r w:rsidRPr="007244A9">
        <w:rPr>
          <w:sz w:val="18"/>
          <w:szCs w:val="18"/>
        </w:rPr>
        <w:t>garantizar el suministro de información adecuada y accesible</w:t>
      </w:r>
    </w:p>
    <w:p w14:paraId="2673393A" w14:textId="77777777" w:rsidR="00801563" w:rsidRPr="007244A9" w:rsidRDefault="00801563" w:rsidP="007244A9">
      <w:pPr>
        <w:pStyle w:val="EndnoteText"/>
        <w:numPr>
          <w:ilvl w:val="0"/>
          <w:numId w:val="7"/>
        </w:numPr>
        <w:jc w:val="both"/>
        <w:rPr>
          <w:rFonts w:cstheme="minorHAnsi"/>
          <w:sz w:val="18"/>
          <w:szCs w:val="18"/>
        </w:rPr>
      </w:pPr>
      <w:r w:rsidRPr="007244A9">
        <w:rPr>
          <w:sz w:val="18"/>
          <w:szCs w:val="18"/>
        </w:rPr>
        <w:t>no ocultar información, condicionar o impedir que las organizaciones de personas con discapacidad expresen libremente sus opiniones.</w:t>
      </w:r>
    </w:p>
    <w:p w14:paraId="2D671C18" w14:textId="77777777" w:rsidR="00801563" w:rsidRPr="007244A9" w:rsidRDefault="00801563" w:rsidP="007244A9">
      <w:pPr>
        <w:pStyle w:val="EndnoteText"/>
        <w:numPr>
          <w:ilvl w:val="0"/>
          <w:numId w:val="7"/>
        </w:numPr>
        <w:jc w:val="both"/>
        <w:rPr>
          <w:rFonts w:cstheme="minorHAnsi"/>
          <w:sz w:val="18"/>
          <w:szCs w:val="18"/>
        </w:rPr>
      </w:pPr>
      <w:r w:rsidRPr="007244A9">
        <w:rPr>
          <w:sz w:val="18"/>
          <w:szCs w:val="18"/>
        </w:rPr>
        <w:t>incluir tanto a las organizaciones registradas como a las no registradas.</w:t>
      </w:r>
    </w:p>
    <w:p w14:paraId="67AD9D22" w14:textId="77777777" w:rsidR="00801563" w:rsidRPr="007244A9" w:rsidRDefault="00801563" w:rsidP="007244A9">
      <w:pPr>
        <w:pStyle w:val="EndnoteText"/>
        <w:numPr>
          <w:ilvl w:val="0"/>
          <w:numId w:val="7"/>
        </w:numPr>
        <w:jc w:val="both"/>
        <w:rPr>
          <w:rFonts w:cstheme="minorHAnsi"/>
          <w:sz w:val="18"/>
          <w:szCs w:val="18"/>
        </w:rPr>
      </w:pPr>
      <w:r w:rsidRPr="007244A9">
        <w:rPr>
          <w:sz w:val="18"/>
          <w:szCs w:val="18"/>
        </w:rPr>
        <w:t xml:space="preserve">garantizar una participación temprana y continua. </w:t>
      </w:r>
    </w:p>
    <w:p w14:paraId="0A720815" w14:textId="77777777" w:rsidR="00801563" w:rsidRPr="007244A9" w:rsidRDefault="00801563" w:rsidP="007244A9">
      <w:pPr>
        <w:pStyle w:val="EndnoteText"/>
        <w:numPr>
          <w:ilvl w:val="0"/>
          <w:numId w:val="7"/>
        </w:numPr>
        <w:jc w:val="both"/>
        <w:rPr>
          <w:rFonts w:cstheme="minorHAnsi"/>
          <w:sz w:val="18"/>
          <w:szCs w:val="18"/>
        </w:rPr>
      </w:pPr>
      <w:r w:rsidRPr="007244A9">
        <w:rPr>
          <w:sz w:val="18"/>
          <w:szCs w:val="18"/>
        </w:rPr>
        <w:t xml:space="preserve">cubrir los gastos relacionados </w:t>
      </w:r>
      <w:r>
        <w:rPr>
          <w:sz w:val="18"/>
          <w:szCs w:val="18"/>
        </w:rPr>
        <w:t>de</w:t>
      </w:r>
      <w:r w:rsidRPr="007244A9">
        <w:rPr>
          <w:sz w:val="18"/>
          <w:szCs w:val="18"/>
        </w:rPr>
        <w:t xml:space="preserve"> los participantes.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E78B3" w14:textId="77777777" w:rsidR="0085217E" w:rsidRDefault="0085217E" w:rsidP="006C68B3">
      <w:pPr>
        <w:spacing w:after="0" w:line="240" w:lineRule="auto"/>
      </w:pPr>
      <w:r>
        <w:separator/>
      </w:r>
    </w:p>
  </w:footnote>
  <w:footnote w:type="continuationSeparator" w:id="0">
    <w:p w14:paraId="4902E844" w14:textId="77777777" w:rsidR="0085217E" w:rsidRDefault="0085217E" w:rsidP="006C6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591"/>
    <w:multiLevelType w:val="hybridMultilevel"/>
    <w:tmpl w:val="2D06B1B8"/>
    <w:lvl w:ilvl="0" w:tplc="1B76CF28">
      <w:start w:val="1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C924FB"/>
    <w:multiLevelType w:val="hybridMultilevel"/>
    <w:tmpl w:val="4BFC751E"/>
    <w:lvl w:ilvl="0" w:tplc="39FAB46C">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B6775"/>
    <w:multiLevelType w:val="multilevel"/>
    <w:tmpl w:val="95B83BC8"/>
    <w:lvl w:ilvl="0">
      <w:start w:val="25"/>
      <w:numFmt w:val="decimal"/>
      <w:lvlText w:val="%1"/>
      <w:lvlJc w:val="left"/>
      <w:pPr>
        <w:ind w:left="465" w:hanging="465"/>
      </w:pPr>
      <w:rPr>
        <w:rFonts w:hint="default"/>
      </w:rPr>
    </w:lvl>
    <w:lvl w:ilvl="1">
      <w:start w:val="2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5735969"/>
    <w:multiLevelType w:val="hybridMultilevel"/>
    <w:tmpl w:val="D5A82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84E03AB"/>
    <w:multiLevelType w:val="hybridMultilevel"/>
    <w:tmpl w:val="80C694A6"/>
    <w:lvl w:ilvl="0" w:tplc="8E56E31E">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D54A96"/>
    <w:multiLevelType w:val="hybridMultilevel"/>
    <w:tmpl w:val="48F07C1C"/>
    <w:lvl w:ilvl="0" w:tplc="6DC82E80">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34EB2"/>
    <w:multiLevelType w:val="hybridMultilevel"/>
    <w:tmpl w:val="3EA0071C"/>
    <w:lvl w:ilvl="0" w:tplc="0B16B2F6">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8B10F5"/>
    <w:multiLevelType w:val="hybridMultilevel"/>
    <w:tmpl w:val="7F08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786FC9"/>
    <w:multiLevelType w:val="hybridMultilevel"/>
    <w:tmpl w:val="7898C926"/>
    <w:lvl w:ilvl="0" w:tplc="677EB460">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F7C43"/>
    <w:multiLevelType w:val="hybridMultilevel"/>
    <w:tmpl w:val="E9E6DE64"/>
    <w:lvl w:ilvl="0" w:tplc="1B76CF28">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B70C30"/>
    <w:multiLevelType w:val="hybridMultilevel"/>
    <w:tmpl w:val="587C09D0"/>
    <w:lvl w:ilvl="0" w:tplc="1B76CF28">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6"/>
  </w:num>
  <w:num w:numId="5">
    <w:abstractNumId w:val="5"/>
  </w:num>
  <w:num w:numId="6">
    <w:abstractNumId w:val="1"/>
  </w:num>
  <w:num w:numId="7">
    <w:abstractNumId w:val="13"/>
  </w:num>
  <w:num w:numId="8">
    <w:abstractNumId w:val="7"/>
  </w:num>
  <w:num w:numId="9">
    <w:abstractNumId w:val="10"/>
  </w:num>
  <w:num w:numId="10">
    <w:abstractNumId w:val="2"/>
  </w:num>
  <w:num w:numId="11">
    <w:abstractNumId w:val="12"/>
  </w:num>
  <w:num w:numId="12">
    <w:abstractNumId w:val="0"/>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es-ES" w:vendorID="64" w:dllVersion="0" w:nlCheck="1" w:checkStyle="0"/>
  <w:activeWritingStyle w:appName="MSWord" w:lang="es-E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B1"/>
    <w:rsid w:val="00001F37"/>
    <w:rsid w:val="00017D56"/>
    <w:rsid w:val="00020C08"/>
    <w:rsid w:val="00053F7E"/>
    <w:rsid w:val="00063553"/>
    <w:rsid w:val="00076E0E"/>
    <w:rsid w:val="000815A6"/>
    <w:rsid w:val="000A7D3D"/>
    <w:rsid w:val="000B154F"/>
    <w:rsid w:val="000C1B34"/>
    <w:rsid w:val="000C2ACA"/>
    <w:rsid w:val="00137DC5"/>
    <w:rsid w:val="00140F9B"/>
    <w:rsid w:val="00155867"/>
    <w:rsid w:val="001619BF"/>
    <w:rsid w:val="00172F66"/>
    <w:rsid w:val="00175A6E"/>
    <w:rsid w:val="00184B6C"/>
    <w:rsid w:val="00194498"/>
    <w:rsid w:val="001A348D"/>
    <w:rsid w:val="001D7B75"/>
    <w:rsid w:val="001F0196"/>
    <w:rsid w:val="001F3785"/>
    <w:rsid w:val="00200E47"/>
    <w:rsid w:val="002169F8"/>
    <w:rsid w:val="002364CD"/>
    <w:rsid w:val="0025740C"/>
    <w:rsid w:val="00287523"/>
    <w:rsid w:val="00294EEB"/>
    <w:rsid w:val="002F7E87"/>
    <w:rsid w:val="00320E7F"/>
    <w:rsid w:val="00321A10"/>
    <w:rsid w:val="003304B7"/>
    <w:rsid w:val="0033675C"/>
    <w:rsid w:val="00362BE9"/>
    <w:rsid w:val="003665DD"/>
    <w:rsid w:val="003759C9"/>
    <w:rsid w:val="00376A5B"/>
    <w:rsid w:val="00393AB9"/>
    <w:rsid w:val="003963B0"/>
    <w:rsid w:val="003A3D3E"/>
    <w:rsid w:val="003A4BE4"/>
    <w:rsid w:val="003A6452"/>
    <w:rsid w:val="003B1FB1"/>
    <w:rsid w:val="003B6E8C"/>
    <w:rsid w:val="003D4A98"/>
    <w:rsid w:val="003D6CE9"/>
    <w:rsid w:val="003D7658"/>
    <w:rsid w:val="00412C84"/>
    <w:rsid w:val="00415567"/>
    <w:rsid w:val="00427BC1"/>
    <w:rsid w:val="004656EF"/>
    <w:rsid w:val="00484884"/>
    <w:rsid w:val="00484C7A"/>
    <w:rsid w:val="004850E8"/>
    <w:rsid w:val="00490796"/>
    <w:rsid w:val="004974DF"/>
    <w:rsid w:val="004A3CCB"/>
    <w:rsid w:val="004B1CDF"/>
    <w:rsid w:val="004B7AAA"/>
    <w:rsid w:val="004B7D89"/>
    <w:rsid w:val="004E326A"/>
    <w:rsid w:val="004F45B7"/>
    <w:rsid w:val="004F6353"/>
    <w:rsid w:val="004F771C"/>
    <w:rsid w:val="0051326C"/>
    <w:rsid w:val="005335F0"/>
    <w:rsid w:val="0055748C"/>
    <w:rsid w:val="00560508"/>
    <w:rsid w:val="00587105"/>
    <w:rsid w:val="005E36B8"/>
    <w:rsid w:val="0060062B"/>
    <w:rsid w:val="006218AE"/>
    <w:rsid w:val="00626BB7"/>
    <w:rsid w:val="00645E40"/>
    <w:rsid w:val="00647F04"/>
    <w:rsid w:val="0065360C"/>
    <w:rsid w:val="00656EFB"/>
    <w:rsid w:val="00661855"/>
    <w:rsid w:val="0069647D"/>
    <w:rsid w:val="006A1B4F"/>
    <w:rsid w:val="006A2869"/>
    <w:rsid w:val="006B5CDD"/>
    <w:rsid w:val="006C1278"/>
    <w:rsid w:val="006C3934"/>
    <w:rsid w:val="006C68B3"/>
    <w:rsid w:val="006D1454"/>
    <w:rsid w:val="007028BC"/>
    <w:rsid w:val="007079EE"/>
    <w:rsid w:val="007244A9"/>
    <w:rsid w:val="007411C7"/>
    <w:rsid w:val="00761878"/>
    <w:rsid w:val="00774B8C"/>
    <w:rsid w:val="00786018"/>
    <w:rsid w:val="007A1118"/>
    <w:rsid w:val="007B5CE4"/>
    <w:rsid w:val="007C3C59"/>
    <w:rsid w:val="007F617C"/>
    <w:rsid w:val="00801563"/>
    <w:rsid w:val="00805A58"/>
    <w:rsid w:val="00810B8E"/>
    <w:rsid w:val="00815AD3"/>
    <w:rsid w:val="0082338D"/>
    <w:rsid w:val="008329B2"/>
    <w:rsid w:val="00833CED"/>
    <w:rsid w:val="008411A4"/>
    <w:rsid w:val="0084351D"/>
    <w:rsid w:val="0085217E"/>
    <w:rsid w:val="00863272"/>
    <w:rsid w:val="00890D18"/>
    <w:rsid w:val="008B3E0E"/>
    <w:rsid w:val="008B5045"/>
    <w:rsid w:val="008C1F19"/>
    <w:rsid w:val="008C3BBF"/>
    <w:rsid w:val="008E69B0"/>
    <w:rsid w:val="008F13BB"/>
    <w:rsid w:val="00916863"/>
    <w:rsid w:val="00922415"/>
    <w:rsid w:val="00970499"/>
    <w:rsid w:val="009A66A9"/>
    <w:rsid w:val="009B6586"/>
    <w:rsid w:val="009F6E73"/>
    <w:rsid w:val="009F74BF"/>
    <w:rsid w:val="00A31E24"/>
    <w:rsid w:val="00A504D5"/>
    <w:rsid w:val="00A8667D"/>
    <w:rsid w:val="00A96D2B"/>
    <w:rsid w:val="00A976AD"/>
    <w:rsid w:val="00AE06BE"/>
    <w:rsid w:val="00AE61FE"/>
    <w:rsid w:val="00AF7B0E"/>
    <w:rsid w:val="00B16DB1"/>
    <w:rsid w:val="00B173C7"/>
    <w:rsid w:val="00B71350"/>
    <w:rsid w:val="00B82D71"/>
    <w:rsid w:val="00B86EE3"/>
    <w:rsid w:val="00BA4CA9"/>
    <w:rsid w:val="00BB24BD"/>
    <w:rsid w:val="00BC1B5A"/>
    <w:rsid w:val="00BD36B5"/>
    <w:rsid w:val="00BF03F2"/>
    <w:rsid w:val="00BF1D9C"/>
    <w:rsid w:val="00BF6804"/>
    <w:rsid w:val="00C138B9"/>
    <w:rsid w:val="00C45A8F"/>
    <w:rsid w:val="00C57475"/>
    <w:rsid w:val="00C741E0"/>
    <w:rsid w:val="00CA0DBB"/>
    <w:rsid w:val="00CA54CC"/>
    <w:rsid w:val="00CD27F8"/>
    <w:rsid w:val="00CD384B"/>
    <w:rsid w:val="00D25F94"/>
    <w:rsid w:val="00D46E60"/>
    <w:rsid w:val="00D5700F"/>
    <w:rsid w:val="00D83F05"/>
    <w:rsid w:val="00D91B7C"/>
    <w:rsid w:val="00DE3E90"/>
    <w:rsid w:val="00E24F1C"/>
    <w:rsid w:val="00E434D8"/>
    <w:rsid w:val="00E45551"/>
    <w:rsid w:val="00E56E89"/>
    <w:rsid w:val="00E72B46"/>
    <w:rsid w:val="00E87262"/>
    <w:rsid w:val="00E92CDF"/>
    <w:rsid w:val="00EB6526"/>
    <w:rsid w:val="00ED15CC"/>
    <w:rsid w:val="00ED349D"/>
    <w:rsid w:val="00ED4516"/>
    <w:rsid w:val="00EE43AD"/>
    <w:rsid w:val="00EE61CF"/>
    <w:rsid w:val="00F2460F"/>
    <w:rsid w:val="00F5597C"/>
    <w:rsid w:val="00F63625"/>
    <w:rsid w:val="00F81046"/>
    <w:rsid w:val="00F9082D"/>
    <w:rsid w:val="00F95ED5"/>
    <w:rsid w:val="00F96ADD"/>
    <w:rsid w:val="00FA3963"/>
    <w:rsid w:val="00FA417A"/>
    <w:rsid w:val="00FC1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7D31B"/>
  <w14:defaultImageDpi w14:val="32767"/>
  <w15:chartTrackingRefBased/>
  <w15:docId w15:val="{C8E7CB7F-0F96-497F-B4DF-3ED347DC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F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B1"/>
    <w:pPr>
      <w:ind w:left="720"/>
      <w:contextualSpacing/>
    </w:pPr>
  </w:style>
  <w:style w:type="table" w:styleId="TableGrid">
    <w:name w:val="Table Grid"/>
    <w:basedOn w:val="TableNormal"/>
    <w:uiPriority w:val="39"/>
    <w:rsid w:val="003B1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4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F1C"/>
    <w:rPr>
      <w:rFonts w:ascii="Segoe UI" w:hAnsi="Segoe UI" w:cs="Segoe UI"/>
      <w:sz w:val="18"/>
      <w:szCs w:val="18"/>
      <w:lang w:val="es-ES"/>
    </w:rPr>
  </w:style>
  <w:style w:type="character" w:styleId="CommentReference">
    <w:name w:val="annotation reference"/>
    <w:basedOn w:val="DefaultParagraphFont"/>
    <w:uiPriority w:val="99"/>
    <w:semiHidden/>
    <w:unhideWhenUsed/>
    <w:rsid w:val="004974DF"/>
    <w:rPr>
      <w:sz w:val="16"/>
      <w:szCs w:val="16"/>
    </w:rPr>
  </w:style>
  <w:style w:type="paragraph" w:styleId="CommentText">
    <w:name w:val="annotation text"/>
    <w:basedOn w:val="Normal"/>
    <w:link w:val="CommentTextChar"/>
    <w:uiPriority w:val="99"/>
    <w:semiHidden/>
    <w:unhideWhenUsed/>
    <w:rsid w:val="004974DF"/>
    <w:pPr>
      <w:spacing w:line="240" w:lineRule="auto"/>
    </w:pPr>
    <w:rPr>
      <w:sz w:val="20"/>
      <w:szCs w:val="20"/>
    </w:rPr>
  </w:style>
  <w:style w:type="character" w:customStyle="1" w:styleId="CommentTextChar">
    <w:name w:val="Comment Text Char"/>
    <w:basedOn w:val="DefaultParagraphFont"/>
    <w:link w:val="CommentText"/>
    <w:uiPriority w:val="99"/>
    <w:semiHidden/>
    <w:rsid w:val="004974DF"/>
    <w:rPr>
      <w:sz w:val="20"/>
      <w:szCs w:val="20"/>
      <w:lang w:val="es-ES"/>
    </w:rPr>
  </w:style>
  <w:style w:type="paragraph" w:styleId="CommentSubject">
    <w:name w:val="annotation subject"/>
    <w:basedOn w:val="CommentText"/>
    <w:next w:val="CommentText"/>
    <w:link w:val="CommentSubjectChar"/>
    <w:uiPriority w:val="99"/>
    <w:semiHidden/>
    <w:unhideWhenUsed/>
    <w:rsid w:val="004974DF"/>
    <w:rPr>
      <w:b/>
      <w:bCs/>
    </w:rPr>
  </w:style>
  <w:style w:type="character" w:customStyle="1" w:styleId="CommentSubjectChar">
    <w:name w:val="Comment Subject Char"/>
    <w:basedOn w:val="CommentTextChar"/>
    <w:link w:val="CommentSubject"/>
    <w:uiPriority w:val="99"/>
    <w:semiHidden/>
    <w:rsid w:val="004974DF"/>
    <w:rPr>
      <w:b/>
      <w:bCs/>
      <w:sz w:val="20"/>
      <w:szCs w:val="20"/>
      <w:lang w:val="es-ES"/>
    </w:rPr>
  </w:style>
  <w:style w:type="paragraph" w:styleId="NormalWeb">
    <w:name w:val="Normal (Web)"/>
    <w:basedOn w:val="Normal"/>
    <w:uiPriority w:val="99"/>
    <w:semiHidden/>
    <w:unhideWhenUsed/>
    <w:rsid w:val="000635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unhideWhenUsed/>
    <w:rsid w:val="006C68B3"/>
    <w:pPr>
      <w:spacing w:after="0" w:line="240" w:lineRule="auto"/>
    </w:pPr>
    <w:rPr>
      <w:sz w:val="20"/>
      <w:szCs w:val="20"/>
    </w:rPr>
  </w:style>
  <w:style w:type="character" w:customStyle="1" w:styleId="EndnoteTextChar">
    <w:name w:val="Endnote Text Char"/>
    <w:basedOn w:val="DefaultParagraphFont"/>
    <w:link w:val="EndnoteText"/>
    <w:uiPriority w:val="99"/>
    <w:rsid w:val="006C68B3"/>
    <w:rPr>
      <w:sz w:val="20"/>
      <w:szCs w:val="20"/>
      <w:lang w:val="es-ES"/>
    </w:rPr>
  </w:style>
  <w:style w:type="character" w:styleId="EndnoteReference">
    <w:name w:val="endnote reference"/>
    <w:basedOn w:val="DefaultParagraphFont"/>
    <w:uiPriority w:val="99"/>
    <w:unhideWhenUsed/>
    <w:rsid w:val="006C68B3"/>
    <w:rPr>
      <w:vertAlign w:val="superscript"/>
    </w:rPr>
  </w:style>
  <w:style w:type="character" w:styleId="Hyperlink">
    <w:name w:val="Hyperlink"/>
    <w:basedOn w:val="DefaultParagraphFont"/>
    <w:uiPriority w:val="99"/>
    <w:unhideWhenUsed/>
    <w:rsid w:val="008B5045"/>
    <w:rPr>
      <w:color w:val="0563C1" w:themeColor="hyperlink"/>
      <w:u w:val="single"/>
    </w:rPr>
  </w:style>
  <w:style w:type="paragraph" w:styleId="Revision">
    <w:name w:val="Revision"/>
    <w:hidden/>
    <w:uiPriority w:val="99"/>
    <w:semiHidden/>
    <w:rsid w:val="006218AE"/>
    <w:rPr>
      <w:sz w:val="22"/>
      <w:szCs w:val="22"/>
    </w:rPr>
  </w:style>
  <w:style w:type="paragraph" w:styleId="Header">
    <w:name w:val="header"/>
    <w:basedOn w:val="Normal"/>
    <w:link w:val="HeaderChar"/>
    <w:uiPriority w:val="99"/>
    <w:unhideWhenUsed/>
    <w:rsid w:val="00294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EEB"/>
    <w:rPr>
      <w:sz w:val="22"/>
      <w:szCs w:val="22"/>
    </w:rPr>
  </w:style>
  <w:style w:type="paragraph" w:styleId="Footer">
    <w:name w:val="footer"/>
    <w:basedOn w:val="Normal"/>
    <w:link w:val="FooterChar"/>
    <w:uiPriority w:val="99"/>
    <w:unhideWhenUsed/>
    <w:rsid w:val="00294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EE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037392">
      <w:bodyDiv w:val="1"/>
      <w:marLeft w:val="0"/>
      <w:marRight w:val="0"/>
      <w:marTop w:val="0"/>
      <w:marBottom w:val="0"/>
      <w:divBdr>
        <w:top w:val="none" w:sz="0" w:space="0" w:color="auto"/>
        <w:left w:val="none" w:sz="0" w:space="0" w:color="auto"/>
        <w:bottom w:val="none" w:sz="0" w:space="0" w:color="auto"/>
        <w:right w:val="none" w:sz="0" w:space="0" w:color="auto"/>
      </w:divBdr>
      <w:divsChild>
        <w:div w:id="1459686492">
          <w:marLeft w:val="0"/>
          <w:marRight w:val="0"/>
          <w:marTop w:val="0"/>
          <w:marBottom w:val="0"/>
          <w:divBdr>
            <w:top w:val="none" w:sz="0" w:space="0" w:color="auto"/>
            <w:left w:val="none" w:sz="0" w:space="0" w:color="auto"/>
            <w:bottom w:val="none" w:sz="0" w:space="0" w:color="auto"/>
            <w:right w:val="none" w:sz="0" w:space="0" w:color="auto"/>
          </w:divBdr>
        </w:div>
        <w:div w:id="542451115">
          <w:marLeft w:val="0"/>
          <w:marRight w:val="0"/>
          <w:marTop w:val="0"/>
          <w:marBottom w:val="0"/>
          <w:divBdr>
            <w:top w:val="none" w:sz="0" w:space="0" w:color="auto"/>
            <w:left w:val="none" w:sz="0" w:space="0" w:color="auto"/>
            <w:bottom w:val="none" w:sz="0" w:space="0" w:color="auto"/>
            <w:right w:val="none" w:sz="0" w:space="0" w:color="auto"/>
          </w:divBdr>
        </w:div>
        <w:div w:id="528445422">
          <w:marLeft w:val="0"/>
          <w:marRight w:val="0"/>
          <w:marTop w:val="0"/>
          <w:marBottom w:val="0"/>
          <w:divBdr>
            <w:top w:val="none" w:sz="0" w:space="0" w:color="auto"/>
            <w:left w:val="none" w:sz="0" w:space="0" w:color="auto"/>
            <w:bottom w:val="none" w:sz="0" w:space="0" w:color="auto"/>
            <w:right w:val="none" w:sz="0" w:space="0" w:color="auto"/>
          </w:divBdr>
        </w:div>
        <w:div w:id="671416550">
          <w:marLeft w:val="0"/>
          <w:marRight w:val="0"/>
          <w:marTop w:val="0"/>
          <w:marBottom w:val="0"/>
          <w:divBdr>
            <w:top w:val="none" w:sz="0" w:space="0" w:color="auto"/>
            <w:left w:val="none" w:sz="0" w:space="0" w:color="auto"/>
            <w:bottom w:val="none" w:sz="0" w:space="0" w:color="auto"/>
            <w:right w:val="none" w:sz="0" w:space="0" w:color="auto"/>
          </w:divBdr>
        </w:div>
        <w:div w:id="1935671550">
          <w:marLeft w:val="0"/>
          <w:marRight w:val="0"/>
          <w:marTop w:val="0"/>
          <w:marBottom w:val="0"/>
          <w:divBdr>
            <w:top w:val="none" w:sz="0" w:space="0" w:color="auto"/>
            <w:left w:val="none" w:sz="0" w:space="0" w:color="auto"/>
            <w:bottom w:val="none" w:sz="0" w:space="0" w:color="auto"/>
            <w:right w:val="none" w:sz="0" w:space="0" w:color="auto"/>
          </w:divBdr>
        </w:div>
        <w:div w:id="641889183">
          <w:marLeft w:val="0"/>
          <w:marRight w:val="0"/>
          <w:marTop w:val="0"/>
          <w:marBottom w:val="0"/>
          <w:divBdr>
            <w:top w:val="none" w:sz="0" w:space="0" w:color="auto"/>
            <w:left w:val="none" w:sz="0" w:space="0" w:color="auto"/>
            <w:bottom w:val="none" w:sz="0" w:space="0" w:color="auto"/>
            <w:right w:val="none" w:sz="0" w:space="0" w:color="auto"/>
          </w:divBdr>
        </w:div>
        <w:div w:id="1219702034">
          <w:marLeft w:val="0"/>
          <w:marRight w:val="0"/>
          <w:marTop w:val="0"/>
          <w:marBottom w:val="0"/>
          <w:divBdr>
            <w:top w:val="none" w:sz="0" w:space="0" w:color="auto"/>
            <w:left w:val="none" w:sz="0" w:space="0" w:color="auto"/>
            <w:bottom w:val="none" w:sz="0" w:space="0" w:color="auto"/>
            <w:right w:val="none" w:sz="0" w:space="0" w:color="auto"/>
          </w:divBdr>
        </w:div>
      </w:divsChild>
    </w:div>
    <w:div w:id="341055496">
      <w:bodyDiv w:val="1"/>
      <w:marLeft w:val="0"/>
      <w:marRight w:val="0"/>
      <w:marTop w:val="0"/>
      <w:marBottom w:val="0"/>
      <w:divBdr>
        <w:top w:val="none" w:sz="0" w:space="0" w:color="auto"/>
        <w:left w:val="none" w:sz="0" w:space="0" w:color="auto"/>
        <w:bottom w:val="none" w:sz="0" w:space="0" w:color="auto"/>
        <w:right w:val="none" w:sz="0" w:space="0" w:color="auto"/>
      </w:divBdr>
    </w:div>
    <w:div w:id="410860030">
      <w:bodyDiv w:val="1"/>
      <w:marLeft w:val="0"/>
      <w:marRight w:val="0"/>
      <w:marTop w:val="0"/>
      <w:marBottom w:val="0"/>
      <w:divBdr>
        <w:top w:val="none" w:sz="0" w:space="0" w:color="auto"/>
        <w:left w:val="none" w:sz="0" w:space="0" w:color="auto"/>
        <w:bottom w:val="none" w:sz="0" w:space="0" w:color="auto"/>
        <w:right w:val="none" w:sz="0" w:space="0" w:color="auto"/>
      </w:divBdr>
      <w:divsChild>
        <w:div w:id="1500995668">
          <w:marLeft w:val="0"/>
          <w:marRight w:val="0"/>
          <w:marTop w:val="0"/>
          <w:marBottom w:val="30"/>
          <w:divBdr>
            <w:top w:val="none" w:sz="0" w:space="0" w:color="auto"/>
            <w:left w:val="none" w:sz="0" w:space="0" w:color="auto"/>
            <w:bottom w:val="none" w:sz="0" w:space="0" w:color="auto"/>
            <w:right w:val="none" w:sz="0" w:space="0" w:color="auto"/>
          </w:divBdr>
          <w:divsChild>
            <w:div w:id="648247335">
              <w:marLeft w:val="0"/>
              <w:marRight w:val="360"/>
              <w:marTop w:val="0"/>
              <w:marBottom w:val="0"/>
              <w:divBdr>
                <w:top w:val="none" w:sz="0" w:space="0" w:color="auto"/>
                <w:left w:val="none" w:sz="0" w:space="0" w:color="auto"/>
                <w:bottom w:val="none" w:sz="0" w:space="0" w:color="auto"/>
                <w:right w:val="none" w:sz="0" w:space="0" w:color="auto"/>
              </w:divBdr>
              <w:divsChild>
                <w:div w:id="863709908">
                  <w:marLeft w:val="0"/>
                  <w:marRight w:val="0"/>
                  <w:marTop w:val="0"/>
                  <w:marBottom w:val="0"/>
                  <w:divBdr>
                    <w:top w:val="none" w:sz="0" w:space="0" w:color="auto"/>
                    <w:left w:val="none" w:sz="0" w:space="0" w:color="auto"/>
                    <w:bottom w:val="none" w:sz="0" w:space="0" w:color="auto"/>
                    <w:right w:val="none" w:sz="0" w:space="0" w:color="auto"/>
                  </w:divBdr>
                </w:div>
              </w:divsChild>
            </w:div>
            <w:div w:id="782652232">
              <w:marLeft w:val="0"/>
              <w:marRight w:val="150"/>
              <w:marTop w:val="0"/>
              <w:marBottom w:val="0"/>
              <w:divBdr>
                <w:top w:val="none" w:sz="0" w:space="0" w:color="auto"/>
                <w:left w:val="none" w:sz="0" w:space="0" w:color="auto"/>
                <w:bottom w:val="none" w:sz="0" w:space="0" w:color="auto"/>
                <w:right w:val="none" w:sz="0" w:space="0" w:color="auto"/>
              </w:divBdr>
            </w:div>
            <w:div w:id="1355419291">
              <w:marLeft w:val="0"/>
              <w:marRight w:val="0"/>
              <w:marTop w:val="0"/>
              <w:marBottom w:val="0"/>
              <w:divBdr>
                <w:top w:val="none" w:sz="0" w:space="0" w:color="auto"/>
                <w:left w:val="none" w:sz="0" w:space="0" w:color="auto"/>
                <w:bottom w:val="none" w:sz="0" w:space="0" w:color="auto"/>
                <w:right w:val="none" w:sz="0" w:space="0" w:color="auto"/>
              </w:divBdr>
              <w:divsChild>
                <w:div w:id="308175950">
                  <w:marLeft w:val="0"/>
                  <w:marRight w:val="0"/>
                  <w:marTop w:val="0"/>
                  <w:marBottom w:val="0"/>
                  <w:divBdr>
                    <w:top w:val="none" w:sz="0" w:space="0" w:color="auto"/>
                    <w:left w:val="none" w:sz="0" w:space="0" w:color="auto"/>
                    <w:bottom w:val="dotted" w:sz="6" w:space="2" w:color="CCCCCC"/>
                    <w:right w:val="none" w:sz="0" w:space="0" w:color="auto"/>
                  </w:divBdr>
                  <w:divsChild>
                    <w:div w:id="236088862">
                      <w:marLeft w:val="0"/>
                      <w:marRight w:val="0"/>
                      <w:marTop w:val="0"/>
                      <w:marBottom w:val="0"/>
                      <w:divBdr>
                        <w:top w:val="none" w:sz="0" w:space="0" w:color="auto"/>
                        <w:left w:val="none" w:sz="0" w:space="0" w:color="auto"/>
                        <w:bottom w:val="none" w:sz="0" w:space="0" w:color="auto"/>
                        <w:right w:val="none" w:sz="0" w:space="0" w:color="auto"/>
                      </w:divBdr>
                    </w:div>
                    <w:div w:id="2007172924">
                      <w:marLeft w:val="0"/>
                      <w:marRight w:val="150"/>
                      <w:marTop w:val="0"/>
                      <w:marBottom w:val="0"/>
                      <w:divBdr>
                        <w:top w:val="none" w:sz="0" w:space="0" w:color="auto"/>
                        <w:left w:val="none" w:sz="0" w:space="0" w:color="auto"/>
                        <w:bottom w:val="none" w:sz="0" w:space="0" w:color="auto"/>
                        <w:right w:val="none" w:sz="0" w:space="0" w:color="auto"/>
                      </w:divBdr>
                      <w:divsChild>
                        <w:div w:id="4038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9321">
                  <w:marLeft w:val="0"/>
                  <w:marRight w:val="0"/>
                  <w:marTop w:val="0"/>
                  <w:marBottom w:val="0"/>
                  <w:divBdr>
                    <w:top w:val="none" w:sz="0" w:space="0" w:color="auto"/>
                    <w:left w:val="none" w:sz="0" w:space="0" w:color="auto"/>
                    <w:bottom w:val="dotted" w:sz="6" w:space="2" w:color="CCCCCC"/>
                    <w:right w:val="none" w:sz="0" w:space="0" w:color="auto"/>
                  </w:divBdr>
                  <w:divsChild>
                    <w:div w:id="708578262">
                      <w:marLeft w:val="0"/>
                      <w:marRight w:val="0"/>
                      <w:marTop w:val="0"/>
                      <w:marBottom w:val="0"/>
                      <w:divBdr>
                        <w:top w:val="none" w:sz="0" w:space="0" w:color="auto"/>
                        <w:left w:val="none" w:sz="0" w:space="0" w:color="auto"/>
                        <w:bottom w:val="none" w:sz="0" w:space="0" w:color="auto"/>
                        <w:right w:val="none" w:sz="0" w:space="0" w:color="auto"/>
                      </w:divBdr>
                    </w:div>
                    <w:div w:id="2020236716">
                      <w:marLeft w:val="0"/>
                      <w:marRight w:val="150"/>
                      <w:marTop w:val="0"/>
                      <w:marBottom w:val="0"/>
                      <w:divBdr>
                        <w:top w:val="none" w:sz="0" w:space="0" w:color="auto"/>
                        <w:left w:val="none" w:sz="0" w:space="0" w:color="auto"/>
                        <w:bottom w:val="none" w:sz="0" w:space="0" w:color="auto"/>
                        <w:right w:val="none" w:sz="0" w:space="0" w:color="auto"/>
                      </w:divBdr>
                      <w:divsChild>
                        <w:div w:id="9272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369667">
      <w:bodyDiv w:val="1"/>
      <w:marLeft w:val="0"/>
      <w:marRight w:val="0"/>
      <w:marTop w:val="0"/>
      <w:marBottom w:val="0"/>
      <w:divBdr>
        <w:top w:val="none" w:sz="0" w:space="0" w:color="auto"/>
        <w:left w:val="none" w:sz="0" w:space="0" w:color="auto"/>
        <w:bottom w:val="none" w:sz="0" w:space="0" w:color="auto"/>
        <w:right w:val="none" w:sz="0" w:space="0" w:color="auto"/>
      </w:divBdr>
      <w:divsChild>
        <w:div w:id="537161547">
          <w:marLeft w:val="0"/>
          <w:marRight w:val="0"/>
          <w:marTop w:val="0"/>
          <w:marBottom w:val="0"/>
          <w:divBdr>
            <w:top w:val="none" w:sz="0" w:space="0" w:color="auto"/>
            <w:left w:val="none" w:sz="0" w:space="0" w:color="auto"/>
            <w:bottom w:val="dotted" w:sz="6" w:space="2" w:color="CCCCCC"/>
            <w:right w:val="none" w:sz="0" w:space="0" w:color="auto"/>
          </w:divBdr>
          <w:divsChild>
            <w:div w:id="1533300662">
              <w:marLeft w:val="0"/>
              <w:marRight w:val="0"/>
              <w:marTop w:val="0"/>
              <w:marBottom w:val="0"/>
              <w:divBdr>
                <w:top w:val="none" w:sz="0" w:space="0" w:color="auto"/>
                <w:left w:val="none" w:sz="0" w:space="0" w:color="auto"/>
                <w:bottom w:val="none" w:sz="0" w:space="0" w:color="auto"/>
                <w:right w:val="none" w:sz="0" w:space="0" w:color="auto"/>
              </w:divBdr>
            </w:div>
          </w:divsChild>
        </w:div>
        <w:div w:id="1160077836">
          <w:marLeft w:val="0"/>
          <w:marRight w:val="0"/>
          <w:marTop w:val="0"/>
          <w:marBottom w:val="0"/>
          <w:divBdr>
            <w:top w:val="none" w:sz="0" w:space="0" w:color="auto"/>
            <w:left w:val="none" w:sz="0" w:space="0" w:color="auto"/>
            <w:bottom w:val="dotted" w:sz="6" w:space="2" w:color="CCCCCC"/>
            <w:right w:val="none" w:sz="0" w:space="0" w:color="auto"/>
          </w:divBdr>
          <w:divsChild>
            <w:div w:id="226380341">
              <w:marLeft w:val="0"/>
              <w:marRight w:val="150"/>
              <w:marTop w:val="0"/>
              <w:marBottom w:val="0"/>
              <w:divBdr>
                <w:top w:val="none" w:sz="0" w:space="0" w:color="auto"/>
                <w:left w:val="none" w:sz="0" w:space="0" w:color="auto"/>
                <w:bottom w:val="none" w:sz="0" w:space="0" w:color="auto"/>
                <w:right w:val="none" w:sz="0" w:space="0" w:color="auto"/>
              </w:divBdr>
              <w:divsChild>
                <w:div w:id="703096779">
                  <w:marLeft w:val="0"/>
                  <w:marRight w:val="0"/>
                  <w:marTop w:val="0"/>
                  <w:marBottom w:val="0"/>
                  <w:divBdr>
                    <w:top w:val="none" w:sz="0" w:space="0" w:color="auto"/>
                    <w:left w:val="none" w:sz="0" w:space="0" w:color="auto"/>
                    <w:bottom w:val="none" w:sz="0" w:space="0" w:color="auto"/>
                    <w:right w:val="none" w:sz="0" w:space="0" w:color="auto"/>
                  </w:divBdr>
                </w:div>
              </w:divsChild>
            </w:div>
            <w:div w:id="16986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9456">
      <w:bodyDiv w:val="1"/>
      <w:marLeft w:val="0"/>
      <w:marRight w:val="0"/>
      <w:marTop w:val="0"/>
      <w:marBottom w:val="0"/>
      <w:divBdr>
        <w:top w:val="none" w:sz="0" w:space="0" w:color="auto"/>
        <w:left w:val="none" w:sz="0" w:space="0" w:color="auto"/>
        <w:bottom w:val="none" w:sz="0" w:space="0" w:color="auto"/>
        <w:right w:val="none" w:sz="0" w:space="0" w:color="auto"/>
      </w:divBdr>
    </w:div>
    <w:div w:id="770705619">
      <w:bodyDiv w:val="1"/>
      <w:marLeft w:val="0"/>
      <w:marRight w:val="0"/>
      <w:marTop w:val="0"/>
      <w:marBottom w:val="0"/>
      <w:divBdr>
        <w:top w:val="none" w:sz="0" w:space="0" w:color="auto"/>
        <w:left w:val="none" w:sz="0" w:space="0" w:color="auto"/>
        <w:bottom w:val="none" w:sz="0" w:space="0" w:color="auto"/>
        <w:right w:val="none" w:sz="0" w:space="0" w:color="auto"/>
      </w:divBdr>
      <w:divsChild>
        <w:div w:id="274487894">
          <w:marLeft w:val="0"/>
          <w:marRight w:val="0"/>
          <w:marTop w:val="0"/>
          <w:marBottom w:val="0"/>
          <w:divBdr>
            <w:top w:val="none" w:sz="0" w:space="0" w:color="auto"/>
            <w:left w:val="none" w:sz="0" w:space="0" w:color="auto"/>
            <w:bottom w:val="dotted" w:sz="6" w:space="2" w:color="CCCCCC"/>
            <w:right w:val="none" w:sz="0" w:space="0" w:color="auto"/>
          </w:divBdr>
          <w:divsChild>
            <w:div w:id="510073453">
              <w:marLeft w:val="0"/>
              <w:marRight w:val="150"/>
              <w:marTop w:val="0"/>
              <w:marBottom w:val="0"/>
              <w:divBdr>
                <w:top w:val="none" w:sz="0" w:space="0" w:color="auto"/>
                <w:left w:val="none" w:sz="0" w:space="0" w:color="auto"/>
                <w:bottom w:val="none" w:sz="0" w:space="0" w:color="auto"/>
                <w:right w:val="none" w:sz="0" w:space="0" w:color="auto"/>
              </w:divBdr>
              <w:divsChild>
                <w:div w:id="1406418088">
                  <w:marLeft w:val="0"/>
                  <w:marRight w:val="0"/>
                  <w:marTop w:val="0"/>
                  <w:marBottom w:val="0"/>
                  <w:divBdr>
                    <w:top w:val="none" w:sz="0" w:space="0" w:color="auto"/>
                    <w:left w:val="none" w:sz="0" w:space="0" w:color="auto"/>
                    <w:bottom w:val="none" w:sz="0" w:space="0" w:color="auto"/>
                    <w:right w:val="none" w:sz="0" w:space="0" w:color="auto"/>
                  </w:divBdr>
                </w:div>
              </w:divsChild>
            </w:div>
            <w:div w:id="1426920089">
              <w:marLeft w:val="0"/>
              <w:marRight w:val="0"/>
              <w:marTop w:val="0"/>
              <w:marBottom w:val="0"/>
              <w:divBdr>
                <w:top w:val="none" w:sz="0" w:space="0" w:color="auto"/>
                <w:left w:val="none" w:sz="0" w:space="0" w:color="auto"/>
                <w:bottom w:val="none" w:sz="0" w:space="0" w:color="auto"/>
                <w:right w:val="none" w:sz="0" w:space="0" w:color="auto"/>
              </w:divBdr>
            </w:div>
          </w:divsChild>
        </w:div>
        <w:div w:id="1769932556">
          <w:marLeft w:val="0"/>
          <w:marRight w:val="0"/>
          <w:marTop w:val="0"/>
          <w:marBottom w:val="0"/>
          <w:divBdr>
            <w:top w:val="none" w:sz="0" w:space="0" w:color="auto"/>
            <w:left w:val="none" w:sz="0" w:space="0" w:color="auto"/>
            <w:bottom w:val="dotted" w:sz="6" w:space="2" w:color="CCCCCC"/>
            <w:right w:val="none" w:sz="0" w:space="0" w:color="auto"/>
          </w:divBdr>
          <w:divsChild>
            <w:div w:id="18356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2349">
      <w:bodyDiv w:val="1"/>
      <w:marLeft w:val="0"/>
      <w:marRight w:val="0"/>
      <w:marTop w:val="0"/>
      <w:marBottom w:val="0"/>
      <w:divBdr>
        <w:top w:val="none" w:sz="0" w:space="0" w:color="auto"/>
        <w:left w:val="none" w:sz="0" w:space="0" w:color="auto"/>
        <w:bottom w:val="none" w:sz="0" w:space="0" w:color="auto"/>
        <w:right w:val="none" w:sz="0" w:space="0" w:color="auto"/>
      </w:divBdr>
      <w:divsChild>
        <w:div w:id="618144295">
          <w:marLeft w:val="0"/>
          <w:marRight w:val="0"/>
          <w:marTop w:val="0"/>
          <w:marBottom w:val="30"/>
          <w:divBdr>
            <w:top w:val="none" w:sz="0" w:space="0" w:color="auto"/>
            <w:left w:val="none" w:sz="0" w:space="0" w:color="auto"/>
            <w:bottom w:val="none" w:sz="0" w:space="0" w:color="auto"/>
            <w:right w:val="none" w:sz="0" w:space="0" w:color="auto"/>
          </w:divBdr>
          <w:divsChild>
            <w:div w:id="1079792500">
              <w:marLeft w:val="0"/>
              <w:marRight w:val="0"/>
              <w:marTop w:val="0"/>
              <w:marBottom w:val="0"/>
              <w:divBdr>
                <w:top w:val="none" w:sz="0" w:space="0" w:color="auto"/>
                <w:left w:val="none" w:sz="0" w:space="0" w:color="auto"/>
                <w:bottom w:val="none" w:sz="0" w:space="0" w:color="auto"/>
                <w:right w:val="none" w:sz="0" w:space="0" w:color="auto"/>
              </w:divBdr>
              <w:divsChild>
                <w:div w:id="884875451">
                  <w:marLeft w:val="0"/>
                  <w:marRight w:val="0"/>
                  <w:marTop w:val="0"/>
                  <w:marBottom w:val="0"/>
                  <w:divBdr>
                    <w:top w:val="none" w:sz="0" w:space="0" w:color="auto"/>
                    <w:left w:val="none" w:sz="0" w:space="0" w:color="auto"/>
                    <w:bottom w:val="dotted" w:sz="6" w:space="2" w:color="CCCCCC"/>
                    <w:right w:val="none" w:sz="0" w:space="0" w:color="auto"/>
                  </w:divBdr>
                  <w:divsChild>
                    <w:div w:id="369495656">
                      <w:marLeft w:val="0"/>
                      <w:marRight w:val="0"/>
                      <w:marTop w:val="0"/>
                      <w:marBottom w:val="0"/>
                      <w:divBdr>
                        <w:top w:val="none" w:sz="0" w:space="0" w:color="auto"/>
                        <w:left w:val="none" w:sz="0" w:space="0" w:color="auto"/>
                        <w:bottom w:val="none" w:sz="0" w:space="0" w:color="auto"/>
                        <w:right w:val="none" w:sz="0" w:space="0" w:color="auto"/>
                      </w:divBdr>
                    </w:div>
                    <w:div w:id="1584216999">
                      <w:marLeft w:val="0"/>
                      <w:marRight w:val="150"/>
                      <w:marTop w:val="0"/>
                      <w:marBottom w:val="0"/>
                      <w:divBdr>
                        <w:top w:val="none" w:sz="0" w:space="0" w:color="auto"/>
                        <w:left w:val="none" w:sz="0" w:space="0" w:color="auto"/>
                        <w:bottom w:val="none" w:sz="0" w:space="0" w:color="auto"/>
                        <w:right w:val="none" w:sz="0" w:space="0" w:color="auto"/>
                      </w:divBdr>
                      <w:divsChild>
                        <w:div w:id="8709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6037">
                  <w:marLeft w:val="0"/>
                  <w:marRight w:val="0"/>
                  <w:marTop w:val="0"/>
                  <w:marBottom w:val="0"/>
                  <w:divBdr>
                    <w:top w:val="none" w:sz="0" w:space="0" w:color="auto"/>
                    <w:left w:val="none" w:sz="0" w:space="0" w:color="auto"/>
                    <w:bottom w:val="dotted" w:sz="6" w:space="2" w:color="CCCCCC"/>
                    <w:right w:val="none" w:sz="0" w:space="0" w:color="auto"/>
                  </w:divBdr>
                  <w:divsChild>
                    <w:div w:id="103576589">
                      <w:marLeft w:val="0"/>
                      <w:marRight w:val="150"/>
                      <w:marTop w:val="0"/>
                      <w:marBottom w:val="0"/>
                      <w:divBdr>
                        <w:top w:val="none" w:sz="0" w:space="0" w:color="auto"/>
                        <w:left w:val="none" w:sz="0" w:space="0" w:color="auto"/>
                        <w:bottom w:val="none" w:sz="0" w:space="0" w:color="auto"/>
                        <w:right w:val="none" w:sz="0" w:space="0" w:color="auto"/>
                      </w:divBdr>
                      <w:divsChild>
                        <w:div w:id="1166168687">
                          <w:marLeft w:val="0"/>
                          <w:marRight w:val="0"/>
                          <w:marTop w:val="0"/>
                          <w:marBottom w:val="0"/>
                          <w:divBdr>
                            <w:top w:val="none" w:sz="0" w:space="0" w:color="auto"/>
                            <w:left w:val="none" w:sz="0" w:space="0" w:color="auto"/>
                            <w:bottom w:val="none" w:sz="0" w:space="0" w:color="auto"/>
                            <w:right w:val="none" w:sz="0" w:space="0" w:color="auto"/>
                          </w:divBdr>
                        </w:div>
                      </w:divsChild>
                    </w:div>
                    <w:div w:id="908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43859">
              <w:marLeft w:val="0"/>
              <w:marRight w:val="360"/>
              <w:marTop w:val="0"/>
              <w:marBottom w:val="0"/>
              <w:divBdr>
                <w:top w:val="none" w:sz="0" w:space="0" w:color="auto"/>
                <w:left w:val="none" w:sz="0" w:space="0" w:color="auto"/>
                <w:bottom w:val="none" w:sz="0" w:space="0" w:color="auto"/>
                <w:right w:val="none" w:sz="0" w:space="0" w:color="auto"/>
              </w:divBdr>
              <w:divsChild>
                <w:div w:id="328216288">
                  <w:marLeft w:val="0"/>
                  <w:marRight w:val="0"/>
                  <w:marTop w:val="0"/>
                  <w:marBottom w:val="0"/>
                  <w:divBdr>
                    <w:top w:val="none" w:sz="0" w:space="0" w:color="auto"/>
                    <w:left w:val="none" w:sz="0" w:space="0" w:color="auto"/>
                    <w:bottom w:val="none" w:sz="0" w:space="0" w:color="auto"/>
                    <w:right w:val="none" w:sz="0" w:space="0" w:color="auto"/>
                  </w:divBdr>
                </w:div>
              </w:divsChild>
            </w:div>
            <w:div w:id="18440109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es/A/73/16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tbinternet.ohchr.org/_layouts/15/treatybodyexternal/Download.aspx?symbolno=CRPD/C/GC/1&amp;Lang=en" TargetMode="External"/><Relationship Id="rId1" Type="http://schemas.openxmlformats.org/officeDocument/2006/relationships/hyperlink" Target="https://undocs.org/es/A/HRC/3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2C926-8568-4A46-A786-CB7386041824}">
  <ds:schemaRefs>
    <ds:schemaRef ds:uri="http://schemas.microsoft.com/sharepoint/v3/contenttype/forms"/>
  </ds:schemaRefs>
</ds:datastoreItem>
</file>

<file path=customXml/itemProps2.xml><?xml version="1.0" encoding="utf-8"?>
<ds:datastoreItem xmlns:ds="http://schemas.openxmlformats.org/officeDocument/2006/customXml" ds:itemID="{E58071CD-E96B-492E-9603-2F9B745EF616}"/>
</file>

<file path=customXml/itemProps3.xml><?xml version="1.0" encoding="utf-8"?>
<ds:datastoreItem xmlns:ds="http://schemas.openxmlformats.org/officeDocument/2006/customXml" ds:itemID="{6EEAD68E-B0FD-4C06-8FF2-6CAD26F0A5D8}">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6FF379E-799B-4F08-9EEC-F1F215915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1197</Words>
  <Characters>6828</Characters>
  <Application>Microsoft Office Word</Application>
  <DocSecurity>0</DocSecurity>
  <Lines>56</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3</cp:revision>
  <dcterms:created xsi:type="dcterms:W3CDTF">2020-07-01T09:55:00Z</dcterms:created>
  <dcterms:modified xsi:type="dcterms:W3CDTF">2020-07-02T15:16:00Z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