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42"/>
        <w:tblW w:w="15262" w:type="dxa"/>
        <w:tblLook w:val="04A0" w:firstRow="1" w:lastRow="0" w:firstColumn="1" w:lastColumn="0" w:noHBand="0" w:noVBand="1"/>
      </w:tblPr>
      <w:tblGrid>
        <w:gridCol w:w="1147"/>
        <w:gridCol w:w="7779"/>
        <w:gridCol w:w="6336"/>
      </w:tblGrid>
      <w:tr w:rsidR="00AD3349" w:rsidRPr="00203E7D" w14:paraId="67C66155" w14:textId="77777777" w:rsidTr="00E74FF8">
        <w:tc>
          <w:tcPr>
            <w:tcW w:w="15262" w:type="dxa"/>
            <w:gridSpan w:val="3"/>
            <w:shd w:val="clear" w:color="auto" w:fill="BFBFBF" w:themeFill="background1" w:themeFillShade="BF"/>
          </w:tcPr>
          <w:p w14:paraId="501F9C92" w14:textId="621112D8" w:rsidR="0065051C" w:rsidRPr="00B22BD0" w:rsidRDefault="00234DE0" w:rsidP="00C27E5C">
            <w:pPr>
              <w:jc w:val="center"/>
              <w:rPr>
                <w:rFonts w:cstheme="minorHAnsi"/>
                <w:b/>
                <w:sz w:val="20"/>
                <w:szCs w:val="20"/>
              </w:rPr>
            </w:pPr>
            <w:r>
              <w:rPr>
                <w:b/>
                <w:sz w:val="20"/>
                <w:szCs w:val="20"/>
              </w:rPr>
              <w:t xml:space="preserve">Article 26 - Liste d'indicateurs illustratifs sur l'adaptation et la réadaptation </w:t>
            </w:r>
          </w:p>
        </w:tc>
      </w:tr>
      <w:tr w:rsidR="00AD3349" w:rsidRPr="00203E7D" w14:paraId="1113D4A1" w14:textId="77777777" w:rsidTr="00E74FF8">
        <w:tc>
          <w:tcPr>
            <w:tcW w:w="15262" w:type="dxa"/>
            <w:gridSpan w:val="3"/>
            <w:shd w:val="clear" w:color="auto" w:fill="auto"/>
          </w:tcPr>
          <w:p w14:paraId="4090E0FB" w14:textId="5FA9DC46" w:rsidR="0065051C" w:rsidRPr="00B22BD0" w:rsidRDefault="00C27E5C" w:rsidP="004F538D">
            <w:pPr>
              <w:jc w:val="center"/>
              <w:rPr>
                <w:b/>
                <w:sz w:val="20"/>
                <w:szCs w:val="20"/>
              </w:rPr>
            </w:pPr>
            <w:r>
              <w:rPr>
                <w:b/>
                <w:sz w:val="20"/>
                <w:szCs w:val="20"/>
              </w:rPr>
              <w:t>Accès aux services d'adaptation et de réadaptation et aux appareils d'assistance</w:t>
            </w:r>
          </w:p>
        </w:tc>
      </w:tr>
      <w:tr w:rsidR="00E74FF8" w:rsidRPr="00203E7D" w14:paraId="10FDE2E4" w14:textId="77777777" w:rsidTr="00812AC9">
        <w:tc>
          <w:tcPr>
            <w:tcW w:w="1147" w:type="dxa"/>
            <w:shd w:val="clear" w:color="auto" w:fill="auto"/>
          </w:tcPr>
          <w:p w14:paraId="40D0D6FD" w14:textId="77777777" w:rsidR="001C305E" w:rsidRPr="00B22BD0" w:rsidRDefault="001C305E" w:rsidP="004F538D">
            <w:pPr>
              <w:jc w:val="center"/>
              <w:rPr>
                <w:b/>
                <w:sz w:val="20"/>
                <w:szCs w:val="20"/>
              </w:rPr>
            </w:pPr>
            <w:r>
              <w:rPr>
                <w:b/>
                <w:sz w:val="20"/>
                <w:szCs w:val="20"/>
              </w:rPr>
              <w:t>Attributs/</w:t>
            </w:r>
          </w:p>
          <w:p w14:paraId="26D49216" w14:textId="77777777" w:rsidR="001C305E" w:rsidRPr="00B22BD0" w:rsidRDefault="001C305E" w:rsidP="004F538D">
            <w:pPr>
              <w:jc w:val="center"/>
              <w:rPr>
                <w:b/>
                <w:sz w:val="20"/>
                <w:szCs w:val="20"/>
              </w:rPr>
            </w:pPr>
            <w:r>
              <w:rPr>
                <w:b/>
                <w:sz w:val="20"/>
                <w:szCs w:val="20"/>
              </w:rPr>
              <w:t>Indicateurs</w:t>
            </w:r>
          </w:p>
        </w:tc>
        <w:tc>
          <w:tcPr>
            <w:tcW w:w="7779" w:type="dxa"/>
            <w:shd w:val="clear" w:color="auto" w:fill="auto"/>
          </w:tcPr>
          <w:p w14:paraId="43F5183B" w14:textId="566A1665" w:rsidR="001C305E" w:rsidRPr="00B22BD0" w:rsidRDefault="00A95564" w:rsidP="00690E45">
            <w:pPr>
              <w:jc w:val="center"/>
              <w:rPr>
                <w:b/>
                <w:sz w:val="20"/>
                <w:szCs w:val="20"/>
              </w:rPr>
            </w:pPr>
            <w:r>
              <w:rPr>
                <w:b/>
                <w:sz w:val="20"/>
                <w:szCs w:val="20"/>
              </w:rPr>
              <w:t xml:space="preserve">Systèmes et services de réadaptation intersectoriels </w:t>
            </w:r>
          </w:p>
        </w:tc>
        <w:tc>
          <w:tcPr>
            <w:tcW w:w="6336" w:type="dxa"/>
            <w:shd w:val="clear" w:color="auto" w:fill="auto"/>
          </w:tcPr>
          <w:p w14:paraId="5DEE108D" w14:textId="742D8B13" w:rsidR="001C305E" w:rsidRPr="00B22BD0" w:rsidRDefault="004B49FC" w:rsidP="00892CC0">
            <w:pPr>
              <w:jc w:val="center"/>
              <w:rPr>
                <w:b/>
                <w:sz w:val="20"/>
                <w:szCs w:val="20"/>
              </w:rPr>
            </w:pPr>
            <w:r>
              <w:rPr>
                <w:b/>
                <w:sz w:val="20"/>
                <w:szCs w:val="20"/>
              </w:rPr>
              <w:t>Disponibilité, connaissance et utilisation des appareils et technologies d'assistance*</w:t>
            </w:r>
            <w:r w:rsidR="00892CC0">
              <w:rPr>
                <w:b/>
                <w:sz w:val="20"/>
                <w:szCs w:val="20"/>
              </w:rPr>
              <w:t xml:space="preserve"> </w:t>
            </w:r>
            <w:r>
              <w:rPr>
                <w:b/>
                <w:sz w:val="20"/>
                <w:szCs w:val="20"/>
              </w:rPr>
              <w:t>pour l'adaptation et la réadaptation</w:t>
            </w:r>
          </w:p>
        </w:tc>
      </w:tr>
      <w:tr w:rsidR="00E74FF8" w:rsidRPr="00203E7D" w14:paraId="4ECE9922" w14:textId="77777777" w:rsidTr="00812AC9">
        <w:trPr>
          <w:trHeight w:val="2054"/>
        </w:trPr>
        <w:tc>
          <w:tcPr>
            <w:tcW w:w="1147" w:type="dxa"/>
            <w:shd w:val="clear" w:color="auto" w:fill="auto"/>
          </w:tcPr>
          <w:p w14:paraId="76F60D5B" w14:textId="77777777" w:rsidR="001C305E" w:rsidRPr="00B22BD0" w:rsidRDefault="001C305E" w:rsidP="004F538D">
            <w:pPr>
              <w:pStyle w:val="ListParagraph"/>
              <w:ind w:left="0"/>
              <w:rPr>
                <w:rFonts w:cstheme="minorHAnsi"/>
                <w:b/>
                <w:sz w:val="20"/>
                <w:szCs w:val="20"/>
              </w:rPr>
            </w:pPr>
            <w:r>
              <w:rPr>
                <w:b/>
                <w:sz w:val="20"/>
                <w:szCs w:val="20"/>
              </w:rPr>
              <w:t>Structure</w:t>
            </w:r>
          </w:p>
        </w:tc>
        <w:tc>
          <w:tcPr>
            <w:tcW w:w="7779" w:type="dxa"/>
            <w:shd w:val="clear" w:color="auto" w:fill="auto"/>
          </w:tcPr>
          <w:p w14:paraId="3CC9897B" w14:textId="33A1A3DD" w:rsidR="00360873" w:rsidRPr="00465F74" w:rsidRDefault="000B2695" w:rsidP="00E74FF8">
            <w:pPr>
              <w:jc w:val="both"/>
              <w:rPr>
                <w:rFonts w:cstheme="minorHAnsi"/>
                <w:sz w:val="18"/>
                <w:szCs w:val="18"/>
              </w:rPr>
            </w:pPr>
            <w:r>
              <w:rPr>
                <w:sz w:val="18"/>
                <w:szCs w:val="18"/>
              </w:rPr>
              <w:t xml:space="preserve">26.1 Adoption d'une législation sur l'accès aux services d'adaptation et de réadaptation pour toutes les </w:t>
            </w:r>
            <w:r w:rsidR="00725A41">
              <w:rPr>
                <w:sz w:val="18"/>
                <w:szCs w:val="18"/>
              </w:rPr>
              <w:t>personnes handicapées</w:t>
            </w:r>
            <w:r>
              <w:rPr>
                <w:sz w:val="18"/>
                <w:szCs w:val="18"/>
              </w:rPr>
              <w:t>, conformément à l'approche du handicap fondée sur les droits de l'homme,</w:t>
            </w:r>
            <w:r w:rsidR="00812AC9" w:rsidRPr="00465F74">
              <w:rPr>
                <w:rStyle w:val="EndnoteReference"/>
                <w:rFonts w:cstheme="minorHAnsi"/>
                <w:sz w:val="18"/>
                <w:szCs w:val="18"/>
              </w:rPr>
              <w:endnoteReference w:id="1"/>
            </w:r>
            <w:r>
              <w:rPr>
                <w:sz w:val="18"/>
                <w:szCs w:val="18"/>
              </w:rPr>
              <w:t xml:space="preserve"> qui :</w:t>
            </w:r>
          </w:p>
          <w:p w14:paraId="72E44410" w14:textId="73574670" w:rsidR="00360873" w:rsidRPr="00465F74" w:rsidRDefault="00360873" w:rsidP="00E74FF8">
            <w:pPr>
              <w:pStyle w:val="EndnoteText"/>
              <w:numPr>
                <w:ilvl w:val="0"/>
                <w:numId w:val="18"/>
              </w:numPr>
              <w:tabs>
                <w:tab w:val="left" w:pos="163"/>
              </w:tabs>
              <w:ind w:left="21" w:firstLine="10"/>
              <w:jc w:val="both"/>
              <w:rPr>
                <w:sz w:val="18"/>
                <w:szCs w:val="18"/>
              </w:rPr>
            </w:pPr>
            <w:r>
              <w:rPr>
                <w:sz w:val="18"/>
                <w:szCs w:val="18"/>
              </w:rPr>
              <w:t xml:space="preserve">Interdit la discrimination à l'égard des </w:t>
            </w:r>
            <w:r w:rsidR="00725A41">
              <w:rPr>
                <w:sz w:val="18"/>
                <w:szCs w:val="18"/>
              </w:rPr>
              <w:t>personnes handicapées</w:t>
            </w:r>
            <w:r>
              <w:rPr>
                <w:sz w:val="18"/>
                <w:szCs w:val="18"/>
              </w:rPr>
              <w:t xml:space="preserve"> sur la base du handicap, y compris le refus d'aménagements raisonnables, ou pour tout autre motif, notamment la nationalité et le statut de migrant.</w:t>
            </w:r>
          </w:p>
          <w:p w14:paraId="1B43B107" w14:textId="1824032B" w:rsidR="004457E3" w:rsidRPr="00465F74" w:rsidRDefault="00360873" w:rsidP="00C80EB0">
            <w:pPr>
              <w:pStyle w:val="EndnoteText"/>
              <w:numPr>
                <w:ilvl w:val="0"/>
                <w:numId w:val="18"/>
              </w:numPr>
              <w:tabs>
                <w:tab w:val="left" w:pos="163"/>
              </w:tabs>
              <w:ind w:left="21" w:firstLine="10"/>
              <w:jc w:val="both"/>
              <w:rPr>
                <w:sz w:val="18"/>
                <w:szCs w:val="18"/>
              </w:rPr>
            </w:pPr>
            <w:r>
              <w:rPr>
                <w:sz w:val="18"/>
                <w:szCs w:val="18"/>
              </w:rPr>
              <w:t xml:space="preserve">Défend explicitement le droit de donner et de refuser un consentement libre et éclairé, protégeant les </w:t>
            </w:r>
            <w:r w:rsidR="00725A41">
              <w:rPr>
                <w:sz w:val="18"/>
                <w:szCs w:val="18"/>
              </w:rPr>
              <w:t>personnes handicapées</w:t>
            </w:r>
            <w:r>
              <w:rPr>
                <w:sz w:val="18"/>
                <w:szCs w:val="18"/>
              </w:rPr>
              <w:t xml:space="preserve"> des services d'adaptation ou de réadaptation imposés ou conditionnels.</w:t>
            </w:r>
            <w:r w:rsidR="00403A0F" w:rsidRPr="00465F74">
              <w:rPr>
                <w:rStyle w:val="EndnoteReference"/>
                <w:rFonts w:cstheme="minorHAnsi"/>
                <w:sz w:val="18"/>
                <w:szCs w:val="18"/>
              </w:rPr>
              <w:endnoteReference w:id="2"/>
            </w:r>
          </w:p>
          <w:p w14:paraId="106DD9F3" w14:textId="7144E929" w:rsidR="00B10C04" w:rsidRPr="00465F74" w:rsidRDefault="000B2695" w:rsidP="00E74FF8">
            <w:pPr>
              <w:jc w:val="both"/>
              <w:rPr>
                <w:b/>
                <w:sz w:val="18"/>
                <w:szCs w:val="18"/>
              </w:rPr>
            </w:pPr>
            <w:r>
              <w:rPr>
                <w:sz w:val="18"/>
                <w:szCs w:val="18"/>
              </w:rPr>
              <w:t>26.2 Adoption d'une stratégie/d'un plan national pour organiser, renforcer et étendre des services complets d'adaptation et de réadaptation intersectoriels, accessibles et abordables, y compris le soutien par les pairs.</w:t>
            </w:r>
            <w:r w:rsidR="00403A0F" w:rsidRPr="00465F74">
              <w:rPr>
                <w:rStyle w:val="EndnoteReference"/>
                <w:rFonts w:cstheme="minorHAnsi"/>
                <w:sz w:val="18"/>
                <w:szCs w:val="18"/>
              </w:rPr>
              <w:endnoteReference w:id="3"/>
            </w:r>
            <w:r>
              <w:rPr>
                <w:b/>
                <w:sz w:val="18"/>
                <w:szCs w:val="18"/>
              </w:rPr>
              <w:t xml:space="preserve"> </w:t>
            </w:r>
          </w:p>
          <w:p w14:paraId="4BF18228" w14:textId="389A434A" w:rsidR="00A704BE" w:rsidRPr="00465F74" w:rsidRDefault="00641ADF" w:rsidP="00725A41">
            <w:pPr>
              <w:jc w:val="both"/>
              <w:rPr>
                <w:sz w:val="18"/>
                <w:szCs w:val="18"/>
              </w:rPr>
            </w:pPr>
            <w:r>
              <w:rPr>
                <w:sz w:val="18"/>
                <w:szCs w:val="18"/>
              </w:rPr>
              <w:t>26.3 Désignation d'autorités indépendantes chargées de surveiller et d'inspecter régulièrement tous les établissements et programmes publics et privés destinés à fournir des services d'adaptation et de réadaptation aux enfants et aux adultes handicap</w:t>
            </w:r>
            <w:r w:rsidR="00725A41">
              <w:rPr>
                <w:sz w:val="18"/>
                <w:szCs w:val="18"/>
              </w:rPr>
              <w:t>és</w:t>
            </w:r>
            <w:r>
              <w:rPr>
                <w:sz w:val="18"/>
                <w:szCs w:val="18"/>
              </w:rPr>
              <w:t>, avec compétence pour engager des procédures judiciaires pour l'application de la législation connexe, y compris la prévention et lutte contre la violence.</w:t>
            </w:r>
          </w:p>
        </w:tc>
        <w:tc>
          <w:tcPr>
            <w:tcW w:w="6336" w:type="dxa"/>
            <w:shd w:val="clear" w:color="auto" w:fill="auto"/>
          </w:tcPr>
          <w:p w14:paraId="5D55EA68" w14:textId="54DCC199" w:rsidR="00AE0357" w:rsidRPr="00052A9B" w:rsidRDefault="00AE0357" w:rsidP="00E74FF8">
            <w:pPr>
              <w:jc w:val="both"/>
              <w:rPr>
                <w:sz w:val="18"/>
                <w:szCs w:val="18"/>
              </w:rPr>
            </w:pPr>
            <w:r>
              <w:rPr>
                <w:sz w:val="18"/>
                <w:szCs w:val="18"/>
              </w:rPr>
              <w:t xml:space="preserve">26.4 Adoption d'une </w:t>
            </w:r>
            <w:r w:rsidR="00E86930">
              <w:rPr>
                <w:sz w:val="18"/>
                <w:szCs w:val="18"/>
              </w:rPr>
              <w:t>stratégie,</w:t>
            </w:r>
            <w:r>
              <w:rPr>
                <w:sz w:val="18"/>
                <w:szCs w:val="18"/>
              </w:rPr>
              <w:t xml:space="preserve"> d'une politique</w:t>
            </w:r>
            <w:r w:rsidR="00E86930">
              <w:rPr>
                <w:sz w:val="18"/>
                <w:szCs w:val="18"/>
              </w:rPr>
              <w:t xml:space="preserve"> ou d’une législation</w:t>
            </w:r>
            <w:r>
              <w:rPr>
                <w:sz w:val="18"/>
                <w:szCs w:val="18"/>
              </w:rPr>
              <w:t xml:space="preserve"> nationale pour promouvoir la disponibilité, la connaissance et l'utilisation des appareils et technologies d'assistance</w:t>
            </w:r>
            <w:r w:rsidR="00A704BE">
              <w:rPr>
                <w:rStyle w:val="EndnoteReference"/>
                <w:sz w:val="18"/>
                <w:szCs w:val="18"/>
              </w:rPr>
              <w:endnoteReference w:id="4"/>
            </w:r>
            <w:r>
              <w:rPr>
                <w:sz w:val="18"/>
                <w:szCs w:val="18"/>
              </w:rPr>
              <w:t xml:space="preserve"> conçus pour les </w:t>
            </w:r>
            <w:r w:rsidR="00725A41">
              <w:rPr>
                <w:sz w:val="18"/>
                <w:szCs w:val="18"/>
              </w:rPr>
              <w:t>personnes handicapées</w:t>
            </w:r>
            <w:r>
              <w:rPr>
                <w:sz w:val="18"/>
                <w:szCs w:val="18"/>
              </w:rPr>
              <w:t>, en ce qui concerne l'adaptation et la réadaptation, notamment par le biais des marchés publics.</w:t>
            </w:r>
            <w:r w:rsidR="002C5763" w:rsidRPr="00052A9B">
              <w:rPr>
                <w:rStyle w:val="EndnoteReference"/>
                <w:sz w:val="18"/>
                <w:szCs w:val="18"/>
              </w:rPr>
              <w:endnoteReference w:id="5"/>
            </w:r>
          </w:p>
          <w:p w14:paraId="099DAE5D" w14:textId="0EFD3CC9" w:rsidR="00AE0357" w:rsidRPr="00465F74" w:rsidRDefault="00AE0357" w:rsidP="00E74FF8">
            <w:pPr>
              <w:jc w:val="both"/>
              <w:rPr>
                <w:rFonts w:eastAsia="Times New Roman" w:cstheme="minorHAnsi"/>
                <w:sz w:val="18"/>
                <w:szCs w:val="18"/>
              </w:rPr>
            </w:pPr>
            <w:r>
              <w:rPr>
                <w:sz w:val="18"/>
                <w:szCs w:val="18"/>
              </w:rPr>
              <w:t xml:space="preserve">26.5 Dispositions légales et réglementaires visant à faciliter l'accès des </w:t>
            </w:r>
            <w:r w:rsidR="00725A41">
              <w:rPr>
                <w:sz w:val="18"/>
                <w:szCs w:val="18"/>
              </w:rPr>
              <w:t>personnes handicapées</w:t>
            </w:r>
            <w:r>
              <w:rPr>
                <w:sz w:val="18"/>
                <w:szCs w:val="18"/>
              </w:rPr>
              <w:t xml:space="preserve"> à des appareils et technologies d'assistance abordables</w:t>
            </w:r>
            <w:r w:rsidR="00E86930">
              <w:rPr>
                <w:sz w:val="18"/>
                <w:szCs w:val="18"/>
              </w:rPr>
              <w:t xml:space="preserve"> et de qualité</w:t>
            </w:r>
            <w:r>
              <w:rPr>
                <w:sz w:val="18"/>
                <w:szCs w:val="18"/>
              </w:rPr>
              <w:t xml:space="preserve"> conçus pour les </w:t>
            </w:r>
            <w:r w:rsidR="00725A41">
              <w:rPr>
                <w:sz w:val="18"/>
                <w:szCs w:val="18"/>
              </w:rPr>
              <w:t>personnes handicapées</w:t>
            </w:r>
            <w:r>
              <w:rPr>
                <w:sz w:val="18"/>
                <w:szCs w:val="18"/>
              </w:rPr>
              <w:t>, en ce qui concerne l'adaptation et la réadaptation.</w:t>
            </w:r>
            <w:r w:rsidRPr="00465F74">
              <w:rPr>
                <w:rStyle w:val="EndnoteReference"/>
                <w:rFonts w:eastAsia="Times New Roman" w:cstheme="minorHAnsi"/>
                <w:sz w:val="18"/>
                <w:szCs w:val="18"/>
              </w:rPr>
              <w:endnoteReference w:id="6"/>
            </w:r>
          </w:p>
          <w:p w14:paraId="64ACA732" w14:textId="77777777" w:rsidR="00A704BE" w:rsidRDefault="00A704BE" w:rsidP="00A704BE">
            <w:pPr>
              <w:tabs>
                <w:tab w:val="left" w:pos="175"/>
              </w:tabs>
              <w:jc w:val="both"/>
              <w:rPr>
                <w:rFonts w:cstheme="minorHAnsi"/>
                <w:sz w:val="18"/>
                <w:szCs w:val="18"/>
              </w:rPr>
            </w:pPr>
          </w:p>
          <w:p w14:paraId="3AD9C104" w14:textId="50E2490B" w:rsidR="00407605" w:rsidRPr="00465F74" w:rsidRDefault="00407605" w:rsidP="00A704BE">
            <w:pPr>
              <w:tabs>
                <w:tab w:val="left" w:pos="175"/>
              </w:tabs>
              <w:jc w:val="both"/>
              <w:rPr>
                <w:rFonts w:cstheme="minorHAnsi"/>
                <w:sz w:val="18"/>
                <w:szCs w:val="18"/>
              </w:rPr>
            </w:pPr>
          </w:p>
        </w:tc>
      </w:tr>
      <w:tr w:rsidR="00E74FF8" w:rsidRPr="00203E7D" w14:paraId="47D1B907" w14:textId="77777777" w:rsidTr="00812AC9">
        <w:trPr>
          <w:trHeight w:val="712"/>
        </w:trPr>
        <w:tc>
          <w:tcPr>
            <w:tcW w:w="1147" w:type="dxa"/>
            <w:vMerge w:val="restart"/>
          </w:tcPr>
          <w:p w14:paraId="01AB7567" w14:textId="77777777" w:rsidR="001C305E" w:rsidRPr="00B22BD0" w:rsidRDefault="001C305E" w:rsidP="004F538D">
            <w:pPr>
              <w:rPr>
                <w:rFonts w:cstheme="minorHAnsi"/>
                <w:b/>
                <w:sz w:val="20"/>
                <w:szCs w:val="20"/>
              </w:rPr>
            </w:pPr>
            <w:r>
              <w:rPr>
                <w:b/>
                <w:sz w:val="20"/>
                <w:szCs w:val="20"/>
              </w:rPr>
              <w:t>Processus</w:t>
            </w:r>
          </w:p>
          <w:p w14:paraId="29C3A1CC" w14:textId="77777777" w:rsidR="001C305E" w:rsidRPr="00203E7D" w:rsidRDefault="001C305E" w:rsidP="004F538D">
            <w:pPr>
              <w:rPr>
                <w:rFonts w:cstheme="minorHAnsi"/>
                <w:sz w:val="20"/>
                <w:szCs w:val="20"/>
              </w:rPr>
            </w:pPr>
          </w:p>
        </w:tc>
        <w:tc>
          <w:tcPr>
            <w:tcW w:w="7779" w:type="dxa"/>
          </w:tcPr>
          <w:p w14:paraId="5122DD7C" w14:textId="043E8CB7" w:rsidR="002D3D2B" w:rsidRPr="00465F74" w:rsidRDefault="003C35D4" w:rsidP="00E74FF8">
            <w:pPr>
              <w:jc w:val="both"/>
              <w:rPr>
                <w:rFonts w:cstheme="minorHAnsi"/>
                <w:sz w:val="18"/>
                <w:szCs w:val="18"/>
              </w:rPr>
            </w:pPr>
            <w:r>
              <w:rPr>
                <w:sz w:val="18"/>
                <w:szCs w:val="18"/>
              </w:rPr>
              <w:t>26.6 Nombre de professionnels formés et certifiés pour la fourniture de services d'adaptation et de réadaptation conformément à la CDPH, y compris l'approche fondée sur les droits de l'homme, ventilé par type de professionnel, secteur d'exercice et situation géographique.</w:t>
            </w:r>
            <w:r w:rsidRPr="00465F74">
              <w:rPr>
                <w:rStyle w:val="EndnoteReference"/>
                <w:sz w:val="18"/>
                <w:szCs w:val="18"/>
              </w:rPr>
              <w:endnoteReference w:id="7"/>
            </w:r>
          </w:p>
        </w:tc>
        <w:tc>
          <w:tcPr>
            <w:tcW w:w="6336" w:type="dxa"/>
          </w:tcPr>
          <w:p w14:paraId="5BF7ADC1" w14:textId="485E3188" w:rsidR="001C305E" w:rsidRPr="00465F74" w:rsidRDefault="00641ADF" w:rsidP="00690E45">
            <w:pPr>
              <w:jc w:val="both"/>
              <w:rPr>
                <w:rFonts w:cstheme="minorHAnsi"/>
                <w:sz w:val="18"/>
                <w:szCs w:val="18"/>
              </w:rPr>
            </w:pPr>
            <w:r>
              <w:rPr>
                <w:sz w:val="18"/>
                <w:szCs w:val="18"/>
              </w:rPr>
              <w:t xml:space="preserve">26.7 Budget alloué et dépensé pour promouvoir la disponibilité d'appareils et de technologies d'assistance, conçus pour les </w:t>
            </w:r>
            <w:r w:rsidR="00725A41">
              <w:rPr>
                <w:sz w:val="18"/>
                <w:szCs w:val="18"/>
              </w:rPr>
              <w:t>personnes handicapées</w:t>
            </w:r>
            <w:r>
              <w:rPr>
                <w:sz w:val="18"/>
                <w:szCs w:val="18"/>
              </w:rPr>
              <w:t>, en ce qui concerne l'adaptation et la réadaptation, notamment par le biais des marchés publics.</w:t>
            </w:r>
          </w:p>
        </w:tc>
      </w:tr>
      <w:tr w:rsidR="00E74FF8" w:rsidRPr="00203E7D" w14:paraId="63797F4E" w14:textId="77777777" w:rsidTr="0063415C">
        <w:trPr>
          <w:trHeight w:val="1607"/>
        </w:trPr>
        <w:tc>
          <w:tcPr>
            <w:tcW w:w="1147" w:type="dxa"/>
            <w:vMerge/>
          </w:tcPr>
          <w:p w14:paraId="3B568985" w14:textId="77777777" w:rsidR="001C305E" w:rsidRPr="00B22BD0" w:rsidRDefault="001C305E" w:rsidP="004F538D">
            <w:pPr>
              <w:rPr>
                <w:rFonts w:cstheme="minorHAnsi"/>
                <w:b/>
                <w:sz w:val="20"/>
                <w:szCs w:val="20"/>
              </w:rPr>
            </w:pPr>
          </w:p>
        </w:tc>
        <w:tc>
          <w:tcPr>
            <w:tcW w:w="14115" w:type="dxa"/>
            <w:gridSpan w:val="2"/>
          </w:tcPr>
          <w:p w14:paraId="74F328B6" w14:textId="507C4584" w:rsidR="00E74FF8" w:rsidRPr="00465F74" w:rsidRDefault="00641ADF" w:rsidP="00E74FF8">
            <w:pPr>
              <w:jc w:val="both"/>
              <w:rPr>
                <w:rFonts w:cstheme="minorHAnsi"/>
                <w:sz w:val="18"/>
                <w:szCs w:val="18"/>
              </w:rPr>
            </w:pPr>
            <w:r>
              <w:rPr>
                <w:sz w:val="18"/>
                <w:szCs w:val="18"/>
              </w:rPr>
              <w:t xml:space="preserve">26,8. Campagnes et activités de sensibilisation pour diffuser des informations dans des formats accessibles aux </w:t>
            </w:r>
            <w:r w:rsidR="00725A41">
              <w:rPr>
                <w:sz w:val="18"/>
                <w:szCs w:val="18"/>
              </w:rPr>
              <w:t>personnes handicapées</w:t>
            </w:r>
            <w:r>
              <w:rPr>
                <w:sz w:val="18"/>
                <w:szCs w:val="18"/>
              </w:rPr>
              <w:t xml:space="preserve">, à leurs familles, aux professionnels concernés et au grand public sur les droits existants et les offres disponibles aux </w:t>
            </w:r>
            <w:r w:rsidR="00725A41">
              <w:rPr>
                <w:sz w:val="18"/>
                <w:szCs w:val="18"/>
              </w:rPr>
              <w:t>personnes handicapées</w:t>
            </w:r>
            <w:r>
              <w:rPr>
                <w:sz w:val="18"/>
                <w:szCs w:val="18"/>
              </w:rPr>
              <w:t xml:space="preserve"> dans le domaine de l'adaptation et de la réadaptation, y compris sur les services et appareils et technologies d'assistance connexes.</w:t>
            </w:r>
            <w:r w:rsidR="00255E0D">
              <w:rPr>
                <w:rStyle w:val="EndnoteReference"/>
                <w:rFonts w:cstheme="minorHAnsi"/>
                <w:sz w:val="18"/>
                <w:szCs w:val="18"/>
              </w:rPr>
              <w:endnoteReference w:id="8"/>
            </w:r>
          </w:p>
          <w:p w14:paraId="679E15E4" w14:textId="105C3287" w:rsidR="00425211" w:rsidRDefault="001C305E" w:rsidP="00425211">
            <w:pPr>
              <w:jc w:val="both"/>
              <w:rPr>
                <w:color w:val="000000"/>
                <w:sz w:val="18"/>
                <w:szCs w:val="18"/>
              </w:rPr>
            </w:pPr>
            <w:r>
              <w:rPr>
                <w:sz w:val="18"/>
                <w:szCs w:val="18"/>
              </w:rPr>
              <w:t xml:space="preserve">26.9 Processus de consultation entrepris pour assurer la participation active des </w:t>
            </w:r>
            <w:r w:rsidR="00725A41">
              <w:rPr>
                <w:sz w:val="18"/>
                <w:szCs w:val="18"/>
              </w:rPr>
              <w:t>personnes handicapées</w:t>
            </w:r>
            <w:r>
              <w:rPr>
                <w:sz w:val="18"/>
                <w:szCs w:val="18"/>
              </w:rPr>
              <w:t>, y compris par l</w:t>
            </w:r>
            <w:r w:rsidR="00725A41">
              <w:rPr>
                <w:sz w:val="18"/>
                <w:szCs w:val="18"/>
              </w:rPr>
              <w:t>’intermédiaire des</w:t>
            </w:r>
            <w:r>
              <w:rPr>
                <w:sz w:val="18"/>
                <w:szCs w:val="18"/>
              </w:rPr>
              <w:t xml:space="preserve"> organisations</w:t>
            </w:r>
            <w:r w:rsidR="00725A41">
              <w:rPr>
                <w:sz w:val="18"/>
                <w:szCs w:val="18"/>
              </w:rPr>
              <w:t xml:space="preserve"> qui les représentent</w:t>
            </w:r>
            <w:r>
              <w:rPr>
                <w:sz w:val="18"/>
                <w:szCs w:val="18"/>
              </w:rPr>
              <w:t xml:space="preserve">, à la conception, à la mise en œuvre et au suivi, en coordination avec les autorités indépendantes désignées, des lois, règlements, politiques et programmes </w:t>
            </w:r>
            <w:r>
              <w:rPr>
                <w:color w:val="000000"/>
                <w:sz w:val="18"/>
                <w:szCs w:val="18"/>
              </w:rPr>
              <w:t>liés à la fourniture de services d'adaptation et services de réadaptation et appareils d'assistance</w:t>
            </w:r>
            <w:r w:rsidR="00892CC0">
              <w:rPr>
                <w:color w:val="000000"/>
                <w:sz w:val="18"/>
                <w:szCs w:val="18"/>
              </w:rPr>
              <w:t xml:space="preserve"> </w:t>
            </w:r>
            <w:r>
              <w:rPr>
                <w:color w:val="000000"/>
                <w:sz w:val="18"/>
                <w:szCs w:val="18"/>
              </w:rPr>
              <w:t>connexes.</w:t>
            </w:r>
            <w:r w:rsidRPr="00465F74">
              <w:rPr>
                <w:rStyle w:val="EndnoteReference"/>
                <w:rFonts w:cstheme="minorHAnsi"/>
                <w:sz w:val="18"/>
                <w:szCs w:val="18"/>
              </w:rPr>
              <w:endnoteReference w:id="9"/>
            </w:r>
            <w:r w:rsidR="00892CC0">
              <w:rPr>
                <w:color w:val="000000"/>
                <w:sz w:val="18"/>
                <w:szCs w:val="18"/>
              </w:rPr>
              <w:t xml:space="preserve"> </w:t>
            </w:r>
          </w:p>
          <w:p w14:paraId="5E079204" w14:textId="7F7901C0" w:rsidR="001C305E" w:rsidRPr="00465F74" w:rsidDel="00110663" w:rsidRDefault="00425211" w:rsidP="00425211">
            <w:pPr>
              <w:jc w:val="both"/>
              <w:rPr>
                <w:rFonts w:cstheme="minorHAnsi"/>
                <w:sz w:val="18"/>
                <w:szCs w:val="18"/>
              </w:rPr>
            </w:pPr>
            <w:r>
              <w:rPr>
                <w:sz w:val="18"/>
                <w:szCs w:val="18"/>
              </w:rPr>
              <w:t>26.10 Proportion de plaintes reçues concernant le droit à l'adaptation et à la réadaptation qui ont fait l'objet d'une enquête et d'une décision ; proportion de celles jugées en faveur du plaignant ; et proportion de ces dernières qui ont été respectées par le gouvernement et/ou le détenteur d'obligation (par exemple, une école privée) ; à chaque fois ventilée par type de mécanisme.</w:t>
            </w:r>
          </w:p>
        </w:tc>
      </w:tr>
      <w:tr w:rsidR="00E74FF8" w:rsidRPr="00203E7D" w14:paraId="4B91F32E" w14:textId="77777777" w:rsidTr="00812AC9">
        <w:trPr>
          <w:trHeight w:val="2292"/>
        </w:trPr>
        <w:tc>
          <w:tcPr>
            <w:tcW w:w="1147" w:type="dxa"/>
          </w:tcPr>
          <w:p w14:paraId="73C4FE8D" w14:textId="598AE24F" w:rsidR="001C305E" w:rsidRPr="00203E7D" w:rsidRDefault="001C305E" w:rsidP="00854DB3">
            <w:pPr>
              <w:rPr>
                <w:rFonts w:cstheme="minorHAnsi"/>
                <w:b/>
                <w:sz w:val="20"/>
                <w:szCs w:val="20"/>
              </w:rPr>
            </w:pPr>
            <w:r>
              <w:rPr>
                <w:b/>
                <w:sz w:val="20"/>
                <w:szCs w:val="20"/>
              </w:rPr>
              <w:t>Résultats</w:t>
            </w:r>
          </w:p>
        </w:tc>
        <w:tc>
          <w:tcPr>
            <w:tcW w:w="7779" w:type="dxa"/>
          </w:tcPr>
          <w:p w14:paraId="3DA2C4BF" w14:textId="3C0B0CAE" w:rsidR="00CB2F9E" w:rsidRPr="00465F74" w:rsidRDefault="00185368" w:rsidP="00CB2F9E">
            <w:pPr>
              <w:pStyle w:val="CommentText"/>
              <w:spacing w:after="0"/>
              <w:jc w:val="both"/>
              <w:rPr>
                <w:rFonts w:cstheme="minorHAnsi"/>
                <w:sz w:val="18"/>
                <w:szCs w:val="18"/>
              </w:rPr>
            </w:pPr>
            <w:r>
              <w:rPr>
                <w:sz w:val="18"/>
                <w:szCs w:val="18"/>
              </w:rPr>
              <w:t xml:space="preserve">26.11 Nombre et proportion de </w:t>
            </w:r>
            <w:r w:rsidR="00725A41">
              <w:rPr>
                <w:sz w:val="18"/>
                <w:szCs w:val="18"/>
              </w:rPr>
              <w:t>personnes handicapées</w:t>
            </w:r>
            <w:r>
              <w:rPr>
                <w:sz w:val="18"/>
                <w:szCs w:val="18"/>
              </w:rPr>
              <w:t xml:space="preserve"> ayant accès à des services de réadaptation (sur la base de l'indicateur OMS et IDDC),</w:t>
            </w:r>
            <w:r w:rsidR="00854DB3" w:rsidRPr="00465F74">
              <w:rPr>
                <w:rStyle w:val="EndnoteReference"/>
                <w:rFonts w:cstheme="minorHAnsi"/>
                <w:b/>
                <w:sz w:val="18"/>
                <w:szCs w:val="18"/>
              </w:rPr>
              <w:endnoteReference w:id="10"/>
            </w:r>
            <w:r>
              <w:rPr>
                <w:sz w:val="18"/>
                <w:szCs w:val="18"/>
              </w:rPr>
              <w:t xml:space="preserve"> ventilés par sexe, âge, handicap, type et secteur de service et situation géographique.</w:t>
            </w:r>
          </w:p>
          <w:p w14:paraId="5C125EAE" w14:textId="006AA394" w:rsidR="0063415C" w:rsidRPr="00465F74" w:rsidRDefault="0063415C" w:rsidP="0063415C">
            <w:pPr>
              <w:pStyle w:val="CommentText"/>
              <w:spacing w:after="0"/>
              <w:jc w:val="both"/>
              <w:rPr>
                <w:rFonts w:cstheme="minorHAnsi"/>
                <w:sz w:val="18"/>
                <w:szCs w:val="18"/>
              </w:rPr>
            </w:pPr>
            <w:r>
              <w:rPr>
                <w:sz w:val="18"/>
                <w:szCs w:val="18"/>
              </w:rPr>
              <w:t xml:space="preserve">26.12 Nombre et proportion de </w:t>
            </w:r>
            <w:r w:rsidR="00725A41">
              <w:rPr>
                <w:sz w:val="18"/>
                <w:szCs w:val="18"/>
              </w:rPr>
              <w:t>personnes handicapées</w:t>
            </w:r>
            <w:r>
              <w:rPr>
                <w:sz w:val="18"/>
                <w:szCs w:val="18"/>
              </w:rPr>
              <w:t xml:space="preserve"> qui ont eu besoin de services de réadaptation au cours des 12 derniers mois et n'ont pas reçu les services dont elles avaient besoin (sur la base de l'indicateur OMS et IDDC), ventilés par sexe, âge, handicap, type et secteur de service et emplacement géographique.</w:t>
            </w:r>
          </w:p>
          <w:p w14:paraId="67664DB9" w14:textId="16121E2A" w:rsidR="001C305E" w:rsidRPr="0063094B" w:rsidRDefault="00595079" w:rsidP="00E74FF8">
            <w:pPr>
              <w:pStyle w:val="CommentText"/>
              <w:spacing w:after="0"/>
              <w:jc w:val="both"/>
              <w:rPr>
                <w:rFonts w:cstheme="minorHAnsi"/>
                <w:sz w:val="18"/>
                <w:szCs w:val="18"/>
              </w:rPr>
            </w:pPr>
            <w:r>
              <w:rPr>
                <w:sz w:val="18"/>
                <w:szCs w:val="18"/>
              </w:rPr>
              <w:t xml:space="preserve">26.13 Niveau de satisfaction des </w:t>
            </w:r>
            <w:r w:rsidR="00725A41">
              <w:rPr>
                <w:sz w:val="18"/>
                <w:szCs w:val="18"/>
              </w:rPr>
              <w:t>personnes handicapées</w:t>
            </w:r>
            <w:r>
              <w:rPr>
                <w:sz w:val="18"/>
                <w:szCs w:val="18"/>
              </w:rPr>
              <w:t xml:space="preserve"> à l'égard des services d'adaptation et de réadaptation reçus, ventilé par sexe, âge, handicap, type et secteur de service et situation géographique.</w:t>
            </w:r>
            <w:r w:rsidR="00886394" w:rsidRPr="00465F74">
              <w:rPr>
                <w:rStyle w:val="EndnoteReference"/>
                <w:rFonts w:cstheme="minorHAnsi"/>
                <w:sz w:val="18"/>
                <w:szCs w:val="18"/>
              </w:rPr>
              <w:endnoteReference w:id="11"/>
            </w:r>
          </w:p>
        </w:tc>
        <w:tc>
          <w:tcPr>
            <w:tcW w:w="6336" w:type="dxa"/>
          </w:tcPr>
          <w:p w14:paraId="523406F9" w14:textId="6A22BD5F" w:rsidR="001C58F5" w:rsidRPr="00465F74" w:rsidRDefault="001C58F5" w:rsidP="001C58F5">
            <w:pPr>
              <w:pStyle w:val="CommentText"/>
              <w:spacing w:after="0"/>
              <w:jc w:val="both"/>
              <w:rPr>
                <w:rFonts w:cstheme="minorHAnsi"/>
                <w:sz w:val="18"/>
                <w:szCs w:val="18"/>
              </w:rPr>
            </w:pPr>
            <w:r>
              <w:rPr>
                <w:sz w:val="18"/>
                <w:szCs w:val="18"/>
              </w:rPr>
              <w:t xml:space="preserve">26.14 Nombre et proportion de </w:t>
            </w:r>
            <w:r w:rsidR="00725A41">
              <w:rPr>
                <w:sz w:val="18"/>
                <w:szCs w:val="18"/>
              </w:rPr>
              <w:t>personnes handicapées</w:t>
            </w:r>
            <w:r>
              <w:rPr>
                <w:sz w:val="18"/>
                <w:szCs w:val="18"/>
              </w:rPr>
              <w:t xml:space="preserve"> qui ont accès à des appareils et technologies d'assistance adaptés à leurs besoins, ventilés par sexe, âge, handicap, type de produit et situation géographique (sur la base des indicateurs OMS et IDDC).</w:t>
            </w:r>
            <w:r w:rsidR="00FA11C5">
              <w:rPr>
                <w:rStyle w:val="EndnoteReference"/>
                <w:sz w:val="18"/>
                <w:szCs w:val="18"/>
              </w:rPr>
              <w:endnoteReference w:id="12"/>
            </w:r>
          </w:p>
          <w:p w14:paraId="6F090ED0" w14:textId="59EC146B" w:rsidR="001C58F5" w:rsidRPr="00465F74" w:rsidRDefault="001C58F5" w:rsidP="001C58F5">
            <w:pPr>
              <w:pStyle w:val="CommentText"/>
              <w:spacing w:after="0"/>
              <w:jc w:val="both"/>
              <w:rPr>
                <w:rFonts w:cstheme="minorHAnsi"/>
                <w:sz w:val="18"/>
                <w:szCs w:val="18"/>
              </w:rPr>
            </w:pPr>
            <w:r>
              <w:rPr>
                <w:sz w:val="18"/>
                <w:szCs w:val="18"/>
              </w:rPr>
              <w:t xml:space="preserve">20.15 Nombre de </w:t>
            </w:r>
            <w:r w:rsidR="00725A41">
              <w:rPr>
                <w:sz w:val="18"/>
                <w:szCs w:val="18"/>
              </w:rPr>
              <w:t>personnes handicapées</w:t>
            </w:r>
            <w:r>
              <w:rPr>
                <w:sz w:val="18"/>
                <w:szCs w:val="18"/>
              </w:rPr>
              <w:t xml:space="preserve"> bénéficiant de mesures spécifiques, telles que des exonérations fiscales et douanières ou un soutien financier ou des subventions, pour accéder aux appareils et technologies d'assistance spécifiquement à des fins d'adaptation et de réadaptation, ventilé par sexe, âge, handicap, situation géographique et type de mesure.</w:t>
            </w:r>
          </w:p>
          <w:p w14:paraId="2A9259F6" w14:textId="50D820F1" w:rsidR="001C305E" w:rsidRPr="00465F74" w:rsidRDefault="00C3654C" w:rsidP="00255E0D">
            <w:pPr>
              <w:pStyle w:val="CommentText"/>
              <w:spacing w:after="0"/>
              <w:jc w:val="both"/>
            </w:pPr>
            <w:r>
              <w:rPr>
                <w:sz w:val="18"/>
                <w:szCs w:val="18"/>
              </w:rPr>
              <w:t xml:space="preserve">26.16 Nombre et proportion de </w:t>
            </w:r>
            <w:r w:rsidR="00725A41">
              <w:rPr>
                <w:sz w:val="18"/>
                <w:szCs w:val="18"/>
              </w:rPr>
              <w:t>personnes handicapées</w:t>
            </w:r>
            <w:r>
              <w:rPr>
                <w:sz w:val="18"/>
                <w:szCs w:val="18"/>
              </w:rPr>
              <w:t xml:space="preserve"> utilisant des appareils et technologies d'assistance ventilés par sexe, âge, handicap, type de produit et situation géographique (sur la base des indicateurs OMS et IDDC). </w:t>
            </w:r>
          </w:p>
        </w:tc>
      </w:tr>
    </w:tbl>
    <w:p w14:paraId="6D673FA5" w14:textId="539DD562" w:rsidR="00151F7E" w:rsidRDefault="00151F7E" w:rsidP="00BA22F4">
      <w:pPr>
        <w:spacing w:before="60"/>
        <w:jc w:val="center"/>
        <w:rPr>
          <w:rFonts w:cstheme="minorHAnsi"/>
          <w:b/>
          <w:sz w:val="22"/>
          <w:szCs w:val="22"/>
        </w:rPr>
      </w:pPr>
    </w:p>
    <w:p w14:paraId="187FC6BC" w14:textId="7C96581E" w:rsidR="00187817" w:rsidRPr="00151F7E" w:rsidRDefault="00187817" w:rsidP="00777A55">
      <w:pPr>
        <w:rPr>
          <w:rFonts w:cstheme="minorHAnsi"/>
          <w:sz w:val="20"/>
          <w:szCs w:val="20"/>
        </w:rPr>
      </w:pPr>
      <w:r>
        <w:rPr>
          <w:sz w:val="20"/>
          <w:szCs w:val="20"/>
        </w:rPr>
        <w:t xml:space="preserve">* Voir le </w:t>
      </w:r>
      <w:r w:rsidR="00777A55">
        <w:rPr>
          <w:sz w:val="20"/>
          <w:szCs w:val="20"/>
        </w:rPr>
        <w:t>report de la</w:t>
      </w:r>
      <w:r w:rsidR="009414D8">
        <w:rPr>
          <w:sz w:val="20"/>
          <w:szCs w:val="20"/>
        </w:rPr>
        <w:t xml:space="preserve"> </w:t>
      </w:r>
      <w:r w:rsidR="00777A55">
        <w:rPr>
          <w:sz w:val="20"/>
          <w:szCs w:val="20"/>
        </w:rPr>
        <w:t>Rapporteuse</w:t>
      </w:r>
      <w:r>
        <w:rPr>
          <w:sz w:val="20"/>
          <w:szCs w:val="20"/>
        </w:rPr>
        <w:t xml:space="preserve"> spécial</w:t>
      </w:r>
      <w:r w:rsidR="00777A55">
        <w:rPr>
          <w:sz w:val="20"/>
          <w:szCs w:val="20"/>
        </w:rPr>
        <w:t>e</w:t>
      </w:r>
      <w:r>
        <w:rPr>
          <w:sz w:val="20"/>
          <w:szCs w:val="20"/>
        </w:rPr>
        <w:t xml:space="preserve"> sur les droits des </w:t>
      </w:r>
      <w:r w:rsidR="00725A41">
        <w:rPr>
          <w:sz w:val="20"/>
          <w:szCs w:val="20"/>
        </w:rPr>
        <w:t>personnes handicapées</w:t>
      </w:r>
      <w:r>
        <w:rPr>
          <w:sz w:val="20"/>
          <w:szCs w:val="20"/>
        </w:rPr>
        <w:t xml:space="preserve">, </w:t>
      </w:r>
      <w:hyperlink r:id="rId11" w:history="1">
        <w:r w:rsidRPr="00777A55">
          <w:rPr>
            <w:rStyle w:val="Hyperlink"/>
            <w:sz w:val="20"/>
            <w:szCs w:val="20"/>
          </w:rPr>
          <w:t>A/HRC/34/58</w:t>
        </w:r>
      </w:hyperlink>
      <w:r>
        <w:rPr>
          <w:sz w:val="20"/>
          <w:szCs w:val="20"/>
        </w:rPr>
        <w:t>, paragraphe 14, ainsi que la</w:t>
      </w:r>
      <w:r>
        <w:t xml:space="preserve"> </w:t>
      </w:r>
      <w:hyperlink r:id="rId12" w:history="1">
        <w:r>
          <w:rPr>
            <w:rStyle w:val="Hyperlink"/>
            <w:sz w:val="18"/>
            <w:szCs w:val="18"/>
          </w:rPr>
          <w:t>fiche d'information sur les appareils et technologies d'assistance</w:t>
        </w:r>
      </w:hyperlink>
      <w:r>
        <w:rPr>
          <w:sz w:val="18"/>
          <w:szCs w:val="18"/>
        </w:rPr>
        <w:t>.</w:t>
      </w:r>
    </w:p>
    <w:sectPr w:rsidR="00187817" w:rsidRPr="00151F7E" w:rsidSect="007A3E63">
      <w:footnotePr>
        <w:pos w:val="beneathText"/>
      </w:footnotePr>
      <w:pgSz w:w="15840" w:h="12240" w:orient="landscape"/>
      <w:pgMar w:top="284" w:right="284" w:bottom="49"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5B6E7" w14:textId="77777777" w:rsidR="00A032EB" w:rsidRDefault="00A032EB" w:rsidP="00CA591E"/>
  </w:endnote>
  <w:endnote w:type="continuationSeparator" w:id="0">
    <w:p w14:paraId="23520535" w14:textId="77777777" w:rsidR="00A032EB" w:rsidRDefault="00A032EB" w:rsidP="00CA591E">
      <w:r>
        <w:continuationSeparator/>
      </w:r>
    </w:p>
  </w:endnote>
  <w:endnote w:id="1">
    <w:p w14:paraId="4F787724" w14:textId="424CE524" w:rsidR="00812AC9" w:rsidRPr="0063094B" w:rsidRDefault="00812AC9" w:rsidP="00425211">
      <w:pPr>
        <w:pStyle w:val="EndnoteText"/>
        <w:jc w:val="both"/>
        <w:rPr>
          <w:sz w:val="18"/>
          <w:szCs w:val="18"/>
        </w:rPr>
      </w:pPr>
      <w:r>
        <w:rPr>
          <w:rStyle w:val="EndnoteReference"/>
          <w:sz w:val="18"/>
          <w:szCs w:val="18"/>
        </w:rPr>
        <w:endnoteRef/>
      </w:r>
      <w:r>
        <w:t xml:space="preserve"> </w:t>
      </w:r>
      <w:r>
        <w:rPr>
          <w:sz w:val="18"/>
          <w:szCs w:val="18"/>
        </w:rPr>
        <w:t>Cela nécessite que l'organisation, la fourniture et la prestation de services complets soient basées sur le consentement libre et éclairé de la personne ; ils doivent être non discriminatoires, participatifs, disponibles, abordables, accessibles et communautaires.</w:t>
      </w:r>
      <w:r w:rsidR="00892CC0">
        <w:rPr>
          <w:sz w:val="18"/>
          <w:szCs w:val="18"/>
        </w:rPr>
        <w:t xml:space="preserve"> </w:t>
      </w:r>
    </w:p>
  </w:endnote>
  <w:endnote w:id="2">
    <w:p w14:paraId="41973D21" w14:textId="7A830A5B" w:rsidR="0011072B" w:rsidRPr="0063094B" w:rsidRDefault="00403A0F" w:rsidP="00425211">
      <w:pPr>
        <w:pStyle w:val="EndnoteText"/>
        <w:jc w:val="both"/>
        <w:rPr>
          <w:sz w:val="18"/>
          <w:szCs w:val="18"/>
        </w:rPr>
      </w:pPr>
      <w:r>
        <w:rPr>
          <w:rStyle w:val="EndnoteReference"/>
          <w:sz w:val="18"/>
          <w:szCs w:val="18"/>
        </w:rPr>
        <w:endnoteRef/>
      </w:r>
      <w:r>
        <w:t xml:space="preserve"> </w:t>
      </w:r>
      <w:r>
        <w:rPr>
          <w:sz w:val="18"/>
          <w:szCs w:val="18"/>
        </w:rPr>
        <w:t xml:space="preserve">L'accès aux services d'adaptation et de réadaptation ne doit pas être : </w:t>
      </w:r>
    </w:p>
    <w:p w14:paraId="4F71440D" w14:textId="245FA1F8" w:rsidR="0011072B" w:rsidRPr="0063094B" w:rsidRDefault="0011072B" w:rsidP="00892CC0">
      <w:pPr>
        <w:pStyle w:val="EndnoteText"/>
        <w:numPr>
          <w:ilvl w:val="0"/>
          <w:numId w:val="18"/>
        </w:numPr>
        <w:jc w:val="both"/>
        <w:rPr>
          <w:sz w:val="18"/>
          <w:szCs w:val="18"/>
        </w:rPr>
      </w:pPr>
      <w:proofErr w:type="gramStart"/>
      <w:r>
        <w:rPr>
          <w:sz w:val="18"/>
          <w:szCs w:val="18"/>
        </w:rPr>
        <w:t>subordonné</w:t>
      </w:r>
      <w:proofErr w:type="gramEnd"/>
      <w:r>
        <w:rPr>
          <w:sz w:val="18"/>
          <w:szCs w:val="18"/>
        </w:rPr>
        <w:t xml:space="preserve"> au fait de suivre ou de respecter un traitement ou des conditions de vie qui empêchent le choix, la volonté et les préférences de l'individu, ou contreviennent aux dispositions et principes de la Convention (par exemple, exiger l'institutionnalisation pour accéder aux services de réadaptation) </w:t>
      </w:r>
    </w:p>
    <w:p w14:paraId="7C485336" w14:textId="6844765C" w:rsidR="00EB0543" w:rsidRPr="0063094B" w:rsidRDefault="00EB0543" w:rsidP="00425211">
      <w:pPr>
        <w:pStyle w:val="EndnoteText"/>
        <w:numPr>
          <w:ilvl w:val="0"/>
          <w:numId w:val="18"/>
        </w:numPr>
        <w:jc w:val="both"/>
        <w:rPr>
          <w:sz w:val="18"/>
          <w:szCs w:val="18"/>
        </w:rPr>
      </w:pPr>
      <w:proofErr w:type="gramStart"/>
      <w:r>
        <w:rPr>
          <w:sz w:val="18"/>
          <w:szCs w:val="18"/>
        </w:rPr>
        <w:t>une</w:t>
      </w:r>
      <w:proofErr w:type="gramEnd"/>
      <w:r>
        <w:rPr>
          <w:sz w:val="18"/>
          <w:szCs w:val="18"/>
        </w:rPr>
        <w:t xml:space="preserve"> condition préalable pour choisir où et avec qui vivre (par exemple, avoir à subir une adaptation ou une réadaptation pour ne pas être institutionnalisé) ;</w:t>
      </w:r>
    </w:p>
    <w:p w14:paraId="353FDD88" w14:textId="240403FA" w:rsidR="000B2695" w:rsidRPr="0063094B" w:rsidRDefault="000B2695" w:rsidP="00425211">
      <w:pPr>
        <w:pStyle w:val="EndnoteText"/>
        <w:numPr>
          <w:ilvl w:val="0"/>
          <w:numId w:val="18"/>
        </w:numPr>
        <w:jc w:val="both"/>
        <w:rPr>
          <w:sz w:val="18"/>
          <w:szCs w:val="18"/>
        </w:rPr>
      </w:pPr>
      <w:proofErr w:type="gramStart"/>
      <w:r>
        <w:rPr>
          <w:sz w:val="18"/>
          <w:szCs w:val="18"/>
        </w:rPr>
        <w:t>une</w:t>
      </w:r>
      <w:proofErr w:type="gramEnd"/>
      <w:r>
        <w:rPr>
          <w:sz w:val="18"/>
          <w:szCs w:val="18"/>
        </w:rPr>
        <w:t xml:space="preserve"> condition préalable pour être éligible aux prestations (par exemple subir une réadaptation pour avoir droit aux prestations de protection sociale).</w:t>
      </w:r>
    </w:p>
    <w:p w14:paraId="4F219AAC" w14:textId="73ED5F8A" w:rsidR="003A5EE7" w:rsidRPr="0063094B" w:rsidRDefault="00185368" w:rsidP="00425211">
      <w:pPr>
        <w:pStyle w:val="EndnoteText"/>
        <w:numPr>
          <w:ilvl w:val="0"/>
          <w:numId w:val="18"/>
        </w:numPr>
        <w:jc w:val="both"/>
        <w:rPr>
          <w:sz w:val="18"/>
          <w:szCs w:val="18"/>
        </w:rPr>
      </w:pPr>
      <w:proofErr w:type="gramStart"/>
      <w:r>
        <w:rPr>
          <w:sz w:val="18"/>
          <w:szCs w:val="18"/>
        </w:rPr>
        <w:t>conditionné</w:t>
      </w:r>
      <w:proofErr w:type="gramEnd"/>
      <w:r>
        <w:rPr>
          <w:sz w:val="18"/>
          <w:szCs w:val="18"/>
        </w:rPr>
        <w:t xml:space="preserve"> à accepter un mode de vie permanent et particulier, comme vivre dans un hôpital ou une institution, au-delà des exigences initiales d'un processus de réadaptation.</w:t>
      </w:r>
      <w:r w:rsidR="00892CC0">
        <w:rPr>
          <w:sz w:val="18"/>
          <w:szCs w:val="18"/>
        </w:rPr>
        <w:t xml:space="preserve">  </w:t>
      </w:r>
    </w:p>
  </w:endnote>
  <w:endnote w:id="3">
    <w:p w14:paraId="44C4888D" w14:textId="1AEF4397" w:rsidR="00403A0F" w:rsidRPr="0063094B" w:rsidRDefault="00403A0F" w:rsidP="00425211">
      <w:pPr>
        <w:pStyle w:val="EndnoteText"/>
        <w:jc w:val="both"/>
        <w:rPr>
          <w:sz w:val="18"/>
          <w:szCs w:val="18"/>
        </w:rPr>
      </w:pPr>
      <w:r>
        <w:rPr>
          <w:rStyle w:val="EndnoteReference"/>
          <w:sz w:val="18"/>
          <w:szCs w:val="18"/>
        </w:rPr>
        <w:endnoteRef/>
      </w:r>
      <w:r>
        <w:t xml:space="preserve"> </w:t>
      </w:r>
      <w:r>
        <w:rPr>
          <w:sz w:val="18"/>
          <w:szCs w:val="18"/>
        </w:rPr>
        <w:t>La stratégie ou le plan devrait :</w:t>
      </w:r>
    </w:p>
    <w:p w14:paraId="589903AA" w14:textId="28BB7631" w:rsidR="00403A0F" w:rsidRPr="0063094B" w:rsidRDefault="00EB0543" w:rsidP="00425211">
      <w:pPr>
        <w:pStyle w:val="EndnoteText"/>
        <w:numPr>
          <w:ilvl w:val="0"/>
          <w:numId w:val="17"/>
        </w:numPr>
        <w:jc w:val="both"/>
        <w:rPr>
          <w:sz w:val="18"/>
          <w:szCs w:val="18"/>
        </w:rPr>
      </w:pPr>
      <w:proofErr w:type="gramStart"/>
      <w:r>
        <w:rPr>
          <w:sz w:val="18"/>
          <w:szCs w:val="18"/>
        </w:rPr>
        <w:t>englober</w:t>
      </w:r>
      <w:proofErr w:type="gramEnd"/>
      <w:r>
        <w:rPr>
          <w:sz w:val="18"/>
          <w:szCs w:val="18"/>
        </w:rPr>
        <w:t xml:space="preserve"> toutes les </w:t>
      </w:r>
      <w:r w:rsidR="00725A41">
        <w:rPr>
          <w:sz w:val="18"/>
          <w:szCs w:val="18"/>
        </w:rPr>
        <w:t>personnes handicapées</w:t>
      </w:r>
      <w:r>
        <w:rPr>
          <w:sz w:val="18"/>
          <w:szCs w:val="18"/>
        </w:rPr>
        <w:t>, quels que soient leur handicap, leur sexe ou leur âge ;</w:t>
      </w:r>
    </w:p>
    <w:p w14:paraId="3270FDCC" w14:textId="52C0C2D3" w:rsidR="00407605" w:rsidRPr="0063094B" w:rsidRDefault="00407605" w:rsidP="00425211">
      <w:pPr>
        <w:pStyle w:val="ListParagraph"/>
        <w:numPr>
          <w:ilvl w:val="0"/>
          <w:numId w:val="17"/>
        </w:numPr>
        <w:jc w:val="both"/>
        <w:rPr>
          <w:sz w:val="18"/>
          <w:szCs w:val="18"/>
        </w:rPr>
      </w:pPr>
      <w:proofErr w:type="gramStart"/>
      <w:r>
        <w:rPr>
          <w:sz w:val="18"/>
          <w:szCs w:val="18"/>
        </w:rPr>
        <w:t>exclure</w:t>
      </w:r>
      <w:proofErr w:type="gramEnd"/>
      <w:r>
        <w:rPr>
          <w:sz w:val="18"/>
          <w:szCs w:val="18"/>
        </w:rPr>
        <w:t xml:space="preserve"> ou éliminer les critères financiers (critères de revenu) pour être éligibles à l'accès aux services d'adaptation et de réadaptation ;</w:t>
      </w:r>
    </w:p>
    <w:p w14:paraId="40918670" w14:textId="5BBE5BDF" w:rsidR="007B5023" w:rsidRPr="0063094B" w:rsidRDefault="007B5023" w:rsidP="00425211">
      <w:pPr>
        <w:pStyle w:val="ListParagraph"/>
        <w:numPr>
          <w:ilvl w:val="0"/>
          <w:numId w:val="17"/>
        </w:numPr>
        <w:jc w:val="both"/>
        <w:rPr>
          <w:sz w:val="18"/>
          <w:szCs w:val="18"/>
        </w:rPr>
      </w:pPr>
      <w:proofErr w:type="gramStart"/>
      <w:r>
        <w:rPr>
          <w:sz w:val="18"/>
          <w:szCs w:val="18"/>
        </w:rPr>
        <w:t>s'assurer</w:t>
      </w:r>
      <w:proofErr w:type="gramEnd"/>
      <w:r>
        <w:rPr>
          <w:sz w:val="18"/>
          <w:szCs w:val="18"/>
        </w:rPr>
        <w:t xml:space="preserve"> que les services sont fondés sur les principes de la participation et de l'inclusion des </w:t>
      </w:r>
      <w:r w:rsidR="00725A41">
        <w:rPr>
          <w:sz w:val="18"/>
          <w:szCs w:val="18"/>
        </w:rPr>
        <w:t>personnes handicapées</w:t>
      </w:r>
      <w:r>
        <w:rPr>
          <w:sz w:val="18"/>
          <w:szCs w:val="18"/>
        </w:rPr>
        <w:t xml:space="preserve"> dans la communauté et ciblent ces personnes ; </w:t>
      </w:r>
    </w:p>
    <w:p w14:paraId="08CE71B1" w14:textId="7EE194B7" w:rsidR="007B5023" w:rsidRPr="0063094B" w:rsidRDefault="007B5023" w:rsidP="00425211">
      <w:pPr>
        <w:pStyle w:val="ListParagraph"/>
        <w:numPr>
          <w:ilvl w:val="0"/>
          <w:numId w:val="17"/>
        </w:numPr>
        <w:jc w:val="both"/>
        <w:rPr>
          <w:sz w:val="18"/>
          <w:szCs w:val="18"/>
        </w:rPr>
      </w:pPr>
      <w:proofErr w:type="gramStart"/>
      <w:r>
        <w:rPr>
          <w:sz w:val="18"/>
          <w:szCs w:val="18"/>
        </w:rPr>
        <w:t>assurer</w:t>
      </w:r>
      <w:proofErr w:type="gramEnd"/>
      <w:r>
        <w:rPr>
          <w:sz w:val="18"/>
          <w:szCs w:val="18"/>
        </w:rPr>
        <w:t xml:space="preserve"> une approche intersectorielle pour organiser, renforcer et étendre les services, en particulier dans les domaines de la santé, de l'emploi, de l'éducation et des services sociaux ;</w:t>
      </w:r>
    </w:p>
    <w:p w14:paraId="55D2F7BA" w14:textId="2F133E9F" w:rsidR="00407605" w:rsidRPr="0063094B" w:rsidRDefault="00407605" w:rsidP="00425211">
      <w:pPr>
        <w:pStyle w:val="ListParagraph"/>
        <w:numPr>
          <w:ilvl w:val="0"/>
          <w:numId w:val="17"/>
        </w:numPr>
        <w:jc w:val="both"/>
        <w:rPr>
          <w:sz w:val="18"/>
          <w:szCs w:val="18"/>
        </w:rPr>
      </w:pPr>
      <w:proofErr w:type="gramStart"/>
      <w:r>
        <w:rPr>
          <w:sz w:val="18"/>
          <w:szCs w:val="18"/>
        </w:rPr>
        <w:t>s'assurer</w:t>
      </w:r>
      <w:proofErr w:type="gramEnd"/>
      <w:r>
        <w:rPr>
          <w:sz w:val="18"/>
          <w:szCs w:val="18"/>
        </w:rPr>
        <w:t xml:space="preserve"> que les services sont fournis sur la base d'une évaluation multidisciplinaire des besoins et des forces de chacun ;</w:t>
      </w:r>
    </w:p>
    <w:p w14:paraId="0FF29BF9" w14:textId="7D35FD9B" w:rsidR="00407605" w:rsidRPr="0063094B" w:rsidRDefault="00403A0F" w:rsidP="00425211">
      <w:pPr>
        <w:pStyle w:val="EndnoteText"/>
        <w:numPr>
          <w:ilvl w:val="0"/>
          <w:numId w:val="17"/>
        </w:numPr>
        <w:jc w:val="both"/>
        <w:rPr>
          <w:sz w:val="18"/>
          <w:szCs w:val="18"/>
        </w:rPr>
      </w:pPr>
      <w:proofErr w:type="gramStart"/>
      <w:r>
        <w:rPr>
          <w:sz w:val="18"/>
          <w:szCs w:val="18"/>
        </w:rPr>
        <w:t>assurer</w:t>
      </w:r>
      <w:proofErr w:type="gramEnd"/>
      <w:r>
        <w:rPr>
          <w:sz w:val="18"/>
          <w:szCs w:val="18"/>
        </w:rPr>
        <w:t xml:space="preserve"> l'accessibilité, la prestation en temps opportun et la continuité des services, dans ou le plus près possible de la communauté ;</w:t>
      </w:r>
    </w:p>
    <w:p w14:paraId="00906468" w14:textId="2B5C6093" w:rsidR="003C35D4" w:rsidRPr="0063094B" w:rsidRDefault="00892CC0" w:rsidP="00425211">
      <w:pPr>
        <w:pStyle w:val="EndnoteText"/>
        <w:numPr>
          <w:ilvl w:val="0"/>
          <w:numId w:val="17"/>
        </w:numPr>
        <w:jc w:val="both"/>
        <w:rPr>
          <w:sz w:val="18"/>
          <w:szCs w:val="18"/>
        </w:rPr>
      </w:pPr>
      <w:proofErr w:type="gramStart"/>
      <w:r>
        <w:rPr>
          <w:sz w:val="18"/>
          <w:szCs w:val="18"/>
        </w:rPr>
        <w:t>i</w:t>
      </w:r>
      <w:r w:rsidR="003C35D4">
        <w:rPr>
          <w:sz w:val="18"/>
          <w:szCs w:val="18"/>
        </w:rPr>
        <w:t>nclure</w:t>
      </w:r>
      <w:proofErr w:type="gramEnd"/>
      <w:r w:rsidR="003C35D4">
        <w:rPr>
          <w:sz w:val="18"/>
          <w:szCs w:val="18"/>
        </w:rPr>
        <w:t xml:space="preserve"> des mesures pour développer, soutenir et renforcer une diversité de programmes de soutien par les pairs ;</w:t>
      </w:r>
    </w:p>
    <w:p w14:paraId="6067610C" w14:textId="30D753B4" w:rsidR="00403A0F" w:rsidRPr="0063094B" w:rsidRDefault="00403A0F" w:rsidP="00425211">
      <w:pPr>
        <w:pStyle w:val="EndnoteText"/>
        <w:numPr>
          <w:ilvl w:val="0"/>
          <w:numId w:val="17"/>
        </w:numPr>
        <w:jc w:val="both"/>
        <w:rPr>
          <w:sz w:val="18"/>
          <w:szCs w:val="18"/>
        </w:rPr>
      </w:pPr>
      <w:proofErr w:type="gramStart"/>
      <w:r>
        <w:rPr>
          <w:sz w:val="18"/>
          <w:szCs w:val="18"/>
        </w:rPr>
        <w:t>inclure</w:t>
      </w:r>
      <w:proofErr w:type="gramEnd"/>
      <w:r>
        <w:rPr>
          <w:sz w:val="18"/>
          <w:szCs w:val="18"/>
        </w:rPr>
        <w:t xml:space="preserve"> une formation pour les parents d'enfants handicap</w:t>
      </w:r>
      <w:r w:rsidR="00725A41">
        <w:rPr>
          <w:sz w:val="18"/>
          <w:szCs w:val="18"/>
        </w:rPr>
        <w:t>és</w:t>
      </w:r>
      <w:r>
        <w:rPr>
          <w:sz w:val="18"/>
          <w:szCs w:val="18"/>
        </w:rPr>
        <w:t xml:space="preserve"> bénéficiant de services d'intervention précoce ; et</w:t>
      </w:r>
    </w:p>
    <w:p w14:paraId="51FB66B2" w14:textId="5393C8CF" w:rsidR="005D7C73" w:rsidRPr="0063094B" w:rsidRDefault="00EB0543" w:rsidP="00425211">
      <w:pPr>
        <w:pStyle w:val="EndnoteText"/>
        <w:numPr>
          <w:ilvl w:val="0"/>
          <w:numId w:val="17"/>
        </w:numPr>
        <w:jc w:val="both"/>
        <w:rPr>
          <w:sz w:val="18"/>
          <w:szCs w:val="18"/>
        </w:rPr>
      </w:pPr>
      <w:proofErr w:type="gramStart"/>
      <w:r>
        <w:rPr>
          <w:sz w:val="18"/>
          <w:szCs w:val="18"/>
        </w:rPr>
        <w:t>garantir</w:t>
      </w:r>
      <w:proofErr w:type="gramEnd"/>
      <w:r>
        <w:rPr>
          <w:sz w:val="18"/>
          <w:szCs w:val="18"/>
        </w:rPr>
        <w:t xml:space="preserve"> une allocation appropriée des ressources, notamment par le biais de la coopération internationale.</w:t>
      </w:r>
    </w:p>
  </w:endnote>
  <w:endnote w:id="4">
    <w:p w14:paraId="46318636" w14:textId="73CF59FA" w:rsidR="00A704BE" w:rsidRPr="0063094B" w:rsidRDefault="00A704BE" w:rsidP="00A704BE">
      <w:pPr>
        <w:tabs>
          <w:tab w:val="left" w:pos="175"/>
        </w:tabs>
        <w:jc w:val="both"/>
        <w:rPr>
          <w:rFonts w:cstheme="minorHAnsi"/>
          <w:sz w:val="18"/>
          <w:szCs w:val="18"/>
        </w:rPr>
      </w:pPr>
      <w:r>
        <w:rPr>
          <w:rStyle w:val="EndnoteReference"/>
          <w:sz w:val="18"/>
          <w:szCs w:val="18"/>
        </w:rPr>
        <w:endnoteRef/>
      </w:r>
      <w:r>
        <w:t xml:space="preserve"> </w:t>
      </w:r>
      <w:r>
        <w:rPr>
          <w:sz w:val="18"/>
          <w:szCs w:val="18"/>
        </w:rPr>
        <w:t>Le plan devrait inclure la réalisation et la promotion de la recherche et du développement de nouvelles technologies, y compris les technologies de l'information et de la communication, les aides à la mobilité, les appareils et les technologies d'assistance, en donnant la priorité à ceux à un coût abordable.</w:t>
      </w:r>
    </w:p>
  </w:endnote>
  <w:endnote w:id="5">
    <w:p w14:paraId="63F01AEF" w14:textId="4FB2E420" w:rsidR="002C5763" w:rsidRPr="0063094B" w:rsidRDefault="002C5763" w:rsidP="00425211">
      <w:pPr>
        <w:pStyle w:val="EndnoteText"/>
        <w:jc w:val="both"/>
        <w:rPr>
          <w:sz w:val="18"/>
          <w:szCs w:val="18"/>
        </w:rPr>
      </w:pPr>
      <w:r>
        <w:rPr>
          <w:rStyle w:val="EndnoteReference"/>
          <w:sz w:val="18"/>
          <w:szCs w:val="18"/>
        </w:rPr>
        <w:endnoteRef/>
      </w:r>
      <w:r>
        <w:t xml:space="preserve"> </w:t>
      </w:r>
      <w:r>
        <w:rPr>
          <w:sz w:val="18"/>
          <w:szCs w:val="18"/>
        </w:rPr>
        <w:t>Les politiques de passation des marchés publics peuvent contribuer à garantir l'offre, la qualité, l'</w:t>
      </w:r>
      <w:proofErr w:type="spellStart"/>
      <w:r>
        <w:rPr>
          <w:sz w:val="18"/>
          <w:szCs w:val="18"/>
        </w:rPr>
        <w:t>abordabilité</w:t>
      </w:r>
      <w:proofErr w:type="spellEnd"/>
      <w:r>
        <w:rPr>
          <w:sz w:val="18"/>
          <w:szCs w:val="18"/>
        </w:rPr>
        <w:t xml:space="preserve">, la multiplicité et la variété des choix d'appareils et accessoires d'assistance pour les </w:t>
      </w:r>
      <w:r w:rsidR="00725A41">
        <w:rPr>
          <w:sz w:val="18"/>
          <w:szCs w:val="18"/>
        </w:rPr>
        <w:t>personnes handicapées</w:t>
      </w:r>
      <w:r>
        <w:rPr>
          <w:sz w:val="18"/>
          <w:szCs w:val="18"/>
        </w:rPr>
        <w:t>. La réglementation et les appels d'offres devraient viser à garantir la disponibilité de produits de qualité à des tarifs bas afin : d'accroître l'accès des bénéficiaires des régimes administrés par l'État ; et de contribuer à façonner le marché en abaissant les prix pour garantir l'</w:t>
      </w:r>
      <w:proofErr w:type="spellStart"/>
      <w:r>
        <w:rPr>
          <w:sz w:val="18"/>
          <w:szCs w:val="18"/>
        </w:rPr>
        <w:t>abordabilité</w:t>
      </w:r>
      <w:proofErr w:type="spellEnd"/>
      <w:r>
        <w:rPr>
          <w:sz w:val="18"/>
          <w:szCs w:val="18"/>
        </w:rPr>
        <w:t>.</w:t>
      </w:r>
    </w:p>
  </w:endnote>
  <w:endnote w:id="6">
    <w:p w14:paraId="1EC706FF" w14:textId="179834B4" w:rsidR="00AE0357" w:rsidRPr="0063094B" w:rsidRDefault="00AE0357" w:rsidP="00425211">
      <w:pPr>
        <w:pStyle w:val="EndnoteText"/>
        <w:jc w:val="both"/>
        <w:rPr>
          <w:sz w:val="18"/>
          <w:szCs w:val="18"/>
        </w:rPr>
      </w:pPr>
      <w:r>
        <w:rPr>
          <w:rStyle w:val="EndnoteReference"/>
          <w:sz w:val="18"/>
          <w:szCs w:val="18"/>
        </w:rPr>
        <w:endnoteRef/>
      </w:r>
      <w:r>
        <w:t xml:space="preserve"> </w:t>
      </w:r>
      <w:r>
        <w:rPr>
          <w:sz w:val="18"/>
          <w:szCs w:val="18"/>
        </w:rPr>
        <w:t>Les mesures pourraient comprendre, entre autres :</w:t>
      </w:r>
    </w:p>
    <w:p w14:paraId="54641B25" w14:textId="1CE68142" w:rsidR="00AE0357" w:rsidRPr="0063094B" w:rsidRDefault="00AE0357" w:rsidP="00425211">
      <w:pPr>
        <w:pStyle w:val="ListParagraph"/>
        <w:numPr>
          <w:ilvl w:val="0"/>
          <w:numId w:val="19"/>
        </w:numPr>
        <w:jc w:val="both"/>
        <w:rPr>
          <w:sz w:val="18"/>
          <w:szCs w:val="18"/>
        </w:rPr>
      </w:pPr>
      <w:proofErr w:type="gramStart"/>
      <w:r>
        <w:rPr>
          <w:sz w:val="18"/>
          <w:szCs w:val="18"/>
        </w:rPr>
        <w:t>des</w:t>
      </w:r>
      <w:proofErr w:type="gramEnd"/>
      <w:r>
        <w:rPr>
          <w:sz w:val="18"/>
          <w:szCs w:val="18"/>
        </w:rPr>
        <w:t xml:space="preserve"> exonérations fiscales et douanières pour importer des appareils et technologies d'assistance conçus pour les </w:t>
      </w:r>
      <w:r w:rsidR="00725A41">
        <w:rPr>
          <w:sz w:val="18"/>
          <w:szCs w:val="18"/>
        </w:rPr>
        <w:t>personnes handicapées</w:t>
      </w:r>
      <w:r>
        <w:rPr>
          <w:sz w:val="18"/>
          <w:szCs w:val="18"/>
        </w:rPr>
        <w:t xml:space="preserve">, en particulier lorsqu'ils ne sont pas disponibles ou abordables localement. </w:t>
      </w:r>
    </w:p>
    <w:p w14:paraId="1F724CF9" w14:textId="51F98E74" w:rsidR="00AE0357" w:rsidRPr="0063094B" w:rsidRDefault="002E6060" w:rsidP="00425211">
      <w:pPr>
        <w:pStyle w:val="ListParagraph"/>
        <w:numPr>
          <w:ilvl w:val="0"/>
          <w:numId w:val="19"/>
        </w:numPr>
        <w:jc w:val="both"/>
        <w:rPr>
          <w:sz w:val="18"/>
          <w:szCs w:val="18"/>
        </w:rPr>
      </w:pPr>
      <w:proofErr w:type="gramStart"/>
      <w:r>
        <w:rPr>
          <w:sz w:val="18"/>
          <w:szCs w:val="18"/>
        </w:rPr>
        <w:t>un</w:t>
      </w:r>
      <w:proofErr w:type="gramEnd"/>
      <w:r>
        <w:rPr>
          <w:sz w:val="18"/>
          <w:szCs w:val="18"/>
        </w:rPr>
        <w:t xml:space="preserve"> soutien financier, y compris des allocations ou des prêts à faible taux d'intérêt, pour l'achat d'appareils et de technologies d'assistance conçus pour les </w:t>
      </w:r>
      <w:r w:rsidR="00725A41">
        <w:rPr>
          <w:sz w:val="18"/>
          <w:szCs w:val="18"/>
        </w:rPr>
        <w:t>personnes handicapées</w:t>
      </w:r>
      <w:r>
        <w:rPr>
          <w:sz w:val="18"/>
          <w:szCs w:val="18"/>
        </w:rPr>
        <w:t xml:space="preserve">. </w:t>
      </w:r>
    </w:p>
    <w:p w14:paraId="7EFFA540" w14:textId="0D665FF4" w:rsidR="00AE0357" w:rsidRPr="0063094B" w:rsidRDefault="002E6060" w:rsidP="00425211">
      <w:pPr>
        <w:pStyle w:val="ListParagraph"/>
        <w:numPr>
          <w:ilvl w:val="0"/>
          <w:numId w:val="19"/>
        </w:numPr>
        <w:jc w:val="both"/>
        <w:rPr>
          <w:sz w:val="18"/>
          <w:szCs w:val="18"/>
        </w:rPr>
      </w:pPr>
      <w:proofErr w:type="gramStart"/>
      <w:r>
        <w:rPr>
          <w:sz w:val="18"/>
          <w:szCs w:val="18"/>
        </w:rPr>
        <w:t>des</w:t>
      </w:r>
      <w:proofErr w:type="gramEnd"/>
      <w:r>
        <w:rPr>
          <w:sz w:val="18"/>
          <w:szCs w:val="18"/>
        </w:rPr>
        <w:t xml:space="preserve"> régimes de remboursement équitables afin d'éviter tout coût supplémentaire.</w:t>
      </w:r>
    </w:p>
    <w:p w14:paraId="73DF409C" w14:textId="469E1B0E" w:rsidR="005D7C73" w:rsidRPr="0063094B" w:rsidRDefault="002E6060" w:rsidP="00425211">
      <w:pPr>
        <w:pStyle w:val="ListParagraph"/>
        <w:numPr>
          <w:ilvl w:val="0"/>
          <w:numId w:val="19"/>
        </w:numPr>
        <w:jc w:val="both"/>
        <w:rPr>
          <w:sz w:val="18"/>
          <w:szCs w:val="18"/>
        </w:rPr>
      </w:pPr>
      <w:proofErr w:type="gramStart"/>
      <w:r>
        <w:rPr>
          <w:sz w:val="18"/>
          <w:szCs w:val="18"/>
        </w:rPr>
        <w:t>la</w:t>
      </w:r>
      <w:proofErr w:type="gramEnd"/>
      <w:r>
        <w:rPr>
          <w:sz w:val="18"/>
          <w:szCs w:val="18"/>
        </w:rPr>
        <w:t xml:space="preserve"> fourniture directe de technologies d'assistance financées par des fonds publics pour l'adaptation et la réadaptation.</w:t>
      </w:r>
    </w:p>
    <w:p w14:paraId="0BC70FFD" w14:textId="24718CB4" w:rsidR="001F6647" w:rsidRPr="001F6647" w:rsidRDefault="002E6060" w:rsidP="001F6647">
      <w:pPr>
        <w:pStyle w:val="ListParagraph"/>
        <w:numPr>
          <w:ilvl w:val="0"/>
          <w:numId w:val="19"/>
        </w:numPr>
        <w:jc w:val="both"/>
        <w:rPr>
          <w:bCs/>
          <w:sz w:val="18"/>
          <w:szCs w:val="18"/>
        </w:rPr>
      </w:pPr>
      <w:r>
        <w:rPr>
          <w:sz w:val="18"/>
          <w:szCs w:val="18"/>
        </w:rPr>
        <w:t xml:space="preserve">l'adoption d'une </w:t>
      </w:r>
      <w:r>
        <w:rPr>
          <w:bCs/>
          <w:sz w:val="18"/>
          <w:szCs w:val="18"/>
        </w:rPr>
        <w:t>liste de produits d'assistance prioritaire</w:t>
      </w:r>
      <w:r w:rsidR="001F6647">
        <w:rPr>
          <w:bCs/>
          <w:sz w:val="18"/>
          <w:szCs w:val="18"/>
        </w:rPr>
        <w:t xml:space="preserve"> et l’utilisation d’autres outils de l’OMS</w:t>
      </w:r>
      <w:r>
        <w:rPr>
          <w:bCs/>
          <w:sz w:val="18"/>
          <w:szCs w:val="18"/>
        </w:rPr>
        <w:t xml:space="preserve"> pour faciliter </w:t>
      </w:r>
      <w:r w:rsidR="001F6647">
        <w:rPr>
          <w:bCs/>
          <w:sz w:val="18"/>
          <w:szCs w:val="18"/>
        </w:rPr>
        <w:t xml:space="preserve">les marchés publics, la régulation, </w:t>
      </w:r>
      <w:r>
        <w:rPr>
          <w:bCs/>
          <w:sz w:val="18"/>
          <w:szCs w:val="18"/>
        </w:rPr>
        <w:t>la fourniture et la livraison (voir le</w:t>
      </w:r>
      <w:r>
        <w:t xml:space="preserve"> </w:t>
      </w:r>
      <w:hyperlink r:id="rId1" w:history="1">
        <w:r>
          <w:rPr>
            <w:rStyle w:val="Hyperlink"/>
            <w:bCs/>
            <w:sz w:val="18"/>
            <w:szCs w:val="18"/>
          </w:rPr>
          <w:t>site Web de l'OMS</w:t>
        </w:r>
      </w:hyperlink>
      <w:r>
        <w:rPr>
          <w:bCs/>
          <w:sz w:val="18"/>
          <w:szCs w:val="18"/>
        </w:rPr>
        <w:t xml:space="preserve">). Cela ne doit pas empêcher les </w:t>
      </w:r>
      <w:r w:rsidR="00725A41">
        <w:rPr>
          <w:bCs/>
          <w:sz w:val="18"/>
          <w:szCs w:val="18"/>
        </w:rPr>
        <w:t>personnes handicapées</w:t>
      </w:r>
      <w:r>
        <w:rPr>
          <w:bCs/>
          <w:sz w:val="18"/>
          <w:szCs w:val="18"/>
        </w:rPr>
        <w:t xml:space="preserve"> d'accéder à des produits non répertoriés pour leur adaptation et leur réadaptation. </w:t>
      </w:r>
    </w:p>
    <w:p w14:paraId="30737C51" w14:textId="3713D83A" w:rsidR="00AE0357" w:rsidRPr="0063094B" w:rsidRDefault="002E6060" w:rsidP="00425211">
      <w:pPr>
        <w:jc w:val="both"/>
        <w:rPr>
          <w:sz w:val="18"/>
          <w:szCs w:val="18"/>
        </w:rPr>
      </w:pPr>
      <w:r>
        <w:rPr>
          <w:sz w:val="18"/>
          <w:szCs w:val="18"/>
        </w:rPr>
        <w:t xml:space="preserve">Les procédures administratives connexes devraient être transparentes et accessibles aux </w:t>
      </w:r>
      <w:r w:rsidR="00725A41">
        <w:rPr>
          <w:sz w:val="18"/>
          <w:szCs w:val="18"/>
        </w:rPr>
        <w:t>personnes handicapées</w:t>
      </w:r>
      <w:r>
        <w:rPr>
          <w:sz w:val="18"/>
          <w:szCs w:val="18"/>
        </w:rPr>
        <w:t xml:space="preserve"> afin d'éviter tout coût et/ou toute charge administrative supplémentaire pour les </w:t>
      </w:r>
      <w:r w:rsidR="00725A41">
        <w:rPr>
          <w:sz w:val="18"/>
          <w:szCs w:val="18"/>
        </w:rPr>
        <w:t>personnes handicapées</w:t>
      </w:r>
      <w:r>
        <w:rPr>
          <w:sz w:val="18"/>
          <w:szCs w:val="18"/>
        </w:rPr>
        <w:t xml:space="preserve"> dans l'accès aux appareils et technologies d'assistance à des fins d'adaptation et de réadaptation.</w:t>
      </w:r>
    </w:p>
  </w:endnote>
  <w:endnote w:id="7">
    <w:p w14:paraId="71A79E98" w14:textId="5C64A0E9" w:rsidR="003C35D4" w:rsidRPr="0063094B" w:rsidRDefault="003C35D4" w:rsidP="00425211">
      <w:pPr>
        <w:pStyle w:val="EndnoteText"/>
        <w:jc w:val="both"/>
        <w:rPr>
          <w:sz w:val="18"/>
          <w:szCs w:val="18"/>
        </w:rPr>
      </w:pPr>
      <w:r>
        <w:rPr>
          <w:rStyle w:val="EndnoteReference"/>
          <w:sz w:val="18"/>
          <w:szCs w:val="18"/>
        </w:rPr>
        <w:endnoteRef/>
      </w:r>
      <w:r>
        <w:t xml:space="preserve"> </w:t>
      </w:r>
      <w:r w:rsidR="00892CC0">
        <w:rPr>
          <w:sz w:val="18"/>
          <w:szCs w:val="18"/>
        </w:rPr>
        <w:t>Y</w:t>
      </w:r>
      <w:r>
        <w:rPr>
          <w:sz w:val="18"/>
          <w:szCs w:val="18"/>
        </w:rPr>
        <w:t xml:space="preserve"> compris, par exemple, des médecins spécialisés dans la réadaptation liée à la santé,</w:t>
      </w:r>
      <w:r w:rsidR="003766B1">
        <w:rPr>
          <w:sz w:val="18"/>
          <w:szCs w:val="18"/>
        </w:rPr>
        <w:t xml:space="preserve"> </w:t>
      </w:r>
      <w:r w:rsidR="009A3CAD">
        <w:rPr>
          <w:sz w:val="18"/>
          <w:szCs w:val="18"/>
        </w:rPr>
        <w:t xml:space="preserve">du </w:t>
      </w:r>
      <w:r w:rsidR="003766B1">
        <w:rPr>
          <w:sz w:val="18"/>
          <w:szCs w:val="18"/>
        </w:rPr>
        <w:t>p</w:t>
      </w:r>
      <w:r w:rsidR="003766B1" w:rsidRPr="003766B1">
        <w:rPr>
          <w:sz w:val="18"/>
          <w:szCs w:val="18"/>
        </w:rPr>
        <w:t xml:space="preserve">ersonnel formé à la fourniture, à </w:t>
      </w:r>
      <w:r w:rsidR="003766B1">
        <w:rPr>
          <w:sz w:val="18"/>
          <w:szCs w:val="18"/>
        </w:rPr>
        <w:t>l’ajustement</w:t>
      </w:r>
      <w:r w:rsidR="003766B1" w:rsidRPr="003766B1">
        <w:rPr>
          <w:sz w:val="18"/>
          <w:szCs w:val="18"/>
        </w:rPr>
        <w:t xml:space="preserve"> et à l’utilisation d’appareils fonctionnels et de la technologie</w:t>
      </w:r>
      <w:r w:rsidR="009A3CAD">
        <w:rPr>
          <w:sz w:val="18"/>
          <w:szCs w:val="18"/>
        </w:rPr>
        <w:t xml:space="preserve"> d’assistance,</w:t>
      </w:r>
      <w:r>
        <w:rPr>
          <w:sz w:val="18"/>
          <w:szCs w:val="18"/>
        </w:rPr>
        <w:t xml:space="preserve"> des spécialistes en développement et placement professionnels et des spécialistes de l'adaptation du travail dans le secteur du travail et de l'emploi.</w:t>
      </w:r>
      <w:r w:rsidR="003766B1">
        <w:rPr>
          <w:sz w:val="18"/>
          <w:szCs w:val="18"/>
        </w:rPr>
        <w:t xml:space="preserve"> </w:t>
      </w:r>
    </w:p>
  </w:endnote>
  <w:endnote w:id="8">
    <w:p w14:paraId="2BB442D1" w14:textId="0F5AFA85" w:rsidR="00255E0D" w:rsidRPr="0063094B" w:rsidRDefault="00255E0D" w:rsidP="00425211">
      <w:pPr>
        <w:pStyle w:val="EndnoteText"/>
        <w:jc w:val="both"/>
        <w:rPr>
          <w:sz w:val="18"/>
          <w:szCs w:val="18"/>
        </w:rPr>
      </w:pPr>
      <w:r>
        <w:rPr>
          <w:rStyle w:val="EndnoteReference"/>
          <w:sz w:val="18"/>
          <w:szCs w:val="18"/>
        </w:rPr>
        <w:endnoteRef/>
      </w:r>
      <w:r>
        <w:t xml:space="preserve"> </w:t>
      </w:r>
      <w:r>
        <w:rPr>
          <w:sz w:val="18"/>
          <w:szCs w:val="18"/>
        </w:rPr>
        <w:t xml:space="preserve">Les campagnes de sensibilisation doivent adopter une approche fondée sur les droits de l'homme pour promouvoir les </w:t>
      </w:r>
      <w:r w:rsidR="00725A41">
        <w:rPr>
          <w:sz w:val="18"/>
          <w:szCs w:val="18"/>
        </w:rPr>
        <w:t>personnes handicapées</w:t>
      </w:r>
      <w:r>
        <w:rPr>
          <w:sz w:val="18"/>
          <w:szCs w:val="18"/>
        </w:rPr>
        <w:t xml:space="preserve"> en tant que titulaires de droits (et non en tant que patients ou objets de charité et de soins). De plus, des mesures proactives devraient être prises pour éviter de renforcer une approche caritative ou une vision </w:t>
      </w:r>
      <w:proofErr w:type="spellStart"/>
      <w:r>
        <w:rPr>
          <w:sz w:val="18"/>
          <w:szCs w:val="18"/>
        </w:rPr>
        <w:t>pathologisante</w:t>
      </w:r>
      <w:proofErr w:type="spellEnd"/>
      <w:r>
        <w:rPr>
          <w:sz w:val="18"/>
          <w:szCs w:val="18"/>
        </w:rPr>
        <w:t xml:space="preserve"> du handicap, par exemple lors de la livraison publique d'appareils ou de technologies d'assistance. Voir les indicateurs sur l'article 8.</w:t>
      </w:r>
    </w:p>
    <w:p w14:paraId="3204492C" w14:textId="0F1159E8" w:rsidR="00255E0D" w:rsidRPr="0063094B" w:rsidRDefault="00255E0D" w:rsidP="00425211">
      <w:pPr>
        <w:pStyle w:val="EndnoteText"/>
        <w:jc w:val="both"/>
        <w:rPr>
          <w:sz w:val="18"/>
          <w:szCs w:val="18"/>
        </w:rPr>
      </w:pPr>
      <w:r>
        <w:rPr>
          <w:sz w:val="18"/>
          <w:szCs w:val="18"/>
        </w:rPr>
        <w:t>Les campagnes générales de sensibilisation devraient viser à informer les utilisateurs finaux des services disponibles et de leurs droits, et des campagnes plus personnalisées devraient viser à changer les attitudes de réadaptation</w:t>
      </w:r>
    </w:p>
  </w:endnote>
  <w:endnote w:id="9">
    <w:p w14:paraId="4756171C" w14:textId="3D59345A" w:rsidR="00425211" w:rsidRPr="0063094B" w:rsidRDefault="001C305E" w:rsidP="00425211">
      <w:pPr>
        <w:pStyle w:val="EndnoteText"/>
        <w:jc w:val="both"/>
        <w:rPr>
          <w:sz w:val="18"/>
          <w:szCs w:val="18"/>
        </w:rPr>
      </w:pPr>
      <w:r>
        <w:rPr>
          <w:rStyle w:val="EndnoteReference"/>
          <w:sz w:val="18"/>
          <w:szCs w:val="18"/>
        </w:rPr>
        <w:endnoteRef/>
      </w:r>
      <w:r>
        <w:t xml:space="preserve"> </w:t>
      </w:r>
      <w:r>
        <w:rPr>
          <w:sz w:val="18"/>
          <w:szCs w:val="18"/>
        </w:rPr>
        <w:t xml:space="preserve">Cet indicateur nécessite de vérifier les activités concrètes entreprises par les autorités publiques pour </w:t>
      </w:r>
      <w:r w:rsidR="00725A41">
        <w:rPr>
          <w:sz w:val="18"/>
          <w:szCs w:val="18"/>
        </w:rPr>
        <w:t>faire participer</w:t>
      </w:r>
      <w:r>
        <w:rPr>
          <w:sz w:val="18"/>
          <w:szCs w:val="18"/>
        </w:rPr>
        <w:t xml:space="preserve"> les </w:t>
      </w:r>
      <w:r w:rsidR="00725A41">
        <w:rPr>
          <w:sz w:val="18"/>
          <w:szCs w:val="18"/>
        </w:rPr>
        <w:t>personnes handicapées</w:t>
      </w:r>
      <w:r>
        <w:rPr>
          <w:sz w:val="18"/>
          <w:szCs w:val="18"/>
        </w:rPr>
        <w:t xml:space="preserve"> dans les processus décisionnels liés aux questions qui les affectent directement ou indirectement conformément à l'article 4 (3) de la CDPH et </w:t>
      </w:r>
      <w:hyperlink r:id="rId2" w:history="1">
        <w:r w:rsidRPr="00777A55">
          <w:rPr>
            <w:rStyle w:val="Hyperlink"/>
            <w:sz w:val="18"/>
            <w:szCs w:val="18"/>
          </w:rPr>
          <w:t>à l'Observation générale no. 7</w:t>
        </w:r>
      </w:hyperlink>
      <w:r>
        <w:rPr>
          <w:sz w:val="18"/>
          <w:szCs w:val="18"/>
        </w:rPr>
        <w:t xml:space="preserve"> du Comité CDPH, y compris des réunions de consultation, des séances d'information technique, des enquêtes de consultation en ligne, des appels à commentaires sur des projets de législation et de politiques, entre autres méthodes et mécanismes de participation. À cet égard, les États doivent</w:t>
      </w:r>
    </w:p>
    <w:p w14:paraId="4CC15FAB" w14:textId="77777777" w:rsidR="00425211" w:rsidRPr="0063094B" w:rsidRDefault="00425211" w:rsidP="00425211">
      <w:pPr>
        <w:pStyle w:val="EndnoteText"/>
        <w:numPr>
          <w:ilvl w:val="0"/>
          <w:numId w:val="3"/>
        </w:numPr>
        <w:ind w:left="714" w:hanging="357"/>
        <w:contextualSpacing/>
        <w:jc w:val="both"/>
        <w:rPr>
          <w:sz w:val="18"/>
          <w:szCs w:val="18"/>
        </w:rPr>
      </w:pPr>
      <w:proofErr w:type="gramStart"/>
      <w:r>
        <w:rPr>
          <w:sz w:val="18"/>
          <w:szCs w:val="18"/>
        </w:rPr>
        <w:t>veiller</w:t>
      </w:r>
      <w:proofErr w:type="gramEnd"/>
      <w:r>
        <w:rPr>
          <w:sz w:val="18"/>
          <w:szCs w:val="18"/>
        </w:rPr>
        <w:t xml:space="preserve"> à ce que les processus de consultation soient transparents et accessibles ;</w:t>
      </w:r>
    </w:p>
    <w:p w14:paraId="317FFC70" w14:textId="77777777" w:rsidR="00425211" w:rsidRPr="0063094B" w:rsidRDefault="00425211" w:rsidP="00425211">
      <w:pPr>
        <w:pStyle w:val="EndnoteText"/>
        <w:numPr>
          <w:ilvl w:val="0"/>
          <w:numId w:val="3"/>
        </w:numPr>
        <w:ind w:left="714" w:hanging="357"/>
        <w:contextualSpacing/>
        <w:jc w:val="both"/>
        <w:rPr>
          <w:sz w:val="18"/>
          <w:szCs w:val="18"/>
        </w:rPr>
      </w:pPr>
      <w:proofErr w:type="gramStart"/>
      <w:r>
        <w:rPr>
          <w:sz w:val="18"/>
          <w:szCs w:val="18"/>
        </w:rPr>
        <w:t>assurer</w:t>
      </w:r>
      <w:proofErr w:type="gramEnd"/>
      <w:r>
        <w:rPr>
          <w:sz w:val="18"/>
          <w:szCs w:val="18"/>
        </w:rPr>
        <w:t xml:space="preserve"> la fourniture d'informations appropriées et accessibles ;</w:t>
      </w:r>
    </w:p>
    <w:p w14:paraId="16041BF2" w14:textId="1DE23B72" w:rsidR="00425211" w:rsidRPr="0063094B" w:rsidRDefault="00425211" w:rsidP="00425211">
      <w:pPr>
        <w:pStyle w:val="EndnoteText"/>
        <w:numPr>
          <w:ilvl w:val="0"/>
          <w:numId w:val="3"/>
        </w:numPr>
        <w:ind w:left="714" w:hanging="357"/>
        <w:contextualSpacing/>
        <w:jc w:val="both"/>
        <w:rPr>
          <w:sz w:val="18"/>
          <w:szCs w:val="18"/>
        </w:rPr>
      </w:pPr>
      <w:proofErr w:type="gramStart"/>
      <w:r>
        <w:rPr>
          <w:sz w:val="18"/>
          <w:szCs w:val="18"/>
        </w:rPr>
        <w:t>ne</w:t>
      </w:r>
      <w:proofErr w:type="gramEnd"/>
      <w:r>
        <w:rPr>
          <w:sz w:val="18"/>
          <w:szCs w:val="18"/>
        </w:rPr>
        <w:t xml:space="preserve"> pas retenir d'informations, conditionner ou empêcher les organisations de </w:t>
      </w:r>
      <w:r w:rsidR="00725A41">
        <w:rPr>
          <w:sz w:val="18"/>
          <w:szCs w:val="18"/>
        </w:rPr>
        <w:t>personnes handicapées</w:t>
      </w:r>
      <w:r>
        <w:rPr>
          <w:sz w:val="18"/>
          <w:szCs w:val="18"/>
        </w:rPr>
        <w:t xml:space="preserve"> d'exprimer librement leurs opinions ;</w:t>
      </w:r>
    </w:p>
    <w:p w14:paraId="36B0E2CA" w14:textId="77777777" w:rsidR="00425211" w:rsidRPr="0063094B" w:rsidRDefault="00425211" w:rsidP="00425211">
      <w:pPr>
        <w:pStyle w:val="EndnoteText"/>
        <w:numPr>
          <w:ilvl w:val="0"/>
          <w:numId w:val="3"/>
        </w:numPr>
        <w:ind w:left="714" w:hanging="357"/>
        <w:contextualSpacing/>
        <w:jc w:val="both"/>
        <w:rPr>
          <w:sz w:val="18"/>
          <w:szCs w:val="18"/>
        </w:rPr>
      </w:pPr>
      <w:proofErr w:type="gramStart"/>
      <w:r>
        <w:rPr>
          <w:sz w:val="18"/>
          <w:szCs w:val="18"/>
        </w:rPr>
        <w:t>inclure</w:t>
      </w:r>
      <w:proofErr w:type="gramEnd"/>
      <w:r>
        <w:rPr>
          <w:sz w:val="18"/>
          <w:szCs w:val="18"/>
        </w:rPr>
        <w:t xml:space="preserve"> à la fois les organisations enregistrées et non enregistrées ;</w:t>
      </w:r>
    </w:p>
    <w:p w14:paraId="04FA381C" w14:textId="0B0F3499" w:rsidR="00425211" w:rsidRPr="0063094B" w:rsidRDefault="00425211" w:rsidP="00425211">
      <w:pPr>
        <w:pStyle w:val="EndnoteText"/>
        <w:numPr>
          <w:ilvl w:val="0"/>
          <w:numId w:val="3"/>
        </w:numPr>
        <w:ind w:left="714" w:hanging="357"/>
        <w:contextualSpacing/>
        <w:jc w:val="both"/>
        <w:rPr>
          <w:sz w:val="18"/>
          <w:szCs w:val="18"/>
        </w:rPr>
      </w:pPr>
      <w:proofErr w:type="gramStart"/>
      <w:r>
        <w:rPr>
          <w:sz w:val="18"/>
          <w:szCs w:val="18"/>
        </w:rPr>
        <w:t>assurer</w:t>
      </w:r>
      <w:proofErr w:type="gramEnd"/>
      <w:r>
        <w:rPr>
          <w:sz w:val="18"/>
          <w:szCs w:val="18"/>
        </w:rPr>
        <w:t xml:space="preserve"> une </w:t>
      </w:r>
      <w:r w:rsidR="00725A41">
        <w:rPr>
          <w:sz w:val="18"/>
          <w:szCs w:val="18"/>
        </w:rPr>
        <w:t xml:space="preserve">participation </w:t>
      </w:r>
      <w:r>
        <w:rPr>
          <w:sz w:val="18"/>
          <w:szCs w:val="18"/>
        </w:rPr>
        <w:t>précoce et continue ;</w:t>
      </w:r>
    </w:p>
    <w:p w14:paraId="3245F89F" w14:textId="133E8704" w:rsidR="001C305E" w:rsidRPr="007A3E63" w:rsidRDefault="00425211" w:rsidP="00425211">
      <w:pPr>
        <w:pStyle w:val="EndnoteText"/>
        <w:numPr>
          <w:ilvl w:val="0"/>
          <w:numId w:val="3"/>
        </w:numPr>
        <w:ind w:left="714" w:hanging="357"/>
        <w:contextualSpacing/>
        <w:jc w:val="both"/>
        <w:rPr>
          <w:sz w:val="18"/>
          <w:szCs w:val="18"/>
        </w:rPr>
      </w:pPr>
      <w:proofErr w:type="gramStart"/>
      <w:r>
        <w:rPr>
          <w:sz w:val="18"/>
          <w:szCs w:val="18"/>
        </w:rPr>
        <w:t>couvrir</w:t>
      </w:r>
      <w:proofErr w:type="gramEnd"/>
      <w:r>
        <w:rPr>
          <w:sz w:val="18"/>
          <w:szCs w:val="18"/>
        </w:rPr>
        <w:t xml:space="preserve"> les dépenses connexes des participants.</w:t>
      </w:r>
    </w:p>
    <w:p w14:paraId="60CE6890" w14:textId="4D06101A" w:rsidR="007A3E63" w:rsidRPr="00425211" w:rsidRDefault="007A3E63" w:rsidP="007A3E63">
      <w:pPr>
        <w:pStyle w:val="EndnoteText"/>
        <w:contextualSpacing/>
        <w:jc w:val="both"/>
        <w:rPr>
          <w:sz w:val="18"/>
          <w:szCs w:val="18"/>
        </w:rPr>
      </w:pPr>
      <w:r>
        <w:rPr>
          <w:sz w:val="18"/>
          <w:szCs w:val="18"/>
        </w:rPr>
        <w:t>Voir les</w:t>
      </w:r>
      <w:r>
        <w:t xml:space="preserve"> </w:t>
      </w:r>
      <w:hyperlink r:id="rId3" w:history="1">
        <w:r w:rsidR="00777A55">
          <w:rPr>
            <w:rStyle w:val="Hyperlink"/>
            <w:sz w:val="18"/>
            <w:szCs w:val="18"/>
          </w:rPr>
          <w:t xml:space="preserve">recommandations de la Rapporteuse </w:t>
        </w:r>
        <w:r>
          <w:rPr>
            <w:rStyle w:val="Hyperlink"/>
            <w:sz w:val="18"/>
            <w:szCs w:val="18"/>
          </w:rPr>
          <w:t>spécial</w:t>
        </w:r>
        <w:r w:rsidR="00777A55">
          <w:rPr>
            <w:rStyle w:val="Hyperlink"/>
            <w:sz w:val="18"/>
            <w:szCs w:val="18"/>
          </w:rPr>
          <w:t>e</w:t>
        </w:r>
        <w:r>
          <w:rPr>
            <w:rStyle w:val="Hyperlink"/>
            <w:sz w:val="18"/>
            <w:szCs w:val="18"/>
          </w:rPr>
          <w:t xml:space="preserve"> sur les droits des </w:t>
        </w:r>
        <w:r w:rsidR="00725A41">
          <w:rPr>
            <w:rStyle w:val="Hyperlink"/>
            <w:sz w:val="18"/>
            <w:szCs w:val="18"/>
          </w:rPr>
          <w:t>personnes handicapées</w:t>
        </w:r>
        <w:r>
          <w:rPr>
            <w:rStyle w:val="Hyperlink"/>
            <w:sz w:val="18"/>
            <w:szCs w:val="18"/>
          </w:rPr>
          <w:t xml:space="preserve"> pour permettre une participation effective, vers une prise de décision inclusive</w:t>
        </w:r>
      </w:hyperlink>
      <w:r>
        <w:t xml:space="preserve"> </w:t>
      </w:r>
      <w:r>
        <w:rPr>
          <w:sz w:val="18"/>
          <w:szCs w:val="18"/>
        </w:rPr>
        <w:t>liées à son</w:t>
      </w:r>
      <w:r>
        <w:t xml:space="preserve"> </w:t>
      </w:r>
      <w:r w:rsidRPr="00777A55">
        <w:rPr>
          <w:sz w:val="18"/>
          <w:szCs w:val="18"/>
        </w:rPr>
        <w:t>rapport sur la participation</w:t>
      </w:r>
      <w:r w:rsidR="00777A55">
        <w:rPr>
          <w:sz w:val="18"/>
          <w:szCs w:val="18"/>
        </w:rPr>
        <w:t xml:space="preserve">, </w:t>
      </w:r>
      <w:bookmarkStart w:id="0" w:name="_GoBack"/>
      <w:r w:rsidR="00777A55">
        <w:rPr>
          <w:sz w:val="18"/>
          <w:szCs w:val="18"/>
        </w:rPr>
        <w:fldChar w:fldCharType="begin"/>
      </w:r>
      <w:r w:rsidR="00777A55">
        <w:rPr>
          <w:sz w:val="18"/>
          <w:szCs w:val="18"/>
        </w:rPr>
        <w:instrText xml:space="preserve"> HYPERLINK "https://undocs.org/fr/A/70/297" </w:instrText>
      </w:r>
      <w:r w:rsidR="00777A55">
        <w:rPr>
          <w:sz w:val="18"/>
          <w:szCs w:val="18"/>
        </w:rPr>
      </w:r>
      <w:r w:rsidR="00777A55">
        <w:rPr>
          <w:sz w:val="18"/>
          <w:szCs w:val="18"/>
        </w:rPr>
        <w:fldChar w:fldCharType="separate"/>
      </w:r>
      <w:r w:rsidR="00777A55" w:rsidRPr="00777A55">
        <w:rPr>
          <w:rStyle w:val="Hyperlink"/>
          <w:sz w:val="18"/>
          <w:szCs w:val="18"/>
        </w:rPr>
        <w:t>A/70/297</w:t>
      </w:r>
      <w:r w:rsidR="00777A55">
        <w:rPr>
          <w:sz w:val="18"/>
          <w:szCs w:val="18"/>
        </w:rPr>
        <w:fldChar w:fldCharType="end"/>
      </w:r>
      <w:r>
        <w:rPr>
          <w:sz w:val="18"/>
          <w:szCs w:val="18"/>
        </w:rPr>
        <w:t>.</w:t>
      </w:r>
      <w:bookmarkEnd w:id="0"/>
    </w:p>
  </w:endnote>
  <w:endnote w:id="10">
    <w:p w14:paraId="6B099CD2" w14:textId="20F1AA22" w:rsidR="00854DB3" w:rsidRPr="00E27F07" w:rsidRDefault="00854DB3" w:rsidP="00425211">
      <w:pPr>
        <w:pStyle w:val="EndnoteText"/>
        <w:jc w:val="both"/>
        <w:rPr>
          <w:sz w:val="18"/>
          <w:szCs w:val="18"/>
        </w:rPr>
      </w:pPr>
      <w:r>
        <w:rPr>
          <w:rStyle w:val="EndnoteReference"/>
          <w:sz w:val="18"/>
          <w:szCs w:val="18"/>
        </w:rPr>
        <w:endnoteRef/>
      </w:r>
      <w:r>
        <w:t xml:space="preserve"> </w:t>
      </w:r>
      <w:r>
        <w:rPr>
          <w:sz w:val="18"/>
          <w:szCs w:val="18"/>
        </w:rPr>
        <w:t xml:space="preserve">Plusieurs indicateurs de résultats sont basés sur la proposition de l'Organisation mondiale de la santé et de l'International Disability </w:t>
      </w:r>
      <w:proofErr w:type="spellStart"/>
      <w:r>
        <w:rPr>
          <w:sz w:val="18"/>
          <w:szCs w:val="18"/>
        </w:rPr>
        <w:t>Development</w:t>
      </w:r>
      <w:proofErr w:type="spellEnd"/>
      <w:r>
        <w:rPr>
          <w:sz w:val="18"/>
          <w:szCs w:val="18"/>
        </w:rPr>
        <w:t xml:space="preserve"> Consortium dans le « </w:t>
      </w:r>
      <w:hyperlink r:id="rId4" w:history="1">
        <w:r>
          <w:rPr>
            <w:rStyle w:val="Hyperlink"/>
            <w:bCs/>
            <w:sz w:val="18"/>
            <w:szCs w:val="18"/>
          </w:rPr>
          <w:t xml:space="preserve">Manuel sur les indicateurs de réadaptation </w:t>
        </w:r>
        <w:r w:rsidR="007E2591">
          <w:rPr>
            <w:rStyle w:val="Hyperlink"/>
            <w:bCs/>
            <w:sz w:val="18"/>
            <w:szCs w:val="18"/>
          </w:rPr>
          <w:t xml:space="preserve">à </w:t>
        </w:r>
        <w:r>
          <w:rPr>
            <w:rStyle w:val="Hyperlink"/>
            <w:bCs/>
            <w:sz w:val="18"/>
            <w:szCs w:val="18"/>
          </w:rPr>
          <w:t>bas</w:t>
        </w:r>
        <w:r w:rsidR="007E2591">
          <w:rPr>
            <w:rStyle w:val="Hyperlink"/>
            <w:bCs/>
            <w:sz w:val="18"/>
            <w:szCs w:val="18"/>
          </w:rPr>
          <w:t>e</w:t>
        </w:r>
        <w:r>
          <w:rPr>
            <w:rStyle w:val="Hyperlink"/>
            <w:bCs/>
            <w:sz w:val="18"/>
            <w:szCs w:val="18"/>
          </w:rPr>
          <w:t xml:space="preserve"> communaut</w:t>
        </w:r>
        <w:r w:rsidR="007E2591">
          <w:rPr>
            <w:rStyle w:val="Hyperlink"/>
            <w:bCs/>
            <w:sz w:val="18"/>
            <w:szCs w:val="18"/>
          </w:rPr>
          <w:t>aire</w:t>
        </w:r>
        <w:r>
          <w:rPr>
            <w:rStyle w:val="Hyperlink"/>
            <w:bCs/>
            <w:sz w:val="18"/>
            <w:szCs w:val="18"/>
          </w:rPr>
          <w:t>. Capturer la différence qui nous caractérise ».</w:t>
        </w:r>
      </w:hyperlink>
      <w:r w:rsidR="00892CC0">
        <w:rPr>
          <w:sz w:val="18"/>
          <w:szCs w:val="18"/>
        </w:rPr>
        <w:t xml:space="preserve"> </w:t>
      </w:r>
      <w:r>
        <w:rPr>
          <w:sz w:val="18"/>
          <w:szCs w:val="18"/>
        </w:rPr>
        <w:t>Aux fins de ce tableau, les indicateurs ne doivent pas se limiter au domaine des services de réadaptation liés à la santé.</w:t>
      </w:r>
      <w:r w:rsidR="00892CC0">
        <w:rPr>
          <w:sz w:val="18"/>
          <w:szCs w:val="18"/>
        </w:rPr>
        <w:t xml:space="preserve"> </w:t>
      </w:r>
    </w:p>
  </w:endnote>
  <w:endnote w:id="11">
    <w:p w14:paraId="50CCEB9A" w14:textId="7218A79A" w:rsidR="00C51903" w:rsidRPr="0063094B" w:rsidRDefault="00886394" w:rsidP="00886394">
      <w:pPr>
        <w:pStyle w:val="EndnoteText"/>
        <w:jc w:val="both"/>
      </w:pPr>
      <w:r>
        <w:rPr>
          <w:rStyle w:val="EndnoteReference"/>
          <w:sz w:val="18"/>
          <w:szCs w:val="18"/>
        </w:rPr>
        <w:endnoteRef/>
      </w:r>
      <w:r>
        <w:t xml:space="preserve"> </w:t>
      </w:r>
      <w:r>
        <w:rPr>
          <w:sz w:val="18"/>
          <w:szCs w:val="18"/>
        </w:rPr>
        <w:t xml:space="preserve">Les enquêtes sur le niveau de satisfaction des </w:t>
      </w:r>
      <w:r w:rsidR="00725A41">
        <w:rPr>
          <w:sz w:val="18"/>
          <w:szCs w:val="18"/>
        </w:rPr>
        <w:t>personnes handicapées</w:t>
      </w:r>
      <w:r>
        <w:rPr>
          <w:sz w:val="18"/>
          <w:szCs w:val="18"/>
        </w:rPr>
        <w:t xml:space="preserve"> à l'égard des services d'adaptation et de réadaptation peuvent se révéler utiles comme outil d'évaluation qui saisit les points de vue des titulaires de droits et des bénéficiaires de services.</w:t>
      </w:r>
      <w:r>
        <w:t xml:space="preserve"> </w:t>
      </w:r>
    </w:p>
  </w:endnote>
  <w:endnote w:id="12">
    <w:p w14:paraId="51C7E078" w14:textId="1F34AF0A" w:rsidR="00FA11C5" w:rsidRPr="00A36D7C" w:rsidRDefault="00FA11C5" w:rsidP="00A36D7C">
      <w:pPr>
        <w:pStyle w:val="EndnoteText"/>
        <w:jc w:val="both"/>
        <w:rPr>
          <w:sz w:val="18"/>
          <w:szCs w:val="18"/>
        </w:rPr>
      </w:pPr>
      <w:r>
        <w:rPr>
          <w:rStyle w:val="EndnoteReference"/>
        </w:rPr>
        <w:endnoteRef/>
      </w:r>
      <w:r w:rsidRPr="00076E4E">
        <w:t xml:space="preserve"> </w:t>
      </w:r>
      <w:r w:rsidR="00076E4E" w:rsidRPr="00076E4E">
        <w:t xml:space="preserve">L’évaluation rapide de technologie </w:t>
      </w:r>
      <w:r w:rsidR="00793B8A">
        <w:t>d’assistance</w:t>
      </w:r>
      <w:r w:rsidR="00076E4E" w:rsidRPr="00076E4E">
        <w:t xml:space="preserve"> (</w:t>
      </w:r>
      <w:r w:rsidR="00076E4E" w:rsidRPr="00076E4E">
        <w:rPr>
          <w:sz w:val="18"/>
          <w:szCs w:val="18"/>
        </w:rPr>
        <w:t xml:space="preserve">Rapid </w:t>
      </w:r>
      <w:proofErr w:type="spellStart"/>
      <w:r w:rsidR="00076E4E" w:rsidRPr="00076E4E">
        <w:rPr>
          <w:sz w:val="18"/>
          <w:szCs w:val="18"/>
        </w:rPr>
        <w:t>A</w:t>
      </w:r>
      <w:r w:rsidR="00076E4E">
        <w:rPr>
          <w:sz w:val="18"/>
          <w:szCs w:val="18"/>
        </w:rPr>
        <w:t>ssistive</w:t>
      </w:r>
      <w:proofErr w:type="spellEnd"/>
      <w:r w:rsidR="00076E4E">
        <w:rPr>
          <w:sz w:val="18"/>
          <w:szCs w:val="18"/>
        </w:rPr>
        <w:t xml:space="preserve"> </w:t>
      </w:r>
      <w:proofErr w:type="spellStart"/>
      <w:r w:rsidR="00076E4E">
        <w:rPr>
          <w:sz w:val="18"/>
          <w:szCs w:val="18"/>
        </w:rPr>
        <w:t>Technology</w:t>
      </w:r>
      <w:proofErr w:type="spellEnd"/>
      <w:r w:rsidR="00076E4E">
        <w:rPr>
          <w:sz w:val="18"/>
          <w:szCs w:val="18"/>
        </w:rPr>
        <w:t xml:space="preserve"> </w:t>
      </w:r>
      <w:proofErr w:type="spellStart"/>
      <w:r w:rsidR="00076E4E">
        <w:rPr>
          <w:sz w:val="18"/>
          <w:szCs w:val="18"/>
        </w:rPr>
        <w:t>Assessment</w:t>
      </w:r>
      <w:proofErr w:type="spellEnd"/>
      <w:r w:rsidR="00076E4E">
        <w:rPr>
          <w:sz w:val="18"/>
          <w:szCs w:val="18"/>
        </w:rPr>
        <w:t xml:space="preserve"> –</w:t>
      </w:r>
      <w:r w:rsidR="00076E4E" w:rsidRPr="00076E4E">
        <w:rPr>
          <w:sz w:val="18"/>
          <w:szCs w:val="18"/>
        </w:rPr>
        <w:t>ATA</w:t>
      </w:r>
      <w:r w:rsidR="00076E4E">
        <w:rPr>
          <w:sz w:val="18"/>
          <w:szCs w:val="18"/>
        </w:rPr>
        <w:t>)</w:t>
      </w:r>
      <w:r w:rsidR="00076E4E">
        <w:t>, u</w:t>
      </w:r>
      <w:r w:rsidRPr="00076E4E">
        <w:t>ne enquête réalisée auprès des ménages</w:t>
      </w:r>
      <w:r w:rsidR="00026B00">
        <w:t>,</w:t>
      </w:r>
      <w:r w:rsidR="00076E4E">
        <w:t xml:space="preserve"> créée par l’OMS, soutient</w:t>
      </w:r>
      <w:r w:rsidR="00076E4E" w:rsidRPr="00076E4E">
        <w:t xml:space="preserve"> la collecte de données au niveau de la population sur les besoins, la demande et les obstacles à l’accès aux technologies d’assistance</w:t>
      </w:r>
      <w:r w:rsidRPr="00076E4E">
        <w:rPr>
          <w:sz w:val="18"/>
          <w:szCs w:val="18"/>
        </w:rPr>
        <w:t>.</w:t>
      </w:r>
      <w:r w:rsidR="00076E4E">
        <w:rPr>
          <w:sz w:val="18"/>
          <w:szCs w:val="18"/>
        </w:rPr>
        <w:t xml:space="preserve"> </w:t>
      </w:r>
      <w:r w:rsidR="00076E4E" w:rsidRPr="00076E4E">
        <w:rPr>
          <w:sz w:val="18"/>
          <w:szCs w:val="18"/>
        </w:rPr>
        <w:t xml:space="preserve">De plus, l’outil de capacité d’évaluation de technologie </w:t>
      </w:r>
      <w:r w:rsidR="00793B8A">
        <w:rPr>
          <w:sz w:val="18"/>
          <w:szCs w:val="18"/>
        </w:rPr>
        <w:t>d’assistance</w:t>
      </w:r>
      <w:r w:rsidR="00076E4E" w:rsidRPr="00076E4E">
        <w:rPr>
          <w:sz w:val="18"/>
          <w:szCs w:val="18"/>
        </w:rPr>
        <w:t xml:space="preserve"> (</w:t>
      </w:r>
      <w:proofErr w:type="spellStart"/>
      <w:r w:rsidRPr="00076E4E">
        <w:rPr>
          <w:sz w:val="18"/>
          <w:szCs w:val="18"/>
        </w:rPr>
        <w:t>Assistive</w:t>
      </w:r>
      <w:proofErr w:type="spellEnd"/>
      <w:r w:rsidRPr="00076E4E">
        <w:rPr>
          <w:sz w:val="18"/>
          <w:szCs w:val="18"/>
        </w:rPr>
        <w:t xml:space="preserve"> </w:t>
      </w:r>
      <w:proofErr w:type="spellStart"/>
      <w:r w:rsidRPr="00076E4E">
        <w:rPr>
          <w:sz w:val="18"/>
          <w:szCs w:val="18"/>
        </w:rPr>
        <w:t>Techn</w:t>
      </w:r>
      <w:r w:rsidR="00076E4E" w:rsidRPr="00076E4E">
        <w:rPr>
          <w:sz w:val="18"/>
          <w:szCs w:val="18"/>
        </w:rPr>
        <w:t>ology</w:t>
      </w:r>
      <w:proofErr w:type="spellEnd"/>
      <w:r w:rsidR="00076E4E" w:rsidRPr="00076E4E">
        <w:rPr>
          <w:sz w:val="18"/>
          <w:szCs w:val="18"/>
        </w:rPr>
        <w:t xml:space="preserve"> </w:t>
      </w:r>
      <w:proofErr w:type="spellStart"/>
      <w:r w:rsidR="00076E4E" w:rsidRPr="00076E4E">
        <w:rPr>
          <w:sz w:val="18"/>
          <w:szCs w:val="18"/>
        </w:rPr>
        <w:t>Asses</w:t>
      </w:r>
      <w:r w:rsidR="00026B00">
        <w:rPr>
          <w:sz w:val="18"/>
          <w:szCs w:val="18"/>
        </w:rPr>
        <w:t>sment</w:t>
      </w:r>
      <w:proofErr w:type="spellEnd"/>
      <w:r w:rsidR="00026B00">
        <w:rPr>
          <w:sz w:val="18"/>
          <w:szCs w:val="18"/>
        </w:rPr>
        <w:t xml:space="preserve"> </w:t>
      </w:r>
      <w:proofErr w:type="spellStart"/>
      <w:r w:rsidR="00026B00">
        <w:rPr>
          <w:sz w:val="18"/>
          <w:szCs w:val="18"/>
        </w:rPr>
        <w:t>Capacity</w:t>
      </w:r>
      <w:proofErr w:type="spellEnd"/>
      <w:r w:rsidR="00026B00">
        <w:rPr>
          <w:sz w:val="18"/>
          <w:szCs w:val="18"/>
        </w:rPr>
        <w:t xml:space="preserve"> </w:t>
      </w:r>
      <w:proofErr w:type="spellStart"/>
      <w:r w:rsidR="00026B00">
        <w:rPr>
          <w:sz w:val="18"/>
          <w:szCs w:val="18"/>
        </w:rPr>
        <w:t>t</w:t>
      </w:r>
      <w:r w:rsidR="00076E4E" w:rsidRPr="00076E4E">
        <w:rPr>
          <w:sz w:val="18"/>
          <w:szCs w:val="18"/>
        </w:rPr>
        <w:t>ool</w:t>
      </w:r>
      <w:proofErr w:type="spellEnd"/>
      <w:r w:rsidR="00076E4E" w:rsidRPr="00076E4E">
        <w:rPr>
          <w:sz w:val="18"/>
          <w:szCs w:val="18"/>
        </w:rPr>
        <w:t xml:space="preserve">- </w:t>
      </w:r>
      <w:r w:rsidRPr="00076E4E">
        <w:rPr>
          <w:sz w:val="18"/>
          <w:szCs w:val="18"/>
        </w:rPr>
        <w:t>ATA-C)</w:t>
      </w:r>
      <w:r w:rsidR="00076E4E" w:rsidRPr="00076E4E">
        <w:rPr>
          <w:sz w:val="18"/>
          <w:szCs w:val="18"/>
        </w:rPr>
        <w:t xml:space="preserve"> de l’OMS éval</w:t>
      </w:r>
      <w:r w:rsidR="00076E4E">
        <w:rPr>
          <w:sz w:val="18"/>
          <w:szCs w:val="18"/>
        </w:rPr>
        <w:t xml:space="preserve">ue la capacité du système de fournir des appareils et accessoires fonctionnels </w:t>
      </w:r>
      <w:r w:rsidRPr="00076E4E">
        <w:rPr>
          <w:sz w:val="18"/>
          <w:szCs w:val="18"/>
        </w:rPr>
        <w:t>(</w:t>
      </w:r>
      <w:r w:rsidR="00076E4E">
        <w:rPr>
          <w:sz w:val="18"/>
          <w:szCs w:val="18"/>
        </w:rPr>
        <w:t>y compris le financement, la législation, la main-d’œuvre, et la fourniture</w:t>
      </w:r>
      <w:r w:rsidRPr="00076E4E">
        <w:rPr>
          <w:sz w:val="18"/>
          <w:szCs w:val="18"/>
        </w:rPr>
        <w:t xml:space="preserve">). </w:t>
      </w:r>
      <w:r w:rsidR="00076E4E" w:rsidRPr="00076E4E">
        <w:rPr>
          <w:sz w:val="18"/>
          <w:szCs w:val="18"/>
        </w:rPr>
        <w:t xml:space="preserve">Pour plus d’informations, veuillez visiter le </w:t>
      </w:r>
      <w:hyperlink r:id="rId5" w:anchor="tab=tab_1" w:history="1">
        <w:r w:rsidR="00076E4E" w:rsidRPr="00076E4E">
          <w:rPr>
            <w:rStyle w:val="Hyperlink"/>
            <w:sz w:val="18"/>
            <w:szCs w:val="18"/>
          </w:rPr>
          <w:t>site de l’OMS</w:t>
        </w:r>
      </w:hyperlink>
      <w:r w:rsidR="00076E4E">
        <w:rPr>
          <w:sz w:val="18"/>
          <w:szCs w:val="18"/>
        </w:rPr>
        <w:t xml:space="preserve"> ou envoyer un courrier au</w:t>
      </w:r>
      <w:r w:rsidRPr="00076E4E">
        <w:rPr>
          <w:sz w:val="18"/>
          <w:szCs w:val="18"/>
        </w:rPr>
        <w:t xml:space="preserve"> assistivetechnology@who.int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43276" w14:textId="77777777" w:rsidR="00A032EB" w:rsidRDefault="00A032EB" w:rsidP="00CA591E">
      <w:r>
        <w:separator/>
      </w:r>
    </w:p>
  </w:footnote>
  <w:footnote w:type="continuationSeparator" w:id="0">
    <w:p w14:paraId="27A574FA" w14:textId="77777777" w:rsidR="00A032EB" w:rsidRDefault="00A032EB" w:rsidP="00CA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C7D"/>
    <w:multiLevelType w:val="hybridMultilevel"/>
    <w:tmpl w:val="25FECE76"/>
    <w:lvl w:ilvl="0" w:tplc="E09C8312">
      <w:numFmt w:val="bullet"/>
      <w:lvlText w:val="-"/>
      <w:lvlJc w:val="left"/>
      <w:pPr>
        <w:ind w:left="720" w:hanging="360"/>
      </w:pPr>
      <w:rPr>
        <w:rFonts w:ascii="Calibri" w:eastAsiaTheme="minorHAnsi" w:hAnsi="Calibri" w:cstheme="minorHAns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B0B56"/>
    <w:multiLevelType w:val="hybridMultilevel"/>
    <w:tmpl w:val="62B072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62618"/>
    <w:multiLevelType w:val="hybridMultilevel"/>
    <w:tmpl w:val="2BC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7942B5"/>
    <w:multiLevelType w:val="hybridMultilevel"/>
    <w:tmpl w:val="A762D006"/>
    <w:lvl w:ilvl="0" w:tplc="473C5BF2">
      <w:start w:val="2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D56FB"/>
    <w:multiLevelType w:val="hybridMultilevel"/>
    <w:tmpl w:val="5A780A6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1B217AB2"/>
    <w:multiLevelType w:val="hybridMultilevel"/>
    <w:tmpl w:val="087257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252367"/>
    <w:multiLevelType w:val="hybridMultilevel"/>
    <w:tmpl w:val="F56CE05C"/>
    <w:lvl w:ilvl="0" w:tplc="D00E4FE2">
      <w:start w:val="2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427F1C"/>
    <w:multiLevelType w:val="hybridMultilevel"/>
    <w:tmpl w:val="31E0B1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2F417D83"/>
    <w:multiLevelType w:val="hybridMultilevel"/>
    <w:tmpl w:val="70249188"/>
    <w:lvl w:ilvl="0" w:tplc="B56A3E54">
      <w:start w:val="2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773764"/>
    <w:multiLevelType w:val="hybridMultilevel"/>
    <w:tmpl w:val="5EFED056"/>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734C07"/>
    <w:multiLevelType w:val="hybridMultilevel"/>
    <w:tmpl w:val="73863EFA"/>
    <w:lvl w:ilvl="0" w:tplc="8A8C9DA0">
      <w:start w:val="1"/>
      <w:numFmt w:val="bullet"/>
      <w:lvlText w:val=""/>
      <w:lvlJc w:val="left"/>
      <w:pPr>
        <w:ind w:left="1180" w:hanging="360"/>
      </w:pPr>
      <w:rPr>
        <w:rFonts w:ascii="Wingdings" w:eastAsiaTheme="minorHAnsi" w:hAnsi="Wingdings" w:cstheme="minorBid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5" w15:restartNumberingAfterBreak="0">
    <w:nsid w:val="5F7836EA"/>
    <w:multiLevelType w:val="hybridMultilevel"/>
    <w:tmpl w:val="0F208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026D78"/>
    <w:multiLevelType w:val="hybridMultilevel"/>
    <w:tmpl w:val="BDA84E96"/>
    <w:lvl w:ilvl="0" w:tplc="72EA1B40">
      <w:start w:val="3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6311FF0"/>
    <w:multiLevelType w:val="hybridMultilevel"/>
    <w:tmpl w:val="E7E49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E1387B"/>
    <w:multiLevelType w:val="hybridMultilevel"/>
    <w:tmpl w:val="AC000084"/>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C93EE8"/>
    <w:multiLevelType w:val="hybridMultilevel"/>
    <w:tmpl w:val="2146D20C"/>
    <w:lvl w:ilvl="0" w:tplc="6FE4017A">
      <w:start w:val="2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4C4860"/>
    <w:multiLevelType w:val="hybridMultilevel"/>
    <w:tmpl w:val="444A4610"/>
    <w:lvl w:ilvl="0" w:tplc="C70E04B8">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3"/>
  </w:num>
  <w:num w:numId="4">
    <w:abstractNumId w:val="11"/>
  </w:num>
  <w:num w:numId="5">
    <w:abstractNumId w:val="12"/>
  </w:num>
  <w:num w:numId="6">
    <w:abstractNumId w:val="21"/>
  </w:num>
  <w:num w:numId="7">
    <w:abstractNumId w:val="17"/>
  </w:num>
  <w:num w:numId="8">
    <w:abstractNumId w:val="8"/>
  </w:num>
  <w:num w:numId="9">
    <w:abstractNumId w:val="1"/>
  </w:num>
  <w:num w:numId="10">
    <w:abstractNumId w:val="19"/>
  </w:num>
  <w:num w:numId="11">
    <w:abstractNumId w:val="7"/>
  </w:num>
  <w:num w:numId="12">
    <w:abstractNumId w:val="16"/>
  </w:num>
  <w:num w:numId="13">
    <w:abstractNumId w:val="10"/>
  </w:num>
  <w:num w:numId="14">
    <w:abstractNumId w:val="5"/>
  </w:num>
  <w:num w:numId="15">
    <w:abstractNumId w:val="15"/>
  </w:num>
  <w:num w:numId="16">
    <w:abstractNumId w:val="18"/>
  </w:num>
  <w:num w:numId="17">
    <w:abstractNumId w:val="3"/>
  </w:num>
  <w:num w:numId="18">
    <w:abstractNumId w:val="6"/>
  </w:num>
  <w:num w:numId="19">
    <w:abstractNumId w:val="9"/>
  </w:num>
  <w:num w:numId="20">
    <w:abstractNumId w:val="20"/>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F5B"/>
    <w:rsid w:val="00006D33"/>
    <w:rsid w:val="000134AA"/>
    <w:rsid w:val="00026B00"/>
    <w:rsid w:val="00026CE2"/>
    <w:rsid w:val="00050711"/>
    <w:rsid w:val="00051B14"/>
    <w:rsid w:val="0005219A"/>
    <w:rsid w:val="00052A9B"/>
    <w:rsid w:val="00057593"/>
    <w:rsid w:val="00063173"/>
    <w:rsid w:val="00065C3E"/>
    <w:rsid w:val="00073208"/>
    <w:rsid w:val="00076E4E"/>
    <w:rsid w:val="000868CC"/>
    <w:rsid w:val="0009463C"/>
    <w:rsid w:val="00097BD7"/>
    <w:rsid w:val="000A25BC"/>
    <w:rsid w:val="000A76BA"/>
    <w:rsid w:val="000B119E"/>
    <w:rsid w:val="000B1E56"/>
    <w:rsid w:val="000B2695"/>
    <w:rsid w:val="000B3868"/>
    <w:rsid w:val="000B663D"/>
    <w:rsid w:val="000C154A"/>
    <w:rsid w:val="000C5832"/>
    <w:rsid w:val="000C6768"/>
    <w:rsid w:val="000D7CD1"/>
    <w:rsid w:val="000F1049"/>
    <w:rsid w:val="000F2D2A"/>
    <w:rsid w:val="001013A2"/>
    <w:rsid w:val="00101BAD"/>
    <w:rsid w:val="001030AE"/>
    <w:rsid w:val="00105990"/>
    <w:rsid w:val="00110663"/>
    <w:rsid w:val="0011072B"/>
    <w:rsid w:val="00113D6A"/>
    <w:rsid w:val="001143E6"/>
    <w:rsid w:val="00121ED4"/>
    <w:rsid w:val="00122590"/>
    <w:rsid w:val="00124C59"/>
    <w:rsid w:val="001361C3"/>
    <w:rsid w:val="001464D0"/>
    <w:rsid w:val="00150346"/>
    <w:rsid w:val="00151F7E"/>
    <w:rsid w:val="00167016"/>
    <w:rsid w:val="00167E3A"/>
    <w:rsid w:val="0017378D"/>
    <w:rsid w:val="0017443D"/>
    <w:rsid w:val="001820F8"/>
    <w:rsid w:val="001844D6"/>
    <w:rsid w:val="00185368"/>
    <w:rsid w:val="00185B50"/>
    <w:rsid w:val="00187817"/>
    <w:rsid w:val="00195062"/>
    <w:rsid w:val="001B04F0"/>
    <w:rsid w:val="001B0D15"/>
    <w:rsid w:val="001B2C66"/>
    <w:rsid w:val="001B6346"/>
    <w:rsid w:val="001C305E"/>
    <w:rsid w:val="001C5249"/>
    <w:rsid w:val="001C58F5"/>
    <w:rsid w:val="001C6E93"/>
    <w:rsid w:val="001E7EA3"/>
    <w:rsid w:val="001F5490"/>
    <w:rsid w:val="001F6647"/>
    <w:rsid w:val="002020F9"/>
    <w:rsid w:val="00203E7D"/>
    <w:rsid w:val="00215679"/>
    <w:rsid w:val="00215ACE"/>
    <w:rsid w:val="00230DC8"/>
    <w:rsid w:val="00232652"/>
    <w:rsid w:val="00234DE0"/>
    <w:rsid w:val="00237688"/>
    <w:rsid w:val="00240F47"/>
    <w:rsid w:val="00255E0D"/>
    <w:rsid w:val="00256861"/>
    <w:rsid w:val="002636B8"/>
    <w:rsid w:val="00263FAE"/>
    <w:rsid w:val="00264909"/>
    <w:rsid w:val="002671D8"/>
    <w:rsid w:val="0027037D"/>
    <w:rsid w:val="0027486C"/>
    <w:rsid w:val="002773AC"/>
    <w:rsid w:val="00277AE3"/>
    <w:rsid w:val="002836A9"/>
    <w:rsid w:val="00293512"/>
    <w:rsid w:val="002A6BD5"/>
    <w:rsid w:val="002C3801"/>
    <w:rsid w:val="002C5763"/>
    <w:rsid w:val="002C67D5"/>
    <w:rsid w:val="002D1F1D"/>
    <w:rsid w:val="002D3D29"/>
    <w:rsid w:val="002D3D2B"/>
    <w:rsid w:val="002D7F12"/>
    <w:rsid w:val="002E387E"/>
    <w:rsid w:val="002E6060"/>
    <w:rsid w:val="002E6663"/>
    <w:rsid w:val="002F204E"/>
    <w:rsid w:val="002F45D6"/>
    <w:rsid w:val="00307F27"/>
    <w:rsid w:val="00316341"/>
    <w:rsid w:val="00320E55"/>
    <w:rsid w:val="00323CF5"/>
    <w:rsid w:val="003301F5"/>
    <w:rsid w:val="00330660"/>
    <w:rsid w:val="00335FE8"/>
    <w:rsid w:val="00345E96"/>
    <w:rsid w:val="00346DAD"/>
    <w:rsid w:val="003501C1"/>
    <w:rsid w:val="00360873"/>
    <w:rsid w:val="00363255"/>
    <w:rsid w:val="003718CF"/>
    <w:rsid w:val="003759C9"/>
    <w:rsid w:val="003766B1"/>
    <w:rsid w:val="00376BCC"/>
    <w:rsid w:val="00381918"/>
    <w:rsid w:val="003921D2"/>
    <w:rsid w:val="003A2D7B"/>
    <w:rsid w:val="003A5EE7"/>
    <w:rsid w:val="003A712F"/>
    <w:rsid w:val="003B1525"/>
    <w:rsid w:val="003C35D4"/>
    <w:rsid w:val="003C7852"/>
    <w:rsid w:val="003E7407"/>
    <w:rsid w:val="003F3FA7"/>
    <w:rsid w:val="003F568C"/>
    <w:rsid w:val="003F7F03"/>
    <w:rsid w:val="00400C43"/>
    <w:rsid w:val="00403A0F"/>
    <w:rsid w:val="00407605"/>
    <w:rsid w:val="004149FE"/>
    <w:rsid w:val="00416EC8"/>
    <w:rsid w:val="00420937"/>
    <w:rsid w:val="00425211"/>
    <w:rsid w:val="00436906"/>
    <w:rsid w:val="004457E3"/>
    <w:rsid w:val="00461CF2"/>
    <w:rsid w:val="004643E4"/>
    <w:rsid w:val="00465F74"/>
    <w:rsid w:val="004664D4"/>
    <w:rsid w:val="0047455C"/>
    <w:rsid w:val="00474A0E"/>
    <w:rsid w:val="00485ED7"/>
    <w:rsid w:val="00487EC5"/>
    <w:rsid w:val="004967AF"/>
    <w:rsid w:val="00497030"/>
    <w:rsid w:val="0049767B"/>
    <w:rsid w:val="004A11E8"/>
    <w:rsid w:val="004A22A0"/>
    <w:rsid w:val="004A2972"/>
    <w:rsid w:val="004A42A4"/>
    <w:rsid w:val="004B1DF3"/>
    <w:rsid w:val="004B49FC"/>
    <w:rsid w:val="004C3801"/>
    <w:rsid w:val="004C47F0"/>
    <w:rsid w:val="004D2C3D"/>
    <w:rsid w:val="004D332C"/>
    <w:rsid w:val="004E534A"/>
    <w:rsid w:val="004F4EB5"/>
    <w:rsid w:val="004F538D"/>
    <w:rsid w:val="0051360A"/>
    <w:rsid w:val="005136D8"/>
    <w:rsid w:val="00533AA4"/>
    <w:rsid w:val="00534A78"/>
    <w:rsid w:val="00542B3C"/>
    <w:rsid w:val="005676AC"/>
    <w:rsid w:val="00571036"/>
    <w:rsid w:val="0057267D"/>
    <w:rsid w:val="0058098B"/>
    <w:rsid w:val="0058266D"/>
    <w:rsid w:val="005843A5"/>
    <w:rsid w:val="00595079"/>
    <w:rsid w:val="00595F54"/>
    <w:rsid w:val="005970C3"/>
    <w:rsid w:val="005B0200"/>
    <w:rsid w:val="005B3669"/>
    <w:rsid w:val="005B5EFD"/>
    <w:rsid w:val="005D7C73"/>
    <w:rsid w:val="005E57DF"/>
    <w:rsid w:val="005F1F6D"/>
    <w:rsid w:val="005F266C"/>
    <w:rsid w:val="005F4EC8"/>
    <w:rsid w:val="005F7C6D"/>
    <w:rsid w:val="00611DF2"/>
    <w:rsid w:val="00617D9A"/>
    <w:rsid w:val="00622589"/>
    <w:rsid w:val="0063094B"/>
    <w:rsid w:val="00632AB2"/>
    <w:rsid w:val="0063415C"/>
    <w:rsid w:val="00634DC7"/>
    <w:rsid w:val="006362B7"/>
    <w:rsid w:val="00641ADF"/>
    <w:rsid w:val="00642398"/>
    <w:rsid w:val="00643BF2"/>
    <w:rsid w:val="00646E09"/>
    <w:rsid w:val="0065051C"/>
    <w:rsid w:val="00652E13"/>
    <w:rsid w:val="00660E71"/>
    <w:rsid w:val="006644EA"/>
    <w:rsid w:val="006671F0"/>
    <w:rsid w:val="00672036"/>
    <w:rsid w:val="006752B1"/>
    <w:rsid w:val="00681265"/>
    <w:rsid w:val="0068399E"/>
    <w:rsid w:val="00685485"/>
    <w:rsid w:val="00685CF4"/>
    <w:rsid w:val="00690E45"/>
    <w:rsid w:val="00695474"/>
    <w:rsid w:val="00696FC9"/>
    <w:rsid w:val="006B3FE4"/>
    <w:rsid w:val="006B5CDD"/>
    <w:rsid w:val="006C5832"/>
    <w:rsid w:val="006C6E21"/>
    <w:rsid w:val="006E1710"/>
    <w:rsid w:val="006F6BAF"/>
    <w:rsid w:val="006F7AAC"/>
    <w:rsid w:val="0070160D"/>
    <w:rsid w:val="00702448"/>
    <w:rsid w:val="00705361"/>
    <w:rsid w:val="007065A4"/>
    <w:rsid w:val="007070D2"/>
    <w:rsid w:val="0072068D"/>
    <w:rsid w:val="007221DC"/>
    <w:rsid w:val="00725A41"/>
    <w:rsid w:val="00733A8F"/>
    <w:rsid w:val="00736A44"/>
    <w:rsid w:val="00737D13"/>
    <w:rsid w:val="00745639"/>
    <w:rsid w:val="007457D0"/>
    <w:rsid w:val="007472F1"/>
    <w:rsid w:val="007727AA"/>
    <w:rsid w:val="00773555"/>
    <w:rsid w:val="00776B8D"/>
    <w:rsid w:val="00777A55"/>
    <w:rsid w:val="00780AA3"/>
    <w:rsid w:val="00785B3A"/>
    <w:rsid w:val="00792C5D"/>
    <w:rsid w:val="00793B8A"/>
    <w:rsid w:val="007A1E6C"/>
    <w:rsid w:val="007A3E63"/>
    <w:rsid w:val="007A4591"/>
    <w:rsid w:val="007A6B29"/>
    <w:rsid w:val="007B5023"/>
    <w:rsid w:val="007B6324"/>
    <w:rsid w:val="007C2DCA"/>
    <w:rsid w:val="007D07A1"/>
    <w:rsid w:val="007D22D5"/>
    <w:rsid w:val="007E2591"/>
    <w:rsid w:val="007E6C19"/>
    <w:rsid w:val="0080004D"/>
    <w:rsid w:val="008039D8"/>
    <w:rsid w:val="00803B86"/>
    <w:rsid w:val="00812AC9"/>
    <w:rsid w:val="00813049"/>
    <w:rsid w:val="00823FA2"/>
    <w:rsid w:val="00830D07"/>
    <w:rsid w:val="00841566"/>
    <w:rsid w:val="00854DB3"/>
    <w:rsid w:val="008563CA"/>
    <w:rsid w:val="00856B6E"/>
    <w:rsid w:val="00877C25"/>
    <w:rsid w:val="0088018F"/>
    <w:rsid w:val="00884F8C"/>
    <w:rsid w:val="008858A7"/>
    <w:rsid w:val="00886394"/>
    <w:rsid w:val="00892CC0"/>
    <w:rsid w:val="0089365A"/>
    <w:rsid w:val="00893A92"/>
    <w:rsid w:val="00895469"/>
    <w:rsid w:val="008A524E"/>
    <w:rsid w:val="008B4895"/>
    <w:rsid w:val="008C2345"/>
    <w:rsid w:val="008C5933"/>
    <w:rsid w:val="008C76C6"/>
    <w:rsid w:val="008D2892"/>
    <w:rsid w:val="008E15CB"/>
    <w:rsid w:val="008F136C"/>
    <w:rsid w:val="008F3148"/>
    <w:rsid w:val="008F54E0"/>
    <w:rsid w:val="00905637"/>
    <w:rsid w:val="00911B07"/>
    <w:rsid w:val="009159FD"/>
    <w:rsid w:val="0092368C"/>
    <w:rsid w:val="00926F81"/>
    <w:rsid w:val="009414D8"/>
    <w:rsid w:val="009421AF"/>
    <w:rsid w:val="00945C70"/>
    <w:rsid w:val="00964A5B"/>
    <w:rsid w:val="00964B94"/>
    <w:rsid w:val="0096663D"/>
    <w:rsid w:val="00982DDB"/>
    <w:rsid w:val="00984AC7"/>
    <w:rsid w:val="009A3CAD"/>
    <w:rsid w:val="009A4374"/>
    <w:rsid w:val="009A6799"/>
    <w:rsid w:val="009B0C95"/>
    <w:rsid w:val="009D1B30"/>
    <w:rsid w:val="009D221D"/>
    <w:rsid w:val="009D4F22"/>
    <w:rsid w:val="009D6367"/>
    <w:rsid w:val="009E1074"/>
    <w:rsid w:val="009E5527"/>
    <w:rsid w:val="009F6E73"/>
    <w:rsid w:val="009F7D61"/>
    <w:rsid w:val="00A01319"/>
    <w:rsid w:val="00A032EB"/>
    <w:rsid w:val="00A11619"/>
    <w:rsid w:val="00A21E81"/>
    <w:rsid w:val="00A32873"/>
    <w:rsid w:val="00A36D7C"/>
    <w:rsid w:val="00A42C44"/>
    <w:rsid w:val="00A50049"/>
    <w:rsid w:val="00A53BA0"/>
    <w:rsid w:val="00A704BE"/>
    <w:rsid w:val="00A778DE"/>
    <w:rsid w:val="00A83E75"/>
    <w:rsid w:val="00A87C64"/>
    <w:rsid w:val="00A95564"/>
    <w:rsid w:val="00AB2047"/>
    <w:rsid w:val="00AB4A39"/>
    <w:rsid w:val="00AC03AB"/>
    <w:rsid w:val="00AD3349"/>
    <w:rsid w:val="00AD52A4"/>
    <w:rsid w:val="00AE00B9"/>
    <w:rsid w:val="00AE0357"/>
    <w:rsid w:val="00AF36D2"/>
    <w:rsid w:val="00B03486"/>
    <w:rsid w:val="00B0552A"/>
    <w:rsid w:val="00B075EA"/>
    <w:rsid w:val="00B10C04"/>
    <w:rsid w:val="00B2353B"/>
    <w:rsid w:val="00B27442"/>
    <w:rsid w:val="00B33FE9"/>
    <w:rsid w:val="00B4198C"/>
    <w:rsid w:val="00B43139"/>
    <w:rsid w:val="00B553A7"/>
    <w:rsid w:val="00B64B40"/>
    <w:rsid w:val="00B71249"/>
    <w:rsid w:val="00B7564A"/>
    <w:rsid w:val="00B952F5"/>
    <w:rsid w:val="00BA22F4"/>
    <w:rsid w:val="00BA6BAA"/>
    <w:rsid w:val="00BA6E1B"/>
    <w:rsid w:val="00BB4CB4"/>
    <w:rsid w:val="00BC022E"/>
    <w:rsid w:val="00BC0719"/>
    <w:rsid w:val="00BE346D"/>
    <w:rsid w:val="00BE380C"/>
    <w:rsid w:val="00BE733A"/>
    <w:rsid w:val="00BF276B"/>
    <w:rsid w:val="00C00627"/>
    <w:rsid w:val="00C11C6D"/>
    <w:rsid w:val="00C17189"/>
    <w:rsid w:val="00C2143C"/>
    <w:rsid w:val="00C233C1"/>
    <w:rsid w:val="00C24776"/>
    <w:rsid w:val="00C27E5C"/>
    <w:rsid w:val="00C3083F"/>
    <w:rsid w:val="00C341A1"/>
    <w:rsid w:val="00C3654C"/>
    <w:rsid w:val="00C410CA"/>
    <w:rsid w:val="00C4598B"/>
    <w:rsid w:val="00C51903"/>
    <w:rsid w:val="00C51F20"/>
    <w:rsid w:val="00C53310"/>
    <w:rsid w:val="00C541CC"/>
    <w:rsid w:val="00C56C03"/>
    <w:rsid w:val="00C57811"/>
    <w:rsid w:val="00C80EB0"/>
    <w:rsid w:val="00C84B31"/>
    <w:rsid w:val="00C8554B"/>
    <w:rsid w:val="00C90D5F"/>
    <w:rsid w:val="00C92A6B"/>
    <w:rsid w:val="00CA0ACC"/>
    <w:rsid w:val="00CA591E"/>
    <w:rsid w:val="00CB2F9E"/>
    <w:rsid w:val="00CC11B9"/>
    <w:rsid w:val="00CC346D"/>
    <w:rsid w:val="00CE7FF4"/>
    <w:rsid w:val="00CF20D7"/>
    <w:rsid w:val="00CF574B"/>
    <w:rsid w:val="00D01F95"/>
    <w:rsid w:val="00D07AEE"/>
    <w:rsid w:val="00D12E6A"/>
    <w:rsid w:val="00D13F5B"/>
    <w:rsid w:val="00D167E3"/>
    <w:rsid w:val="00D21F1D"/>
    <w:rsid w:val="00D232D8"/>
    <w:rsid w:val="00D3304C"/>
    <w:rsid w:val="00D51769"/>
    <w:rsid w:val="00D5651C"/>
    <w:rsid w:val="00D70AF4"/>
    <w:rsid w:val="00D7650B"/>
    <w:rsid w:val="00D80803"/>
    <w:rsid w:val="00D911DD"/>
    <w:rsid w:val="00D94DC4"/>
    <w:rsid w:val="00D94FFA"/>
    <w:rsid w:val="00DA2B3B"/>
    <w:rsid w:val="00DB3954"/>
    <w:rsid w:val="00DB4C6E"/>
    <w:rsid w:val="00DB5B52"/>
    <w:rsid w:val="00DC0924"/>
    <w:rsid w:val="00DD079B"/>
    <w:rsid w:val="00DD2A83"/>
    <w:rsid w:val="00DD3C93"/>
    <w:rsid w:val="00DE431B"/>
    <w:rsid w:val="00DE4B64"/>
    <w:rsid w:val="00E03B49"/>
    <w:rsid w:val="00E15075"/>
    <w:rsid w:val="00E22B1D"/>
    <w:rsid w:val="00E232CB"/>
    <w:rsid w:val="00E24957"/>
    <w:rsid w:val="00E27296"/>
    <w:rsid w:val="00E27806"/>
    <w:rsid w:val="00E27F07"/>
    <w:rsid w:val="00E31AF2"/>
    <w:rsid w:val="00E32612"/>
    <w:rsid w:val="00E363AE"/>
    <w:rsid w:val="00E608B7"/>
    <w:rsid w:val="00E64E57"/>
    <w:rsid w:val="00E74FF8"/>
    <w:rsid w:val="00E86930"/>
    <w:rsid w:val="00E8709D"/>
    <w:rsid w:val="00E87705"/>
    <w:rsid w:val="00E936BF"/>
    <w:rsid w:val="00E96C21"/>
    <w:rsid w:val="00E97952"/>
    <w:rsid w:val="00EB0543"/>
    <w:rsid w:val="00EB3B58"/>
    <w:rsid w:val="00EC0D4A"/>
    <w:rsid w:val="00EC169A"/>
    <w:rsid w:val="00EC2427"/>
    <w:rsid w:val="00ED0E57"/>
    <w:rsid w:val="00ED2C1C"/>
    <w:rsid w:val="00ED3786"/>
    <w:rsid w:val="00ED42B0"/>
    <w:rsid w:val="00ED642C"/>
    <w:rsid w:val="00EE1131"/>
    <w:rsid w:val="00EE4AB0"/>
    <w:rsid w:val="00EE56DD"/>
    <w:rsid w:val="00EE5CFE"/>
    <w:rsid w:val="00F05557"/>
    <w:rsid w:val="00F11C7E"/>
    <w:rsid w:val="00F16DAB"/>
    <w:rsid w:val="00F17A6D"/>
    <w:rsid w:val="00F230F3"/>
    <w:rsid w:val="00F428EE"/>
    <w:rsid w:val="00F434A2"/>
    <w:rsid w:val="00F46D3B"/>
    <w:rsid w:val="00F63625"/>
    <w:rsid w:val="00F63CBD"/>
    <w:rsid w:val="00F71257"/>
    <w:rsid w:val="00F718A5"/>
    <w:rsid w:val="00F726E6"/>
    <w:rsid w:val="00F76645"/>
    <w:rsid w:val="00F77890"/>
    <w:rsid w:val="00F77BBF"/>
    <w:rsid w:val="00F77E96"/>
    <w:rsid w:val="00F80CCF"/>
    <w:rsid w:val="00F9606C"/>
    <w:rsid w:val="00F962EB"/>
    <w:rsid w:val="00F97690"/>
    <w:rsid w:val="00FA11C5"/>
    <w:rsid w:val="00FA30F9"/>
    <w:rsid w:val="00FA73FF"/>
    <w:rsid w:val="00FB072B"/>
    <w:rsid w:val="00FB33D1"/>
    <w:rsid w:val="00FD14CF"/>
    <w:rsid w:val="00FD39D7"/>
    <w:rsid w:val="00FE17BA"/>
    <w:rsid w:val="00FE41A9"/>
    <w:rsid w:val="00FF0735"/>
    <w:rsid w:val="00FF3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1D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664D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F5B"/>
    <w:pPr>
      <w:ind w:left="720"/>
      <w:contextualSpacing/>
    </w:pPr>
  </w:style>
  <w:style w:type="table" w:styleId="TableGrid">
    <w:name w:val="Table Grid"/>
    <w:basedOn w:val="TableNormal"/>
    <w:uiPriority w:val="59"/>
    <w:rsid w:val="00C5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1CC"/>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C541CC"/>
    <w:rPr>
      <w:rFonts w:ascii="Times New Roman" w:hAnsi="Times New Roman" w:cs="Times New Roman"/>
      <w:sz w:val="26"/>
      <w:szCs w:val="26"/>
    </w:rPr>
  </w:style>
  <w:style w:type="paragraph" w:styleId="FootnoteText">
    <w:name w:val="footnote text"/>
    <w:basedOn w:val="Normal"/>
    <w:link w:val="FootnoteTextChar"/>
    <w:uiPriority w:val="99"/>
    <w:unhideWhenUsed/>
    <w:rsid w:val="00CA591E"/>
    <w:rPr>
      <w:sz w:val="20"/>
      <w:szCs w:val="20"/>
    </w:rPr>
  </w:style>
  <w:style w:type="character" w:customStyle="1" w:styleId="FootnoteTextChar">
    <w:name w:val="Footnote Text Char"/>
    <w:basedOn w:val="DefaultParagraphFont"/>
    <w:link w:val="FootnoteText"/>
    <w:uiPriority w:val="99"/>
    <w:rsid w:val="00CA591E"/>
    <w:rPr>
      <w:sz w:val="20"/>
      <w:szCs w:val="20"/>
    </w:rPr>
  </w:style>
  <w:style w:type="character" w:styleId="FootnoteReference">
    <w:name w:val="footnote reference"/>
    <w:aliases w:val="Fn Ref,Footnote Refernece,callout,Footnotes refss,Appel note de bas de p.,Footnote Reference Superscript,BVI fnr,Footnote Reference Number,Footnote Refernece + (Latein) Arial,10 pt,Blau,Fußnotenzeichen_Raxen,Footnote Refe,FR,...,4_G,f"/>
    <w:basedOn w:val="DefaultParagraphFont"/>
    <w:uiPriority w:val="99"/>
    <w:unhideWhenUsed/>
    <w:qFormat/>
    <w:rsid w:val="00CA591E"/>
    <w:rPr>
      <w:vertAlign w:val="superscript"/>
    </w:rPr>
  </w:style>
  <w:style w:type="character" w:styleId="CommentReference">
    <w:name w:val="annotation reference"/>
    <w:basedOn w:val="DefaultParagraphFont"/>
    <w:uiPriority w:val="99"/>
    <w:semiHidden/>
    <w:unhideWhenUsed/>
    <w:rsid w:val="00DE431B"/>
    <w:rPr>
      <w:sz w:val="16"/>
      <w:szCs w:val="16"/>
    </w:rPr>
  </w:style>
  <w:style w:type="paragraph" w:styleId="CommentText">
    <w:name w:val="annotation text"/>
    <w:basedOn w:val="Normal"/>
    <w:link w:val="CommentTextChar"/>
    <w:uiPriority w:val="99"/>
    <w:unhideWhenUsed/>
    <w:rsid w:val="00DE431B"/>
    <w:pPr>
      <w:spacing w:after="200"/>
    </w:pPr>
    <w:rPr>
      <w:sz w:val="20"/>
      <w:szCs w:val="20"/>
    </w:rPr>
  </w:style>
  <w:style w:type="character" w:customStyle="1" w:styleId="CommentTextChar">
    <w:name w:val="Comment Text Char"/>
    <w:basedOn w:val="DefaultParagraphFont"/>
    <w:link w:val="CommentText"/>
    <w:uiPriority w:val="99"/>
    <w:rsid w:val="00DE431B"/>
    <w:rPr>
      <w:sz w:val="20"/>
      <w:szCs w:val="20"/>
      <w:lang w:val="fr-FR"/>
    </w:rPr>
  </w:style>
  <w:style w:type="paragraph" w:styleId="CommentSubject">
    <w:name w:val="annotation subject"/>
    <w:basedOn w:val="CommentText"/>
    <w:next w:val="CommentText"/>
    <w:link w:val="CommentSubjectChar"/>
    <w:uiPriority w:val="99"/>
    <w:semiHidden/>
    <w:unhideWhenUsed/>
    <w:rsid w:val="00964A5B"/>
    <w:pPr>
      <w:spacing w:after="0"/>
    </w:pPr>
    <w:rPr>
      <w:b/>
      <w:bCs/>
    </w:rPr>
  </w:style>
  <w:style w:type="character" w:customStyle="1" w:styleId="CommentSubjectChar">
    <w:name w:val="Comment Subject Char"/>
    <w:basedOn w:val="CommentTextChar"/>
    <w:link w:val="CommentSubject"/>
    <w:uiPriority w:val="99"/>
    <w:semiHidden/>
    <w:rsid w:val="00964A5B"/>
    <w:rPr>
      <w:b/>
      <w:bCs/>
      <w:sz w:val="20"/>
      <w:szCs w:val="20"/>
      <w:lang w:val="fr-FR"/>
    </w:rPr>
  </w:style>
  <w:style w:type="paragraph" w:styleId="Revision">
    <w:name w:val="Revision"/>
    <w:hidden/>
    <w:uiPriority w:val="99"/>
    <w:semiHidden/>
    <w:rsid w:val="000B3868"/>
  </w:style>
  <w:style w:type="paragraph" w:styleId="EndnoteText">
    <w:name w:val="endnote text"/>
    <w:basedOn w:val="Normal"/>
    <w:link w:val="EndnoteTextChar"/>
    <w:uiPriority w:val="99"/>
    <w:unhideWhenUsed/>
    <w:rsid w:val="00461CF2"/>
    <w:rPr>
      <w:sz w:val="20"/>
      <w:szCs w:val="20"/>
    </w:rPr>
  </w:style>
  <w:style w:type="character" w:customStyle="1" w:styleId="EndnoteTextChar">
    <w:name w:val="Endnote Text Char"/>
    <w:basedOn w:val="DefaultParagraphFont"/>
    <w:link w:val="EndnoteText"/>
    <w:uiPriority w:val="99"/>
    <w:rsid w:val="00461CF2"/>
    <w:rPr>
      <w:sz w:val="20"/>
      <w:szCs w:val="20"/>
    </w:rPr>
  </w:style>
  <w:style w:type="character" w:styleId="EndnoteReference">
    <w:name w:val="endnote reference"/>
    <w:basedOn w:val="DefaultParagraphFont"/>
    <w:uiPriority w:val="99"/>
    <w:unhideWhenUsed/>
    <w:rsid w:val="00461CF2"/>
    <w:rPr>
      <w:vertAlign w:val="superscript"/>
    </w:rPr>
  </w:style>
  <w:style w:type="character" w:styleId="Hyperlink">
    <w:name w:val="Hyperlink"/>
    <w:basedOn w:val="DefaultParagraphFont"/>
    <w:uiPriority w:val="99"/>
    <w:unhideWhenUsed/>
    <w:rsid w:val="00823FA2"/>
    <w:rPr>
      <w:color w:val="0563C1" w:themeColor="hyperlink"/>
      <w:u w:val="single"/>
    </w:rPr>
  </w:style>
  <w:style w:type="character" w:styleId="FollowedHyperlink">
    <w:name w:val="FollowedHyperlink"/>
    <w:basedOn w:val="DefaultParagraphFont"/>
    <w:uiPriority w:val="99"/>
    <w:semiHidden/>
    <w:unhideWhenUsed/>
    <w:rsid w:val="00073208"/>
    <w:rPr>
      <w:color w:val="954F72" w:themeColor="followedHyperlink"/>
      <w:u w:val="single"/>
    </w:rPr>
  </w:style>
  <w:style w:type="character" w:customStyle="1" w:styleId="Heading3Char">
    <w:name w:val="Heading 3 Char"/>
    <w:basedOn w:val="DefaultParagraphFont"/>
    <w:link w:val="Heading3"/>
    <w:uiPriority w:val="9"/>
    <w:semiHidden/>
    <w:rsid w:val="004664D4"/>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63415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59181">
      <w:bodyDiv w:val="1"/>
      <w:marLeft w:val="0"/>
      <w:marRight w:val="0"/>
      <w:marTop w:val="0"/>
      <w:marBottom w:val="0"/>
      <w:divBdr>
        <w:top w:val="none" w:sz="0" w:space="0" w:color="auto"/>
        <w:left w:val="none" w:sz="0" w:space="0" w:color="auto"/>
        <w:bottom w:val="none" w:sz="0" w:space="0" w:color="auto"/>
        <w:right w:val="none" w:sz="0" w:space="0" w:color="auto"/>
      </w:divBdr>
      <w:divsChild>
        <w:div w:id="2096705279">
          <w:marLeft w:val="0"/>
          <w:marRight w:val="0"/>
          <w:marTop w:val="0"/>
          <w:marBottom w:val="0"/>
          <w:divBdr>
            <w:top w:val="none" w:sz="0" w:space="0" w:color="auto"/>
            <w:left w:val="none" w:sz="0" w:space="0" w:color="auto"/>
            <w:bottom w:val="none" w:sz="0" w:space="0" w:color="auto"/>
            <w:right w:val="none" w:sz="0" w:space="0" w:color="auto"/>
          </w:divBdr>
          <w:divsChild>
            <w:div w:id="275138445">
              <w:marLeft w:val="0"/>
              <w:marRight w:val="0"/>
              <w:marTop w:val="0"/>
              <w:marBottom w:val="0"/>
              <w:divBdr>
                <w:top w:val="none" w:sz="0" w:space="0" w:color="auto"/>
                <w:left w:val="none" w:sz="0" w:space="0" w:color="auto"/>
                <w:bottom w:val="none" w:sz="0" w:space="0" w:color="auto"/>
                <w:right w:val="none" w:sz="0" w:space="0" w:color="auto"/>
              </w:divBdr>
              <w:divsChild>
                <w:div w:id="10274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452397">
      <w:bodyDiv w:val="1"/>
      <w:marLeft w:val="0"/>
      <w:marRight w:val="0"/>
      <w:marTop w:val="0"/>
      <w:marBottom w:val="0"/>
      <w:divBdr>
        <w:top w:val="none" w:sz="0" w:space="0" w:color="auto"/>
        <w:left w:val="none" w:sz="0" w:space="0" w:color="auto"/>
        <w:bottom w:val="none" w:sz="0" w:space="0" w:color="auto"/>
        <w:right w:val="none" w:sz="0" w:space="0" w:color="auto"/>
      </w:divBdr>
      <w:divsChild>
        <w:div w:id="783429112">
          <w:marLeft w:val="0"/>
          <w:marRight w:val="0"/>
          <w:marTop w:val="0"/>
          <w:marBottom w:val="0"/>
          <w:divBdr>
            <w:top w:val="none" w:sz="0" w:space="0" w:color="auto"/>
            <w:left w:val="none" w:sz="0" w:space="0" w:color="auto"/>
            <w:bottom w:val="none" w:sz="0" w:space="0" w:color="auto"/>
            <w:right w:val="none" w:sz="0" w:space="0" w:color="auto"/>
          </w:divBdr>
          <w:divsChild>
            <w:div w:id="1396588636">
              <w:marLeft w:val="0"/>
              <w:marRight w:val="0"/>
              <w:marTop w:val="0"/>
              <w:marBottom w:val="0"/>
              <w:divBdr>
                <w:top w:val="none" w:sz="0" w:space="0" w:color="auto"/>
                <w:left w:val="none" w:sz="0" w:space="0" w:color="auto"/>
                <w:bottom w:val="none" w:sz="0" w:space="0" w:color="auto"/>
                <w:right w:val="none" w:sz="0" w:space="0" w:color="auto"/>
              </w:divBdr>
              <w:divsChild>
                <w:div w:id="1079787860">
                  <w:marLeft w:val="0"/>
                  <w:marRight w:val="0"/>
                  <w:marTop w:val="0"/>
                  <w:marBottom w:val="0"/>
                  <w:divBdr>
                    <w:top w:val="none" w:sz="0" w:space="0" w:color="auto"/>
                    <w:left w:val="none" w:sz="0" w:space="0" w:color="auto"/>
                    <w:bottom w:val="none" w:sz="0" w:space="0" w:color="auto"/>
                    <w:right w:val="none" w:sz="0" w:space="0" w:color="auto"/>
                  </w:divBdr>
                  <w:divsChild>
                    <w:div w:id="1221138048">
                      <w:marLeft w:val="0"/>
                      <w:marRight w:val="0"/>
                      <w:marTop w:val="0"/>
                      <w:marBottom w:val="0"/>
                      <w:divBdr>
                        <w:top w:val="none" w:sz="0" w:space="0" w:color="auto"/>
                        <w:left w:val="none" w:sz="0" w:space="0" w:color="auto"/>
                        <w:bottom w:val="none" w:sz="0" w:space="0" w:color="auto"/>
                        <w:right w:val="none" w:sz="0" w:space="0" w:color="auto"/>
                      </w:divBdr>
                      <w:divsChild>
                        <w:div w:id="1846094613">
                          <w:marLeft w:val="0"/>
                          <w:marRight w:val="0"/>
                          <w:marTop w:val="0"/>
                          <w:marBottom w:val="0"/>
                          <w:divBdr>
                            <w:top w:val="none" w:sz="0" w:space="0" w:color="auto"/>
                            <w:left w:val="none" w:sz="0" w:space="0" w:color="auto"/>
                            <w:bottom w:val="none" w:sz="0" w:space="0" w:color="auto"/>
                            <w:right w:val="none" w:sz="0" w:space="0" w:color="auto"/>
                          </w:divBdr>
                          <w:divsChild>
                            <w:div w:id="867640235">
                              <w:marLeft w:val="0"/>
                              <w:marRight w:val="0"/>
                              <w:marTop w:val="0"/>
                              <w:marBottom w:val="0"/>
                              <w:divBdr>
                                <w:top w:val="none" w:sz="0" w:space="0" w:color="auto"/>
                                <w:left w:val="none" w:sz="0" w:space="0" w:color="auto"/>
                                <w:bottom w:val="none" w:sz="0" w:space="0" w:color="auto"/>
                                <w:right w:val="none" w:sz="0" w:space="0" w:color="auto"/>
                              </w:divBdr>
                              <w:divsChild>
                                <w:div w:id="1282031355">
                                  <w:marLeft w:val="0"/>
                                  <w:marRight w:val="0"/>
                                  <w:marTop w:val="0"/>
                                  <w:marBottom w:val="0"/>
                                  <w:divBdr>
                                    <w:top w:val="none" w:sz="0" w:space="0" w:color="auto"/>
                                    <w:left w:val="none" w:sz="0" w:space="0" w:color="auto"/>
                                    <w:bottom w:val="none" w:sz="0" w:space="0" w:color="auto"/>
                                    <w:right w:val="none" w:sz="0" w:space="0" w:color="auto"/>
                                  </w:divBdr>
                                  <w:divsChild>
                                    <w:div w:id="1153719821">
                                      <w:marLeft w:val="0"/>
                                      <w:marRight w:val="0"/>
                                      <w:marTop w:val="0"/>
                                      <w:marBottom w:val="0"/>
                                      <w:divBdr>
                                        <w:top w:val="none" w:sz="0" w:space="0" w:color="auto"/>
                                        <w:left w:val="none" w:sz="0" w:space="0" w:color="auto"/>
                                        <w:bottom w:val="none" w:sz="0" w:space="0" w:color="auto"/>
                                        <w:right w:val="none" w:sz="0" w:space="0" w:color="auto"/>
                                      </w:divBdr>
                                      <w:divsChild>
                                        <w:div w:id="273828514">
                                          <w:marLeft w:val="0"/>
                                          <w:marRight w:val="0"/>
                                          <w:marTop w:val="0"/>
                                          <w:marBottom w:val="0"/>
                                          <w:divBdr>
                                            <w:top w:val="none" w:sz="0" w:space="0" w:color="auto"/>
                                            <w:left w:val="none" w:sz="0" w:space="0" w:color="auto"/>
                                            <w:bottom w:val="none" w:sz="0" w:space="0" w:color="auto"/>
                                            <w:right w:val="none" w:sz="0" w:space="0" w:color="auto"/>
                                          </w:divBdr>
                                          <w:divsChild>
                                            <w:div w:id="1040397142">
                                              <w:marLeft w:val="0"/>
                                              <w:marRight w:val="0"/>
                                              <w:marTop w:val="0"/>
                                              <w:marBottom w:val="0"/>
                                              <w:divBdr>
                                                <w:top w:val="none" w:sz="0" w:space="0" w:color="auto"/>
                                                <w:left w:val="none" w:sz="0" w:space="0" w:color="auto"/>
                                                <w:bottom w:val="none" w:sz="0" w:space="0" w:color="auto"/>
                                                <w:right w:val="none" w:sz="0" w:space="0" w:color="auto"/>
                                              </w:divBdr>
                                              <w:divsChild>
                                                <w:div w:id="1122650245">
                                                  <w:marLeft w:val="0"/>
                                                  <w:marRight w:val="0"/>
                                                  <w:marTop w:val="0"/>
                                                  <w:marBottom w:val="0"/>
                                                  <w:divBdr>
                                                    <w:top w:val="none" w:sz="0" w:space="0" w:color="auto"/>
                                                    <w:left w:val="none" w:sz="0" w:space="0" w:color="auto"/>
                                                    <w:bottom w:val="none" w:sz="0" w:space="0" w:color="auto"/>
                                                    <w:right w:val="none" w:sz="0" w:space="0" w:color="auto"/>
                                                  </w:divBdr>
                                                  <w:divsChild>
                                                    <w:div w:id="633101734">
                                                      <w:marLeft w:val="0"/>
                                                      <w:marRight w:val="0"/>
                                                      <w:marTop w:val="0"/>
                                                      <w:marBottom w:val="0"/>
                                                      <w:divBdr>
                                                        <w:top w:val="none" w:sz="0" w:space="0" w:color="auto"/>
                                                        <w:left w:val="none" w:sz="0" w:space="0" w:color="auto"/>
                                                        <w:bottom w:val="none" w:sz="0" w:space="0" w:color="auto"/>
                                                        <w:right w:val="none" w:sz="0" w:space="0" w:color="auto"/>
                                                      </w:divBdr>
                                                      <w:divsChild>
                                                        <w:div w:id="993028541">
                                                          <w:marLeft w:val="0"/>
                                                          <w:marRight w:val="0"/>
                                                          <w:marTop w:val="0"/>
                                                          <w:marBottom w:val="0"/>
                                                          <w:divBdr>
                                                            <w:top w:val="none" w:sz="0" w:space="0" w:color="auto"/>
                                                            <w:left w:val="none" w:sz="0" w:space="0" w:color="auto"/>
                                                            <w:bottom w:val="none" w:sz="0" w:space="0" w:color="auto"/>
                                                            <w:right w:val="none" w:sz="0" w:space="0" w:color="auto"/>
                                                          </w:divBdr>
                                                          <w:divsChild>
                                                            <w:div w:id="1779525330">
                                                              <w:marLeft w:val="0"/>
                                                              <w:marRight w:val="0"/>
                                                              <w:marTop w:val="0"/>
                                                              <w:marBottom w:val="0"/>
                                                              <w:divBdr>
                                                                <w:top w:val="none" w:sz="0" w:space="0" w:color="auto"/>
                                                                <w:left w:val="none" w:sz="0" w:space="0" w:color="auto"/>
                                                                <w:bottom w:val="none" w:sz="0" w:space="0" w:color="auto"/>
                                                                <w:right w:val="none" w:sz="0" w:space="0" w:color="auto"/>
                                                              </w:divBdr>
                                                              <w:divsChild>
                                                                <w:div w:id="1173181138">
                                                                  <w:marLeft w:val="0"/>
                                                                  <w:marRight w:val="0"/>
                                                                  <w:marTop w:val="0"/>
                                                                  <w:marBottom w:val="0"/>
                                                                  <w:divBdr>
                                                                    <w:top w:val="none" w:sz="0" w:space="0" w:color="auto"/>
                                                                    <w:left w:val="none" w:sz="0" w:space="0" w:color="auto"/>
                                                                    <w:bottom w:val="none" w:sz="0" w:space="0" w:color="auto"/>
                                                                    <w:right w:val="none" w:sz="0" w:space="0" w:color="auto"/>
                                                                  </w:divBdr>
                                                                  <w:divsChild>
                                                                    <w:div w:id="2094624544">
                                                                      <w:marLeft w:val="0"/>
                                                                      <w:marRight w:val="0"/>
                                                                      <w:marTop w:val="0"/>
                                                                      <w:marBottom w:val="0"/>
                                                                      <w:divBdr>
                                                                        <w:top w:val="none" w:sz="0" w:space="0" w:color="auto"/>
                                                                        <w:left w:val="none" w:sz="0" w:space="0" w:color="auto"/>
                                                                        <w:bottom w:val="none" w:sz="0" w:space="0" w:color="auto"/>
                                                                        <w:right w:val="none" w:sz="0" w:space="0" w:color="auto"/>
                                                                      </w:divBdr>
                                                                      <w:divsChild>
                                                                        <w:div w:id="822508570">
                                                                          <w:marLeft w:val="0"/>
                                                                          <w:marRight w:val="0"/>
                                                                          <w:marTop w:val="0"/>
                                                                          <w:marBottom w:val="0"/>
                                                                          <w:divBdr>
                                                                            <w:top w:val="none" w:sz="0" w:space="0" w:color="auto"/>
                                                                            <w:left w:val="none" w:sz="0" w:space="0" w:color="auto"/>
                                                                            <w:bottom w:val="none" w:sz="0" w:space="0" w:color="auto"/>
                                                                            <w:right w:val="none" w:sz="0" w:space="0" w:color="auto"/>
                                                                          </w:divBdr>
                                                                          <w:divsChild>
                                                                            <w:div w:id="865752154">
                                                                              <w:marLeft w:val="0"/>
                                                                              <w:marRight w:val="0"/>
                                                                              <w:marTop w:val="0"/>
                                                                              <w:marBottom w:val="0"/>
                                                                              <w:divBdr>
                                                                                <w:top w:val="none" w:sz="0" w:space="0" w:color="auto"/>
                                                                                <w:left w:val="none" w:sz="0" w:space="0" w:color="auto"/>
                                                                                <w:bottom w:val="none" w:sz="0" w:space="0" w:color="auto"/>
                                                                                <w:right w:val="none" w:sz="0" w:space="0" w:color="auto"/>
                                                                              </w:divBdr>
                                                                              <w:divsChild>
                                                                                <w:div w:id="1019116824">
                                                                                  <w:marLeft w:val="0"/>
                                                                                  <w:marRight w:val="0"/>
                                                                                  <w:marTop w:val="0"/>
                                                                                  <w:marBottom w:val="0"/>
                                                                                  <w:divBdr>
                                                                                    <w:top w:val="none" w:sz="0" w:space="0" w:color="auto"/>
                                                                                    <w:left w:val="none" w:sz="0" w:space="0" w:color="auto"/>
                                                                                    <w:bottom w:val="none" w:sz="0" w:space="0" w:color="auto"/>
                                                                                    <w:right w:val="none" w:sz="0" w:space="0" w:color="auto"/>
                                                                                  </w:divBdr>
                                                                                  <w:divsChild>
                                                                                    <w:div w:id="1252353713">
                                                                                      <w:marLeft w:val="0"/>
                                                                                      <w:marRight w:val="0"/>
                                                                                      <w:marTop w:val="0"/>
                                                                                      <w:marBottom w:val="0"/>
                                                                                      <w:divBdr>
                                                                                        <w:top w:val="none" w:sz="0" w:space="0" w:color="auto"/>
                                                                                        <w:left w:val="none" w:sz="0" w:space="0" w:color="auto"/>
                                                                                        <w:bottom w:val="none" w:sz="0" w:space="0" w:color="auto"/>
                                                                                        <w:right w:val="none" w:sz="0" w:space="0" w:color="auto"/>
                                                                                      </w:divBdr>
                                                                                      <w:divsChild>
                                                                                        <w:div w:id="1712195339">
                                                                                          <w:marLeft w:val="0"/>
                                                                                          <w:marRight w:val="0"/>
                                                                                          <w:marTop w:val="0"/>
                                                                                          <w:marBottom w:val="0"/>
                                                                                          <w:divBdr>
                                                                                            <w:top w:val="none" w:sz="0" w:space="0" w:color="auto"/>
                                                                                            <w:left w:val="none" w:sz="0" w:space="0" w:color="auto"/>
                                                                                            <w:bottom w:val="none" w:sz="0" w:space="0" w:color="auto"/>
                                                                                            <w:right w:val="none" w:sz="0" w:space="0" w:color="auto"/>
                                                                                          </w:divBdr>
                                                                                          <w:divsChild>
                                                                                            <w:div w:id="1146052440">
                                                                                              <w:marLeft w:val="0"/>
                                                                                              <w:marRight w:val="120"/>
                                                                                              <w:marTop w:val="0"/>
                                                                                              <w:marBottom w:val="150"/>
                                                                                              <w:divBdr>
                                                                                                <w:top w:val="single" w:sz="2" w:space="0" w:color="EFEFEF"/>
                                                                                                <w:left w:val="single" w:sz="6" w:space="0" w:color="EFEFEF"/>
                                                                                                <w:bottom w:val="single" w:sz="6" w:space="0" w:color="E2E2E2"/>
                                                                                                <w:right w:val="single" w:sz="6" w:space="0" w:color="EFEFEF"/>
                                                                                              </w:divBdr>
                                                                                              <w:divsChild>
                                                                                                <w:div w:id="149947187">
                                                                                                  <w:marLeft w:val="0"/>
                                                                                                  <w:marRight w:val="0"/>
                                                                                                  <w:marTop w:val="0"/>
                                                                                                  <w:marBottom w:val="0"/>
                                                                                                  <w:divBdr>
                                                                                                    <w:top w:val="none" w:sz="0" w:space="0" w:color="auto"/>
                                                                                                    <w:left w:val="none" w:sz="0" w:space="0" w:color="auto"/>
                                                                                                    <w:bottom w:val="none" w:sz="0" w:space="0" w:color="auto"/>
                                                                                                    <w:right w:val="none" w:sz="0" w:space="0" w:color="auto"/>
                                                                                                  </w:divBdr>
                                                                                                  <w:divsChild>
                                                                                                    <w:div w:id="1365211368">
                                                                                                      <w:marLeft w:val="0"/>
                                                                                                      <w:marRight w:val="0"/>
                                                                                                      <w:marTop w:val="0"/>
                                                                                                      <w:marBottom w:val="0"/>
                                                                                                      <w:divBdr>
                                                                                                        <w:top w:val="none" w:sz="0" w:space="0" w:color="auto"/>
                                                                                                        <w:left w:val="none" w:sz="0" w:space="0" w:color="auto"/>
                                                                                                        <w:bottom w:val="none" w:sz="0" w:space="0" w:color="auto"/>
                                                                                                        <w:right w:val="none" w:sz="0" w:space="0" w:color="auto"/>
                                                                                                      </w:divBdr>
                                                                                                      <w:divsChild>
                                                                                                        <w:div w:id="1147434428">
                                                                                                          <w:marLeft w:val="0"/>
                                                                                                          <w:marRight w:val="0"/>
                                                                                                          <w:marTop w:val="0"/>
                                                                                                          <w:marBottom w:val="0"/>
                                                                                                          <w:divBdr>
                                                                                                            <w:top w:val="none" w:sz="0" w:space="0" w:color="auto"/>
                                                                                                            <w:left w:val="none" w:sz="0" w:space="0" w:color="auto"/>
                                                                                                            <w:bottom w:val="none" w:sz="0" w:space="0" w:color="auto"/>
                                                                                                            <w:right w:val="none" w:sz="0" w:space="0" w:color="auto"/>
                                                                                                          </w:divBdr>
                                                                                                          <w:divsChild>
                                                                                                            <w:div w:id="352540012">
                                                                                                              <w:marLeft w:val="0"/>
                                                                                                              <w:marRight w:val="0"/>
                                                                                                              <w:marTop w:val="0"/>
                                                                                                              <w:marBottom w:val="0"/>
                                                                                                              <w:divBdr>
                                                                                                                <w:top w:val="none" w:sz="0" w:space="0" w:color="auto"/>
                                                                                                                <w:left w:val="none" w:sz="0" w:space="0" w:color="auto"/>
                                                                                                                <w:bottom w:val="none" w:sz="0" w:space="0" w:color="auto"/>
                                                                                                                <w:right w:val="none" w:sz="0" w:space="0" w:color="auto"/>
                                                                                                              </w:divBdr>
                                                                                                              <w:divsChild>
                                                                                                                <w:div w:id="1949776237">
                                                                                                                  <w:marLeft w:val="0"/>
                                                                                                                  <w:marRight w:val="0"/>
                                                                                                                  <w:marTop w:val="0"/>
                                                                                                                  <w:marBottom w:val="0"/>
                                                                                                                  <w:divBdr>
                                                                                                                    <w:top w:val="none" w:sz="0" w:space="4" w:color="auto"/>
                                                                                                                    <w:left w:val="none" w:sz="0" w:space="0" w:color="auto"/>
                                                                                                                    <w:bottom w:val="none" w:sz="0" w:space="4" w:color="auto"/>
                                                                                                                    <w:right w:val="none" w:sz="0" w:space="0" w:color="auto"/>
                                                                                                                  </w:divBdr>
                                                                                                                  <w:divsChild>
                                                                                                                    <w:div w:id="1183518691">
                                                                                                                      <w:marLeft w:val="0"/>
                                                                                                                      <w:marRight w:val="0"/>
                                                                                                                      <w:marTop w:val="0"/>
                                                                                                                      <w:marBottom w:val="0"/>
                                                                                                                      <w:divBdr>
                                                                                                                        <w:top w:val="none" w:sz="0" w:space="0" w:color="auto"/>
                                                                                                                        <w:left w:val="none" w:sz="0" w:space="0" w:color="auto"/>
                                                                                                                        <w:bottom w:val="none" w:sz="0" w:space="0" w:color="auto"/>
                                                                                                                        <w:right w:val="none" w:sz="0" w:space="0" w:color="auto"/>
                                                                                                                      </w:divBdr>
                                                                                                                      <w:divsChild>
                                                                                                                        <w:div w:id="1278176018">
                                                                                                                          <w:marLeft w:val="225"/>
                                                                                                                          <w:marRight w:val="225"/>
                                                                                                                          <w:marTop w:val="75"/>
                                                                                                                          <w:marBottom w:val="75"/>
                                                                                                                          <w:divBdr>
                                                                                                                            <w:top w:val="none" w:sz="0" w:space="0" w:color="auto"/>
                                                                                                                            <w:left w:val="none" w:sz="0" w:space="0" w:color="auto"/>
                                                                                                                            <w:bottom w:val="none" w:sz="0" w:space="0" w:color="auto"/>
                                                                                                                            <w:right w:val="none" w:sz="0" w:space="0" w:color="auto"/>
                                                                                                                          </w:divBdr>
                                                                                                                          <w:divsChild>
                                                                                                                            <w:div w:id="1675453382">
                                                                                                                              <w:marLeft w:val="0"/>
                                                                                                                              <w:marRight w:val="0"/>
                                                                                                                              <w:marTop w:val="0"/>
                                                                                                                              <w:marBottom w:val="0"/>
                                                                                                                              <w:divBdr>
                                                                                                                                <w:top w:val="single" w:sz="6" w:space="0" w:color="auto"/>
                                                                                                                                <w:left w:val="single" w:sz="6" w:space="0" w:color="auto"/>
                                                                                                                                <w:bottom w:val="single" w:sz="6" w:space="0" w:color="auto"/>
                                                                                                                                <w:right w:val="single" w:sz="6" w:space="0" w:color="auto"/>
                                                                                                                              </w:divBdr>
                                                                                                                              <w:divsChild>
                                                                                                                                <w:div w:id="1762945988">
                                                                                                                                  <w:marLeft w:val="0"/>
                                                                                                                                  <w:marRight w:val="0"/>
                                                                                                                                  <w:marTop w:val="0"/>
                                                                                                                                  <w:marBottom w:val="0"/>
                                                                                                                                  <w:divBdr>
                                                                                                                                    <w:top w:val="none" w:sz="0" w:space="0" w:color="auto"/>
                                                                                                                                    <w:left w:val="none" w:sz="0" w:space="0" w:color="auto"/>
                                                                                                                                    <w:bottom w:val="none" w:sz="0" w:space="0" w:color="auto"/>
                                                                                                                                    <w:right w:val="none" w:sz="0" w:space="0" w:color="auto"/>
                                                                                                                                  </w:divBdr>
                                                                                                                                  <w:divsChild>
                                                                                                                                    <w:div w:id="763769178">
                                                                                                                                      <w:marLeft w:val="0"/>
                                                                                                                                      <w:marRight w:val="0"/>
                                                                                                                                      <w:marTop w:val="0"/>
                                                                                                                                      <w:marBottom w:val="0"/>
                                                                                                                                      <w:divBdr>
                                                                                                                                        <w:top w:val="none" w:sz="0" w:space="0" w:color="auto"/>
                                                                                                                                        <w:left w:val="none" w:sz="0" w:space="0" w:color="auto"/>
                                                                                                                                        <w:bottom w:val="none" w:sz="0" w:space="0" w:color="auto"/>
                                                                                                                                        <w:right w:val="none" w:sz="0" w:space="0" w:color="auto"/>
                                                                                                                                      </w:divBdr>
                                                                                                                                    </w:div>
                                                                                                                                    <w:div w:id="1617180315">
                                                                                                                                      <w:marLeft w:val="0"/>
                                                                                                                                      <w:marRight w:val="0"/>
                                                                                                                                      <w:marTop w:val="0"/>
                                                                                                                                      <w:marBottom w:val="0"/>
                                                                                                                                      <w:divBdr>
                                                                                                                                        <w:top w:val="none" w:sz="0" w:space="0" w:color="auto"/>
                                                                                                                                        <w:left w:val="none" w:sz="0" w:space="0" w:color="auto"/>
                                                                                                                                        <w:bottom w:val="none" w:sz="0" w:space="0" w:color="auto"/>
                                                                                                                                        <w:right w:val="none" w:sz="0" w:space="0" w:color="auto"/>
                                                                                                                                      </w:divBdr>
                                                                                                                                    </w:div>
                                                                                                                                    <w:div w:id="31226259">
                                                                                                                                      <w:marLeft w:val="0"/>
                                                                                                                                      <w:marRight w:val="0"/>
                                                                                                                                      <w:marTop w:val="0"/>
                                                                                                                                      <w:marBottom w:val="0"/>
                                                                                                                                      <w:divBdr>
                                                                                                                                        <w:top w:val="none" w:sz="0" w:space="0" w:color="auto"/>
                                                                                                                                        <w:left w:val="none" w:sz="0" w:space="0" w:color="auto"/>
                                                                                                                                        <w:bottom w:val="none" w:sz="0" w:space="0" w:color="auto"/>
                                                                                                                                        <w:right w:val="none" w:sz="0" w:space="0" w:color="auto"/>
                                                                                                                                      </w:divBdr>
                                                                                                                                    </w:div>
                                                                                                                                    <w:div w:id="497234283">
                                                                                                                                      <w:marLeft w:val="0"/>
                                                                                                                                      <w:marRight w:val="0"/>
                                                                                                                                      <w:marTop w:val="0"/>
                                                                                                                                      <w:marBottom w:val="0"/>
                                                                                                                                      <w:divBdr>
                                                                                                                                        <w:top w:val="none" w:sz="0" w:space="0" w:color="auto"/>
                                                                                                                                        <w:left w:val="none" w:sz="0" w:space="0" w:color="auto"/>
                                                                                                                                        <w:bottom w:val="none" w:sz="0" w:space="0" w:color="auto"/>
                                                                                                                                        <w:right w:val="none" w:sz="0" w:space="0" w:color="auto"/>
                                                                                                                                      </w:divBdr>
                                                                                                                                    </w:div>
                                                                                                                                    <w:div w:id="1656950227">
                                                                                                                                      <w:marLeft w:val="0"/>
                                                                                                                                      <w:marRight w:val="0"/>
                                                                                                                                      <w:marTop w:val="0"/>
                                                                                                                                      <w:marBottom w:val="0"/>
                                                                                                                                      <w:divBdr>
                                                                                                                                        <w:top w:val="none" w:sz="0" w:space="0" w:color="auto"/>
                                                                                                                                        <w:left w:val="none" w:sz="0" w:space="0" w:color="auto"/>
                                                                                                                                        <w:bottom w:val="none" w:sz="0" w:space="0" w:color="auto"/>
                                                                                                                                        <w:right w:val="none" w:sz="0" w:space="0" w:color="auto"/>
                                                                                                                                      </w:divBdr>
                                                                                                                                    </w:div>
                                                                                                                                    <w:div w:id="1785491874">
                                                                                                                                      <w:marLeft w:val="0"/>
                                                                                                                                      <w:marRight w:val="0"/>
                                                                                                                                      <w:marTop w:val="0"/>
                                                                                                                                      <w:marBottom w:val="0"/>
                                                                                                                                      <w:divBdr>
                                                                                                                                        <w:top w:val="none" w:sz="0" w:space="0" w:color="auto"/>
                                                                                                                                        <w:left w:val="none" w:sz="0" w:space="0" w:color="auto"/>
                                                                                                                                        <w:bottom w:val="none" w:sz="0" w:space="0" w:color="auto"/>
                                                                                                                                        <w:right w:val="none" w:sz="0" w:space="0" w:color="auto"/>
                                                                                                                                      </w:divBdr>
                                                                                                                                    </w:div>
                                                                                                                                    <w:div w:id="142746489">
                                                                                                                                      <w:marLeft w:val="0"/>
                                                                                                                                      <w:marRight w:val="0"/>
                                                                                                                                      <w:marTop w:val="0"/>
                                                                                                                                      <w:marBottom w:val="0"/>
                                                                                                                                      <w:divBdr>
                                                                                                                                        <w:top w:val="none" w:sz="0" w:space="0" w:color="auto"/>
                                                                                                                                        <w:left w:val="none" w:sz="0" w:space="0" w:color="auto"/>
                                                                                                                                        <w:bottom w:val="none" w:sz="0" w:space="0" w:color="auto"/>
                                                                                                                                        <w:right w:val="none" w:sz="0" w:space="0" w:color="auto"/>
                                                                                                                                      </w:divBdr>
                                                                                                                                    </w:div>
                                                                                                                                    <w:div w:id="1569878764">
                                                                                                                                      <w:marLeft w:val="0"/>
                                                                                                                                      <w:marRight w:val="0"/>
                                                                                                                                      <w:marTop w:val="0"/>
                                                                                                                                      <w:marBottom w:val="0"/>
                                                                                                                                      <w:divBdr>
                                                                                                                                        <w:top w:val="none" w:sz="0" w:space="0" w:color="auto"/>
                                                                                                                                        <w:left w:val="none" w:sz="0" w:space="0" w:color="auto"/>
                                                                                                                                        <w:bottom w:val="none" w:sz="0" w:space="0" w:color="auto"/>
                                                                                                                                        <w:right w:val="none" w:sz="0" w:space="0" w:color="auto"/>
                                                                                                                                      </w:divBdr>
                                                                                                                                    </w:div>
                                                                                                                                    <w:div w:id="20130712">
                                                                                                                                      <w:marLeft w:val="0"/>
                                                                                                                                      <w:marRight w:val="0"/>
                                                                                                                                      <w:marTop w:val="0"/>
                                                                                                                                      <w:marBottom w:val="0"/>
                                                                                                                                      <w:divBdr>
                                                                                                                                        <w:top w:val="none" w:sz="0" w:space="0" w:color="auto"/>
                                                                                                                                        <w:left w:val="none" w:sz="0" w:space="0" w:color="auto"/>
                                                                                                                                        <w:bottom w:val="none" w:sz="0" w:space="0" w:color="auto"/>
                                                                                                                                        <w:right w:val="none" w:sz="0" w:space="0" w:color="auto"/>
                                                                                                                                      </w:divBdr>
                                                                                                                                    </w:div>
                                                                                                                                    <w:div w:id="158232562">
                                                                                                                                      <w:marLeft w:val="0"/>
                                                                                                                                      <w:marRight w:val="0"/>
                                                                                                                                      <w:marTop w:val="0"/>
                                                                                                                                      <w:marBottom w:val="0"/>
                                                                                                                                      <w:divBdr>
                                                                                                                                        <w:top w:val="none" w:sz="0" w:space="0" w:color="auto"/>
                                                                                                                                        <w:left w:val="none" w:sz="0" w:space="0" w:color="auto"/>
                                                                                                                                        <w:bottom w:val="none" w:sz="0" w:space="0" w:color="auto"/>
                                                                                                                                        <w:right w:val="none" w:sz="0" w:space="0" w:color="auto"/>
                                                                                                                                      </w:divBdr>
                                                                                                                                    </w:div>
                                                                                                                                    <w:div w:id="13412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231444">
      <w:bodyDiv w:val="1"/>
      <w:marLeft w:val="0"/>
      <w:marRight w:val="0"/>
      <w:marTop w:val="0"/>
      <w:marBottom w:val="0"/>
      <w:divBdr>
        <w:top w:val="none" w:sz="0" w:space="0" w:color="auto"/>
        <w:left w:val="none" w:sz="0" w:space="0" w:color="auto"/>
        <w:bottom w:val="none" w:sz="0" w:space="0" w:color="auto"/>
        <w:right w:val="none" w:sz="0" w:space="0" w:color="auto"/>
      </w:divBdr>
    </w:div>
    <w:div w:id="1461798893">
      <w:bodyDiv w:val="1"/>
      <w:marLeft w:val="0"/>
      <w:marRight w:val="0"/>
      <w:marTop w:val="0"/>
      <w:marBottom w:val="0"/>
      <w:divBdr>
        <w:top w:val="none" w:sz="0" w:space="0" w:color="auto"/>
        <w:left w:val="none" w:sz="0" w:space="0" w:color="auto"/>
        <w:bottom w:val="none" w:sz="0" w:space="0" w:color="auto"/>
        <w:right w:val="none" w:sz="0" w:space="0" w:color="auto"/>
      </w:divBdr>
      <w:divsChild>
        <w:div w:id="618070144">
          <w:marLeft w:val="0"/>
          <w:marRight w:val="0"/>
          <w:marTop w:val="0"/>
          <w:marBottom w:val="0"/>
          <w:divBdr>
            <w:top w:val="none" w:sz="0" w:space="0" w:color="auto"/>
            <w:left w:val="none" w:sz="0" w:space="0" w:color="auto"/>
            <w:bottom w:val="none" w:sz="0" w:space="0" w:color="auto"/>
            <w:right w:val="none" w:sz="0" w:space="0" w:color="auto"/>
          </w:divBdr>
        </w:div>
        <w:div w:id="1133795664">
          <w:marLeft w:val="0"/>
          <w:marRight w:val="0"/>
          <w:marTop w:val="0"/>
          <w:marBottom w:val="0"/>
          <w:divBdr>
            <w:top w:val="none" w:sz="0" w:space="0" w:color="auto"/>
            <w:left w:val="none" w:sz="0" w:space="0" w:color="auto"/>
            <w:bottom w:val="none" w:sz="0" w:space="0" w:color="auto"/>
            <w:right w:val="none" w:sz="0" w:space="0" w:color="auto"/>
          </w:divBdr>
        </w:div>
        <w:div w:id="1877500310">
          <w:marLeft w:val="0"/>
          <w:marRight w:val="0"/>
          <w:marTop w:val="0"/>
          <w:marBottom w:val="0"/>
          <w:divBdr>
            <w:top w:val="none" w:sz="0" w:space="0" w:color="auto"/>
            <w:left w:val="none" w:sz="0" w:space="0" w:color="auto"/>
            <w:bottom w:val="none" w:sz="0" w:space="0" w:color="auto"/>
            <w:right w:val="none" w:sz="0" w:space="0" w:color="auto"/>
          </w:divBdr>
        </w:div>
        <w:div w:id="1401053667">
          <w:marLeft w:val="0"/>
          <w:marRight w:val="0"/>
          <w:marTop w:val="0"/>
          <w:marBottom w:val="0"/>
          <w:divBdr>
            <w:top w:val="none" w:sz="0" w:space="0" w:color="auto"/>
            <w:left w:val="none" w:sz="0" w:space="0" w:color="auto"/>
            <w:bottom w:val="none" w:sz="0" w:space="0" w:color="auto"/>
            <w:right w:val="none" w:sz="0" w:space="0" w:color="auto"/>
          </w:divBdr>
        </w:div>
        <w:div w:id="1484472497">
          <w:marLeft w:val="0"/>
          <w:marRight w:val="0"/>
          <w:marTop w:val="0"/>
          <w:marBottom w:val="0"/>
          <w:divBdr>
            <w:top w:val="none" w:sz="0" w:space="0" w:color="auto"/>
            <w:left w:val="none" w:sz="0" w:space="0" w:color="auto"/>
            <w:bottom w:val="none" w:sz="0" w:space="0" w:color="auto"/>
            <w:right w:val="none" w:sz="0" w:space="0" w:color="auto"/>
          </w:divBdr>
        </w:div>
      </w:divsChild>
    </w:div>
    <w:div w:id="1625386946">
      <w:bodyDiv w:val="1"/>
      <w:marLeft w:val="0"/>
      <w:marRight w:val="0"/>
      <w:marTop w:val="0"/>
      <w:marBottom w:val="0"/>
      <w:divBdr>
        <w:top w:val="none" w:sz="0" w:space="0" w:color="auto"/>
        <w:left w:val="none" w:sz="0" w:space="0" w:color="auto"/>
        <w:bottom w:val="none" w:sz="0" w:space="0" w:color="auto"/>
        <w:right w:val="none" w:sz="0" w:space="0" w:color="auto"/>
      </w:divBdr>
    </w:div>
    <w:div w:id="1916429772">
      <w:bodyDiv w:val="1"/>
      <w:marLeft w:val="0"/>
      <w:marRight w:val="0"/>
      <w:marTop w:val="0"/>
      <w:marBottom w:val="0"/>
      <w:divBdr>
        <w:top w:val="none" w:sz="0" w:space="0" w:color="auto"/>
        <w:left w:val="none" w:sz="0" w:space="0" w:color="auto"/>
        <w:bottom w:val="none" w:sz="0" w:space="0" w:color="auto"/>
        <w:right w:val="none" w:sz="0" w:space="0" w:color="auto"/>
      </w:divBdr>
    </w:div>
    <w:div w:id="21200300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mbracingdiversity.net/files/report/1494325326_what-are-assistive-technologie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docs.org/fr/A/HRC/34/5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embracingdiversity.net/files/report/1494324929_enabling-effective-participation-booklet.pdf" TargetMode="External"/><Relationship Id="rId2" Type="http://schemas.openxmlformats.org/officeDocument/2006/relationships/hyperlink" Target="https://tbinternet.ohchr.org/_layouts/treatybodyexternal/Download.aspx?symbolno=CRPD/C/GC/7&amp;Lang=en" TargetMode="External"/><Relationship Id="rId1" Type="http://schemas.openxmlformats.org/officeDocument/2006/relationships/hyperlink" Target="https://www.who.int/phi/implementation/assistive_technology/global_survey-apl/en/" TargetMode="External"/><Relationship Id="rId5" Type="http://schemas.openxmlformats.org/officeDocument/2006/relationships/hyperlink" Target="https://www.who.int/health-topics/assistive-technology" TargetMode="External"/><Relationship Id="rId4" Type="http://schemas.openxmlformats.org/officeDocument/2006/relationships/hyperlink" Target="https://apps.who.int/iris/bitstream/handle/10665/199524/9789241509855_eng.pdf;jsessionid=A8DF561F67EE375B6C4873C368FE0298?sequenc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B1B4D-D03A-42C0-8382-D532076DFEDD}">
  <ds:schemaRefs>
    <ds:schemaRef ds:uri="http://schemas.microsoft.com/office/2006/metadata/properties"/>
    <ds:schemaRef ds:uri="http://schemas.microsoft.com/office/infopath/2007/PartnerControls"/>
    <ds:schemaRef ds:uri="d30915c5-2446-46fd-befc-6cc3f62684cc"/>
    <ds:schemaRef ds:uri="43e275e3-8228-4251-95de-18700895d8e8"/>
  </ds:schemaRefs>
</ds:datastoreItem>
</file>

<file path=customXml/itemProps2.xml><?xml version="1.0" encoding="utf-8"?>
<ds:datastoreItem xmlns:ds="http://schemas.openxmlformats.org/officeDocument/2006/customXml" ds:itemID="{5E53E97C-367C-4896-ACC8-DB5C1B22CCA3}"/>
</file>

<file path=customXml/itemProps3.xml><?xml version="1.0" encoding="utf-8"?>
<ds:datastoreItem xmlns:ds="http://schemas.openxmlformats.org/officeDocument/2006/customXml" ds:itemID="{C4673E12-A4ED-472B-BADB-E0181921C35F}">
  <ds:schemaRefs>
    <ds:schemaRef ds:uri="http://schemas.microsoft.com/sharepoint/v3/contenttype/forms"/>
  </ds:schemaRefs>
</ds:datastoreItem>
</file>

<file path=customXml/itemProps4.xml><?xml version="1.0" encoding="utf-8"?>
<ds:datastoreItem xmlns:ds="http://schemas.openxmlformats.org/officeDocument/2006/customXml" ds:itemID="{1CF144C9-09E1-47D4-900E-56024FEC2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LEE Victoria</cp:lastModifiedBy>
  <cp:revision>2</cp:revision>
  <cp:lastPrinted>2018-11-12T09:21:00Z</cp:lastPrinted>
  <dcterms:created xsi:type="dcterms:W3CDTF">2020-08-24T15:16:00Z</dcterms:created>
  <dcterms:modified xsi:type="dcterms:W3CDTF">2020-08-24T15:16:00Z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palabrasclaveempresa">
    <vt:lpwstr/>
  </property>
  <property fmtid="{D5CDD505-2E9C-101B-9397-08002B2CF9AE}" pid="4" name="palabrasclavesitio">
    <vt:lpwstr/>
  </property>
</Properties>
</file>