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CDACB" w14:textId="77777777" w:rsidR="00137DED" w:rsidRDefault="00137DED" w:rsidP="00137DED">
      <w:pPr>
        <w:spacing w:after="0" w:line="240" w:lineRule="auto"/>
        <w:rPr>
          <w:rFonts w:cstheme="minorHAnsi"/>
          <w:b/>
          <w:sz w:val="18"/>
          <w:szCs w:val="18"/>
        </w:rPr>
      </w:pPr>
    </w:p>
    <w:p w14:paraId="1139F153" w14:textId="2AF25DD0" w:rsidR="00137DED" w:rsidRPr="00C66625" w:rsidRDefault="00137DED" w:rsidP="00C66625">
      <w:pPr>
        <w:pStyle w:val="Heading1"/>
      </w:pPr>
      <w:r w:rsidRPr="00C66625">
        <w:t>Article 28 – Illustrative indicators on adequate standard of living and social protection</w:t>
      </w:r>
    </w:p>
    <w:p w14:paraId="76EBC95A" w14:textId="77777777" w:rsidR="00137DED" w:rsidRPr="00C66625" w:rsidRDefault="00137DED" w:rsidP="00C66625">
      <w:pPr>
        <w:pStyle w:val="Heading1"/>
      </w:pPr>
      <w:r w:rsidRPr="00C66625">
        <w:t xml:space="preserve">Right to an adequate standard of living and social protection* </w:t>
      </w:r>
    </w:p>
    <w:p w14:paraId="4E98777B" w14:textId="08C9FC44" w:rsidR="00137DED" w:rsidRPr="00ED3DA7" w:rsidRDefault="00137DED" w:rsidP="00C66625">
      <w:pPr>
        <w:pStyle w:val="Heading2"/>
      </w:pPr>
      <w:r w:rsidRPr="00C66625">
        <w:t>Attributes</w:t>
      </w:r>
    </w:p>
    <w:p w14:paraId="2BD7D9A9" w14:textId="77777777" w:rsidR="00137DED" w:rsidRPr="00137DED" w:rsidRDefault="00137DED" w:rsidP="00137DED">
      <w:pPr>
        <w:pStyle w:val="ListParagraph"/>
        <w:numPr>
          <w:ilvl w:val="0"/>
          <w:numId w:val="18"/>
        </w:numPr>
        <w:spacing w:before="120" w:after="0" w:line="240" w:lineRule="auto"/>
        <w:rPr>
          <w:rFonts w:eastAsia="Times New Roman" w:cstheme="minorHAnsi"/>
          <w:b/>
          <w:sz w:val="18"/>
          <w:szCs w:val="18"/>
          <w:lang w:eastAsia="en-GB"/>
        </w:rPr>
      </w:pPr>
      <w:r w:rsidRPr="00137DED">
        <w:rPr>
          <w:rFonts w:eastAsia="Times New Roman" w:cstheme="minorHAnsi"/>
          <w:b/>
          <w:sz w:val="18"/>
          <w:szCs w:val="18"/>
          <w:lang w:eastAsia="en-GB"/>
        </w:rPr>
        <w:t>Adequate standard of living</w:t>
      </w:r>
    </w:p>
    <w:p w14:paraId="12C5E8E9" w14:textId="77777777" w:rsidR="00137DED" w:rsidRPr="00137DED" w:rsidRDefault="00137DED" w:rsidP="00137DED">
      <w:pPr>
        <w:pStyle w:val="ListParagraph"/>
        <w:numPr>
          <w:ilvl w:val="0"/>
          <w:numId w:val="18"/>
        </w:numPr>
        <w:spacing w:before="120" w:after="0" w:line="240" w:lineRule="auto"/>
        <w:rPr>
          <w:rFonts w:eastAsia="Times New Roman" w:cstheme="minorHAnsi"/>
          <w:b/>
          <w:sz w:val="18"/>
          <w:szCs w:val="18"/>
          <w:lang w:eastAsia="en-GB"/>
        </w:rPr>
      </w:pPr>
      <w:r w:rsidRPr="00137DED">
        <w:rPr>
          <w:rFonts w:eastAsia="Times New Roman" w:cstheme="minorHAnsi"/>
          <w:b/>
          <w:sz w:val="18"/>
          <w:szCs w:val="18"/>
          <w:lang w:eastAsia="en-GB"/>
        </w:rPr>
        <w:t>Social protection &amp; poverty reduction</w:t>
      </w:r>
    </w:p>
    <w:p w14:paraId="76CD88AC" w14:textId="77777777" w:rsidR="00137DED" w:rsidRDefault="00137DED" w:rsidP="00137DED">
      <w:pPr>
        <w:spacing w:after="0" w:line="240" w:lineRule="auto"/>
        <w:rPr>
          <w:rFonts w:cstheme="minorHAnsi"/>
          <w:b/>
          <w:sz w:val="18"/>
          <w:szCs w:val="18"/>
        </w:rPr>
      </w:pPr>
    </w:p>
    <w:p w14:paraId="4D84F52E" w14:textId="01A3CDDB" w:rsidR="00137DED" w:rsidRPr="00137DED" w:rsidRDefault="00137DED" w:rsidP="00C66625">
      <w:pPr>
        <w:pStyle w:val="Heading2"/>
      </w:pPr>
      <w:r w:rsidRPr="00137DED">
        <w:t>Structure</w:t>
      </w:r>
      <w:r>
        <w:t xml:space="preserve"> </w:t>
      </w:r>
      <w:r w:rsidRPr="00556A1F">
        <w:t>Indicators</w:t>
      </w:r>
    </w:p>
    <w:p w14:paraId="00BECAF1" w14:textId="77777777" w:rsidR="00137DED" w:rsidRDefault="00137DED" w:rsidP="00E72B64">
      <w:pPr>
        <w:pStyle w:val="ListParagraph"/>
        <w:numPr>
          <w:ilvl w:val="1"/>
          <w:numId w:val="13"/>
        </w:numPr>
        <w:tabs>
          <w:tab w:val="left" w:pos="456"/>
        </w:tabs>
        <w:spacing w:after="0" w:line="240" w:lineRule="auto"/>
        <w:ind w:left="32" w:firstLine="0"/>
        <w:jc w:val="both"/>
        <w:rPr>
          <w:rFonts w:cstheme="minorHAnsi"/>
          <w:color w:val="000000"/>
          <w:sz w:val="18"/>
          <w:szCs w:val="18"/>
        </w:rPr>
      </w:pPr>
      <w:r>
        <w:rPr>
          <w:rFonts w:cstheme="minorHAnsi"/>
          <w:color w:val="000000"/>
          <w:sz w:val="18"/>
          <w:szCs w:val="18"/>
        </w:rPr>
        <w:t xml:space="preserve">Legislation enacted and </w:t>
      </w:r>
      <w:r w:rsidRPr="00ED3DA7">
        <w:rPr>
          <w:rFonts w:cstheme="minorHAnsi"/>
          <w:color w:val="000000"/>
          <w:sz w:val="18"/>
          <w:szCs w:val="18"/>
        </w:rPr>
        <w:t>national policy/plan</w:t>
      </w:r>
      <w:r>
        <w:rPr>
          <w:rFonts w:cstheme="minorHAnsi"/>
          <w:color w:val="000000"/>
          <w:sz w:val="18"/>
          <w:szCs w:val="18"/>
        </w:rPr>
        <w:t xml:space="preserve"> adopted</w:t>
      </w:r>
      <w:r w:rsidRPr="00ED3DA7">
        <w:rPr>
          <w:rFonts w:cstheme="minorHAnsi"/>
          <w:color w:val="000000"/>
          <w:sz w:val="18"/>
          <w:szCs w:val="18"/>
        </w:rPr>
        <w:t xml:space="preserve"> inclusive of persons with disabilities to ensure access to all mainstream and disability-specific programmes </w:t>
      </w:r>
      <w:r>
        <w:rPr>
          <w:rFonts w:cstheme="minorHAnsi"/>
          <w:color w:val="000000"/>
          <w:sz w:val="18"/>
          <w:szCs w:val="18"/>
        </w:rPr>
        <w:t>and</w:t>
      </w:r>
      <w:r w:rsidRPr="00ED3DA7">
        <w:rPr>
          <w:rFonts w:cstheme="minorHAnsi"/>
          <w:color w:val="000000"/>
          <w:sz w:val="18"/>
          <w:szCs w:val="18"/>
        </w:rPr>
        <w:t xml:space="preserve"> services on an equal basis with others, including all social program</w:t>
      </w:r>
      <w:r>
        <w:rPr>
          <w:rFonts w:cstheme="minorHAnsi"/>
          <w:color w:val="000000"/>
          <w:sz w:val="18"/>
          <w:szCs w:val="18"/>
        </w:rPr>
        <w:t>me</w:t>
      </w:r>
      <w:r w:rsidRPr="00ED3DA7">
        <w:rPr>
          <w:rFonts w:cstheme="minorHAnsi"/>
          <w:color w:val="000000"/>
          <w:sz w:val="18"/>
          <w:szCs w:val="18"/>
        </w:rPr>
        <w:t>s, housing, nutrition, water, sanitation, hygiene and health (WASH).</w:t>
      </w:r>
    </w:p>
    <w:p w14:paraId="327C423D" w14:textId="77777777" w:rsidR="00137DED" w:rsidRPr="0065144E" w:rsidRDefault="00137DED" w:rsidP="007D5D74">
      <w:pPr>
        <w:spacing w:after="0" w:line="240" w:lineRule="auto"/>
        <w:jc w:val="both"/>
        <w:rPr>
          <w:rFonts w:cstheme="minorHAnsi"/>
          <w:color w:val="000000"/>
          <w:sz w:val="18"/>
          <w:szCs w:val="18"/>
        </w:rPr>
      </w:pPr>
      <w:r w:rsidRPr="00ED3DA7">
        <w:rPr>
          <w:rFonts w:cstheme="minorHAnsi"/>
          <w:color w:val="000000"/>
          <w:sz w:val="18"/>
          <w:szCs w:val="18"/>
        </w:rPr>
        <w:t xml:space="preserve">28.2 National accessibility standards </w:t>
      </w:r>
      <w:r>
        <w:rPr>
          <w:rFonts w:cstheme="minorHAnsi"/>
          <w:color w:val="000000"/>
          <w:sz w:val="18"/>
          <w:szCs w:val="18"/>
        </w:rPr>
        <w:t>adopted and applied to</w:t>
      </w:r>
      <w:r w:rsidRPr="00ED3DA7">
        <w:rPr>
          <w:rFonts w:cstheme="minorHAnsi"/>
          <w:color w:val="000000"/>
          <w:sz w:val="18"/>
          <w:szCs w:val="18"/>
        </w:rPr>
        <w:t xml:space="preserve"> public and private housing, access to water and sanitation.</w:t>
      </w:r>
    </w:p>
    <w:p w14:paraId="6405EAF6" w14:textId="77777777" w:rsidR="00137DED" w:rsidRPr="00140F78" w:rsidRDefault="00137DED" w:rsidP="00ED3DA7">
      <w:pPr>
        <w:spacing w:after="0" w:line="240" w:lineRule="auto"/>
        <w:jc w:val="both"/>
        <w:rPr>
          <w:rFonts w:cstheme="minorHAnsi"/>
          <w:sz w:val="18"/>
          <w:szCs w:val="18"/>
        </w:rPr>
      </w:pPr>
      <w:r w:rsidRPr="00140F78">
        <w:rPr>
          <w:rFonts w:cstheme="minorHAnsi"/>
          <w:sz w:val="18"/>
          <w:szCs w:val="18"/>
        </w:rPr>
        <w:t>2</w:t>
      </w:r>
      <w:r>
        <w:rPr>
          <w:rFonts w:cstheme="minorHAnsi"/>
          <w:sz w:val="18"/>
          <w:szCs w:val="18"/>
        </w:rPr>
        <w:t>8.3</w:t>
      </w:r>
      <w:r w:rsidRPr="00140F78">
        <w:rPr>
          <w:rFonts w:cstheme="minorHAnsi"/>
          <w:sz w:val="18"/>
          <w:szCs w:val="18"/>
        </w:rPr>
        <w:t xml:space="preserve"> Legislation</w:t>
      </w:r>
      <w:r w:rsidRPr="00526F34">
        <w:rPr>
          <w:rFonts w:cstheme="minorHAnsi"/>
          <w:sz w:val="18"/>
          <w:szCs w:val="18"/>
        </w:rPr>
        <w:t xml:space="preserve"> on social protection </w:t>
      </w:r>
      <w:r>
        <w:rPr>
          <w:rFonts w:cstheme="minorHAnsi"/>
          <w:sz w:val="18"/>
          <w:szCs w:val="18"/>
        </w:rPr>
        <w:t xml:space="preserve">and poverty reduction </w:t>
      </w:r>
      <w:r w:rsidRPr="00526F34">
        <w:rPr>
          <w:rFonts w:cstheme="minorHAnsi"/>
          <w:sz w:val="18"/>
          <w:szCs w:val="18"/>
        </w:rPr>
        <w:t>which explicitly refers to persons with disabilities and ensures their equal access to all social protection program</w:t>
      </w:r>
      <w:r>
        <w:rPr>
          <w:rFonts w:cstheme="minorHAnsi"/>
          <w:sz w:val="18"/>
          <w:szCs w:val="18"/>
        </w:rPr>
        <w:t>me</w:t>
      </w:r>
      <w:r w:rsidRPr="00526F34">
        <w:rPr>
          <w:rFonts w:cstheme="minorHAnsi"/>
          <w:sz w:val="18"/>
          <w:szCs w:val="18"/>
        </w:rPr>
        <w:t>s, including both social assistance and social insurance.</w:t>
      </w:r>
      <w:r w:rsidRPr="00140F78">
        <w:rPr>
          <w:rStyle w:val="EndnoteReference"/>
          <w:rFonts w:cstheme="minorHAnsi"/>
          <w:sz w:val="18"/>
          <w:szCs w:val="18"/>
        </w:rPr>
        <w:endnoteReference w:id="1"/>
      </w:r>
    </w:p>
    <w:p w14:paraId="5213CBAD" w14:textId="77777777" w:rsidR="00137DED" w:rsidRPr="00140F78" w:rsidRDefault="00137DED" w:rsidP="00ED3DA7">
      <w:pPr>
        <w:spacing w:after="0" w:line="240" w:lineRule="auto"/>
        <w:jc w:val="both"/>
        <w:rPr>
          <w:rFonts w:cstheme="minorHAnsi"/>
          <w:sz w:val="18"/>
          <w:szCs w:val="18"/>
        </w:rPr>
      </w:pPr>
      <w:r>
        <w:rPr>
          <w:rFonts w:cstheme="minorHAnsi"/>
          <w:sz w:val="18"/>
          <w:szCs w:val="18"/>
        </w:rPr>
        <w:t>28.4</w:t>
      </w:r>
      <w:r w:rsidRPr="00526F34">
        <w:rPr>
          <w:rFonts w:cstheme="minorHAnsi"/>
          <w:sz w:val="18"/>
          <w:szCs w:val="18"/>
        </w:rPr>
        <w:t xml:space="preserve"> Mainstream</w:t>
      </w:r>
      <w:r w:rsidRPr="00140F78">
        <w:rPr>
          <w:rStyle w:val="EndnoteReference"/>
          <w:rFonts w:cstheme="minorHAnsi"/>
          <w:sz w:val="18"/>
          <w:szCs w:val="18"/>
        </w:rPr>
        <w:endnoteReference w:id="2"/>
      </w:r>
      <w:r w:rsidRPr="00140F78">
        <w:rPr>
          <w:rFonts w:cstheme="minorHAnsi"/>
          <w:sz w:val="18"/>
          <w:szCs w:val="18"/>
        </w:rPr>
        <w:t xml:space="preserve"> and disability-targeted contributory and non-</w:t>
      </w:r>
      <w:r>
        <w:rPr>
          <w:rFonts w:cstheme="minorHAnsi"/>
          <w:sz w:val="18"/>
          <w:szCs w:val="18"/>
        </w:rPr>
        <w:t>contributory social protection</w:t>
      </w:r>
      <w:r w:rsidRPr="00140F78">
        <w:rPr>
          <w:rFonts w:cstheme="minorHAnsi"/>
          <w:sz w:val="18"/>
          <w:szCs w:val="18"/>
        </w:rPr>
        <w:t xml:space="preserve"> systems and programmes meet legislative criteri</w:t>
      </w:r>
      <w:r>
        <w:rPr>
          <w:rFonts w:cstheme="minorHAnsi"/>
          <w:sz w:val="18"/>
          <w:szCs w:val="18"/>
        </w:rPr>
        <w:t xml:space="preserve">a set out in </w:t>
      </w:r>
      <w:r w:rsidRPr="00FB191D">
        <w:rPr>
          <w:rFonts w:cstheme="minorHAnsi"/>
          <w:sz w:val="18"/>
          <w:szCs w:val="18"/>
        </w:rPr>
        <w:t>indicator 28.3, and ensure</w:t>
      </w:r>
      <w:r w:rsidRPr="00140F78">
        <w:rPr>
          <w:rFonts w:cstheme="minorHAnsi"/>
          <w:sz w:val="18"/>
          <w:szCs w:val="18"/>
        </w:rPr>
        <w:t xml:space="preserve"> programmes and services are inclusive of persons with disabilities.</w:t>
      </w:r>
      <w:r w:rsidRPr="00140F78">
        <w:rPr>
          <w:rStyle w:val="EndnoteReference"/>
          <w:rFonts w:cstheme="minorHAnsi"/>
          <w:sz w:val="18"/>
          <w:szCs w:val="18"/>
        </w:rPr>
        <w:endnoteReference w:id="3"/>
      </w:r>
    </w:p>
    <w:p w14:paraId="5C798802" w14:textId="77777777" w:rsidR="00137DED" w:rsidRDefault="00137DED" w:rsidP="00D31BD2">
      <w:pPr>
        <w:spacing w:after="0" w:line="240" w:lineRule="auto"/>
        <w:jc w:val="both"/>
        <w:rPr>
          <w:rFonts w:cstheme="minorHAnsi"/>
          <w:sz w:val="18"/>
          <w:szCs w:val="18"/>
        </w:rPr>
      </w:pPr>
      <w:r>
        <w:rPr>
          <w:rFonts w:cstheme="minorHAnsi"/>
          <w:sz w:val="18"/>
          <w:szCs w:val="18"/>
        </w:rPr>
        <w:t>28.5</w:t>
      </w:r>
      <w:r w:rsidRPr="00526F34">
        <w:rPr>
          <w:rFonts w:cstheme="minorHAnsi"/>
          <w:sz w:val="18"/>
          <w:szCs w:val="18"/>
        </w:rPr>
        <w:t xml:space="preserve"> </w:t>
      </w:r>
      <w:r>
        <w:rPr>
          <w:rFonts w:cstheme="minorHAnsi"/>
          <w:sz w:val="18"/>
          <w:szCs w:val="18"/>
        </w:rPr>
        <w:t>No legal, regulatory</w:t>
      </w:r>
      <w:r w:rsidRPr="00526F34">
        <w:rPr>
          <w:rFonts w:cstheme="minorHAnsi"/>
          <w:sz w:val="18"/>
          <w:szCs w:val="18"/>
        </w:rPr>
        <w:t xml:space="preserve"> </w:t>
      </w:r>
      <w:r>
        <w:rPr>
          <w:rFonts w:cstheme="minorHAnsi"/>
          <w:sz w:val="18"/>
          <w:szCs w:val="18"/>
        </w:rPr>
        <w:t>provision</w:t>
      </w:r>
      <w:r w:rsidRPr="00526F34">
        <w:rPr>
          <w:rFonts w:cstheme="minorHAnsi"/>
          <w:sz w:val="18"/>
          <w:szCs w:val="18"/>
        </w:rPr>
        <w:t xml:space="preserve"> or policy measure which </w:t>
      </w:r>
      <w:r>
        <w:rPr>
          <w:rFonts w:cstheme="minorHAnsi"/>
          <w:sz w:val="18"/>
          <w:szCs w:val="18"/>
        </w:rPr>
        <w:t xml:space="preserve">requires: </w:t>
      </w:r>
    </w:p>
    <w:p w14:paraId="3D639E9A" w14:textId="77777777" w:rsidR="00137DED" w:rsidRDefault="00137DED" w:rsidP="00D31BD2">
      <w:pPr>
        <w:spacing w:after="0" w:line="240" w:lineRule="auto"/>
        <w:jc w:val="both"/>
        <w:rPr>
          <w:rFonts w:cstheme="minorHAnsi"/>
          <w:sz w:val="18"/>
          <w:szCs w:val="18"/>
        </w:rPr>
      </w:pPr>
      <w:r>
        <w:rPr>
          <w:rFonts w:cstheme="minorHAnsi"/>
          <w:sz w:val="18"/>
          <w:szCs w:val="18"/>
        </w:rPr>
        <w:t>- renouncing of legal capacity by persons with disabilities;</w:t>
      </w:r>
      <w:r>
        <w:rPr>
          <w:rStyle w:val="EndnoteReference"/>
          <w:rFonts w:cstheme="minorHAnsi"/>
          <w:sz w:val="18"/>
          <w:szCs w:val="18"/>
        </w:rPr>
        <w:endnoteReference w:id="4"/>
      </w:r>
      <w:r>
        <w:rPr>
          <w:rFonts w:cstheme="minorHAnsi"/>
          <w:sz w:val="18"/>
          <w:szCs w:val="18"/>
        </w:rPr>
        <w:t xml:space="preserve"> </w:t>
      </w:r>
    </w:p>
    <w:p w14:paraId="31C846AC" w14:textId="77777777" w:rsidR="00137DED" w:rsidRPr="00140F78" w:rsidRDefault="00137DED" w:rsidP="00D31BD2">
      <w:pPr>
        <w:spacing w:after="0" w:line="240" w:lineRule="auto"/>
        <w:jc w:val="both"/>
        <w:rPr>
          <w:rFonts w:cstheme="minorHAnsi"/>
          <w:sz w:val="18"/>
          <w:szCs w:val="18"/>
        </w:rPr>
      </w:pPr>
      <w:r>
        <w:rPr>
          <w:rFonts w:cstheme="minorHAnsi"/>
          <w:sz w:val="18"/>
          <w:szCs w:val="18"/>
        </w:rPr>
        <w:t xml:space="preserve">- conditionalities which cannot be </w:t>
      </w:r>
      <w:proofErr w:type="gramStart"/>
      <w:r>
        <w:rPr>
          <w:rFonts w:cstheme="minorHAnsi"/>
          <w:sz w:val="18"/>
          <w:szCs w:val="18"/>
        </w:rPr>
        <w:t>fulfilled</w:t>
      </w:r>
      <w:proofErr w:type="gramEnd"/>
      <w:r>
        <w:rPr>
          <w:rFonts w:cstheme="minorHAnsi"/>
          <w:sz w:val="18"/>
          <w:szCs w:val="18"/>
        </w:rPr>
        <w:t xml:space="preserve"> or which lead to adverse effects for beneficiaries, </w:t>
      </w:r>
      <w:r w:rsidRPr="00140F78">
        <w:rPr>
          <w:rFonts w:cstheme="minorHAnsi"/>
          <w:sz w:val="18"/>
          <w:szCs w:val="18"/>
        </w:rPr>
        <w:t>in order to access benefits and social protection programmes.</w:t>
      </w:r>
      <w:r>
        <w:rPr>
          <w:rStyle w:val="EndnoteReference"/>
          <w:rFonts w:cstheme="minorHAnsi"/>
          <w:sz w:val="18"/>
          <w:szCs w:val="18"/>
        </w:rPr>
        <w:endnoteReference w:id="5"/>
      </w:r>
    </w:p>
    <w:p w14:paraId="4A068455" w14:textId="77777777" w:rsidR="00137DED" w:rsidRDefault="00137DED" w:rsidP="00137DED">
      <w:pPr>
        <w:pStyle w:val="ListParagraph"/>
        <w:spacing w:after="0" w:line="240" w:lineRule="auto"/>
        <w:ind w:left="0"/>
        <w:rPr>
          <w:rFonts w:cstheme="minorHAnsi"/>
          <w:b/>
          <w:sz w:val="18"/>
          <w:szCs w:val="18"/>
        </w:rPr>
      </w:pPr>
    </w:p>
    <w:p w14:paraId="6B4C0E52" w14:textId="058E9569" w:rsidR="00137DED" w:rsidRPr="00ED3DA7" w:rsidRDefault="00137DED" w:rsidP="00C66625">
      <w:pPr>
        <w:pStyle w:val="Heading2"/>
      </w:pPr>
      <w:r w:rsidRPr="00ED3DA7">
        <w:t>Process</w:t>
      </w:r>
      <w:r>
        <w:t xml:space="preserve"> </w:t>
      </w:r>
      <w:r w:rsidRPr="00556A1F">
        <w:t>Indicators</w:t>
      </w:r>
    </w:p>
    <w:p w14:paraId="5FCE57D3" w14:textId="77777777" w:rsidR="00137DED" w:rsidRDefault="00137DED" w:rsidP="00ED3DA7">
      <w:pPr>
        <w:spacing w:after="0" w:line="240" w:lineRule="auto"/>
        <w:jc w:val="both"/>
        <w:rPr>
          <w:rFonts w:cstheme="minorHAnsi"/>
          <w:color w:val="000000"/>
          <w:sz w:val="18"/>
          <w:szCs w:val="18"/>
        </w:rPr>
      </w:pPr>
      <w:r>
        <w:rPr>
          <w:rFonts w:cstheme="minorHAnsi"/>
          <w:color w:val="000000"/>
          <w:sz w:val="18"/>
          <w:szCs w:val="18"/>
        </w:rPr>
        <w:t>28.6</w:t>
      </w:r>
      <w:r w:rsidRPr="00ED3DA7">
        <w:rPr>
          <w:rFonts w:cstheme="minorHAnsi"/>
          <w:color w:val="000000"/>
          <w:sz w:val="18"/>
          <w:szCs w:val="18"/>
        </w:rPr>
        <w:t xml:space="preserve"> Number and proportion of dwellings, including public housing, which comply with accessibility standards.</w:t>
      </w:r>
    </w:p>
    <w:p w14:paraId="0A0C1332" w14:textId="77777777" w:rsidR="00137DED" w:rsidRDefault="00137DED" w:rsidP="00326297">
      <w:pPr>
        <w:spacing w:after="0" w:line="240" w:lineRule="auto"/>
        <w:jc w:val="both"/>
        <w:rPr>
          <w:rFonts w:cstheme="minorHAnsi"/>
          <w:color w:val="000000"/>
          <w:sz w:val="18"/>
          <w:szCs w:val="18"/>
        </w:rPr>
      </w:pPr>
      <w:r>
        <w:rPr>
          <w:rFonts w:cstheme="minorHAnsi"/>
          <w:color w:val="000000"/>
          <w:sz w:val="18"/>
          <w:szCs w:val="18"/>
        </w:rPr>
        <w:t>28.7 Number and proportion of beneficiaries of public housing programmes, disaggregated by sex, age, disability and geographical location.</w:t>
      </w:r>
    </w:p>
    <w:p w14:paraId="0C491AF7" w14:textId="77777777" w:rsidR="00137DED" w:rsidRPr="00ED3DA7" w:rsidRDefault="00137DED" w:rsidP="005A0B55">
      <w:pPr>
        <w:spacing w:after="0" w:line="240" w:lineRule="auto"/>
        <w:jc w:val="both"/>
        <w:rPr>
          <w:rFonts w:cstheme="minorHAnsi"/>
          <w:sz w:val="18"/>
          <w:szCs w:val="18"/>
        </w:rPr>
      </w:pPr>
      <w:r>
        <w:rPr>
          <w:rFonts w:cstheme="minorHAnsi"/>
          <w:sz w:val="18"/>
          <w:szCs w:val="18"/>
        </w:rPr>
        <w:t>28.8 Number and proportion of households with access to drinking water, hygiene and sanitation facilities, disaggregated by household with persons with disabilities and geographical location.</w:t>
      </w:r>
    </w:p>
    <w:p w14:paraId="6B9C393D" w14:textId="77777777" w:rsidR="00137DED" w:rsidRPr="00140F78" w:rsidRDefault="00137DED" w:rsidP="00ED3DA7">
      <w:pPr>
        <w:spacing w:after="0" w:line="240" w:lineRule="auto"/>
        <w:jc w:val="both"/>
        <w:rPr>
          <w:rFonts w:cstheme="minorHAnsi"/>
          <w:sz w:val="18"/>
          <w:szCs w:val="18"/>
        </w:rPr>
      </w:pPr>
      <w:r>
        <w:rPr>
          <w:rFonts w:cstheme="minorHAnsi"/>
          <w:sz w:val="18"/>
          <w:szCs w:val="18"/>
        </w:rPr>
        <w:t>28.9</w:t>
      </w:r>
      <w:r w:rsidRPr="00E05FF8">
        <w:rPr>
          <w:rFonts w:cstheme="minorHAnsi"/>
          <w:sz w:val="18"/>
          <w:szCs w:val="18"/>
        </w:rPr>
        <w:t xml:space="preserve"> Fully accessible system to determine who qualifies for social protection benefits that does not discriminate on the ground of disability, </w:t>
      </w:r>
      <w:r>
        <w:rPr>
          <w:rFonts w:cstheme="minorHAnsi"/>
          <w:sz w:val="18"/>
          <w:szCs w:val="18"/>
        </w:rPr>
        <w:t xml:space="preserve">and </w:t>
      </w:r>
      <w:r w:rsidRPr="00E05FF8">
        <w:rPr>
          <w:rFonts w:cstheme="minorHAnsi"/>
          <w:sz w:val="18"/>
          <w:szCs w:val="18"/>
        </w:rPr>
        <w:t>determines disability-related extra costs and the support services tailored to the individual, with particular attention to</w:t>
      </w:r>
      <w:r w:rsidRPr="00E05FF8">
        <w:rPr>
          <w:rFonts w:cstheme="minorHAnsi"/>
          <w:color w:val="000000"/>
          <w:sz w:val="18"/>
          <w:szCs w:val="18"/>
        </w:rPr>
        <w:t xml:space="preserve"> women, children, older persons</w:t>
      </w:r>
      <w:r>
        <w:rPr>
          <w:rFonts w:cstheme="minorHAnsi"/>
          <w:color w:val="000000"/>
          <w:sz w:val="18"/>
          <w:szCs w:val="18"/>
        </w:rPr>
        <w:t>, indigenous persons, persons belonging to a minority, and</w:t>
      </w:r>
      <w:r w:rsidRPr="00E05FF8">
        <w:rPr>
          <w:rFonts w:cstheme="minorHAnsi"/>
          <w:color w:val="000000"/>
          <w:sz w:val="18"/>
          <w:szCs w:val="18"/>
        </w:rPr>
        <w:t xml:space="preserve"> migrants with disabilities.</w:t>
      </w:r>
    </w:p>
    <w:p w14:paraId="634CCC40" w14:textId="77777777" w:rsidR="00137DED" w:rsidRPr="00140F78" w:rsidRDefault="00137DED" w:rsidP="00ED3DA7">
      <w:pPr>
        <w:spacing w:after="0" w:line="240" w:lineRule="auto"/>
        <w:jc w:val="both"/>
        <w:rPr>
          <w:rFonts w:cstheme="minorHAnsi"/>
          <w:color w:val="000000"/>
          <w:sz w:val="18"/>
          <w:szCs w:val="18"/>
        </w:rPr>
      </w:pPr>
      <w:r>
        <w:rPr>
          <w:rFonts w:cstheme="minorHAnsi"/>
          <w:color w:val="000000"/>
          <w:sz w:val="18"/>
          <w:szCs w:val="18"/>
        </w:rPr>
        <w:t>28.10</w:t>
      </w:r>
      <w:r w:rsidRPr="00140F78">
        <w:rPr>
          <w:rFonts w:cstheme="minorHAnsi"/>
          <w:color w:val="000000"/>
          <w:sz w:val="18"/>
          <w:szCs w:val="18"/>
        </w:rPr>
        <w:t xml:space="preserve"> </w:t>
      </w:r>
      <w:r>
        <w:rPr>
          <w:rFonts w:cstheme="minorHAnsi"/>
          <w:color w:val="000000"/>
          <w:sz w:val="18"/>
          <w:szCs w:val="18"/>
        </w:rPr>
        <w:t>Number and proportion</w:t>
      </w:r>
      <w:r w:rsidRPr="00140F78">
        <w:rPr>
          <w:rFonts w:cstheme="minorHAnsi"/>
          <w:color w:val="000000"/>
          <w:sz w:val="18"/>
          <w:szCs w:val="18"/>
        </w:rPr>
        <w:t xml:space="preserve"> of persons with disabilities who apply for social protection </w:t>
      </w:r>
      <w:r>
        <w:rPr>
          <w:rFonts w:cstheme="minorHAnsi"/>
          <w:color w:val="000000"/>
          <w:sz w:val="18"/>
          <w:szCs w:val="18"/>
        </w:rPr>
        <w:t xml:space="preserve">benefits </w:t>
      </w:r>
      <w:r w:rsidRPr="00140F78">
        <w:rPr>
          <w:rFonts w:cstheme="minorHAnsi"/>
          <w:color w:val="000000"/>
          <w:sz w:val="18"/>
          <w:szCs w:val="18"/>
        </w:rPr>
        <w:t xml:space="preserve">and those who receive </w:t>
      </w:r>
      <w:r>
        <w:rPr>
          <w:rFonts w:cstheme="minorHAnsi"/>
          <w:color w:val="000000"/>
          <w:sz w:val="18"/>
          <w:szCs w:val="18"/>
        </w:rPr>
        <w:t>them, disaggregated by sex, age, disability, indigenous/minority background, migrant status and kind of benefit (mainstream or disability specific).</w:t>
      </w:r>
      <w:r w:rsidRPr="00140F78">
        <w:rPr>
          <w:rFonts w:cstheme="minorHAnsi"/>
          <w:color w:val="000000"/>
          <w:sz w:val="18"/>
          <w:szCs w:val="18"/>
        </w:rPr>
        <w:t xml:space="preserve"> </w:t>
      </w:r>
    </w:p>
    <w:p w14:paraId="24E57D07" w14:textId="2A46A6A6" w:rsidR="00137DED" w:rsidRPr="00137DED" w:rsidRDefault="00137DED" w:rsidP="00137DED">
      <w:pPr>
        <w:spacing w:after="0" w:line="240" w:lineRule="auto"/>
        <w:jc w:val="both"/>
        <w:rPr>
          <w:rFonts w:cstheme="minorHAnsi"/>
          <w:color w:val="000000"/>
          <w:sz w:val="18"/>
          <w:szCs w:val="18"/>
        </w:rPr>
      </w:pPr>
      <w:r>
        <w:rPr>
          <w:rFonts w:cstheme="minorHAnsi"/>
          <w:color w:val="000000"/>
          <w:sz w:val="18"/>
          <w:szCs w:val="18"/>
        </w:rPr>
        <w:t>28.11</w:t>
      </w:r>
      <w:r w:rsidRPr="00140F78">
        <w:rPr>
          <w:rFonts w:cstheme="minorHAnsi"/>
          <w:color w:val="000000"/>
          <w:sz w:val="18"/>
          <w:szCs w:val="18"/>
        </w:rPr>
        <w:t xml:space="preserve"> </w:t>
      </w:r>
      <w:r>
        <w:rPr>
          <w:rFonts w:cstheme="minorHAnsi"/>
          <w:color w:val="000000"/>
          <w:sz w:val="18"/>
          <w:szCs w:val="18"/>
        </w:rPr>
        <w:t>Budget allocated and spent on social protection programmes, both mainstream and disability specific, whose beneficiaries are persons with disabilities, disaggregated by age, sex, disability, indigenous/minority background, migrant status, and kind of programme (mainstream or disability specific).</w:t>
      </w:r>
    </w:p>
    <w:p w14:paraId="12FA4EEF" w14:textId="77777777" w:rsidR="00137DED" w:rsidRPr="00D12592" w:rsidRDefault="00137DED" w:rsidP="00ED3DA7">
      <w:pPr>
        <w:spacing w:after="0" w:line="240" w:lineRule="auto"/>
        <w:jc w:val="both"/>
        <w:rPr>
          <w:rFonts w:cstheme="minorHAnsi"/>
          <w:color w:val="000000"/>
          <w:sz w:val="18"/>
          <w:szCs w:val="18"/>
        </w:rPr>
      </w:pPr>
      <w:r>
        <w:rPr>
          <w:rFonts w:cstheme="minorHAnsi"/>
          <w:sz w:val="18"/>
          <w:szCs w:val="18"/>
        </w:rPr>
        <w:t>28.12</w:t>
      </w:r>
      <w:r w:rsidRPr="00D12592">
        <w:rPr>
          <w:rFonts w:cstheme="minorHAnsi"/>
          <w:sz w:val="18"/>
          <w:szCs w:val="18"/>
        </w:rPr>
        <w:t xml:space="preserve"> Consultation processes undertaken to ensure </w:t>
      </w:r>
      <w:r>
        <w:rPr>
          <w:rFonts w:cstheme="minorHAnsi"/>
          <w:sz w:val="18"/>
          <w:szCs w:val="18"/>
        </w:rPr>
        <w:t xml:space="preserve">the </w:t>
      </w:r>
      <w:r w:rsidRPr="00D12592">
        <w:rPr>
          <w:rFonts w:cstheme="minorHAnsi"/>
          <w:sz w:val="18"/>
          <w:szCs w:val="18"/>
        </w:rPr>
        <w:t xml:space="preserve">active involvement of persons with disabilities, </w:t>
      </w:r>
      <w:r w:rsidRPr="00E05FF8">
        <w:rPr>
          <w:rFonts w:cstheme="minorHAnsi"/>
          <w:color w:val="444444"/>
          <w:sz w:val="18"/>
          <w:szCs w:val="18"/>
        </w:rPr>
        <w:t>including</w:t>
      </w:r>
      <w:r w:rsidRPr="00D12592">
        <w:rPr>
          <w:rFonts w:cstheme="minorHAnsi"/>
          <w:sz w:val="18"/>
          <w:szCs w:val="18"/>
        </w:rPr>
        <w:t xml:space="preserve"> through their </w:t>
      </w:r>
      <w:r>
        <w:rPr>
          <w:rFonts w:cstheme="minorHAnsi"/>
          <w:sz w:val="18"/>
          <w:szCs w:val="18"/>
        </w:rPr>
        <w:t xml:space="preserve">representative </w:t>
      </w:r>
      <w:r w:rsidRPr="00D12592">
        <w:rPr>
          <w:rFonts w:cstheme="minorHAnsi"/>
          <w:sz w:val="18"/>
          <w:szCs w:val="18"/>
        </w:rPr>
        <w:t>organizations, in the design, implementation and monitoring of laws, regulations, policies and program</w:t>
      </w:r>
      <w:r>
        <w:rPr>
          <w:rFonts w:cstheme="minorHAnsi"/>
          <w:sz w:val="18"/>
          <w:szCs w:val="18"/>
        </w:rPr>
        <w:t>me</w:t>
      </w:r>
      <w:r w:rsidRPr="00D12592">
        <w:rPr>
          <w:rFonts w:cstheme="minorHAnsi"/>
          <w:sz w:val="18"/>
          <w:szCs w:val="18"/>
        </w:rPr>
        <w:t>s</w:t>
      </w:r>
      <w:r w:rsidRPr="00D12592">
        <w:rPr>
          <w:rFonts w:cstheme="minorHAnsi"/>
          <w:color w:val="000000"/>
          <w:sz w:val="18"/>
          <w:szCs w:val="18"/>
        </w:rPr>
        <w:t xml:space="preserve"> related to nutrition, housing, access to water, sanitation, social protection and poverty reduction.</w:t>
      </w:r>
      <w:r w:rsidRPr="00D12592">
        <w:rPr>
          <w:rStyle w:val="EndnoteReference"/>
          <w:rFonts w:cstheme="minorHAnsi"/>
          <w:sz w:val="18"/>
          <w:szCs w:val="18"/>
        </w:rPr>
        <w:endnoteReference w:id="6"/>
      </w:r>
      <w:r w:rsidRPr="00D12592">
        <w:rPr>
          <w:rFonts w:cstheme="minorHAnsi"/>
          <w:color w:val="000000"/>
          <w:sz w:val="18"/>
          <w:szCs w:val="18"/>
        </w:rPr>
        <w:t xml:space="preserve"> </w:t>
      </w:r>
    </w:p>
    <w:p w14:paraId="176FBF7A" w14:textId="403940DD" w:rsidR="00137DED" w:rsidRPr="00137DED" w:rsidRDefault="00137DED" w:rsidP="00137DED">
      <w:pPr>
        <w:spacing w:after="0" w:line="240" w:lineRule="auto"/>
        <w:jc w:val="both"/>
        <w:rPr>
          <w:rFonts w:cstheme="minorHAnsi"/>
          <w:sz w:val="18"/>
          <w:szCs w:val="18"/>
        </w:rPr>
      </w:pPr>
      <w:r>
        <w:rPr>
          <w:rFonts w:cstheme="minorHAnsi"/>
          <w:sz w:val="18"/>
          <w:szCs w:val="18"/>
        </w:rPr>
        <w:t>28.13</w:t>
      </w:r>
      <w:r w:rsidRPr="00ED3DA7">
        <w:rPr>
          <w:rFonts w:cstheme="minorHAnsi"/>
          <w:sz w:val="18"/>
          <w:szCs w:val="18"/>
        </w:rPr>
        <w:t xml:space="preserve"> Proportion of all </w:t>
      </w:r>
      <w:r>
        <w:rPr>
          <w:rFonts w:cstheme="minorHAnsi"/>
          <w:sz w:val="18"/>
          <w:szCs w:val="18"/>
        </w:rPr>
        <w:t xml:space="preserve">public sector </w:t>
      </w:r>
      <w:r w:rsidRPr="00ED3DA7">
        <w:rPr>
          <w:rFonts w:cstheme="minorHAnsi"/>
          <w:sz w:val="18"/>
          <w:szCs w:val="18"/>
        </w:rPr>
        <w:t>staff involved in the delivery of program</w:t>
      </w:r>
      <w:r>
        <w:rPr>
          <w:rFonts w:cstheme="minorHAnsi"/>
          <w:sz w:val="18"/>
          <w:szCs w:val="18"/>
        </w:rPr>
        <w:t>me</w:t>
      </w:r>
      <w:r w:rsidRPr="00ED3DA7">
        <w:rPr>
          <w:rFonts w:cstheme="minorHAnsi"/>
          <w:sz w:val="18"/>
          <w:szCs w:val="18"/>
        </w:rPr>
        <w:t xml:space="preserve">s and services related to </w:t>
      </w:r>
      <w:r w:rsidRPr="00ED3DA7">
        <w:rPr>
          <w:rFonts w:cstheme="minorHAnsi"/>
          <w:color w:val="000000"/>
          <w:sz w:val="18"/>
          <w:szCs w:val="18"/>
        </w:rPr>
        <w:t>nutrition, housing, access to water, sanitation, social protectio</w:t>
      </w:r>
      <w:r>
        <w:rPr>
          <w:rFonts w:cstheme="minorHAnsi"/>
          <w:color w:val="000000"/>
          <w:sz w:val="18"/>
          <w:szCs w:val="18"/>
        </w:rPr>
        <w:t>n and poverty reduction schemes who received training</w:t>
      </w:r>
      <w:r w:rsidRPr="00ED3DA7">
        <w:rPr>
          <w:rFonts w:cstheme="minorHAnsi"/>
          <w:color w:val="000000"/>
          <w:sz w:val="18"/>
          <w:szCs w:val="18"/>
        </w:rPr>
        <w:t xml:space="preserve"> </w:t>
      </w:r>
      <w:r>
        <w:rPr>
          <w:rFonts w:cstheme="minorHAnsi"/>
          <w:sz w:val="18"/>
          <w:szCs w:val="18"/>
        </w:rPr>
        <w:t>o</w:t>
      </w:r>
      <w:r w:rsidRPr="00ED3DA7">
        <w:rPr>
          <w:rFonts w:cstheme="minorHAnsi"/>
          <w:sz w:val="18"/>
          <w:szCs w:val="18"/>
        </w:rPr>
        <w:t>n</w:t>
      </w:r>
      <w:r>
        <w:rPr>
          <w:rFonts w:cstheme="minorHAnsi"/>
          <w:sz w:val="18"/>
          <w:szCs w:val="18"/>
        </w:rPr>
        <w:t xml:space="preserve"> the rights of persons with disabilities,</w:t>
      </w:r>
      <w:r w:rsidRPr="00ED3DA7">
        <w:rPr>
          <w:rFonts w:cstheme="minorHAnsi"/>
          <w:sz w:val="18"/>
          <w:szCs w:val="18"/>
        </w:rPr>
        <w:t xml:space="preserve"> in particular disability-related expenses and </w:t>
      </w:r>
      <w:r>
        <w:rPr>
          <w:rFonts w:cstheme="minorHAnsi"/>
          <w:sz w:val="18"/>
          <w:szCs w:val="18"/>
        </w:rPr>
        <w:t xml:space="preserve">the </w:t>
      </w:r>
      <w:r w:rsidRPr="00ED3DA7">
        <w:rPr>
          <w:rFonts w:cstheme="minorHAnsi"/>
          <w:sz w:val="18"/>
          <w:szCs w:val="18"/>
        </w:rPr>
        <w:t xml:space="preserve">provision of </w:t>
      </w:r>
      <w:r>
        <w:rPr>
          <w:rFonts w:cstheme="minorHAnsi"/>
          <w:sz w:val="18"/>
          <w:szCs w:val="18"/>
        </w:rPr>
        <w:t xml:space="preserve">assistive </w:t>
      </w:r>
      <w:r w:rsidRPr="00ED3DA7">
        <w:rPr>
          <w:rFonts w:cstheme="minorHAnsi"/>
          <w:sz w:val="18"/>
          <w:szCs w:val="18"/>
        </w:rPr>
        <w:t>devices and other</w:t>
      </w:r>
      <w:r>
        <w:rPr>
          <w:rFonts w:cstheme="minorHAnsi"/>
          <w:sz w:val="18"/>
          <w:szCs w:val="18"/>
        </w:rPr>
        <w:t xml:space="preserve"> forms of</w:t>
      </w:r>
      <w:r w:rsidRPr="00ED3DA7">
        <w:rPr>
          <w:rFonts w:cstheme="minorHAnsi"/>
          <w:sz w:val="18"/>
          <w:szCs w:val="18"/>
        </w:rPr>
        <w:t xml:space="preserve"> </w:t>
      </w:r>
      <w:r>
        <w:rPr>
          <w:rFonts w:cstheme="minorHAnsi"/>
          <w:sz w:val="18"/>
          <w:szCs w:val="18"/>
        </w:rPr>
        <w:t>support</w:t>
      </w:r>
      <w:r w:rsidRPr="00ED3DA7">
        <w:rPr>
          <w:rFonts w:cstheme="minorHAnsi"/>
          <w:sz w:val="18"/>
          <w:szCs w:val="18"/>
        </w:rPr>
        <w:t xml:space="preserve"> for </w:t>
      </w:r>
      <w:r>
        <w:rPr>
          <w:rFonts w:cstheme="minorHAnsi"/>
          <w:sz w:val="18"/>
          <w:szCs w:val="18"/>
        </w:rPr>
        <w:t>persons with disabilities</w:t>
      </w:r>
      <w:r w:rsidRPr="00ED3DA7">
        <w:rPr>
          <w:rFonts w:cstheme="minorHAnsi"/>
          <w:sz w:val="18"/>
          <w:szCs w:val="18"/>
        </w:rPr>
        <w:t>.</w:t>
      </w:r>
      <w:r w:rsidRPr="00ED3DA7">
        <w:rPr>
          <w:rStyle w:val="EndnoteReference"/>
          <w:rFonts w:cstheme="minorHAnsi"/>
          <w:sz w:val="18"/>
          <w:szCs w:val="18"/>
        </w:rPr>
        <w:endnoteReference w:id="7"/>
      </w:r>
    </w:p>
    <w:p w14:paraId="3511774C" w14:textId="77777777" w:rsidR="00137DED" w:rsidRPr="00ED3DA7" w:rsidRDefault="00137DED" w:rsidP="00ED3DA7">
      <w:pPr>
        <w:spacing w:after="0" w:line="240" w:lineRule="auto"/>
        <w:jc w:val="both"/>
        <w:rPr>
          <w:rFonts w:cstheme="minorHAnsi"/>
          <w:sz w:val="18"/>
          <w:szCs w:val="18"/>
        </w:rPr>
      </w:pPr>
      <w:r>
        <w:rPr>
          <w:rFonts w:cstheme="minorHAnsi"/>
          <w:sz w:val="18"/>
          <w:szCs w:val="18"/>
        </w:rPr>
        <w:t>28.14</w:t>
      </w:r>
      <w:r w:rsidRPr="00ED3DA7">
        <w:rPr>
          <w:rFonts w:cstheme="minorHAnsi"/>
          <w:sz w:val="18"/>
          <w:szCs w:val="18"/>
        </w:rPr>
        <w:t xml:space="preserve"> </w:t>
      </w:r>
      <w:r>
        <w:rPr>
          <w:rFonts w:cstheme="minorHAnsi"/>
          <w:sz w:val="18"/>
          <w:szCs w:val="18"/>
        </w:rPr>
        <w:t>A</w:t>
      </w:r>
      <w:r w:rsidRPr="00ED3DA7">
        <w:rPr>
          <w:rFonts w:cstheme="minorHAnsi"/>
          <w:sz w:val="18"/>
          <w:szCs w:val="18"/>
        </w:rPr>
        <w:t xml:space="preserve">wareness </w:t>
      </w:r>
      <w:r>
        <w:rPr>
          <w:rFonts w:cstheme="minorHAnsi"/>
          <w:sz w:val="18"/>
          <w:szCs w:val="18"/>
        </w:rPr>
        <w:t xml:space="preserve">raising campaigns and activities </w:t>
      </w:r>
      <w:r w:rsidRPr="00ED3DA7">
        <w:rPr>
          <w:rFonts w:cstheme="minorHAnsi"/>
          <w:sz w:val="18"/>
          <w:szCs w:val="18"/>
        </w:rPr>
        <w:t>concerning programmes and services</w:t>
      </w:r>
      <w:r>
        <w:rPr>
          <w:rStyle w:val="EndnoteReference"/>
          <w:rFonts w:cstheme="minorHAnsi"/>
          <w:sz w:val="18"/>
          <w:szCs w:val="18"/>
        </w:rPr>
        <w:endnoteReference w:id="8"/>
      </w:r>
      <w:r>
        <w:rPr>
          <w:rFonts w:cstheme="minorHAnsi"/>
          <w:sz w:val="18"/>
          <w:szCs w:val="18"/>
        </w:rPr>
        <w:t xml:space="preserve"> for persons with disabilities,</w:t>
      </w:r>
      <w:r w:rsidRPr="00ED3DA7">
        <w:rPr>
          <w:rFonts w:cstheme="minorHAnsi"/>
          <w:sz w:val="18"/>
          <w:szCs w:val="18"/>
        </w:rPr>
        <w:t xml:space="preserve"> designed and carried out </w:t>
      </w:r>
      <w:r>
        <w:rPr>
          <w:rFonts w:cstheme="minorHAnsi"/>
          <w:sz w:val="18"/>
          <w:szCs w:val="18"/>
        </w:rPr>
        <w:t>in consultation with the organiz</w:t>
      </w:r>
      <w:r w:rsidRPr="00ED3DA7">
        <w:rPr>
          <w:rFonts w:cstheme="minorHAnsi"/>
          <w:sz w:val="18"/>
          <w:szCs w:val="18"/>
        </w:rPr>
        <w:t xml:space="preserve">ations of persons with disabilities, concerning nutrition, housing, water, sanitation, social protection schemes, in particular </w:t>
      </w:r>
      <w:r>
        <w:rPr>
          <w:rFonts w:cstheme="minorHAnsi"/>
          <w:sz w:val="18"/>
          <w:szCs w:val="18"/>
        </w:rPr>
        <w:t xml:space="preserve">targeting </w:t>
      </w:r>
      <w:r w:rsidRPr="00ED3DA7">
        <w:rPr>
          <w:rFonts w:cstheme="minorHAnsi"/>
          <w:sz w:val="18"/>
          <w:szCs w:val="18"/>
        </w:rPr>
        <w:t>women, children</w:t>
      </w:r>
      <w:r>
        <w:rPr>
          <w:rFonts w:cstheme="minorHAnsi"/>
          <w:sz w:val="18"/>
          <w:szCs w:val="18"/>
        </w:rPr>
        <w:t xml:space="preserve">, </w:t>
      </w:r>
      <w:r w:rsidRPr="00ED3DA7">
        <w:rPr>
          <w:rFonts w:cstheme="minorHAnsi"/>
          <w:sz w:val="18"/>
          <w:szCs w:val="18"/>
        </w:rPr>
        <w:t>older persons</w:t>
      </w:r>
      <w:r>
        <w:rPr>
          <w:rFonts w:cstheme="minorHAnsi"/>
          <w:sz w:val="18"/>
          <w:szCs w:val="18"/>
        </w:rPr>
        <w:t>, indigenous persons, persons belonging to a minority and migrants</w:t>
      </w:r>
      <w:r w:rsidRPr="00ED3DA7">
        <w:rPr>
          <w:rFonts w:cstheme="minorHAnsi"/>
          <w:sz w:val="18"/>
          <w:szCs w:val="18"/>
        </w:rPr>
        <w:t xml:space="preserve"> with disabilities.  </w:t>
      </w:r>
    </w:p>
    <w:p w14:paraId="7A1A7F7D" w14:textId="77777777" w:rsidR="00137DED" w:rsidRPr="00FB191D" w:rsidRDefault="00137DED" w:rsidP="0051740E">
      <w:pPr>
        <w:spacing w:after="0" w:line="240" w:lineRule="auto"/>
        <w:jc w:val="both"/>
        <w:rPr>
          <w:rFonts w:cstheme="minorHAnsi"/>
          <w:sz w:val="18"/>
          <w:szCs w:val="18"/>
        </w:rPr>
      </w:pPr>
      <w:r>
        <w:rPr>
          <w:rFonts w:cstheme="minorHAnsi"/>
          <w:sz w:val="18"/>
          <w:szCs w:val="18"/>
        </w:rPr>
        <w:t>28.15</w:t>
      </w:r>
      <w:r w:rsidRPr="00ED3DA7">
        <w:rPr>
          <w:rFonts w:cstheme="minorHAnsi"/>
          <w:sz w:val="18"/>
          <w:szCs w:val="18"/>
        </w:rPr>
        <w:t xml:space="preserve"> </w:t>
      </w:r>
      <w:r w:rsidRPr="00F11D6C">
        <w:rPr>
          <w:rFonts w:cstheme="minorHAnsi"/>
          <w:sz w:val="18"/>
          <w:szCs w:val="18"/>
        </w:rPr>
        <w:t xml:space="preserve">Proportion of received </w:t>
      </w:r>
      <w:r w:rsidRPr="0051740E">
        <w:rPr>
          <w:rFonts w:cstheme="minorHAnsi"/>
          <w:sz w:val="18"/>
          <w:szCs w:val="18"/>
        </w:rPr>
        <w:t>complaints on access to and involvement in programmes and services concerning nutrition, food, housing, water, sanitation, social protection schemes, alleging discrimination on the basis of disability and/or involving persons with disabilities that have been investigated and adjudicated; proportion of those found in favour of the complainant; and proportion of the latter that have been complied with by the government and/or duty bearer; each disaggregated by kind of mechanism.</w:t>
      </w:r>
    </w:p>
    <w:p w14:paraId="30C6D160" w14:textId="77777777" w:rsidR="00137DED" w:rsidRDefault="00137DED" w:rsidP="00137DED">
      <w:pPr>
        <w:pStyle w:val="ListParagraph"/>
        <w:spacing w:after="0" w:line="240" w:lineRule="auto"/>
        <w:ind w:left="0"/>
        <w:rPr>
          <w:rFonts w:cstheme="minorHAnsi"/>
          <w:b/>
          <w:sz w:val="18"/>
          <w:szCs w:val="18"/>
        </w:rPr>
      </w:pPr>
    </w:p>
    <w:p w14:paraId="6599D94A" w14:textId="2D18F048" w:rsidR="00137DED" w:rsidRPr="00ED3DA7" w:rsidRDefault="00137DED" w:rsidP="00C66625">
      <w:pPr>
        <w:pStyle w:val="Heading2"/>
      </w:pPr>
      <w:r w:rsidRPr="00ED3DA7">
        <w:t>Outcome</w:t>
      </w:r>
      <w:r>
        <w:t xml:space="preserve"> </w:t>
      </w:r>
      <w:r w:rsidRPr="00556A1F">
        <w:t>Indicators</w:t>
      </w:r>
    </w:p>
    <w:p w14:paraId="5A31E7E3" w14:textId="77777777" w:rsidR="00137DED" w:rsidRDefault="00137DED" w:rsidP="00ED3DA7">
      <w:pPr>
        <w:spacing w:after="0" w:line="240" w:lineRule="auto"/>
        <w:jc w:val="both"/>
        <w:rPr>
          <w:rFonts w:cstheme="minorHAnsi"/>
          <w:color w:val="000000"/>
          <w:sz w:val="18"/>
          <w:szCs w:val="18"/>
        </w:rPr>
      </w:pPr>
      <w:r w:rsidRPr="00ED3DA7">
        <w:rPr>
          <w:rFonts w:cstheme="minorHAnsi"/>
          <w:sz w:val="18"/>
          <w:szCs w:val="18"/>
        </w:rPr>
        <w:t>28</w:t>
      </w:r>
      <w:r>
        <w:rPr>
          <w:rFonts w:cstheme="minorHAnsi"/>
          <w:sz w:val="18"/>
          <w:szCs w:val="18"/>
        </w:rPr>
        <w:t>.16</w:t>
      </w:r>
      <w:r w:rsidRPr="00D12592">
        <w:rPr>
          <w:rFonts w:cstheme="minorHAnsi"/>
          <w:sz w:val="18"/>
          <w:szCs w:val="18"/>
        </w:rPr>
        <w:t xml:space="preserve"> Proportion of population covered by social protection floors/systems, </w:t>
      </w:r>
      <w:r w:rsidRPr="00E05FF8">
        <w:rPr>
          <w:sz w:val="18"/>
          <w:szCs w:val="18"/>
        </w:rPr>
        <w:t xml:space="preserve">by sex, distinguishing children, unemployed persons, older persons, persons with disabilities, pregnant women, </w:t>
      </w:r>
      <w:proofErr w:type="spellStart"/>
      <w:r w:rsidRPr="00E05FF8">
        <w:rPr>
          <w:sz w:val="18"/>
          <w:szCs w:val="18"/>
        </w:rPr>
        <w:t>newborns</w:t>
      </w:r>
      <w:proofErr w:type="spellEnd"/>
      <w:r w:rsidRPr="00E05FF8">
        <w:rPr>
          <w:sz w:val="18"/>
          <w:szCs w:val="18"/>
        </w:rPr>
        <w:t>, work-injury victims and the poor and the vulnerable</w:t>
      </w:r>
      <w:r w:rsidRPr="00D12592">
        <w:rPr>
          <w:rFonts w:cstheme="minorHAnsi"/>
          <w:sz w:val="18"/>
          <w:szCs w:val="18"/>
        </w:rPr>
        <w:t xml:space="preserve"> </w:t>
      </w:r>
      <w:r w:rsidRPr="00D12592">
        <w:rPr>
          <w:rFonts w:cstheme="minorHAnsi"/>
          <w:color w:val="000000"/>
          <w:sz w:val="18"/>
          <w:szCs w:val="18"/>
        </w:rPr>
        <w:t>(SDG indicator 1.3.1).</w:t>
      </w:r>
      <w:r>
        <w:rPr>
          <w:rFonts w:cstheme="minorHAnsi"/>
          <w:color w:val="000000"/>
          <w:sz w:val="18"/>
          <w:szCs w:val="18"/>
        </w:rPr>
        <w:t xml:space="preserve"> </w:t>
      </w:r>
    </w:p>
    <w:p w14:paraId="4799E0E8" w14:textId="77777777" w:rsidR="00137DED" w:rsidRPr="00ED3DA7" w:rsidRDefault="00137DED" w:rsidP="00ED3DA7">
      <w:pPr>
        <w:spacing w:after="0" w:line="240" w:lineRule="auto"/>
        <w:jc w:val="both"/>
        <w:rPr>
          <w:rFonts w:cstheme="minorHAnsi"/>
          <w:color w:val="000000"/>
          <w:sz w:val="18"/>
          <w:szCs w:val="18"/>
        </w:rPr>
      </w:pPr>
      <w:r>
        <w:rPr>
          <w:rFonts w:cstheme="minorHAnsi"/>
          <w:color w:val="000000"/>
          <w:sz w:val="18"/>
          <w:szCs w:val="18"/>
        </w:rPr>
        <w:t xml:space="preserve">28.17 </w:t>
      </w:r>
      <w:r w:rsidRPr="00D12592">
        <w:rPr>
          <w:rFonts w:cstheme="minorHAnsi"/>
          <w:color w:val="000000"/>
          <w:sz w:val="18"/>
          <w:szCs w:val="18"/>
        </w:rPr>
        <w:t>Proportion of persons with disabilities accessing any form of social protection scheme whose disability-related costs are determined and covered</w:t>
      </w:r>
      <w:r>
        <w:rPr>
          <w:rFonts w:cstheme="minorHAnsi"/>
          <w:color w:val="000000"/>
          <w:sz w:val="18"/>
          <w:szCs w:val="18"/>
        </w:rPr>
        <w:t xml:space="preserve">, </w:t>
      </w:r>
      <w:r w:rsidRPr="00ED3DA7">
        <w:rPr>
          <w:rFonts w:cstheme="minorHAnsi"/>
          <w:color w:val="000000"/>
          <w:sz w:val="18"/>
          <w:szCs w:val="18"/>
        </w:rPr>
        <w:t>by</w:t>
      </w:r>
      <w:r w:rsidRPr="00ED3DA7">
        <w:rPr>
          <w:rFonts w:cstheme="minorHAnsi"/>
          <w:color w:val="000000" w:themeColor="text1"/>
          <w:sz w:val="18"/>
          <w:szCs w:val="18"/>
        </w:rPr>
        <w:t xml:space="preserve"> sex</w:t>
      </w:r>
      <w:r>
        <w:rPr>
          <w:rFonts w:cstheme="minorHAnsi"/>
          <w:color w:val="000000" w:themeColor="text1"/>
          <w:sz w:val="18"/>
          <w:szCs w:val="18"/>
        </w:rPr>
        <w:t>, age</w:t>
      </w:r>
      <w:r w:rsidRPr="00ED3DA7">
        <w:rPr>
          <w:rFonts w:cstheme="minorHAnsi"/>
          <w:color w:val="000000" w:themeColor="text1"/>
          <w:sz w:val="18"/>
          <w:szCs w:val="18"/>
        </w:rPr>
        <w:t xml:space="preserve"> and disability</w:t>
      </w:r>
      <w:r>
        <w:rPr>
          <w:rFonts w:cstheme="minorHAnsi"/>
          <w:color w:val="000000" w:themeColor="text1"/>
          <w:sz w:val="18"/>
          <w:szCs w:val="18"/>
        </w:rPr>
        <w:t>.</w:t>
      </w:r>
    </w:p>
    <w:p w14:paraId="7555FE44" w14:textId="77777777" w:rsidR="00137DED" w:rsidRDefault="00137DED" w:rsidP="00ED3DA7">
      <w:pPr>
        <w:spacing w:after="0" w:line="240" w:lineRule="auto"/>
        <w:jc w:val="both"/>
        <w:rPr>
          <w:rFonts w:cstheme="minorHAnsi"/>
          <w:color w:val="000000"/>
          <w:sz w:val="18"/>
          <w:szCs w:val="18"/>
        </w:rPr>
      </w:pPr>
      <w:r>
        <w:rPr>
          <w:rFonts w:cstheme="minorHAnsi"/>
          <w:color w:val="000000"/>
          <w:sz w:val="18"/>
          <w:szCs w:val="18"/>
        </w:rPr>
        <w:t>28.18</w:t>
      </w:r>
      <w:r w:rsidRPr="00ED3DA7">
        <w:rPr>
          <w:rFonts w:cstheme="minorHAnsi"/>
          <w:color w:val="000000"/>
          <w:sz w:val="18"/>
          <w:szCs w:val="18"/>
        </w:rPr>
        <w:t xml:space="preserve"> Number of homeless persons per 100,000 population by sex, age and disability.</w:t>
      </w:r>
    </w:p>
    <w:p w14:paraId="7F087CAC" w14:textId="77777777" w:rsidR="00137DED" w:rsidRPr="00ED3DA7" w:rsidRDefault="00137DED" w:rsidP="00ED3DA7">
      <w:pPr>
        <w:spacing w:after="0" w:line="240" w:lineRule="auto"/>
        <w:jc w:val="both"/>
        <w:rPr>
          <w:rFonts w:cstheme="minorHAnsi"/>
          <w:color w:val="000000"/>
          <w:sz w:val="18"/>
          <w:szCs w:val="18"/>
        </w:rPr>
      </w:pPr>
      <w:r>
        <w:rPr>
          <w:rFonts w:cstheme="minorHAnsi"/>
          <w:color w:val="000000"/>
          <w:sz w:val="18"/>
          <w:szCs w:val="18"/>
        </w:rPr>
        <w:t>28.19</w:t>
      </w:r>
      <w:r w:rsidRPr="00ED3DA7">
        <w:rPr>
          <w:rFonts w:cstheme="minorHAnsi"/>
          <w:color w:val="000000"/>
          <w:sz w:val="18"/>
          <w:szCs w:val="18"/>
        </w:rPr>
        <w:t xml:space="preserve"> Proportion of urban population living in slums, informal settlements, or inadequate housing (SDG indicator 11.1.1) by</w:t>
      </w:r>
      <w:r w:rsidRPr="00ED3DA7">
        <w:rPr>
          <w:rFonts w:cstheme="minorHAnsi"/>
          <w:color w:val="000000" w:themeColor="text1"/>
          <w:sz w:val="18"/>
          <w:szCs w:val="18"/>
        </w:rPr>
        <w:t xml:space="preserve"> </w:t>
      </w:r>
      <w:r>
        <w:rPr>
          <w:rFonts w:cstheme="minorHAnsi"/>
          <w:color w:val="000000" w:themeColor="text1"/>
          <w:sz w:val="18"/>
          <w:szCs w:val="18"/>
        </w:rPr>
        <w:t>s</w:t>
      </w:r>
      <w:r w:rsidRPr="00ED3DA7">
        <w:rPr>
          <w:rFonts w:cstheme="minorHAnsi"/>
          <w:color w:val="000000" w:themeColor="text1"/>
          <w:sz w:val="18"/>
          <w:szCs w:val="18"/>
        </w:rPr>
        <w:t>ex</w:t>
      </w:r>
      <w:r>
        <w:rPr>
          <w:rFonts w:cstheme="minorHAnsi"/>
          <w:color w:val="000000" w:themeColor="text1"/>
          <w:sz w:val="18"/>
          <w:szCs w:val="18"/>
        </w:rPr>
        <w:t xml:space="preserve">, age </w:t>
      </w:r>
      <w:r w:rsidRPr="00ED3DA7">
        <w:rPr>
          <w:rFonts w:cstheme="minorHAnsi"/>
          <w:color w:val="000000" w:themeColor="text1"/>
          <w:sz w:val="18"/>
          <w:szCs w:val="18"/>
        </w:rPr>
        <w:t>and disability.</w:t>
      </w:r>
    </w:p>
    <w:p w14:paraId="03A3CA00" w14:textId="77777777" w:rsidR="00137DED" w:rsidRPr="00ED3DA7" w:rsidRDefault="00137DED" w:rsidP="00ED3DA7">
      <w:pPr>
        <w:spacing w:after="0" w:line="240" w:lineRule="auto"/>
        <w:jc w:val="both"/>
        <w:rPr>
          <w:rFonts w:cstheme="minorHAnsi"/>
          <w:color w:val="0000D4"/>
          <w:sz w:val="18"/>
          <w:szCs w:val="18"/>
        </w:rPr>
      </w:pPr>
      <w:r>
        <w:rPr>
          <w:rFonts w:cstheme="minorHAnsi"/>
          <w:color w:val="000000"/>
          <w:sz w:val="18"/>
          <w:szCs w:val="18"/>
        </w:rPr>
        <w:t>28.20</w:t>
      </w:r>
      <w:r w:rsidRPr="00ED3DA7">
        <w:rPr>
          <w:rFonts w:cstheme="minorHAnsi"/>
          <w:color w:val="000000"/>
          <w:sz w:val="18"/>
          <w:szCs w:val="18"/>
        </w:rPr>
        <w:t xml:space="preserve"> Proportion of population using safely managed drinking water services (SDG indicator 6.1.1) by</w:t>
      </w:r>
      <w:r w:rsidRPr="00ED3DA7">
        <w:rPr>
          <w:rFonts w:cstheme="minorHAnsi"/>
          <w:color w:val="000000" w:themeColor="text1"/>
          <w:sz w:val="18"/>
          <w:szCs w:val="18"/>
        </w:rPr>
        <w:t xml:space="preserve"> sex</w:t>
      </w:r>
      <w:r>
        <w:rPr>
          <w:rFonts w:cstheme="minorHAnsi"/>
          <w:color w:val="000000" w:themeColor="text1"/>
          <w:sz w:val="18"/>
          <w:szCs w:val="18"/>
        </w:rPr>
        <w:t>, age</w:t>
      </w:r>
      <w:r w:rsidRPr="00ED3DA7">
        <w:rPr>
          <w:rFonts w:cstheme="minorHAnsi"/>
          <w:color w:val="000000" w:themeColor="text1"/>
          <w:sz w:val="18"/>
          <w:szCs w:val="18"/>
        </w:rPr>
        <w:t xml:space="preserve"> and disability.</w:t>
      </w:r>
    </w:p>
    <w:p w14:paraId="3D890AB0" w14:textId="77777777" w:rsidR="00137DED" w:rsidRPr="00ED3DA7" w:rsidRDefault="00137DED" w:rsidP="00ED3DA7">
      <w:pPr>
        <w:spacing w:after="0" w:line="240" w:lineRule="auto"/>
        <w:jc w:val="both"/>
        <w:rPr>
          <w:rFonts w:cstheme="minorHAnsi"/>
          <w:color w:val="000000"/>
          <w:sz w:val="18"/>
          <w:szCs w:val="18"/>
        </w:rPr>
      </w:pPr>
      <w:r>
        <w:rPr>
          <w:rFonts w:cstheme="minorHAnsi"/>
          <w:color w:val="000000"/>
          <w:sz w:val="18"/>
          <w:szCs w:val="18"/>
        </w:rPr>
        <w:t>28.21</w:t>
      </w:r>
      <w:r w:rsidRPr="00ED3DA7">
        <w:rPr>
          <w:rFonts w:cstheme="minorHAnsi"/>
          <w:color w:val="000000"/>
          <w:sz w:val="18"/>
          <w:szCs w:val="18"/>
        </w:rPr>
        <w:t xml:space="preserve"> Proportion of population using safely managed sanitation services, including a hand-washing facility with soap and water (SDG indicator 6.2.1) by</w:t>
      </w:r>
      <w:r w:rsidRPr="00ED3DA7">
        <w:rPr>
          <w:rFonts w:cstheme="minorHAnsi"/>
          <w:color w:val="000000" w:themeColor="text1"/>
          <w:sz w:val="18"/>
          <w:szCs w:val="18"/>
        </w:rPr>
        <w:t xml:space="preserve"> sex</w:t>
      </w:r>
      <w:r>
        <w:rPr>
          <w:rFonts w:cstheme="minorHAnsi"/>
          <w:color w:val="000000" w:themeColor="text1"/>
          <w:sz w:val="18"/>
          <w:szCs w:val="18"/>
        </w:rPr>
        <w:t>, age</w:t>
      </w:r>
      <w:r w:rsidRPr="00ED3DA7">
        <w:rPr>
          <w:rFonts w:cstheme="minorHAnsi"/>
          <w:color w:val="000000" w:themeColor="text1"/>
          <w:sz w:val="18"/>
          <w:szCs w:val="18"/>
        </w:rPr>
        <w:t xml:space="preserve"> and disability.</w:t>
      </w:r>
    </w:p>
    <w:p w14:paraId="4D6BCD9D" w14:textId="77777777" w:rsidR="00137DED" w:rsidRPr="00ED3DA7" w:rsidRDefault="00137DED" w:rsidP="00ED3DA7">
      <w:pPr>
        <w:spacing w:after="0" w:line="240" w:lineRule="auto"/>
        <w:jc w:val="both"/>
        <w:rPr>
          <w:rFonts w:eastAsia="Times New Roman" w:cstheme="minorHAnsi"/>
          <w:sz w:val="18"/>
          <w:szCs w:val="18"/>
          <w:lang w:eastAsia="en-GB"/>
        </w:rPr>
      </w:pPr>
      <w:r>
        <w:rPr>
          <w:rFonts w:eastAsia="Times New Roman" w:cstheme="minorHAnsi"/>
          <w:sz w:val="18"/>
          <w:szCs w:val="18"/>
          <w:lang w:eastAsia="en-GB"/>
        </w:rPr>
        <w:t>28.22</w:t>
      </w:r>
      <w:r w:rsidRPr="00ED3DA7">
        <w:rPr>
          <w:rFonts w:eastAsia="Times New Roman" w:cstheme="minorHAnsi"/>
          <w:sz w:val="18"/>
          <w:szCs w:val="18"/>
          <w:lang w:eastAsia="en-GB"/>
        </w:rPr>
        <w:t xml:space="preserve"> Proportion of population below the international poverty line, by sex, age, employment status and geographical location (urban/rural) (SDG indicator 1.1.1) and disability.</w:t>
      </w:r>
    </w:p>
    <w:p w14:paraId="3BBBEB68" w14:textId="77777777" w:rsidR="00137DED" w:rsidRDefault="00137DED" w:rsidP="00ED3DA7">
      <w:pPr>
        <w:spacing w:after="0" w:line="240" w:lineRule="auto"/>
        <w:jc w:val="both"/>
        <w:rPr>
          <w:rFonts w:cstheme="minorHAnsi"/>
          <w:color w:val="000000"/>
          <w:sz w:val="18"/>
          <w:szCs w:val="18"/>
        </w:rPr>
      </w:pPr>
      <w:r>
        <w:rPr>
          <w:rFonts w:cstheme="minorHAnsi"/>
          <w:color w:val="000000"/>
          <w:sz w:val="18"/>
          <w:szCs w:val="18"/>
        </w:rPr>
        <w:t>28.23</w:t>
      </w:r>
      <w:r w:rsidRPr="00ED3DA7">
        <w:rPr>
          <w:rFonts w:cstheme="minorHAnsi"/>
          <w:color w:val="000000"/>
          <w:sz w:val="18"/>
          <w:szCs w:val="18"/>
        </w:rPr>
        <w:t xml:space="preserve"> Proportion of persons with disabilities living below the US$ 1.90 (PPP) per day international poverty line compared to the proportion of the overall </w:t>
      </w:r>
      <w:r w:rsidRPr="00ED3DA7">
        <w:rPr>
          <w:rFonts w:cstheme="minorHAnsi"/>
          <w:color w:val="000000" w:themeColor="text1"/>
          <w:sz w:val="18"/>
          <w:szCs w:val="18"/>
        </w:rPr>
        <w:t>population, by</w:t>
      </w:r>
      <w:r>
        <w:rPr>
          <w:rFonts w:cstheme="minorHAnsi"/>
          <w:color w:val="000000" w:themeColor="text1"/>
          <w:sz w:val="18"/>
          <w:szCs w:val="18"/>
        </w:rPr>
        <w:t xml:space="preserve"> </w:t>
      </w:r>
      <w:r w:rsidRPr="00ED3DA7">
        <w:rPr>
          <w:rFonts w:cstheme="minorHAnsi"/>
          <w:color w:val="000000" w:themeColor="text1"/>
          <w:sz w:val="18"/>
          <w:szCs w:val="18"/>
        </w:rPr>
        <w:t>sex</w:t>
      </w:r>
      <w:r>
        <w:rPr>
          <w:rFonts w:cstheme="minorHAnsi"/>
          <w:color w:val="000000" w:themeColor="text1"/>
          <w:sz w:val="18"/>
          <w:szCs w:val="18"/>
        </w:rPr>
        <w:t xml:space="preserve"> and age</w:t>
      </w:r>
      <w:r w:rsidRPr="00ED3DA7">
        <w:rPr>
          <w:rFonts w:cstheme="minorHAnsi"/>
          <w:color w:val="000000" w:themeColor="text1"/>
          <w:sz w:val="18"/>
          <w:szCs w:val="18"/>
        </w:rPr>
        <w:t>.</w:t>
      </w:r>
      <w:r w:rsidRPr="00ED3DA7">
        <w:rPr>
          <w:rStyle w:val="EndnoteReference"/>
          <w:rFonts w:cstheme="minorHAnsi"/>
          <w:color w:val="000000" w:themeColor="text1"/>
          <w:sz w:val="18"/>
          <w:szCs w:val="18"/>
        </w:rPr>
        <w:endnoteReference w:id="9"/>
      </w:r>
    </w:p>
    <w:p w14:paraId="3342D9C9" w14:textId="77777777" w:rsidR="00137DED" w:rsidRPr="00ED3DA7" w:rsidRDefault="00137DED" w:rsidP="00ED3DA7">
      <w:pPr>
        <w:spacing w:after="0" w:line="240" w:lineRule="auto"/>
        <w:jc w:val="both"/>
        <w:rPr>
          <w:rFonts w:cstheme="minorHAnsi"/>
          <w:color w:val="000000"/>
          <w:sz w:val="18"/>
          <w:szCs w:val="18"/>
        </w:rPr>
      </w:pPr>
      <w:r>
        <w:rPr>
          <w:rFonts w:cstheme="minorHAnsi"/>
          <w:color w:val="000000"/>
          <w:sz w:val="18"/>
          <w:szCs w:val="18"/>
        </w:rPr>
        <w:t>28.24</w:t>
      </w:r>
      <w:r w:rsidRPr="00ED3DA7">
        <w:rPr>
          <w:rFonts w:cstheme="minorHAnsi"/>
          <w:color w:val="000000"/>
          <w:sz w:val="18"/>
          <w:szCs w:val="18"/>
        </w:rPr>
        <w:t xml:space="preserve"> Proportion of population living below the national poverty line by sex and age (SDG indicator 1.2.1) and disability.</w:t>
      </w:r>
    </w:p>
    <w:p w14:paraId="26A9C82A" w14:textId="77777777" w:rsidR="00137DED" w:rsidRPr="00ED3DA7" w:rsidRDefault="00137DED" w:rsidP="00ED3DA7">
      <w:pPr>
        <w:spacing w:after="0" w:line="240" w:lineRule="auto"/>
        <w:jc w:val="both"/>
        <w:rPr>
          <w:rFonts w:cstheme="minorHAnsi"/>
          <w:color w:val="000000"/>
          <w:sz w:val="18"/>
          <w:szCs w:val="18"/>
        </w:rPr>
      </w:pPr>
      <w:r>
        <w:rPr>
          <w:rFonts w:cstheme="minorHAnsi"/>
          <w:color w:val="000000"/>
          <w:sz w:val="18"/>
          <w:szCs w:val="18"/>
        </w:rPr>
        <w:t>28.25</w:t>
      </w:r>
      <w:r w:rsidRPr="00ED3DA7">
        <w:rPr>
          <w:rFonts w:cstheme="minorHAnsi"/>
          <w:color w:val="000000"/>
          <w:sz w:val="18"/>
          <w:szCs w:val="18"/>
        </w:rPr>
        <w:t xml:space="preserve"> Proportion of men, women </w:t>
      </w:r>
      <w:r>
        <w:rPr>
          <w:rFonts w:cstheme="minorHAnsi"/>
          <w:color w:val="000000"/>
          <w:sz w:val="18"/>
          <w:szCs w:val="18"/>
        </w:rPr>
        <w:t>and</w:t>
      </w:r>
      <w:r w:rsidRPr="00ED3DA7">
        <w:rPr>
          <w:rFonts w:cstheme="minorHAnsi"/>
          <w:color w:val="000000"/>
          <w:sz w:val="18"/>
          <w:szCs w:val="18"/>
        </w:rPr>
        <w:t xml:space="preserve"> children of all ages living in poverty in all its dimensions according to national definitions (SDG indicator 1.2.2) </w:t>
      </w:r>
      <w:r>
        <w:rPr>
          <w:rFonts w:cstheme="minorHAnsi"/>
          <w:color w:val="000000"/>
          <w:sz w:val="18"/>
          <w:szCs w:val="18"/>
        </w:rPr>
        <w:t xml:space="preserve">disaggregated by </w:t>
      </w:r>
      <w:r w:rsidRPr="00ED3DA7">
        <w:rPr>
          <w:rFonts w:cstheme="minorHAnsi"/>
          <w:color w:val="000000"/>
          <w:sz w:val="18"/>
          <w:szCs w:val="18"/>
        </w:rPr>
        <w:t xml:space="preserve">disability, before </w:t>
      </w:r>
      <w:r>
        <w:rPr>
          <w:rFonts w:cstheme="minorHAnsi"/>
          <w:color w:val="000000"/>
          <w:sz w:val="18"/>
          <w:szCs w:val="18"/>
        </w:rPr>
        <w:t>and after social transf</w:t>
      </w:r>
      <w:r w:rsidRPr="00ED3DA7">
        <w:rPr>
          <w:rFonts w:cstheme="minorHAnsi"/>
          <w:color w:val="000000"/>
          <w:sz w:val="18"/>
          <w:szCs w:val="18"/>
        </w:rPr>
        <w:t>ers.</w:t>
      </w:r>
    </w:p>
    <w:p w14:paraId="5A70CC6C" w14:textId="77777777" w:rsidR="00137DED" w:rsidRPr="00ED3DA7" w:rsidRDefault="00137DED" w:rsidP="00ED3DA7">
      <w:pPr>
        <w:spacing w:after="0" w:line="240" w:lineRule="auto"/>
        <w:jc w:val="both"/>
        <w:rPr>
          <w:rFonts w:eastAsia="Times New Roman" w:cstheme="minorHAnsi"/>
          <w:sz w:val="18"/>
          <w:szCs w:val="18"/>
          <w:lang w:eastAsia="en-GB"/>
        </w:rPr>
      </w:pPr>
      <w:r>
        <w:rPr>
          <w:rFonts w:cstheme="minorHAnsi"/>
          <w:color w:val="000000"/>
          <w:sz w:val="18"/>
          <w:szCs w:val="18"/>
        </w:rPr>
        <w:t>28.26</w:t>
      </w:r>
      <w:r w:rsidRPr="00ED3DA7">
        <w:rPr>
          <w:rFonts w:cstheme="minorHAnsi"/>
          <w:color w:val="000000"/>
          <w:sz w:val="18"/>
          <w:szCs w:val="18"/>
        </w:rPr>
        <w:t xml:space="preserve"> Proportion of people living below 50 per cent of median income, by age, sex, and persons with disabilities (SDG indicator 10.2.1).</w:t>
      </w:r>
      <w:r w:rsidRPr="00ED3DA7">
        <w:rPr>
          <w:rFonts w:eastAsia="Times New Roman" w:cstheme="minorHAnsi"/>
          <w:sz w:val="18"/>
          <w:szCs w:val="18"/>
          <w:lang w:eastAsia="en-GB"/>
        </w:rPr>
        <w:t xml:space="preserve"> </w:t>
      </w:r>
    </w:p>
    <w:p w14:paraId="345F2AEB" w14:textId="77777777" w:rsidR="00137DED" w:rsidRPr="00ED3DA7" w:rsidRDefault="00137DED" w:rsidP="00ED3DA7">
      <w:pPr>
        <w:spacing w:after="0" w:line="240" w:lineRule="auto"/>
        <w:jc w:val="both"/>
        <w:rPr>
          <w:rFonts w:cstheme="minorHAnsi"/>
          <w:color w:val="000000"/>
          <w:sz w:val="18"/>
          <w:szCs w:val="18"/>
        </w:rPr>
      </w:pPr>
      <w:r>
        <w:rPr>
          <w:rFonts w:cstheme="minorHAnsi"/>
          <w:color w:val="000000"/>
          <w:sz w:val="18"/>
          <w:szCs w:val="18"/>
        </w:rPr>
        <w:lastRenderedPageBreak/>
        <w:t>28.27</w:t>
      </w:r>
      <w:r w:rsidRPr="00ED3DA7">
        <w:rPr>
          <w:rFonts w:cstheme="minorHAnsi"/>
          <w:color w:val="000000"/>
          <w:sz w:val="18"/>
          <w:szCs w:val="18"/>
        </w:rPr>
        <w:t xml:space="preserve"> Proportion of population living in households with access to basic services (SDG indicator 1.4.1) by household with a person with disabilities. </w:t>
      </w:r>
    </w:p>
    <w:p w14:paraId="41FE517D" w14:textId="77777777" w:rsidR="00137DED" w:rsidRPr="00ED3DA7" w:rsidRDefault="00137DED" w:rsidP="00ED3DA7">
      <w:pPr>
        <w:spacing w:after="0" w:line="240" w:lineRule="auto"/>
        <w:jc w:val="both"/>
        <w:rPr>
          <w:rFonts w:cstheme="minorHAnsi"/>
          <w:color w:val="000000" w:themeColor="text1"/>
          <w:sz w:val="18"/>
          <w:szCs w:val="18"/>
        </w:rPr>
      </w:pPr>
      <w:r>
        <w:rPr>
          <w:rFonts w:cstheme="minorHAnsi"/>
          <w:sz w:val="18"/>
          <w:szCs w:val="18"/>
        </w:rPr>
        <w:t>28.28</w:t>
      </w:r>
      <w:r w:rsidRPr="00ED3DA7">
        <w:rPr>
          <w:rFonts w:cstheme="minorHAnsi"/>
          <w:sz w:val="18"/>
          <w:szCs w:val="18"/>
        </w:rPr>
        <w:t xml:space="preserve"> Prevalence of moderate or severe food insecurity in the population, based on the Food Insecurity Experience Scale (FIES) (SDG indicator 2.1.2) </w:t>
      </w:r>
      <w:r w:rsidRPr="00ED3DA7">
        <w:rPr>
          <w:rFonts w:cstheme="minorHAnsi"/>
          <w:color w:val="000000"/>
          <w:sz w:val="18"/>
          <w:szCs w:val="18"/>
        </w:rPr>
        <w:t>by</w:t>
      </w:r>
      <w:r w:rsidRPr="00ED3DA7">
        <w:rPr>
          <w:rFonts w:cstheme="minorHAnsi"/>
          <w:color w:val="000000" w:themeColor="text1"/>
          <w:sz w:val="18"/>
          <w:szCs w:val="18"/>
        </w:rPr>
        <w:t xml:space="preserve"> sex</w:t>
      </w:r>
      <w:r>
        <w:rPr>
          <w:rFonts w:cstheme="minorHAnsi"/>
          <w:color w:val="000000" w:themeColor="text1"/>
          <w:sz w:val="18"/>
          <w:szCs w:val="18"/>
        </w:rPr>
        <w:t>, age</w:t>
      </w:r>
      <w:r w:rsidRPr="00ED3DA7">
        <w:rPr>
          <w:rFonts w:cstheme="minorHAnsi"/>
          <w:color w:val="000000" w:themeColor="text1"/>
          <w:sz w:val="18"/>
          <w:szCs w:val="18"/>
        </w:rPr>
        <w:t xml:space="preserve"> and disability.</w:t>
      </w:r>
    </w:p>
    <w:p w14:paraId="5488F343" w14:textId="77777777" w:rsidR="00137DED" w:rsidRPr="00ED3DA7" w:rsidRDefault="00137DED" w:rsidP="00ED3DA7">
      <w:pPr>
        <w:spacing w:after="0" w:line="240" w:lineRule="auto"/>
        <w:jc w:val="both"/>
        <w:rPr>
          <w:rFonts w:cstheme="minorHAnsi"/>
          <w:color w:val="000000" w:themeColor="text1"/>
          <w:sz w:val="18"/>
          <w:szCs w:val="18"/>
        </w:rPr>
      </w:pPr>
      <w:r>
        <w:rPr>
          <w:rFonts w:cstheme="minorHAnsi"/>
          <w:color w:val="000000"/>
          <w:sz w:val="18"/>
          <w:szCs w:val="18"/>
        </w:rPr>
        <w:t>28.29</w:t>
      </w:r>
      <w:r w:rsidRPr="00ED3DA7">
        <w:rPr>
          <w:rFonts w:cstheme="minorHAnsi"/>
          <w:color w:val="000000"/>
          <w:sz w:val="18"/>
          <w:szCs w:val="18"/>
        </w:rPr>
        <w:t xml:space="preserve"> Prevalence of undernourishment (SDG indicator 2.1.1) by</w:t>
      </w:r>
      <w:r w:rsidRPr="00ED3DA7">
        <w:rPr>
          <w:rFonts w:cstheme="minorHAnsi"/>
          <w:color w:val="000000" w:themeColor="text1"/>
          <w:sz w:val="18"/>
          <w:szCs w:val="18"/>
        </w:rPr>
        <w:t xml:space="preserve"> sex</w:t>
      </w:r>
      <w:r>
        <w:rPr>
          <w:rFonts w:cstheme="minorHAnsi"/>
          <w:color w:val="000000" w:themeColor="text1"/>
          <w:sz w:val="18"/>
          <w:szCs w:val="18"/>
        </w:rPr>
        <w:t>, age</w:t>
      </w:r>
      <w:r w:rsidRPr="00ED3DA7">
        <w:rPr>
          <w:rFonts w:cstheme="minorHAnsi"/>
          <w:color w:val="000000" w:themeColor="text1"/>
          <w:sz w:val="18"/>
          <w:szCs w:val="18"/>
        </w:rPr>
        <w:t xml:space="preserve"> and disability.</w:t>
      </w:r>
    </w:p>
    <w:p w14:paraId="24E93CCA" w14:textId="77777777" w:rsidR="00137DED" w:rsidRDefault="00137DED" w:rsidP="00E9049E">
      <w:pPr>
        <w:spacing w:after="0" w:line="240" w:lineRule="auto"/>
        <w:jc w:val="both"/>
        <w:rPr>
          <w:rFonts w:eastAsia="Times New Roman" w:cstheme="minorHAnsi"/>
          <w:sz w:val="18"/>
          <w:szCs w:val="18"/>
          <w:lang w:val="en-AU"/>
        </w:rPr>
      </w:pPr>
      <w:r>
        <w:rPr>
          <w:rFonts w:eastAsia="Times New Roman" w:cstheme="minorHAnsi"/>
          <w:sz w:val="18"/>
          <w:szCs w:val="18"/>
          <w:lang w:val="en-AU"/>
        </w:rPr>
        <w:t>28.30</w:t>
      </w:r>
      <w:r>
        <w:t xml:space="preserve"> </w:t>
      </w:r>
      <w:r w:rsidRPr="00E9049E">
        <w:rPr>
          <w:rFonts w:eastAsia="Times New Roman" w:cstheme="minorHAnsi"/>
          <w:sz w:val="18"/>
          <w:szCs w:val="18"/>
          <w:lang w:val="en-AU"/>
        </w:rPr>
        <w:t>Prevalence of malnutrition among children under 5 years of age, by type (wasting and overweight), disaggregated by sex</w:t>
      </w:r>
      <w:r>
        <w:rPr>
          <w:rFonts w:eastAsia="Times New Roman" w:cstheme="minorHAnsi"/>
          <w:sz w:val="18"/>
          <w:szCs w:val="18"/>
          <w:lang w:val="en-AU"/>
        </w:rPr>
        <w:t>, age</w:t>
      </w:r>
      <w:r w:rsidRPr="00E9049E">
        <w:rPr>
          <w:rFonts w:eastAsia="Times New Roman" w:cstheme="minorHAnsi"/>
          <w:sz w:val="18"/>
          <w:szCs w:val="18"/>
          <w:lang w:val="en-AU"/>
        </w:rPr>
        <w:t xml:space="preserve"> and disability</w:t>
      </w:r>
      <w:r>
        <w:rPr>
          <w:rFonts w:eastAsia="Times New Roman" w:cstheme="minorHAnsi"/>
          <w:sz w:val="18"/>
          <w:szCs w:val="18"/>
          <w:lang w:val="en-AU"/>
        </w:rPr>
        <w:t>.</w:t>
      </w:r>
    </w:p>
    <w:p w14:paraId="22CDD6FE" w14:textId="77777777" w:rsidR="00137DED" w:rsidRPr="00ED3DA7" w:rsidRDefault="00137DED" w:rsidP="00EF500B">
      <w:pPr>
        <w:spacing w:after="0" w:line="240" w:lineRule="auto"/>
        <w:jc w:val="both"/>
        <w:rPr>
          <w:rFonts w:cstheme="minorHAnsi"/>
          <w:color w:val="000000" w:themeColor="text1"/>
          <w:sz w:val="18"/>
          <w:szCs w:val="18"/>
        </w:rPr>
      </w:pPr>
      <w:r w:rsidRPr="00ED3DA7">
        <w:rPr>
          <w:rFonts w:cstheme="minorHAnsi"/>
          <w:color w:val="000000"/>
          <w:sz w:val="18"/>
          <w:szCs w:val="18"/>
        </w:rPr>
        <w:t>28.3</w:t>
      </w:r>
      <w:r>
        <w:rPr>
          <w:rFonts w:cstheme="minorHAnsi"/>
          <w:color w:val="000000"/>
          <w:sz w:val="18"/>
          <w:szCs w:val="18"/>
        </w:rPr>
        <w:t>1</w:t>
      </w:r>
      <w:r w:rsidRPr="00ED3DA7">
        <w:rPr>
          <w:rFonts w:cstheme="minorHAnsi"/>
          <w:color w:val="000000"/>
          <w:sz w:val="18"/>
          <w:szCs w:val="18"/>
        </w:rPr>
        <w:t xml:space="preserve"> Percentage of population with access to electricity</w:t>
      </w:r>
      <w:r>
        <w:rPr>
          <w:rFonts w:cstheme="minorHAnsi"/>
          <w:color w:val="000000"/>
          <w:sz w:val="18"/>
          <w:szCs w:val="18"/>
        </w:rPr>
        <w:t xml:space="preserve"> (SDG</w:t>
      </w:r>
      <w:r w:rsidRPr="00ED3DA7">
        <w:rPr>
          <w:rFonts w:cstheme="minorHAnsi"/>
          <w:color w:val="000000"/>
          <w:sz w:val="18"/>
          <w:szCs w:val="18"/>
        </w:rPr>
        <w:t xml:space="preserve"> indicator 7.1.1) by</w:t>
      </w:r>
      <w:r w:rsidRPr="00ED3DA7">
        <w:rPr>
          <w:rFonts w:cstheme="minorHAnsi"/>
          <w:color w:val="000000" w:themeColor="text1"/>
          <w:sz w:val="18"/>
          <w:szCs w:val="18"/>
        </w:rPr>
        <w:t xml:space="preserve"> sex</w:t>
      </w:r>
      <w:r>
        <w:rPr>
          <w:rFonts w:cstheme="minorHAnsi"/>
          <w:color w:val="000000" w:themeColor="text1"/>
          <w:sz w:val="18"/>
          <w:szCs w:val="18"/>
        </w:rPr>
        <w:t>, age</w:t>
      </w:r>
      <w:r w:rsidRPr="00ED3DA7">
        <w:rPr>
          <w:rFonts w:cstheme="minorHAnsi"/>
          <w:color w:val="000000" w:themeColor="text1"/>
          <w:sz w:val="18"/>
          <w:szCs w:val="18"/>
        </w:rPr>
        <w:t xml:space="preserve"> and disability.</w:t>
      </w:r>
      <w:r w:rsidRPr="00ED3DA7" w:rsidDel="00DA2111">
        <w:rPr>
          <w:rFonts w:cstheme="minorHAnsi"/>
          <w:color w:val="000000" w:themeColor="text1"/>
          <w:sz w:val="18"/>
          <w:szCs w:val="18"/>
        </w:rPr>
        <w:t xml:space="preserve"> </w:t>
      </w:r>
    </w:p>
    <w:p w14:paraId="356C61E3" w14:textId="77777777" w:rsidR="0025529E" w:rsidRDefault="0025529E" w:rsidP="00E72B64">
      <w:pPr>
        <w:spacing w:before="120" w:after="0"/>
        <w:jc w:val="center"/>
        <w:rPr>
          <w:rFonts w:cstheme="minorHAnsi"/>
          <w:b/>
          <w:sz w:val="18"/>
          <w:szCs w:val="18"/>
        </w:rPr>
      </w:pPr>
    </w:p>
    <w:p w14:paraId="742EBBE3" w14:textId="754B0702" w:rsidR="00BD5CC7" w:rsidRDefault="00BA4646" w:rsidP="00C66625">
      <w:pPr>
        <w:pStyle w:val="Heading1"/>
      </w:pPr>
      <w:r w:rsidRPr="00521CEB">
        <w:t>ANNEX</w:t>
      </w:r>
    </w:p>
    <w:p w14:paraId="5A58C426" w14:textId="2F6C0D72" w:rsidR="004D50D1" w:rsidRDefault="004D50D1" w:rsidP="004D50D1">
      <w:pPr>
        <w:spacing w:before="60"/>
        <w:rPr>
          <w:sz w:val="18"/>
          <w:szCs w:val="18"/>
        </w:rPr>
      </w:pPr>
      <w:r>
        <w:rPr>
          <w:rFonts w:cstheme="minorHAnsi"/>
          <w:sz w:val="20"/>
          <w:szCs w:val="20"/>
        </w:rPr>
        <w:t xml:space="preserve">* </w:t>
      </w:r>
      <w:r w:rsidRPr="00497030">
        <w:rPr>
          <w:rFonts w:cstheme="minorHAnsi"/>
          <w:sz w:val="20"/>
          <w:szCs w:val="20"/>
        </w:rPr>
        <w:t xml:space="preserve">See Special Rapporteur on the rights </w:t>
      </w:r>
      <w:r>
        <w:rPr>
          <w:rFonts w:cstheme="minorHAnsi"/>
          <w:sz w:val="20"/>
          <w:szCs w:val="20"/>
        </w:rPr>
        <w:t xml:space="preserve">of persons with disabilities, </w:t>
      </w:r>
      <w:r w:rsidRPr="00597A95">
        <w:rPr>
          <w:rFonts w:cstheme="minorHAnsi"/>
          <w:sz w:val="20"/>
          <w:szCs w:val="20"/>
        </w:rPr>
        <w:t>report on the right of persons with disabilities to social protection</w:t>
      </w:r>
      <w:r>
        <w:rPr>
          <w:rFonts w:cstheme="minorHAnsi"/>
          <w:sz w:val="20"/>
          <w:szCs w:val="20"/>
        </w:rPr>
        <w:t>,</w:t>
      </w:r>
      <w:r w:rsidR="00597A95">
        <w:rPr>
          <w:rFonts w:cstheme="minorHAnsi"/>
          <w:sz w:val="20"/>
          <w:szCs w:val="20"/>
        </w:rPr>
        <w:t xml:space="preserve"> </w:t>
      </w:r>
      <w:hyperlink r:id="rId8" w:history="1">
        <w:r w:rsidR="00597A95" w:rsidRPr="007B361F">
          <w:rPr>
            <w:rStyle w:val="Hyperlink"/>
            <w:rFonts w:cstheme="minorHAnsi"/>
            <w:sz w:val="20"/>
            <w:szCs w:val="20"/>
          </w:rPr>
          <w:t>A/70/297</w:t>
        </w:r>
      </w:hyperlink>
      <w:r w:rsidR="00597A95">
        <w:rPr>
          <w:rFonts w:cstheme="minorHAnsi"/>
          <w:sz w:val="20"/>
          <w:szCs w:val="20"/>
        </w:rPr>
        <w:t>.</w:t>
      </w:r>
      <w:r>
        <w:rPr>
          <w:rFonts w:cstheme="minorHAnsi"/>
          <w:sz w:val="20"/>
          <w:szCs w:val="20"/>
        </w:rPr>
        <w:t xml:space="preserve"> See</w:t>
      </w:r>
      <w:r w:rsidRPr="00497030">
        <w:rPr>
          <w:rFonts w:cstheme="minorHAnsi"/>
          <w:sz w:val="20"/>
          <w:szCs w:val="20"/>
        </w:rPr>
        <w:t xml:space="preserve"> also </w:t>
      </w:r>
      <w:r>
        <w:rPr>
          <w:rFonts w:cstheme="minorHAnsi"/>
          <w:sz w:val="20"/>
          <w:szCs w:val="20"/>
        </w:rPr>
        <w:t xml:space="preserve">the Special  Rapporteur’s </w:t>
      </w:r>
      <w:r w:rsidRPr="004D50D1">
        <w:rPr>
          <w:sz w:val="18"/>
          <w:szCs w:val="18"/>
        </w:rPr>
        <w:t>f</w:t>
      </w:r>
      <w:r>
        <w:rPr>
          <w:sz w:val="18"/>
          <w:szCs w:val="18"/>
        </w:rPr>
        <w:t xml:space="preserve">actsheets on: </w:t>
      </w:r>
      <w:hyperlink r:id="rId9" w:history="1">
        <w:r w:rsidRPr="004D50D1">
          <w:rPr>
            <w:rStyle w:val="Hyperlink"/>
            <w:sz w:val="18"/>
            <w:szCs w:val="18"/>
          </w:rPr>
          <w:t>ensuring inclusion in social protection</w:t>
        </w:r>
      </w:hyperlink>
      <w:r>
        <w:rPr>
          <w:sz w:val="18"/>
          <w:szCs w:val="18"/>
        </w:rPr>
        <w:t xml:space="preserve">; </w:t>
      </w:r>
      <w:hyperlink r:id="rId10" w:history="1">
        <w:r w:rsidRPr="004D50D1">
          <w:rPr>
            <w:rStyle w:val="Hyperlink"/>
            <w:sz w:val="18"/>
            <w:szCs w:val="18"/>
          </w:rPr>
          <w:t>enabling choice and control for social protection that supports independence and participation</w:t>
        </w:r>
      </w:hyperlink>
      <w:r>
        <w:rPr>
          <w:sz w:val="18"/>
          <w:szCs w:val="18"/>
        </w:rPr>
        <w:t xml:space="preserve">; and </w:t>
      </w:r>
      <w:hyperlink r:id="rId11" w:history="1">
        <w:r w:rsidRPr="004D50D1">
          <w:rPr>
            <w:rStyle w:val="Hyperlink"/>
            <w:sz w:val="18"/>
            <w:szCs w:val="18"/>
          </w:rPr>
          <w:t>fighting poverty with inclusive social protection</w:t>
        </w:r>
      </w:hyperlink>
      <w:r>
        <w:rPr>
          <w:sz w:val="18"/>
          <w:szCs w:val="18"/>
        </w:rPr>
        <w:t>.</w:t>
      </w:r>
    </w:p>
    <w:sectPr w:rsidR="004D50D1" w:rsidSect="00526F34">
      <w:pgSz w:w="15840" w:h="12240" w:orient="landscape"/>
      <w:pgMar w:top="113"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BA292" w14:textId="77777777" w:rsidR="000E26FA" w:rsidRDefault="000E26FA" w:rsidP="000E7D8F">
      <w:pPr>
        <w:spacing w:after="0" w:line="240" w:lineRule="auto"/>
      </w:pPr>
      <w:r>
        <w:separator/>
      </w:r>
    </w:p>
  </w:endnote>
  <w:endnote w:type="continuationSeparator" w:id="0">
    <w:p w14:paraId="47D1C04F" w14:textId="77777777" w:rsidR="000E26FA" w:rsidRDefault="000E26FA" w:rsidP="000E7D8F">
      <w:pPr>
        <w:spacing w:after="0" w:line="240" w:lineRule="auto"/>
      </w:pPr>
      <w:r>
        <w:continuationSeparator/>
      </w:r>
    </w:p>
  </w:endnote>
  <w:endnote w:id="1">
    <w:p w14:paraId="4DBD9E4C" w14:textId="77777777" w:rsidR="00137DED" w:rsidRPr="00ED231E" w:rsidRDefault="00137DED" w:rsidP="00ED231E">
      <w:pPr>
        <w:pStyle w:val="EndnoteText"/>
        <w:rPr>
          <w:sz w:val="18"/>
          <w:szCs w:val="18"/>
        </w:rPr>
      </w:pPr>
      <w:r w:rsidRPr="00ED231E">
        <w:rPr>
          <w:rStyle w:val="EndnoteReference"/>
          <w:sz w:val="18"/>
          <w:szCs w:val="18"/>
        </w:rPr>
        <w:endnoteRef/>
      </w:r>
      <w:r w:rsidRPr="00ED231E">
        <w:rPr>
          <w:sz w:val="18"/>
          <w:szCs w:val="18"/>
        </w:rPr>
        <w:t xml:space="preserve"> Social protection legislation must include:</w:t>
      </w:r>
    </w:p>
    <w:p w14:paraId="7E6EA325" w14:textId="77777777" w:rsidR="00137DED" w:rsidRPr="00ED231E" w:rsidRDefault="00137DED" w:rsidP="00ED231E">
      <w:pPr>
        <w:pStyle w:val="ListParagraph"/>
        <w:numPr>
          <w:ilvl w:val="0"/>
          <w:numId w:val="3"/>
        </w:numPr>
        <w:spacing w:after="0" w:line="240" w:lineRule="auto"/>
        <w:rPr>
          <w:sz w:val="18"/>
          <w:szCs w:val="18"/>
        </w:rPr>
      </w:pPr>
      <w:r>
        <w:rPr>
          <w:sz w:val="18"/>
          <w:szCs w:val="18"/>
        </w:rPr>
        <w:t>Prohibition of d</w:t>
      </w:r>
      <w:r w:rsidRPr="00ED231E">
        <w:rPr>
          <w:sz w:val="18"/>
          <w:szCs w:val="18"/>
        </w:rPr>
        <w:t>iscrimination on the ground of disability in all aspects of program</w:t>
      </w:r>
      <w:r>
        <w:rPr>
          <w:sz w:val="18"/>
          <w:szCs w:val="18"/>
        </w:rPr>
        <w:t>me</w:t>
      </w:r>
      <w:r w:rsidRPr="00ED231E">
        <w:rPr>
          <w:sz w:val="18"/>
          <w:szCs w:val="18"/>
        </w:rPr>
        <w:t>s, including through the</w:t>
      </w:r>
      <w:r>
        <w:rPr>
          <w:sz w:val="18"/>
          <w:szCs w:val="18"/>
        </w:rPr>
        <w:t xml:space="preserve"> denial of</w:t>
      </w:r>
      <w:r w:rsidRPr="00ED231E">
        <w:rPr>
          <w:sz w:val="18"/>
          <w:szCs w:val="18"/>
        </w:rPr>
        <w:t xml:space="preserve"> reasonable accommodation;</w:t>
      </w:r>
    </w:p>
    <w:p w14:paraId="7575C4F7" w14:textId="77777777" w:rsidR="00137DED" w:rsidRPr="00ED231E" w:rsidRDefault="00137DED" w:rsidP="00ED231E">
      <w:pPr>
        <w:pStyle w:val="ListParagraph"/>
        <w:numPr>
          <w:ilvl w:val="0"/>
          <w:numId w:val="3"/>
        </w:numPr>
        <w:spacing w:after="0" w:line="240" w:lineRule="auto"/>
        <w:rPr>
          <w:sz w:val="18"/>
          <w:szCs w:val="18"/>
        </w:rPr>
      </w:pPr>
      <w:r>
        <w:rPr>
          <w:sz w:val="18"/>
          <w:szCs w:val="18"/>
        </w:rPr>
        <w:t>e</w:t>
      </w:r>
      <w:r w:rsidRPr="00ED231E">
        <w:rPr>
          <w:sz w:val="18"/>
          <w:szCs w:val="18"/>
        </w:rPr>
        <w:t>ffective access to mainstream schemes and to disability-specific schemes</w:t>
      </w:r>
      <w:r>
        <w:rPr>
          <w:sz w:val="18"/>
          <w:szCs w:val="18"/>
        </w:rPr>
        <w:t>;</w:t>
      </w:r>
    </w:p>
    <w:p w14:paraId="421221C1" w14:textId="77777777" w:rsidR="00137DED" w:rsidRPr="00ED231E" w:rsidRDefault="00137DED" w:rsidP="00ED231E">
      <w:pPr>
        <w:pStyle w:val="ListParagraph"/>
        <w:numPr>
          <w:ilvl w:val="0"/>
          <w:numId w:val="3"/>
        </w:numPr>
        <w:spacing w:after="0" w:line="240" w:lineRule="auto"/>
        <w:rPr>
          <w:sz w:val="18"/>
          <w:szCs w:val="18"/>
        </w:rPr>
      </w:pPr>
      <w:r>
        <w:rPr>
          <w:sz w:val="18"/>
          <w:szCs w:val="18"/>
        </w:rPr>
        <w:t>e</w:t>
      </w:r>
      <w:r w:rsidRPr="00ED231E">
        <w:rPr>
          <w:sz w:val="18"/>
          <w:szCs w:val="18"/>
        </w:rPr>
        <w:t xml:space="preserve">nsure that disability-related costs </w:t>
      </w:r>
      <w:r w:rsidRPr="00ED231E">
        <w:rPr>
          <w:rFonts w:ascii="Calibri" w:hAnsi="Calibri" w:cs="Calibri"/>
          <w:sz w:val="18"/>
          <w:szCs w:val="18"/>
        </w:rPr>
        <w:t xml:space="preserve">and support in cash and in kind (e.g. assistive devices, mobility aids) are reflected in national social protection systems </w:t>
      </w:r>
      <w:r w:rsidRPr="00ED231E">
        <w:rPr>
          <w:sz w:val="18"/>
          <w:szCs w:val="18"/>
        </w:rPr>
        <w:t>both in the est</w:t>
      </w:r>
      <w:r>
        <w:rPr>
          <w:sz w:val="18"/>
          <w:szCs w:val="18"/>
        </w:rPr>
        <w:t>ablishment of the level of the b</w:t>
      </w:r>
      <w:r w:rsidRPr="00ED231E">
        <w:rPr>
          <w:sz w:val="18"/>
          <w:szCs w:val="18"/>
        </w:rPr>
        <w:t>enefit as well as in the establishment of income thresholds (</w:t>
      </w:r>
      <w:r w:rsidRPr="00ED231E">
        <w:rPr>
          <w:rFonts w:ascii="Calibri" w:hAnsi="Calibri" w:cs="Calibri"/>
          <w:sz w:val="18"/>
          <w:szCs w:val="18"/>
        </w:rPr>
        <w:t>e.g. by including disability as a factor in proxy means tests for minimum income thresholds)</w:t>
      </w:r>
      <w:r w:rsidRPr="00ED231E">
        <w:rPr>
          <w:sz w:val="18"/>
          <w:szCs w:val="18"/>
        </w:rPr>
        <w:t xml:space="preserve">; </w:t>
      </w:r>
    </w:p>
    <w:p w14:paraId="4CA5C3DA" w14:textId="77777777" w:rsidR="00137DED" w:rsidRPr="00ED231E" w:rsidRDefault="00137DED" w:rsidP="00ED231E">
      <w:pPr>
        <w:pStyle w:val="ListParagraph"/>
        <w:numPr>
          <w:ilvl w:val="0"/>
          <w:numId w:val="3"/>
        </w:numPr>
        <w:spacing w:after="0" w:line="240" w:lineRule="auto"/>
        <w:rPr>
          <w:sz w:val="18"/>
          <w:szCs w:val="18"/>
        </w:rPr>
      </w:pPr>
      <w:r>
        <w:rPr>
          <w:sz w:val="18"/>
          <w:szCs w:val="18"/>
        </w:rPr>
        <w:t>p</w:t>
      </w:r>
      <w:r w:rsidRPr="00ED231E">
        <w:rPr>
          <w:sz w:val="18"/>
          <w:szCs w:val="18"/>
        </w:rPr>
        <w:t xml:space="preserve">rovision of financial support necessary to ensure inclusion in the community of persons with disabilities of all ages, </w:t>
      </w:r>
      <w:r>
        <w:rPr>
          <w:sz w:val="18"/>
          <w:szCs w:val="18"/>
        </w:rPr>
        <w:t xml:space="preserve">encompassing </w:t>
      </w:r>
      <w:r w:rsidRPr="00ED231E">
        <w:rPr>
          <w:sz w:val="18"/>
          <w:szCs w:val="18"/>
        </w:rPr>
        <w:t>specific age groups (children, youth, working-age adults and older persons), including support to leave an institution or avoid institutionalization, to adapt housing, to obtain disability</w:t>
      </w:r>
      <w:r>
        <w:rPr>
          <w:sz w:val="18"/>
          <w:szCs w:val="18"/>
        </w:rPr>
        <w:t>-</w:t>
      </w:r>
      <w:r w:rsidRPr="00ED231E">
        <w:rPr>
          <w:sz w:val="18"/>
          <w:szCs w:val="18"/>
        </w:rPr>
        <w:t>related supports and services in a manner inclusive of persons with disabilities;</w:t>
      </w:r>
    </w:p>
    <w:p w14:paraId="0E575AC4" w14:textId="77777777" w:rsidR="00137DED" w:rsidRPr="00ED231E" w:rsidRDefault="00137DED" w:rsidP="00ED231E">
      <w:pPr>
        <w:pStyle w:val="ListParagraph"/>
        <w:numPr>
          <w:ilvl w:val="0"/>
          <w:numId w:val="3"/>
        </w:numPr>
        <w:spacing w:after="0" w:line="240" w:lineRule="auto"/>
        <w:rPr>
          <w:sz w:val="18"/>
          <w:szCs w:val="18"/>
        </w:rPr>
      </w:pPr>
      <w:r>
        <w:rPr>
          <w:sz w:val="18"/>
          <w:szCs w:val="18"/>
        </w:rPr>
        <w:t>c</w:t>
      </w:r>
      <w:r w:rsidRPr="00ED231E">
        <w:rPr>
          <w:sz w:val="18"/>
          <w:szCs w:val="18"/>
        </w:rPr>
        <w:t xml:space="preserve">ompatibility between </w:t>
      </w:r>
      <w:r>
        <w:rPr>
          <w:sz w:val="18"/>
          <w:szCs w:val="18"/>
        </w:rPr>
        <w:t xml:space="preserve">eligibility for, and </w:t>
      </w:r>
      <w:r w:rsidRPr="00ED231E">
        <w:rPr>
          <w:sz w:val="18"/>
          <w:szCs w:val="18"/>
        </w:rPr>
        <w:t>reception of benefits and employment;</w:t>
      </w:r>
    </w:p>
    <w:p w14:paraId="4841B924" w14:textId="77777777" w:rsidR="00137DED" w:rsidRPr="00ED231E" w:rsidRDefault="00137DED" w:rsidP="00ED231E">
      <w:pPr>
        <w:pStyle w:val="ListParagraph"/>
        <w:numPr>
          <w:ilvl w:val="0"/>
          <w:numId w:val="3"/>
        </w:numPr>
        <w:spacing w:after="0" w:line="240" w:lineRule="auto"/>
        <w:rPr>
          <w:sz w:val="18"/>
          <w:szCs w:val="18"/>
        </w:rPr>
      </w:pPr>
      <w:r>
        <w:rPr>
          <w:sz w:val="18"/>
          <w:szCs w:val="18"/>
        </w:rPr>
        <w:t>proactive measures to p</w:t>
      </w:r>
      <w:r w:rsidRPr="00ED231E">
        <w:rPr>
          <w:sz w:val="18"/>
          <w:szCs w:val="18"/>
        </w:rPr>
        <w:t>has</w:t>
      </w:r>
      <w:r>
        <w:rPr>
          <w:sz w:val="18"/>
          <w:szCs w:val="18"/>
        </w:rPr>
        <w:t>e</w:t>
      </w:r>
      <w:r w:rsidRPr="00ED231E">
        <w:rPr>
          <w:sz w:val="18"/>
          <w:szCs w:val="18"/>
        </w:rPr>
        <w:t xml:space="preserve"> out </w:t>
      </w:r>
      <w:r>
        <w:rPr>
          <w:sz w:val="18"/>
          <w:szCs w:val="18"/>
        </w:rPr>
        <w:t>residential institutions</w:t>
      </w:r>
      <w:r w:rsidRPr="00ED231E">
        <w:rPr>
          <w:sz w:val="18"/>
          <w:szCs w:val="18"/>
        </w:rPr>
        <w:t xml:space="preserve"> by replacement with adequate</w:t>
      </w:r>
      <w:r>
        <w:rPr>
          <w:sz w:val="18"/>
          <w:szCs w:val="18"/>
        </w:rPr>
        <w:t xml:space="preserve"> and appropriate</w:t>
      </w:r>
      <w:r w:rsidRPr="00ED231E">
        <w:rPr>
          <w:sz w:val="18"/>
          <w:szCs w:val="18"/>
        </w:rPr>
        <w:t xml:space="preserve"> social protection program</w:t>
      </w:r>
      <w:r>
        <w:rPr>
          <w:sz w:val="18"/>
          <w:szCs w:val="18"/>
        </w:rPr>
        <w:t>me</w:t>
      </w:r>
      <w:r w:rsidRPr="00ED231E">
        <w:rPr>
          <w:sz w:val="18"/>
          <w:szCs w:val="18"/>
        </w:rPr>
        <w:t>s that meet the needs of persons with disabilities in the community;</w:t>
      </w:r>
    </w:p>
    <w:p w14:paraId="1C686CCD" w14:textId="77777777" w:rsidR="00137DED" w:rsidRPr="00ED231E" w:rsidRDefault="00137DED" w:rsidP="00ED231E">
      <w:pPr>
        <w:pStyle w:val="ListParagraph"/>
        <w:numPr>
          <w:ilvl w:val="0"/>
          <w:numId w:val="3"/>
        </w:numPr>
        <w:spacing w:after="0" w:line="240" w:lineRule="auto"/>
        <w:rPr>
          <w:sz w:val="18"/>
          <w:szCs w:val="18"/>
        </w:rPr>
      </w:pPr>
      <w:r>
        <w:rPr>
          <w:sz w:val="18"/>
          <w:szCs w:val="18"/>
        </w:rPr>
        <w:t>e</w:t>
      </w:r>
      <w:r w:rsidRPr="00ED231E">
        <w:rPr>
          <w:sz w:val="18"/>
          <w:szCs w:val="18"/>
        </w:rPr>
        <w:t>ligibility for benefits can be met without medical diagnosis, based instead on interactive assessment of needs</w:t>
      </w:r>
      <w:r>
        <w:rPr>
          <w:sz w:val="18"/>
          <w:szCs w:val="18"/>
        </w:rPr>
        <w:t>.</w:t>
      </w:r>
    </w:p>
    <w:p w14:paraId="6D22BC54" w14:textId="77777777" w:rsidR="00137DED" w:rsidRPr="007373E4" w:rsidRDefault="00137DED" w:rsidP="00ED231E">
      <w:pPr>
        <w:spacing w:after="0" w:line="240" w:lineRule="auto"/>
        <w:rPr>
          <w:sz w:val="18"/>
          <w:szCs w:val="18"/>
        </w:rPr>
      </w:pPr>
      <w:r w:rsidRPr="00ED231E">
        <w:rPr>
          <w:sz w:val="18"/>
          <w:szCs w:val="18"/>
        </w:rPr>
        <w:t xml:space="preserve"> For further guidance, see </w:t>
      </w:r>
      <w:hyperlink r:id="rId1" w:history="1">
        <w:r w:rsidRPr="007373E4">
          <w:rPr>
            <w:rStyle w:val="Hyperlink"/>
            <w:sz w:val="18"/>
            <w:szCs w:val="18"/>
          </w:rPr>
          <w:t>2019 joint statement “Towards inclusive social protection systems supporting the full and effective participation of persons with disabilities"</w:t>
        </w:r>
      </w:hyperlink>
    </w:p>
  </w:endnote>
  <w:endnote w:id="2">
    <w:p w14:paraId="689FC3C5" w14:textId="77777777" w:rsidR="00137DED" w:rsidRPr="00ED231E" w:rsidRDefault="00137DED" w:rsidP="00ED231E">
      <w:pPr>
        <w:pStyle w:val="EndnoteText"/>
        <w:rPr>
          <w:sz w:val="18"/>
          <w:szCs w:val="18"/>
        </w:rPr>
      </w:pPr>
      <w:r w:rsidRPr="007373E4">
        <w:rPr>
          <w:rStyle w:val="EndnoteReference"/>
          <w:sz w:val="18"/>
          <w:szCs w:val="18"/>
        </w:rPr>
        <w:endnoteRef/>
      </w:r>
      <w:r w:rsidRPr="007373E4">
        <w:rPr>
          <w:sz w:val="18"/>
          <w:szCs w:val="18"/>
        </w:rPr>
        <w:t xml:space="preserve"> Mainstream contributory and non-contributory social protection systems and programmes</w:t>
      </w:r>
      <w:r w:rsidRPr="007373E4">
        <w:rPr>
          <w:rFonts w:cstheme="minorHAnsi"/>
          <w:sz w:val="18"/>
          <w:szCs w:val="18"/>
        </w:rPr>
        <w:t xml:space="preserve"> include those pertaining to all workers, to all children, to all older persons, etc.</w:t>
      </w:r>
    </w:p>
  </w:endnote>
  <w:endnote w:id="3">
    <w:p w14:paraId="54265413" w14:textId="77777777" w:rsidR="00137DED" w:rsidRPr="00ED231E" w:rsidRDefault="00137DED" w:rsidP="00ED231E">
      <w:pPr>
        <w:pStyle w:val="EndnoteText"/>
        <w:rPr>
          <w:sz w:val="18"/>
          <w:szCs w:val="18"/>
        </w:rPr>
      </w:pPr>
      <w:r w:rsidRPr="00ED231E">
        <w:rPr>
          <w:rStyle w:val="EndnoteReference"/>
          <w:sz w:val="18"/>
          <w:szCs w:val="18"/>
        </w:rPr>
        <w:endnoteRef/>
      </w:r>
      <w:r w:rsidRPr="00ED231E">
        <w:rPr>
          <w:sz w:val="18"/>
          <w:szCs w:val="18"/>
        </w:rPr>
        <w:t xml:space="preserve"> These systems and programmes should ensure:</w:t>
      </w:r>
    </w:p>
    <w:p w14:paraId="5D74523D" w14:textId="77777777" w:rsidR="00137DED" w:rsidRPr="00ED231E" w:rsidRDefault="00137DED" w:rsidP="00ED231E">
      <w:pPr>
        <w:pStyle w:val="ListParagraph"/>
        <w:numPr>
          <w:ilvl w:val="0"/>
          <w:numId w:val="3"/>
        </w:numPr>
        <w:spacing w:after="0" w:line="240" w:lineRule="auto"/>
        <w:rPr>
          <w:rFonts w:cstheme="minorHAnsi"/>
          <w:sz w:val="18"/>
          <w:szCs w:val="18"/>
        </w:rPr>
      </w:pPr>
      <w:r w:rsidRPr="00ED231E">
        <w:rPr>
          <w:rFonts w:cstheme="minorHAnsi"/>
          <w:sz w:val="18"/>
          <w:szCs w:val="18"/>
        </w:rPr>
        <w:t xml:space="preserve">social protection floors (see </w:t>
      </w:r>
      <w:hyperlink r:id="rId2" w:history="1">
        <w:r w:rsidRPr="00ED231E">
          <w:rPr>
            <w:rStyle w:val="Hyperlink"/>
            <w:rFonts w:cstheme="minorHAnsi"/>
            <w:sz w:val="18"/>
            <w:szCs w:val="18"/>
          </w:rPr>
          <w:t>ILO guidance</w:t>
        </w:r>
      </w:hyperlink>
      <w:r w:rsidRPr="00ED231E">
        <w:rPr>
          <w:rFonts w:cstheme="minorHAnsi"/>
          <w:sz w:val="18"/>
          <w:szCs w:val="18"/>
        </w:rPr>
        <w:t>)</w:t>
      </w:r>
    </w:p>
    <w:p w14:paraId="5283D93B" w14:textId="77777777" w:rsidR="00137DED" w:rsidRPr="00ED231E" w:rsidRDefault="00137DED" w:rsidP="00ED231E">
      <w:pPr>
        <w:pStyle w:val="ListParagraph"/>
        <w:numPr>
          <w:ilvl w:val="0"/>
          <w:numId w:val="3"/>
        </w:numPr>
        <w:spacing w:after="0" w:line="240" w:lineRule="auto"/>
        <w:rPr>
          <w:rFonts w:cstheme="minorHAnsi"/>
          <w:sz w:val="18"/>
          <w:szCs w:val="18"/>
        </w:rPr>
      </w:pPr>
      <w:r>
        <w:rPr>
          <w:rFonts w:cstheme="minorHAnsi"/>
          <w:sz w:val="18"/>
          <w:szCs w:val="18"/>
        </w:rPr>
        <w:t>i</w:t>
      </w:r>
      <w:r w:rsidRPr="00ED231E">
        <w:rPr>
          <w:rFonts w:cstheme="minorHAnsi"/>
          <w:sz w:val="18"/>
          <w:szCs w:val="18"/>
        </w:rPr>
        <w:t xml:space="preserve">n the case of adults with disabilities, that the payments are provided directly to the </w:t>
      </w:r>
      <w:r>
        <w:rPr>
          <w:rFonts w:cstheme="minorHAnsi"/>
          <w:sz w:val="18"/>
          <w:szCs w:val="18"/>
        </w:rPr>
        <w:t xml:space="preserve">concerned </w:t>
      </w:r>
      <w:r w:rsidRPr="00ED231E">
        <w:rPr>
          <w:rFonts w:cstheme="minorHAnsi"/>
          <w:sz w:val="18"/>
          <w:szCs w:val="18"/>
        </w:rPr>
        <w:t>person with disabilities;</w:t>
      </w:r>
    </w:p>
    <w:p w14:paraId="27319BEE" w14:textId="77777777" w:rsidR="00137DED" w:rsidRPr="00ED231E" w:rsidRDefault="00137DED" w:rsidP="00ED231E">
      <w:pPr>
        <w:pStyle w:val="ListParagraph"/>
        <w:numPr>
          <w:ilvl w:val="0"/>
          <w:numId w:val="3"/>
        </w:numPr>
        <w:spacing w:after="0" w:line="240" w:lineRule="auto"/>
        <w:rPr>
          <w:rFonts w:cstheme="minorHAnsi"/>
          <w:color w:val="000000"/>
          <w:sz w:val="18"/>
          <w:szCs w:val="18"/>
        </w:rPr>
      </w:pPr>
      <w:r>
        <w:rPr>
          <w:rFonts w:cstheme="minorHAnsi"/>
          <w:sz w:val="18"/>
          <w:szCs w:val="18"/>
        </w:rPr>
        <w:t>w</w:t>
      </w:r>
      <w:r w:rsidRPr="00ED231E">
        <w:rPr>
          <w:rFonts w:cstheme="minorHAnsi"/>
          <w:sz w:val="18"/>
          <w:szCs w:val="18"/>
        </w:rPr>
        <w:t xml:space="preserve">ithin contributory programmes, government-financed contributions for persons with disabilities who have limited </w:t>
      </w:r>
      <w:r w:rsidRPr="00ED231E">
        <w:rPr>
          <w:rFonts w:cstheme="minorHAnsi"/>
          <w:color w:val="000000"/>
          <w:sz w:val="18"/>
          <w:szCs w:val="18"/>
        </w:rPr>
        <w:t>contributory capacity;</w:t>
      </w:r>
    </w:p>
    <w:p w14:paraId="3537B7BA" w14:textId="77777777" w:rsidR="00137DED" w:rsidRPr="00ED231E" w:rsidRDefault="00137DED" w:rsidP="00ED231E">
      <w:pPr>
        <w:pStyle w:val="ListParagraph"/>
        <w:numPr>
          <w:ilvl w:val="0"/>
          <w:numId w:val="3"/>
        </w:numPr>
        <w:spacing w:after="0" w:line="240" w:lineRule="auto"/>
        <w:rPr>
          <w:rFonts w:cstheme="minorHAnsi"/>
          <w:color w:val="000000"/>
          <w:sz w:val="18"/>
          <w:szCs w:val="18"/>
        </w:rPr>
      </w:pPr>
      <w:r>
        <w:rPr>
          <w:rFonts w:cstheme="minorHAnsi"/>
          <w:color w:val="000000"/>
          <w:sz w:val="18"/>
          <w:szCs w:val="18"/>
        </w:rPr>
        <w:t>the c</w:t>
      </w:r>
      <w:r w:rsidRPr="00ED231E">
        <w:rPr>
          <w:rFonts w:cstheme="minorHAnsi"/>
          <w:color w:val="000000"/>
          <w:sz w:val="18"/>
          <w:szCs w:val="18"/>
        </w:rPr>
        <w:t>ontinuity of benefits and services when moving from a contributory scheme to a non-contributory one;</w:t>
      </w:r>
    </w:p>
    <w:p w14:paraId="3590323D" w14:textId="77777777" w:rsidR="00137DED" w:rsidRPr="00ED231E" w:rsidRDefault="00137DED" w:rsidP="00ED231E">
      <w:pPr>
        <w:pStyle w:val="ListParagraph"/>
        <w:numPr>
          <w:ilvl w:val="0"/>
          <w:numId w:val="3"/>
        </w:numPr>
        <w:spacing w:after="0" w:line="240" w:lineRule="auto"/>
        <w:jc w:val="both"/>
        <w:rPr>
          <w:rFonts w:cstheme="minorHAnsi"/>
          <w:sz w:val="18"/>
          <w:szCs w:val="18"/>
        </w:rPr>
      </w:pPr>
      <w:r w:rsidRPr="00ED231E">
        <w:rPr>
          <w:rFonts w:cstheme="minorHAnsi"/>
          <w:color w:val="000000"/>
          <w:sz w:val="18"/>
          <w:szCs w:val="18"/>
        </w:rPr>
        <w:t xml:space="preserve">Conditional Cash Transfer programmes, or similar programmes which condition the receipt of assistance, must </w:t>
      </w:r>
      <w:r>
        <w:rPr>
          <w:rFonts w:cstheme="minorHAnsi"/>
          <w:color w:val="000000"/>
          <w:sz w:val="18"/>
          <w:szCs w:val="18"/>
        </w:rPr>
        <w:t xml:space="preserve">make available </w:t>
      </w:r>
      <w:r w:rsidRPr="00ED231E">
        <w:rPr>
          <w:rFonts w:cstheme="minorHAnsi"/>
          <w:color w:val="000000"/>
          <w:sz w:val="18"/>
          <w:szCs w:val="18"/>
        </w:rPr>
        <w:t>accommodations and supports for persons with disabilities to ensure that persons with disabilities and their families are in a position to meet those conditions to facilitate effective access to programmes.</w:t>
      </w:r>
    </w:p>
  </w:endnote>
  <w:endnote w:id="4">
    <w:p w14:paraId="77E41590" w14:textId="77777777" w:rsidR="00137DED" w:rsidRPr="00ED231E" w:rsidRDefault="00137DED" w:rsidP="00ED231E">
      <w:pPr>
        <w:autoSpaceDE w:val="0"/>
        <w:autoSpaceDN w:val="0"/>
        <w:adjustRightInd w:val="0"/>
        <w:spacing w:after="0" w:line="240" w:lineRule="auto"/>
        <w:jc w:val="both"/>
        <w:rPr>
          <w:sz w:val="18"/>
          <w:szCs w:val="18"/>
        </w:rPr>
      </w:pPr>
      <w:r w:rsidRPr="00ED231E">
        <w:rPr>
          <w:rStyle w:val="EndnoteReference"/>
          <w:sz w:val="18"/>
          <w:szCs w:val="18"/>
        </w:rPr>
        <w:endnoteRef/>
      </w:r>
      <w:r w:rsidRPr="00ED231E">
        <w:rPr>
          <w:sz w:val="18"/>
          <w:szCs w:val="18"/>
        </w:rPr>
        <w:t xml:space="preserve"> Legislation which restricts persons with disabilities in the exercise of their full legal capacity </w:t>
      </w:r>
      <w:r>
        <w:rPr>
          <w:sz w:val="18"/>
          <w:szCs w:val="18"/>
        </w:rPr>
        <w:t xml:space="preserve">(contrary to Article 12 of the CRPD) </w:t>
      </w:r>
      <w:r w:rsidRPr="00ED231E">
        <w:rPr>
          <w:sz w:val="18"/>
          <w:szCs w:val="18"/>
        </w:rPr>
        <w:t xml:space="preserve">commonly prevents signing of contracts and managing bank accounts, which may prevent persons with disabilities from receiving benefits and support or from exercising full control of the given benefit and support. Social protection programmes must not require any restriction of legal capacity as a pre-condition to accessing benefits and must be designed to provide adequate accommodations to foster choice, control and autonomy </w:t>
      </w:r>
      <w:r>
        <w:rPr>
          <w:sz w:val="18"/>
          <w:szCs w:val="18"/>
        </w:rPr>
        <w:t>over</w:t>
      </w:r>
      <w:r w:rsidRPr="00ED231E">
        <w:rPr>
          <w:sz w:val="18"/>
          <w:szCs w:val="18"/>
        </w:rPr>
        <w:t xml:space="preserve"> their benefits and support</w:t>
      </w:r>
      <w:r>
        <w:rPr>
          <w:sz w:val="18"/>
          <w:szCs w:val="18"/>
        </w:rPr>
        <w:t xml:space="preserve"> </w:t>
      </w:r>
      <w:r w:rsidRPr="00ED231E">
        <w:rPr>
          <w:sz w:val="18"/>
          <w:szCs w:val="18"/>
        </w:rPr>
        <w:t>by the individual concerned.</w:t>
      </w:r>
    </w:p>
  </w:endnote>
  <w:endnote w:id="5">
    <w:p w14:paraId="041C397D" w14:textId="77777777" w:rsidR="00137DED" w:rsidRPr="00ED231E" w:rsidRDefault="00137DED" w:rsidP="00ED231E">
      <w:pPr>
        <w:pStyle w:val="EndnoteText"/>
        <w:jc w:val="both"/>
        <w:rPr>
          <w:rFonts w:cstheme="minorHAnsi"/>
          <w:sz w:val="18"/>
          <w:szCs w:val="18"/>
        </w:rPr>
      </w:pPr>
      <w:r w:rsidRPr="00ED231E">
        <w:rPr>
          <w:rStyle w:val="EndnoteReference"/>
          <w:sz w:val="18"/>
          <w:szCs w:val="18"/>
        </w:rPr>
        <w:endnoteRef/>
      </w:r>
      <w:r w:rsidRPr="00ED231E">
        <w:rPr>
          <w:sz w:val="18"/>
          <w:szCs w:val="18"/>
        </w:rPr>
        <w:t xml:space="preserve"> Conditionalities associated with benefits should not be required where there are barriers that prevent persons with disabilities from fulfilling them. For example, cash transfer schemes that are conditional upon school attendance where schools are not accessible to persons with disabilities, or where the absence of accessible transport prevents access to health clinics. Conditionalities </w:t>
      </w:r>
      <w:r w:rsidRPr="00ED231E">
        <w:rPr>
          <w:rFonts w:cstheme="minorHAnsi"/>
          <w:sz w:val="18"/>
          <w:szCs w:val="18"/>
        </w:rPr>
        <w:t xml:space="preserve">should also not lead to adverse effects </w:t>
      </w:r>
      <w:r>
        <w:rPr>
          <w:rFonts w:cstheme="minorHAnsi"/>
          <w:sz w:val="18"/>
          <w:szCs w:val="18"/>
        </w:rPr>
        <w:t>n</w:t>
      </w:r>
      <w:r w:rsidRPr="00ED231E">
        <w:rPr>
          <w:rFonts w:cstheme="minorHAnsi"/>
          <w:sz w:val="18"/>
          <w:szCs w:val="18"/>
        </w:rPr>
        <w:t>or infringe the rights of persons with disabilities under the CRPD; e.g. requirement to comply with rehabilitation or treatment (including mental health treatment) against one´s will, or living in a segregated setting as a condition to receiving benefits.</w:t>
      </w:r>
    </w:p>
  </w:endnote>
  <w:endnote w:id="6">
    <w:p w14:paraId="49D633C5" w14:textId="694C9648" w:rsidR="00137DED" w:rsidRPr="00DD35DD" w:rsidRDefault="00137DED" w:rsidP="00F11D6C">
      <w:pPr>
        <w:pStyle w:val="EndnoteText"/>
        <w:jc w:val="both"/>
        <w:rPr>
          <w:sz w:val="18"/>
          <w:szCs w:val="18"/>
        </w:rPr>
      </w:pPr>
      <w:r w:rsidRPr="00ED231E">
        <w:rPr>
          <w:rStyle w:val="EndnoteReference"/>
          <w:sz w:val="18"/>
          <w:szCs w:val="18"/>
        </w:rPr>
        <w:endnoteRef/>
      </w:r>
      <w:r w:rsidRPr="00ED231E">
        <w:rPr>
          <w:sz w:val="18"/>
          <w:szCs w:val="18"/>
        </w:rPr>
        <w:t xml:space="preserve"> </w:t>
      </w:r>
      <w:r w:rsidRPr="00DD35DD">
        <w:rPr>
          <w:sz w:val="18"/>
          <w:szCs w:val="18"/>
        </w:rPr>
        <w:t>This indicator requires verifying concrete activities undertaken by public authorities to involve persons with disabilities in decision-making processes related to issues that directly or indirectly aff</w:t>
      </w:r>
      <w:r>
        <w:rPr>
          <w:sz w:val="18"/>
          <w:szCs w:val="18"/>
        </w:rPr>
        <w:t>ect them in line with article 4(</w:t>
      </w:r>
      <w:r w:rsidRPr="00DD35DD">
        <w:rPr>
          <w:sz w:val="18"/>
          <w:szCs w:val="18"/>
        </w:rPr>
        <w:t>3</w:t>
      </w:r>
      <w:r>
        <w:rPr>
          <w:sz w:val="18"/>
          <w:szCs w:val="18"/>
        </w:rPr>
        <w:t>)</w:t>
      </w:r>
      <w:r w:rsidRPr="00DD35DD">
        <w:rPr>
          <w:sz w:val="18"/>
          <w:szCs w:val="18"/>
        </w:rPr>
        <w:t xml:space="preserve"> of the CRPD</w:t>
      </w:r>
      <w:r>
        <w:rPr>
          <w:sz w:val="18"/>
          <w:szCs w:val="18"/>
        </w:rPr>
        <w:t xml:space="preserve"> and </w:t>
      </w:r>
      <w:hyperlink r:id="rId3" w:history="1">
        <w:r w:rsidRPr="00597A95">
          <w:rPr>
            <w:rStyle w:val="Hyperlink"/>
            <w:sz w:val="18"/>
            <w:szCs w:val="18"/>
          </w:rPr>
          <w:t>General Comment no. 7</w:t>
        </w:r>
      </w:hyperlink>
      <w:r>
        <w:rPr>
          <w:sz w:val="18"/>
          <w:szCs w:val="18"/>
        </w:rPr>
        <w:t xml:space="preserve"> of the CRPD Committee</w:t>
      </w:r>
      <w:r w:rsidRPr="00DD35DD">
        <w:rPr>
          <w:sz w:val="18"/>
          <w:szCs w:val="18"/>
        </w:rPr>
        <w:t xml:space="preserve">, </w:t>
      </w:r>
      <w:r w:rsidRPr="006D3D7F">
        <w:rPr>
          <w:sz w:val="18"/>
          <w:szCs w:val="18"/>
        </w:rPr>
        <w:t>including consultation meetings, technical briefings, online consultation surveys, calls for comments on draft legislation and policies, among other methods and mechanisms of participation</w:t>
      </w:r>
      <w:r w:rsidRPr="00DD35DD">
        <w:rPr>
          <w:sz w:val="18"/>
          <w:szCs w:val="18"/>
        </w:rPr>
        <w:t>. In this regard, States must</w:t>
      </w:r>
    </w:p>
    <w:p w14:paraId="398CF1B8" w14:textId="77777777" w:rsidR="00137DED" w:rsidRPr="00DD35DD" w:rsidRDefault="00137DED" w:rsidP="00F11D6C">
      <w:pPr>
        <w:pStyle w:val="EndnoteText"/>
        <w:numPr>
          <w:ilvl w:val="0"/>
          <w:numId w:val="4"/>
        </w:numPr>
        <w:ind w:left="714" w:hanging="357"/>
        <w:contextualSpacing/>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accessible</w:t>
      </w:r>
      <w:r>
        <w:rPr>
          <w:rFonts w:cstheme="minorHAnsi"/>
          <w:sz w:val="18"/>
          <w:szCs w:val="18"/>
        </w:rPr>
        <w:t>;</w:t>
      </w:r>
    </w:p>
    <w:p w14:paraId="6F2201EC" w14:textId="77777777" w:rsidR="00137DED" w:rsidRPr="00DD35DD" w:rsidRDefault="00137DED" w:rsidP="00F11D6C">
      <w:pPr>
        <w:pStyle w:val="EndnoteText"/>
        <w:numPr>
          <w:ilvl w:val="0"/>
          <w:numId w:val="4"/>
        </w:numPr>
        <w:ind w:left="714" w:hanging="357"/>
        <w:contextualSpacing/>
        <w:rPr>
          <w:sz w:val="18"/>
          <w:szCs w:val="18"/>
        </w:rPr>
      </w:pPr>
      <w:r w:rsidRPr="00DD35DD">
        <w:rPr>
          <w:sz w:val="18"/>
          <w:szCs w:val="18"/>
        </w:rPr>
        <w:t>ensure provision of appropriate and accessible information</w:t>
      </w:r>
      <w:r>
        <w:rPr>
          <w:sz w:val="18"/>
          <w:szCs w:val="18"/>
        </w:rPr>
        <w:t>;</w:t>
      </w:r>
    </w:p>
    <w:p w14:paraId="06B0B206" w14:textId="77777777" w:rsidR="00137DED" w:rsidRPr="00DD35DD" w:rsidRDefault="00137DED" w:rsidP="00F11D6C">
      <w:pPr>
        <w:pStyle w:val="EndnoteText"/>
        <w:numPr>
          <w:ilvl w:val="0"/>
          <w:numId w:val="4"/>
        </w:numPr>
        <w:ind w:left="714" w:hanging="357"/>
        <w:contextualSpacing/>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reely expressing their opinions;</w:t>
      </w:r>
    </w:p>
    <w:p w14:paraId="43AA4A40" w14:textId="77777777" w:rsidR="00137DED" w:rsidRDefault="00137DED" w:rsidP="0051740E">
      <w:pPr>
        <w:pStyle w:val="EndnoteText"/>
        <w:numPr>
          <w:ilvl w:val="0"/>
          <w:numId w:val="4"/>
        </w:numPr>
        <w:ind w:left="714" w:hanging="357"/>
        <w:contextualSpacing/>
        <w:rPr>
          <w:sz w:val="18"/>
          <w:szCs w:val="18"/>
        </w:rPr>
      </w:pPr>
      <w:r w:rsidRPr="00DD35DD">
        <w:rPr>
          <w:sz w:val="18"/>
          <w:szCs w:val="18"/>
        </w:rPr>
        <w:t>include both registered and unregistered organ</w:t>
      </w:r>
      <w:r>
        <w:rPr>
          <w:sz w:val="18"/>
          <w:szCs w:val="18"/>
        </w:rPr>
        <w:t>izations;</w:t>
      </w:r>
    </w:p>
    <w:p w14:paraId="76EF4A52" w14:textId="77777777" w:rsidR="00137DED" w:rsidRDefault="00137DED" w:rsidP="0051740E">
      <w:pPr>
        <w:pStyle w:val="EndnoteText"/>
        <w:numPr>
          <w:ilvl w:val="0"/>
          <w:numId w:val="16"/>
        </w:numPr>
        <w:jc w:val="both"/>
        <w:rPr>
          <w:sz w:val="18"/>
          <w:szCs w:val="18"/>
        </w:rPr>
      </w:pPr>
      <w:r w:rsidRPr="0051740E">
        <w:rPr>
          <w:sz w:val="18"/>
          <w:szCs w:val="18"/>
        </w:rPr>
        <w:t xml:space="preserve">ensure early and continuous involvement; </w:t>
      </w:r>
    </w:p>
    <w:p w14:paraId="55031A28" w14:textId="77777777" w:rsidR="00137DED" w:rsidRPr="0051740E" w:rsidRDefault="00137DED" w:rsidP="0051740E">
      <w:pPr>
        <w:pStyle w:val="EndnoteText"/>
        <w:numPr>
          <w:ilvl w:val="0"/>
          <w:numId w:val="16"/>
        </w:numPr>
        <w:jc w:val="both"/>
        <w:rPr>
          <w:sz w:val="18"/>
          <w:szCs w:val="18"/>
        </w:rPr>
      </w:pPr>
      <w:r w:rsidRPr="0051740E">
        <w:rPr>
          <w:sz w:val="18"/>
          <w:szCs w:val="18"/>
        </w:rPr>
        <w:t xml:space="preserve">cover </w:t>
      </w:r>
      <w:r w:rsidRPr="0051740E">
        <w:rPr>
          <w:rFonts w:cstheme="minorHAnsi"/>
          <w:sz w:val="18"/>
          <w:szCs w:val="18"/>
        </w:rPr>
        <w:t>related expenses of participants.</w:t>
      </w:r>
    </w:p>
  </w:endnote>
  <w:endnote w:id="7">
    <w:p w14:paraId="730F5FCC" w14:textId="77777777" w:rsidR="00137DED" w:rsidRPr="00FB191D" w:rsidRDefault="00137DED" w:rsidP="00067FC9">
      <w:pPr>
        <w:pStyle w:val="CommentText"/>
        <w:spacing w:after="0"/>
        <w:jc w:val="both"/>
      </w:pPr>
      <w:r w:rsidRPr="00ED231E">
        <w:rPr>
          <w:rStyle w:val="EndnoteReference"/>
          <w:sz w:val="18"/>
          <w:szCs w:val="18"/>
        </w:rPr>
        <w:endnoteRef/>
      </w:r>
      <w:r>
        <w:rPr>
          <w:sz w:val="18"/>
          <w:szCs w:val="18"/>
        </w:rPr>
        <w:t>Training should also i</w:t>
      </w:r>
      <w:r w:rsidRPr="00BF3223">
        <w:rPr>
          <w:sz w:val="18"/>
          <w:szCs w:val="18"/>
        </w:rPr>
        <w:t>nclude:</w:t>
      </w:r>
      <w:r>
        <w:rPr>
          <w:sz w:val="18"/>
          <w:szCs w:val="18"/>
        </w:rPr>
        <w:t xml:space="preserve"> </w:t>
      </w:r>
      <w:r w:rsidRPr="00BF3223">
        <w:rPr>
          <w:rFonts w:cstheme="minorHAnsi"/>
          <w:sz w:val="18"/>
          <w:szCs w:val="18"/>
        </w:rPr>
        <w:t xml:space="preserve">the human </w:t>
      </w:r>
      <w:proofErr w:type="gramStart"/>
      <w:r w:rsidRPr="00BF3223">
        <w:rPr>
          <w:rFonts w:cstheme="minorHAnsi"/>
          <w:sz w:val="18"/>
          <w:szCs w:val="18"/>
        </w:rPr>
        <w:t>righ</w:t>
      </w:r>
      <w:r>
        <w:rPr>
          <w:rFonts w:cstheme="minorHAnsi"/>
          <w:sz w:val="18"/>
          <w:szCs w:val="18"/>
        </w:rPr>
        <w:t>ts based</w:t>
      </w:r>
      <w:proofErr w:type="gramEnd"/>
      <w:r>
        <w:rPr>
          <w:rFonts w:cstheme="minorHAnsi"/>
          <w:sz w:val="18"/>
          <w:szCs w:val="18"/>
        </w:rPr>
        <w:t xml:space="preserve"> approach to disability,</w:t>
      </w:r>
      <w:r w:rsidRPr="0082111D">
        <w:rPr>
          <w:rFonts w:cstheme="minorHAnsi"/>
          <w:sz w:val="18"/>
          <w:szCs w:val="18"/>
        </w:rPr>
        <w:t xml:space="preserve"> non-discrimination and the provision of reasonable accommodation, universal design, accessibility (including accessible information</w:t>
      </w:r>
      <w:r>
        <w:rPr>
          <w:rFonts w:cstheme="minorHAnsi"/>
          <w:sz w:val="18"/>
          <w:szCs w:val="18"/>
        </w:rPr>
        <w:t xml:space="preserve"> and communications).</w:t>
      </w:r>
    </w:p>
  </w:endnote>
  <w:endnote w:id="8">
    <w:p w14:paraId="2FDB0B33" w14:textId="77777777" w:rsidR="00137DED" w:rsidRPr="00ED231E" w:rsidRDefault="00137DED" w:rsidP="00ED231E">
      <w:pPr>
        <w:pStyle w:val="EndnoteText"/>
        <w:rPr>
          <w:sz w:val="18"/>
          <w:szCs w:val="18"/>
        </w:rPr>
      </w:pPr>
      <w:r w:rsidRPr="00ED231E">
        <w:rPr>
          <w:rStyle w:val="EndnoteReference"/>
          <w:sz w:val="18"/>
          <w:szCs w:val="18"/>
        </w:rPr>
        <w:endnoteRef/>
      </w:r>
      <w:r w:rsidRPr="00ED231E">
        <w:rPr>
          <w:sz w:val="18"/>
          <w:szCs w:val="18"/>
        </w:rPr>
        <w:t xml:space="preserve"> </w:t>
      </w:r>
      <w:r w:rsidRPr="00ED231E">
        <w:rPr>
          <w:rFonts w:cstheme="minorHAnsi"/>
          <w:sz w:val="18"/>
          <w:szCs w:val="18"/>
        </w:rPr>
        <w:t xml:space="preserve">Including </w:t>
      </w:r>
      <w:r w:rsidRPr="00ED231E">
        <w:rPr>
          <w:sz w:val="18"/>
          <w:szCs w:val="18"/>
        </w:rPr>
        <w:t>training and counselling for persons with disabilities and their families</w:t>
      </w:r>
      <w:r>
        <w:rPr>
          <w:sz w:val="18"/>
          <w:szCs w:val="18"/>
        </w:rPr>
        <w:t>, and combating stigma of persons with disabilities in accessing social protection schemes and benefits</w:t>
      </w:r>
      <w:r w:rsidRPr="00ED231E">
        <w:rPr>
          <w:sz w:val="18"/>
          <w:szCs w:val="18"/>
        </w:rPr>
        <w:t xml:space="preserve">.  </w:t>
      </w:r>
    </w:p>
  </w:endnote>
  <w:endnote w:id="9">
    <w:p w14:paraId="01496133" w14:textId="77777777" w:rsidR="00137DED" w:rsidRPr="00ED231E" w:rsidRDefault="00137DED" w:rsidP="00ED231E">
      <w:pPr>
        <w:pStyle w:val="EndnoteText"/>
        <w:jc w:val="both"/>
        <w:rPr>
          <w:sz w:val="18"/>
          <w:szCs w:val="18"/>
        </w:rPr>
      </w:pPr>
      <w:r w:rsidRPr="00ED231E">
        <w:rPr>
          <w:rStyle w:val="EndnoteReference"/>
          <w:sz w:val="18"/>
          <w:szCs w:val="18"/>
        </w:rPr>
        <w:endnoteRef/>
      </w:r>
      <w:r w:rsidRPr="00ED231E">
        <w:rPr>
          <w:sz w:val="18"/>
          <w:szCs w:val="18"/>
        </w:rPr>
        <w:t xml:space="preserve"> The PPP figure should be used as updated by the World Bank. The PPP can be used in conjunction with the </w:t>
      </w:r>
      <w:hyperlink r:id="rId4" w:anchor="t295n2956" w:history="1">
        <w:r w:rsidRPr="00ED231E">
          <w:rPr>
            <w:rStyle w:val="Hyperlink"/>
            <w:sz w:val="18"/>
            <w:szCs w:val="18"/>
          </w:rPr>
          <w:t>multi-dimensional poverty index (MPI)</w:t>
        </w:r>
      </w:hyperlink>
      <w:r w:rsidRPr="00ED231E">
        <w:rPr>
          <w:sz w:val="18"/>
          <w:szCs w:val="18"/>
        </w:rPr>
        <w:t xml:space="preserve"> which identifies multiple deprivations at the household and individual level in health, education and standard of living, and thus offers a valuable complement to income-based poverty measures. If </w:t>
      </w:r>
      <w:proofErr w:type="gramStart"/>
      <w:r w:rsidRPr="00ED231E">
        <w:rPr>
          <w:sz w:val="18"/>
          <w:szCs w:val="18"/>
        </w:rPr>
        <w:t>possible</w:t>
      </w:r>
      <w:proofErr w:type="gramEnd"/>
      <w:r w:rsidRPr="00ED231E">
        <w:rPr>
          <w:sz w:val="18"/>
          <w:szCs w:val="18"/>
        </w:rPr>
        <w:t xml:space="preserve"> to ascertain both,</w:t>
      </w:r>
      <w:r w:rsidRPr="00ED231E" w:rsidDel="00DA2111">
        <w:rPr>
          <w:sz w:val="18"/>
          <w:szCs w:val="18"/>
        </w:rPr>
        <w:t xml:space="preserve"> </w:t>
      </w:r>
      <w:r w:rsidRPr="00ED231E">
        <w:rPr>
          <w:sz w:val="18"/>
          <w:szCs w:val="18"/>
        </w:rPr>
        <w:t xml:space="preserve">using the MPI and PPP can provide a more comprehensive </w:t>
      </w:r>
      <w:r>
        <w:rPr>
          <w:sz w:val="18"/>
          <w:szCs w:val="18"/>
        </w:rPr>
        <w:t>for</w:t>
      </w:r>
      <w:r w:rsidRPr="00ED231E">
        <w:rPr>
          <w:sz w:val="18"/>
          <w:szCs w:val="18"/>
        </w:rPr>
        <w:t xml:space="preserve"> policymakers.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6A860" w14:textId="77777777" w:rsidR="000E26FA" w:rsidRDefault="000E26FA" w:rsidP="000E7D8F">
      <w:pPr>
        <w:spacing w:after="0" w:line="240" w:lineRule="auto"/>
      </w:pPr>
      <w:r>
        <w:separator/>
      </w:r>
    </w:p>
  </w:footnote>
  <w:footnote w:type="continuationSeparator" w:id="0">
    <w:p w14:paraId="1DFECAAC" w14:textId="77777777" w:rsidR="000E26FA" w:rsidRDefault="000E26FA" w:rsidP="000E7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C3F72"/>
    <w:multiLevelType w:val="hybridMultilevel"/>
    <w:tmpl w:val="6B82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F59B2"/>
    <w:multiLevelType w:val="hybridMultilevel"/>
    <w:tmpl w:val="807CB144"/>
    <w:lvl w:ilvl="0" w:tplc="FF643DBC">
      <w:start w:val="21"/>
      <w:numFmt w:val="bullet"/>
      <w:lvlText w:val="-"/>
      <w:lvlJc w:val="left"/>
      <w:pPr>
        <w:ind w:left="720" w:hanging="360"/>
      </w:pPr>
      <w:rPr>
        <w:rFonts w:ascii="Arial" w:eastAsia="Times New Roman" w:hAnsi="Arial" w:cs="Arial"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60FA6"/>
    <w:multiLevelType w:val="multilevel"/>
    <w:tmpl w:val="006A2ECC"/>
    <w:lvl w:ilvl="0">
      <w:start w:val="28"/>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360" w:hanging="36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080" w:hanging="1080"/>
      </w:pPr>
      <w:rPr>
        <w:rFonts w:cstheme="minorHAnsi" w:hint="default"/>
      </w:rPr>
    </w:lvl>
    <w:lvl w:ilvl="8">
      <w:start w:val="1"/>
      <w:numFmt w:val="decimal"/>
      <w:lvlText w:val="%1.%2.%3.%4.%5.%6.%7.%8.%9"/>
      <w:lvlJc w:val="left"/>
      <w:pPr>
        <w:ind w:left="1440" w:hanging="1440"/>
      </w:pPr>
      <w:rPr>
        <w:rFonts w:cstheme="minorHAnsi" w:hint="default"/>
      </w:rPr>
    </w:lvl>
  </w:abstractNum>
  <w:abstractNum w:abstractNumId="3" w15:restartNumberingAfterBreak="0">
    <w:nsid w:val="1F301BFC"/>
    <w:multiLevelType w:val="hybridMultilevel"/>
    <w:tmpl w:val="3A72ADD4"/>
    <w:lvl w:ilvl="0" w:tplc="11228F46">
      <w:start w:val="1"/>
      <w:numFmt w:val="decimal"/>
      <w:lvlText w:val="%1."/>
      <w:lvlJc w:val="left"/>
      <w:pPr>
        <w:ind w:left="1854" w:hanging="360"/>
      </w:pPr>
      <w:rPr>
        <w:rFonts w:hint="default"/>
        <w:b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FBB442F"/>
    <w:multiLevelType w:val="hybridMultilevel"/>
    <w:tmpl w:val="C5DABD2E"/>
    <w:lvl w:ilvl="0" w:tplc="3DF4167A">
      <w:start w:val="16"/>
      <w:numFmt w:val="bullet"/>
      <w:lvlText w:val="-"/>
      <w:lvlJc w:val="left"/>
      <w:pPr>
        <w:ind w:left="720" w:hanging="360"/>
      </w:pPr>
      <w:rPr>
        <w:rFonts w:ascii="Calibri" w:eastAsiaTheme="minorHAnsi" w:hAnsi="Calibri" w:cs="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35549"/>
    <w:multiLevelType w:val="hybridMultilevel"/>
    <w:tmpl w:val="8CE4682C"/>
    <w:lvl w:ilvl="0" w:tplc="B1F0DA26">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E6274"/>
    <w:multiLevelType w:val="hybridMultilevel"/>
    <w:tmpl w:val="71682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67034B"/>
    <w:multiLevelType w:val="hybridMultilevel"/>
    <w:tmpl w:val="FCCA6AD6"/>
    <w:lvl w:ilvl="0" w:tplc="65666EDC">
      <w:start w:val="16"/>
      <w:numFmt w:val="bullet"/>
      <w:lvlText w:val="-"/>
      <w:lvlJc w:val="left"/>
      <w:pPr>
        <w:ind w:left="720" w:hanging="360"/>
      </w:pPr>
      <w:rPr>
        <w:rFonts w:ascii="Calibri" w:eastAsiaTheme="minorHAnsi" w:hAnsi="Calibri" w:hint="default"/>
        <w:b w:val="0"/>
        <w:color w:val="00000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912565"/>
    <w:multiLevelType w:val="hybridMultilevel"/>
    <w:tmpl w:val="CD5E48BA"/>
    <w:lvl w:ilvl="0" w:tplc="A05451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255F7A"/>
    <w:multiLevelType w:val="hybridMultilevel"/>
    <w:tmpl w:val="1F323102"/>
    <w:lvl w:ilvl="0" w:tplc="65666EDC">
      <w:start w:val="16"/>
      <w:numFmt w:val="bullet"/>
      <w:lvlText w:val="-"/>
      <w:lvlJc w:val="left"/>
      <w:pPr>
        <w:ind w:left="720" w:hanging="360"/>
      </w:pPr>
      <w:rPr>
        <w:rFonts w:ascii="Calibri" w:eastAsiaTheme="minorHAnsi" w:hAnsi="Calibri" w:hint="default"/>
        <w:b w:val="0"/>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DD0324"/>
    <w:multiLevelType w:val="hybridMultilevel"/>
    <w:tmpl w:val="9F88D026"/>
    <w:lvl w:ilvl="0" w:tplc="4A6805FA">
      <w:numFmt w:val="bullet"/>
      <w:lvlText w:val="-"/>
      <w:lvlJc w:val="left"/>
      <w:pPr>
        <w:ind w:left="720" w:hanging="360"/>
      </w:pPr>
      <w:rPr>
        <w:rFonts w:ascii="Calibri" w:eastAsiaTheme="minorHAnsi" w:hAnsi="Calibri" w:cstheme="minorBid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5684A"/>
    <w:multiLevelType w:val="hybridMultilevel"/>
    <w:tmpl w:val="542C75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0756D0"/>
    <w:multiLevelType w:val="hybridMultilevel"/>
    <w:tmpl w:val="49D87228"/>
    <w:lvl w:ilvl="0" w:tplc="FF643DBC">
      <w:start w:val="2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F751FC"/>
    <w:multiLevelType w:val="hybridMultilevel"/>
    <w:tmpl w:val="A96C0646"/>
    <w:lvl w:ilvl="0" w:tplc="A19663C2">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5F6741"/>
    <w:multiLevelType w:val="hybridMultilevel"/>
    <w:tmpl w:val="12084090"/>
    <w:lvl w:ilvl="0" w:tplc="A05451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6"/>
  </w:num>
  <w:num w:numId="4">
    <w:abstractNumId w:val="8"/>
  </w:num>
  <w:num w:numId="5">
    <w:abstractNumId w:val="3"/>
  </w:num>
  <w:num w:numId="6">
    <w:abstractNumId w:val="0"/>
  </w:num>
  <w:num w:numId="7">
    <w:abstractNumId w:val="15"/>
  </w:num>
  <w:num w:numId="8">
    <w:abstractNumId w:val="1"/>
  </w:num>
  <w:num w:numId="9">
    <w:abstractNumId w:val="9"/>
  </w:num>
  <w:num w:numId="10">
    <w:abstractNumId w:val="11"/>
  </w:num>
  <w:num w:numId="11">
    <w:abstractNumId w:val="6"/>
  </w:num>
  <w:num w:numId="12">
    <w:abstractNumId w:val="8"/>
  </w:num>
  <w:num w:numId="13">
    <w:abstractNumId w:val="2"/>
  </w:num>
  <w:num w:numId="14">
    <w:abstractNumId w:val="13"/>
  </w:num>
  <w:num w:numId="15">
    <w:abstractNumId w:val="5"/>
  </w:num>
  <w:num w:numId="16">
    <w:abstractNumId w:val="10"/>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B1"/>
    <w:rsid w:val="000005A0"/>
    <w:rsid w:val="00001E99"/>
    <w:rsid w:val="0001047B"/>
    <w:rsid w:val="00015D98"/>
    <w:rsid w:val="00030032"/>
    <w:rsid w:val="00031BE9"/>
    <w:rsid w:val="00062DAA"/>
    <w:rsid w:val="00067FC9"/>
    <w:rsid w:val="00073B65"/>
    <w:rsid w:val="00075F69"/>
    <w:rsid w:val="000862DE"/>
    <w:rsid w:val="00086E76"/>
    <w:rsid w:val="000931FF"/>
    <w:rsid w:val="00097ECC"/>
    <w:rsid w:val="000A28DD"/>
    <w:rsid w:val="000A2EF9"/>
    <w:rsid w:val="000B6966"/>
    <w:rsid w:val="000C49B5"/>
    <w:rsid w:val="000E26FA"/>
    <w:rsid w:val="000E4FD5"/>
    <w:rsid w:val="000E7D8F"/>
    <w:rsid w:val="00107F6F"/>
    <w:rsid w:val="00135122"/>
    <w:rsid w:val="00137DED"/>
    <w:rsid w:val="00140F78"/>
    <w:rsid w:val="001423E2"/>
    <w:rsid w:val="00146186"/>
    <w:rsid w:val="001504A7"/>
    <w:rsid w:val="00174120"/>
    <w:rsid w:val="001831C1"/>
    <w:rsid w:val="001A0812"/>
    <w:rsid w:val="001A3099"/>
    <w:rsid w:val="001B55D5"/>
    <w:rsid w:val="001C06BC"/>
    <w:rsid w:val="001C24DF"/>
    <w:rsid w:val="001E471F"/>
    <w:rsid w:val="001E701A"/>
    <w:rsid w:val="00205391"/>
    <w:rsid w:val="002178A6"/>
    <w:rsid w:val="00220AFA"/>
    <w:rsid w:val="00237F73"/>
    <w:rsid w:val="00252AC3"/>
    <w:rsid w:val="0025529E"/>
    <w:rsid w:val="00257443"/>
    <w:rsid w:val="00260666"/>
    <w:rsid w:val="00260CD4"/>
    <w:rsid w:val="002616FE"/>
    <w:rsid w:val="0027303A"/>
    <w:rsid w:val="00291446"/>
    <w:rsid w:val="002A4805"/>
    <w:rsid w:val="002A649D"/>
    <w:rsid w:val="002A6964"/>
    <w:rsid w:val="002B19A1"/>
    <w:rsid w:val="002B26FF"/>
    <w:rsid w:val="002C15E9"/>
    <w:rsid w:val="002F2F5C"/>
    <w:rsid w:val="00326297"/>
    <w:rsid w:val="003456D4"/>
    <w:rsid w:val="003567C1"/>
    <w:rsid w:val="00361910"/>
    <w:rsid w:val="003759C9"/>
    <w:rsid w:val="003B1FB1"/>
    <w:rsid w:val="003B68D1"/>
    <w:rsid w:val="003B6984"/>
    <w:rsid w:val="003B7D0D"/>
    <w:rsid w:val="003B7E4E"/>
    <w:rsid w:val="003D107F"/>
    <w:rsid w:val="003D2F9C"/>
    <w:rsid w:val="003D334E"/>
    <w:rsid w:val="003D501D"/>
    <w:rsid w:val="003F2DAB"/>
    <w:rsid w:val="003F6605"/>
    <w:rsid w:val="0041194D"/>
    <w:rsid w:val="00412581"/>
    <w:rsid w:val="00442530"/>
    <w:rsid w:val="00452978"/>
    <w:rsid w:val="00476C08"/>
    <w:rsid w:val="00484844"/>
    <w:rsid w:val="00490CEC"/>
    <w:rsid w:val="004A29D8"/>
    <w:rsid w:val="004A5E5F"/>
    <w:rsid w:val="004B1092"/>
    <w:rsid w:val="004D14DF"/>
    <w:rsid w:val="004D50D1"/>
    <w:rsid w:val="004D79D8"/>
    <w:rsid w:val="004D7C04"/>
    <w:rsid w:val="004E4D9D"/>
    <w:rsid w:val="004E5ECC"/>
    <w:rsid w:val="004E7159"/>
    <w:rsid w:val="004F3D86"/>
    <w:rsid w:val="00503738"/>
    <w:rsid w:val="00504EEF"/>
    <w:rsid w:val="0051740E"/>
    <w:rsid w:val="00521CEB"/>
    <w:rsid w:val="0052248C"/>
    <w:rsid w:val="00524C6D"/>
    <w:rsid w:val="00526F34"/>
    <w:rsid w:val="00537A09"/>
    <w:rsid w:val="00540CF9"/>
    <w:rsid w:val="005419ED"/>
    <w:rsid w:val="00541E71"/>
    <w:rsid w:val="005506DE"/>
    <w:rsid w:val="00554509"/>
    <w:rsid w:val="00566807"/>
    <w:rsid w:val="005734C6"/>
    <w:rsid w:val="00575814"/>
    <w:rsid w:val="005775FD"/>
    <w:rsid w:val="00584F5A"/>
    <w:rsid w:val="00592BB4"/>
    <w:rsid w:val="005949D3"/>
    <w:rsid w:val="00597A95"/>
    <w:rsid w:val="005A0B55"/>
    <w:rsid w:val="005A1A6A"/>
    <w:rsid w:val="005A223A"/>
    <w:rsid w:val="005A4A90"/>
    <w:rsid w:val="005D510B"/>
    <w:rsid w:val="005D5D9C"/>
    <w:rsid w:val="005E5CF0"/>
    <w:rsid w:val="00601BEC"/>
    <w:rsid w:val="006243F4"/>
    <w:rsid w:val="006359A5"/>
    <w:rsid w:val="006400B0"/>
    <w:rsid w:val="006442EC"/>
    <w:rsid w:val="006513D4"/>
    <w:rsid w:val="0065144E"/>
    <w:rsid w:val="006557CF"/>
    <w:rsid w:val="00676D7C"/>
    <w:rsid w:val="00684677"/>
    <w:rsid w:val="0069034B"/>
    <w:rsid w:val="006B09D2"/>
    <w:rsid w:val="006B5190"/>
    <w:rsid w:val="006B5CDD"/>
    <w:rsid w:val="006C071D"/>
    <w:rsid w:val="006D1654"/>
    <w:rsid w:val="006D30F4"/>
    <w:rsid w:val="006D57EA"/>
    <w:rsid w:val="006F430B"/>
    <w:rsid w:val="006F6BB8"/>
    <w:rsid w:val="00701128"/>
    <w:rsid w:val="00702091"/>
    <w:rsid w:val="00702368"/>
    <w:rsid w:val="00710899"/>
    <w:rsid w:val="00714804"/>
    <w:rsid w:val="007373E4"/>
    <w:rsid w:val="00743652"/>
    <w:rsid w:val="00760E05"/>
    <w:rsid w:val="00782227"/>
    <w:rsid w:val="00786018"/>
    <w:rsid w:val="007A5679"/>
    <w:rsid w:val="007C684F"/>
    <w:rsid w:val="007D5890"/>
    <w:rsid w:val="007D5D74"/>
    <w:rsid w:val="007E482B"/>
    <w:rsid w:val="008057F4"/>
    <w:rsid w:val="008108C3"/>
    <w:rsid w:val="00823591"/>
    <w:rsid w:val="00833CED"/>
    <w:rsid w:val="0084530C"/>
    <w:rsid w:val="00871C3C"/>
    <w:rsid w:val="00872EF2"/>
    <w:rsid w:val="0088168F"/>
    <w:rsid w:val="008859F5"/>
    <w:rsid w:val="00896B65"/>
    <w:rsid w:val="008A0E4A"/>
    <w:rsid w:val="008D44B3"/>
    <w:rsid w:val="008F5732"/>
    <w:rsid w:val="0090059C"/>
    <w:rsid w:val="0098644C"/>
    <w:rsid w:val="00995CBF"/>
    <w:rsid w:val="009B3B89"/>
    <w:rsid w:val="009F5005"/>
    <w:rsid w:val="009F6E73"/>
    <w:rsid w:val="00A15D38"/>
    <w:rsid w:val="00A168B1"/>
    <w:rsid w:val="00A358CB"/>
    <w:rsid w:val="00A5408F"/>
    <w:rsid w:val="00A71CAB"/>
    <w:rsid w:val="00A8184F"/>
    <w:rsid w:val="00A9246A"/>
    <w:rsid w:val="00A96AE8"/>
    <w:rsid w:val="00A97098"/>
    <w:rsid w:val="00AB69F4"/>
    <w:rsid w:val="00AF3953"/>
    <w:rsid w:val="00B11748"/>
    <w:rsid w:val="00B121E9"/>
    <w:rsid w:val="00B1220F"/>
    <w:rsid w:val="00B209EE"/>
    <w:rsid w:val="00B26B05"/>
    <w:rsid w:val="00B325E0"/>
    <w:rsid w:val="00B452EF"/>
    <w:rsid w:val="00B555CA"/>
    <w:rsid w:val="00B556DD"/>
    <w:rsid w:val="00B603B8"/>
    <w:rsid w:val="00BA1F21"/>
    <w:rsid w:val="00BA4646"/>
    <w:rsid w:val="00BA5BAB"/>
    <w:rsid w:val="00BB70EC"/>
    <w:rsid w:val="00BD5CC7"/>
    <w:rsid w:val="00BE4D50"/>
    <w:rsid w:val="00BF03AA"/>
    <w:rsid w:val="00BF5AC5"/>
    <w:rsid w:val="00C173C7"/>
    <w:rsid w:val="00C17CA3"/>
    <w:rsid w:val="00C209FB"/>
    <w:rsid w:val="00C2367A"/>
    <w:rsid w:val="00C3046F"/>
    <w:rsid w:val="00C3191D"/>
    <w:rsid w:val="00C35CE4"/>
    <w:rsid w:val="00C41329"/>
    <w:rsid w:val="00C62702"/>
    <w:rsid w:val="00C64170"/>
    <w:rsid w:val="00C66625"/>
    <w:rsid w:val="00C9754A"/>
    <w:rsid w:val="00C9780D"/>
    <w:rsid w:val="00CB4BE6"/>
    <w:rsid w:val="00CD1BA7"/>
    <w:rsid w:val="00CD2CBC"/>
    <w:rsid w:val="00CE30A8"/>
    <w:rsid w:val="00CF776F"/>
    <w:rsid w:val="00D12592"/>
    <w:rsid w:val="00D14D06"/>
    <w:rsid w:val="00D31BD2"/>
    <w:rsid w:val="00D31EDA"/>
    <w:rsid w:val="00D53397"/>
    <w:rsid w:val="00D54DD9"/>
    <w:rsid w:val="00D71605"/>
    <w:rsid w:val="00D8348A"/>
    <w:rsid w:val="00D91439"/>
    <w:rsid w:val="00DA2111"/>
    <w:rsid w:val="00DA3073"/>
    <w:rsid w:val="00DB5466"/>
    <w:rsid w:val="00DC04A3"/>
    <w:rsid w:val="00DC1714"/>
    <w:rsid w:val="00DD66FD"/>
    <w:rsid w:val="00DF0156"/>
    <w:rsid w:val="00DF56A1"/>
    <w:rsid w:val="00E0221C"/>
    <w:rsid w:val="00E05FF8"/>
    <w:rsid w:val="00E14717"/>
    <w:rsid w:val="00E56839"/>
    <w:rsid w:val="00E64C6D"/>
    <w:rsid w:val="00E72B46"/>
    <w:rsid w:val="00E72B64"/>
    <w:rsid w:val="00E9049E"/>
    <w:rsid w:val="00EB06D2"/>
    <w:rsid w:val="00ED231E"/>
    <w:rsid w:val="00ED3DA7"/>
    <w:rsid w:val="00EE631B"/>
    <w:rsid w:val="00EF500B"/>
    <w:rsid w:val="00EF73F5"/>
    <w:rsid w:val="00F11D6C"/>
    <w:rsid w:val="00F208BF"/>
    <w:rsid w:val="00F562DE"/>
    <w:rsid w:val="00F62D6C"/>
    <w:rsid w:val="00F63625"/>
    <w:rsid w:val="00F82D44"/>
    <w:rsid w:val="00F95161"/>
    <w:rsid w:val="00F95256"/>
    <w:rsid w:val="00FB063E"/>
    <w:rsid w:val="00FB191D"/>
    <w:rsid w:val="00FB4327"/>
    <w:rsid w:val="00FC3BCF"/>
    <w:rsid w:val="00FD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2173"/>
  <w14:defaultImageDpi w14:val="32767"/>
  <w15:chartTrackingRefBased/>
  <w15:docId w15:val="{78408024-FE89-F346-9067-027EDDF5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B1"/>
    <w:pPr>
      <w:spacing w:after="200" w:line="276" w:lineRule="auto"/>
    </w:pPr>
    <w:rPr>
      <w:sz w:val="22"/>
      <w:szCs w:val="22"/>
      <w:lang w:val="en-GB"/>
    </w:rPr>
  </w:style>
  <w:style w:type="paragraph" w:styleId="Heading1">
    <w:name w:val="heading 1"/>
    <w:basedOn w:val="Normal"/>
    <w:next w:val="Normal"/>
    <w:link w:val="Heading1Char"/>
    <w:uiPriority w:val="9"/>
    <w:qFormat/>
    <w:rsid w:val="00C66625"/>
    <w:pPr>
      <w:spacing w:after="0" w:line="240" w:lineRule="auto"/>
      <w:jc w:val="center"/>
      <w:outlineLvl w:val="0"/>
    </w:pPr>
    <w:rPr>
      <w:rFonts w:cstheme="minorHAnsi"/>
      <w:b/>
      <w:sz w:val="18"/>
      <w:szCs w:val="18"/>
    </w:rPr>
  </w:style>
  <w:style w:type="paragraph" w:styleId="Heading2">
    <w:name w:val="heading 2"/>
    <w:basedOn w:val="ListParagraph"/>
    <w:next w:val="Normal"/>
    <w:link w:val="Heading2Char"/>
    <w:uiPriority w:val="9"/>
    <w:unhideWhenUsed/>
    <w:qFormat/>
    <w:rsid w:val="00C66625"/>
    <w:pPr>
      <w:spacing w:after="0" w:line="240" w:lineRule="auto"/>
      <w:ind w:left="0"/>
      <w:outlineLvl w:val="1"/>
    </w:pPr>
    <w:rPr>
      <w:rFonts w:cstheme="minorHAnsi"/>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7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76F"/>
    <w:rPr>
      <w:rFonts w:ascii="Segoe UI" w:hAnsi="Segoe UI" w:cs="Segoe UI"/>
      <w:sz w:val="18"/>
      <w:szCs w:val="18"/>
      <w:lang w:val="en-GB"/>
    </w:rPr>
  </w:style>
  <w:style w:type="character" w:styleId="CommentReference">
    <w:name w:val="annotation reference"/>
    <w:basedOn w:val="DefaultParagraphFont"/>
    <w:uiPriority w:val="99"/>
    <w:semiHidden/>
    <w:unhideWhenUsed/>
    <w:rsid w:val="00073B65"/>
    <w:rPr>
      <w:sz w:val="16"/>
      <w:szCs w:val="16"/>
    </w:rPr>
  </w:style>
  <w:style w:type="paragraph" w:styleId="CommentText">
    <w:name w:val="annotation text"/>
    <w:basedOn w:val="Normal"/>
    <w:link w:val="CommentTextChar"/>
    <w:uiPriority w:val="99"/>
    <w:unhideWhenUsed/>
    <w:rsid w:val="00073B65"/>
    <w:pPr>
      <w:spacing w:line="240" w:lineRule="auto"/>
    </w:pPr>
    <w:rPr>
      <w:sz w:val="20"/>
      <w:szCs w:val="20"/>
    </w:rPr>
  </w:style>
  <w:style w:type="character" w:customStyle="1" w:styleId="CommentTextChar">
    <w:name w:val="Comment Text Char"/>
    <w:basedOn w:val="DefaultParagraphFont"/>
    <w:link w:val="CommentText"/>
    <w:uiPriority w:val="99"/>
    <w:rsid w:val="00073B65"/>
    <w:rPr>
      <w:sz w:val="20"/>
      <w:szCs w:val="20"/>
      <w:lang w:val="en-GB"/>
    </w:rPr>
  </w:style>
  <w:style w:type="paragraph" w:styleId="CommentSubject">
    <w:name w:val="annotation subject"/>
    <w:basedOn w:val="CommentText"/>
    <w:next w:val="CommentText"/>
    <w:link w:val="CommentSubjectChar"/>
    <w:uiPriority w:val="99"/>
    <w:semiHidden/>
    <w:unhideWhenUsed/>
    <w:rsid w:val="00073B65"/>
    <w:rPr>
      <w:b/>
      <w:bCs/>
    </w:rPr>
  </w:style>
  <w:style w:type="character" w:customStyle="1" w:styleId="CommentSubjectChar">
    <w:name w:val="Comment Subject Char"/>
    <w:basedOn w:val="CommentTextChar"/>
    <w:link w:val="CommentSubject"/>
    <w:uiPriority w:val="99"/>
    <w:semiHidden/>
    <w:rsid w:val="00073B65"/>
    <w:rPr>
      <w:b/>
      <w:bCs/>
      <w:sz w:val="20"/>
      <w:szCs w:val="20"/>
      <w:lang w:val="en-GB"/>
    </w:rPr>
  </w:style>
  <w:style w:type="paragraph" w:customStyle="1" w:styleId="SingleTxtG">
    <w:name w:val="_ Single Txt_G"/>
    <w:basedOn w:val="Normal"/>
    <w:link w:val="SingleTxtGChar"/>
    <w:rsid w:val="000E7D8F"/>
    <w:pPr>
      <w:suppressAutoHyphens/>
      <w:spacing w:after="120" w:line="240" w:lineRule="atLeast"/>
      <w:ind w:left="1134" w:right="1134"/>
      <w:jc w:val="both"/>
    </w:pPr>
    <w:rPr>
      <w:rFonts w:ascii="Times New Roman" w:eastAsia="Times New Roman" w:hAnsi="Times New Roman" w:cs="Times New Roman"/>
      <w:sz w:val="20"/>
      <w:szCs w:val="20"/>
    </w:rPr>
  </w:style>
  <w:style w:type="character" w:styleId="FootnoteReference">
    <w:name w:val="footnote reference"/>
    <w:aliases w:val="4_G"/>
    <w:rsid w:val="000E7D8F"/>
    <w:rPr>
      <w:rFonts w:ascii="Times New Roman" w:hAnsi="Times New Roman"/>
      <w:sz w:val="18"/>
      <w:vertAlign w:val="superscript"/>
    </w:rPr>
  </w:style>
  <w:style w:type="paragraph" w:styleId="FootnoteText">
    <w:name w:val="footnote text"/>
    <w:aliases w:val="5_G"/>
    <w:basedOn w:val="Normal"/>
    <w:link w:val="FootnoteTextChar"/>
    <w:rsid w:val="000E7D8F"/>
    <w:pPr>
      <w:tabs>
        <w:tab w:val="right" w:pos="1021"/>
      </w:tabs>
      <w:suppressAutoHyphens/>
      <w:spacing w:after="0" w:line="220" w:lineRule="exact"/>
      <w:ind w:left="1134" w:right="1134" w:hanging="1134"/>
    </w:pPr>
    <w:rPr>
      <w:rFonts w:ascii="Times New Roman" w:eastAsia="Times New Roman" w:hAnsi="Times New Roman" w:cs="Times New Roman"/>
      <w:sz w:val="18"/>
      <w:szCs w:val="20"/>
    </w:rPr>
  </w:style>
  <w:style w:type="character" w:customStyle="1" w:styleId="FootnoteTextChar">
    <w:name w:val="Footnote Text Char"/>
    <w:aliases w:val="5_G Char"/>
    <w:basedOn w:val="DefaultParagraphFont"/>
    <w:link w:val="FootnoteText"/>
    <w:rsid w:val="000E7D8F"/>
    <w:rPr>
      <w:rFonts w:ascii="Times New Roman" w:eastAsia="Times New Roman" w:hAnsi="Times New Roman" w:cs="Times New Roman"/>
      <w:sz w:val="18"/>
      <w:szCs w:val="20"/>
      <w:lang w:val="en-GB"/>
    </w:rPr>
  </w:style>
  <w:style w:type="character" w:customStyle="1" w:styleId="SingleTxtGChar">
    <w:name w:val="_ Single Txt_G Char"/>
    <w:link w:val="SingleTxtG"/>
    <w:rsid w:val="000E7D8F"/>
    <w:rPr>
      <w:rFonts w:ascii="Times New Roman" w:eastAsia="Times New Roman" w:hAnsi="Times New Roman" w:cs="Times New Roman"/>
      <w:sz w:val="20"/>
      <w:szCs w:val="20"/>
      <w:lang w:val="en-GB"/>
    </w:rPr>
  </w:style>
  <w:style w:type="character" w:customStyle="1" w:styleId="highlight">
    <w:name w:val="highlight"/>
    <w:basedOn w:val="DefaultParagraphFont"/>
    <w:rsid w:val="00E56839"/>
  </w:style>
  <w:style w:type="paragraph" w:styleId="Header">
    <w:name w:val="header"/>
    <w:basedOn w:val="Normal"/>
    <w:link w:val="HeaderChar"/>
    <w:uiPriority w:val="99"/>
    <w:unhideWhenUsed/>
    <w:rsid w:val="00273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03A"/>
    <w:rPr>
      <w:sz w:val="22"/>
      <w:szCs w:val="22"/>
      <w:lang w:val="en-GB"/>
    </w:rPr>
  </w:style>
  <w:style w:type="paragraph" w:styleId="Footer">
    <w:name w:val="footer"/>
    <w:basedOn w:val="Normal"/>
    <w:link w:val="FooterChar"/>
    <w:uiPriority w:val="99"/>
    <w:unhideWhenUsed/>
    <w:rsid w:val="00273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03A"/>
    <w:rPr>
      <w:sz w:val="22"/>
      <w:szCs w:val="22"/>
      <w:lang w:val="en-GB"/>
    </w:rPr>
  </w:style>
  <w:style w:type="paragraph" w:styleId="EndnoteText">
    <w:name w:val="endnote text"/>
    <w:basedOn w:val="Normal"/>
    <w:link w:val="EndnoteTextChar"/>
    <w:uiPriority w:val="99"/>
    <w:unhideWhenUsed/>
    <w:rsid w:val="00BA4646"/>
    <w:pPr>
      <w:spacing w:after="0" w:line="240" w:lineRule="auto"/>
    </w:pPr>
    <w:rPr>
      <w:sz w:val="20"/>
      <w:szCs w:val="20"/>
    </w:rPr>
  </w:style>
  <w:style w:type="character" w:customStyle="1" w:styleId="EndnoteTextChar">
    <w:name w:val="Endnote Text Char"/>
    <w:basedOn w:val="DefaultParagraphFont"/>
    <w:link w:val="EndnoteText"/>
    <w:uiPriority w:val="99"/>
    <w:rsid w:val="00BA4646"/>
    <w:rPr>
      <w:sz w:val="20"/>
      <w:szCs w:val="20"/>
      <w:lang w:val="en-GB"/>
    </w:rPr>
  </w:style>
  <w:style w:type="character" w:styleId="EndnoteReference">
    <w:name w:val="endnote reference"/>
    <w:basedOn w:val="DefaultParagraphFont"/>
    <w:uiPriority w:val="99"/>
    <w:semiHidden/>
    <w:unhideWhenUsed/>
    <w:rsid w:val="00BA4646"/>
    <w:rPr>
      <w:vertAlign w:val="superscript"/>
    </w:rPr>
  </w:style>
  <w:style w:type="paragraph" w:styleId="Revision">
    <w:name w:val="Revision"/>
    <w:hidden/>
    <w:uiPriority w:val="99"/>
    <w:semiHidden/>
    <w:rsid w:val="00B26B05"/>
    <w:rPr>
      <w:sz w:val="22"/>
      <w:szCs w:val="22"/>
      <w:lang w:val="en-GB"/>
    </w:rPr>
  </w:style>
  <w:style w:type="character" w:styleId="Hyperlink">
    <w:name w:val="Hyperlink"/>
    <w:basedOn w:val="DefaultParagraphFont"/>
    <w:uiPriority w:val="99"/>
    <w:unhideWhenUsed/>
    <w:rsid w:val="00896B65"/>
    <w:rPr>
      <w:color w:val="0563C1" w:themeColor="hyperlink"/>
      <w:u w:val="single"/>
    </w:rPr>
  </w:style>
  <w:style w:type="character" w:customStyle="1" w:styleId="Heading1Char">
    <w:name w:val="Heading 1 Char"/>
    <w:basedOn w:val="DefaultParagraphFont"/>
    <w:link w:val="Heading1"/>
    <w:uiPriority w:val="9"/>
    <w:rsid w:val="00C66625"/>
    <w:rPr>
      <w:rFonts w:cstheme="minorHAnsi"/>
      <w:b/>
      <w:sz w:val="18"/>
      <w:szCs w:val="18"/>
      <w:lang w:val="en-GB"/>
    </w:rPr>
  </w:style>
  <w:style w:type="character" w:customStyle="1" w:styleId="Heading2Char">
    <w:name w:val="Heading 2 Char"/>
    <w:basedOn w:val="DefaultParagraphFont"/>
    <w:link w:val="Heading2"/>
    <w:uiPriority w:val="9"/>
    <w:rsid w:val="00C66625"/>
    <w:rPr>
      <w:rFonts w:cstheme="minorHAnsi"/>
      <w:b/>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4380">
      <w:bodyDiv w:val="1"/>
      <w:marLeft w:val="0"/>
      <w:marRight w:val="0"/>
      <w:marTop w:val="0"/>
      <w:marBottom w:val="0"/>
      <w:divBdr>
        <w:top w:val="none" w:sz="0" w:space="0" w:color="auto"/>
        <w:left w:val="none" w:sz="0" w:space="0" w:color="auto"/>
        <w:bottom w:val="none" w:sz="0" w:space="0" w:color="auto"/>
        <w:right w:val="none" w:sz="0" w:space="0" w:color="auto"/>
      </w:divBdr>
      <w:divsChild>
        <w:div w:id="512771212">
          <w:marLeft w:val="0"/>
          <w:marRight w:val="0"/>
          <w:marTop w:val="0"/>
          <w:marBottom w:val="0"/>
          <w:divBdr>
            <w:top w:val="none" w:sz="0" w:space="0" w:color="auto"/>
            <w:left w:val="none" w:sz="0" w:space="0" w:color="auto"/>
            <w:bottom w:val="none" w:sz="0" w:space="0" w:color="auto"/>
            <w:right w:val="none" w:sz="0" w:space="0" w:color="auto"/>
          </w:divBdr>
        </w:div>
        <w:div w:id="1075128149">
          <w:marLeft w:val="0"/>
          <w:marRight w:val="0"/>
          <w:marTop w:val="0"/>
          <w:marBottom w:val="0"/>
          <w:divBdr>
            <w:top w:val="none" w:sz="0" w:space="0" w:color="auto"/>
            <w:left w:val="none" w:sz="0" w:space="0" w:color="auto"/>
            <w:bottom w:val="none" w:sz="0" w:space="0" w:color="auto"/>
            <w:right w:val="none" w:sz="0" w:space="0" w:color="auto"/>
          </w:divBdr>
        </w:div>
        <w:div w:id="1780292650">
          <w:marLeft w:val="0"/>
          <w:marRight w:val="0"/>
          <w:marTop w:val="0"/>
          <w:marBottom w:val="0"/>
          <w:divBdr>
            <w:top w:val="none" w:sz="0" w:space="0" w:color="auto"/>
            <w:left w:val="none" w:sz="0" w:space="0" w:color="auto"/>
            <w:bottom w:val="none" w:sz="0" w:space="0" w:color="auto"/>
            <w:right w:val="none" w:sz="0" w:space="0" w:color="auto"/>
          </w:divBdr>
        </w:div>
        <w:div w:id="146559100">
          <w:marLeft w:val="0"/>
          <w:marRight w:val="0"/>
          <w:marTop w:val="0"/>
          <w:marBottom w:val="0"/>
          <w:divBdr>
            <w:top w:val="none" w:sz="0" w:space="0" w:color="auto"/>
            <w:left w:val="none" w:sz="0" w:space="0" w:color="auto"/>
            <w:bottom w:val="none" w:sz="0" w:space="0" w:color="auto"/>
            <w:right w:val="none" w:sz="0" w:space="0" w:color="auto"/>
          </w:divBdr>
        </w:div>
        <w:div w:id="1018460485">
          <w:marLeft w:val="0"/>
          <w:marRight w:val="0"/>
          <w:marTop w:val="0"/>
          <w:marBottom w:val="0"/>
          <w:divBdr>
            <w:top w:val="none" w:sz="0" w:space="0" w:color="auto"/>
            <w:left w:val="none" w:sz="0" w:space="0" w:color="auto"/>
            <w:bottom w:val="none" w:sz="0" w:space="0" w:color="auto"/>
            <w:right w:val="none" w:sz="0" w:space="0" w:color="auto"/>
          </w:divBdr>
        </w:div>
        <w:div w:id="2058625563">
          <w:marLeft w:val="0"/>
          <w:marRight w:val="0"/>
          <w:marTop w:val="0"/>
          <w:marBottom w:val="0"/>
          <w:divBdr>
            <w:top w:val="none" w:sz="0" w:space="0" w:color="auto"/>
            <w:left w:val="none" w:sz="0" w:space="0" w:color="auto"/>
            <w:bottom w:val="none" w:sz="0" w:space="0" w:color="auto"/>
            <w:right w:val="none" w:sz="0" w:space="0" w:color="auto"/>
          </w:divBdr>
        </w:div>
        <w:div w:id="1944993793">
          <w:marLeft w:val="0"/>
          <w:marRight w:val="0"/>
          <w:marTop w:val="0"/>
          <w:marBottom w:val="0"/>
          <w:divBdr>
            <w:top w:val="none" w:sz="0" w:space="0" w:color="auto"/>
            <w:left w:val="none" w:sz="0" w:space="0" w:color="auto"/>
            <w:bottom w:val="none" w:sz="0" w:space="0" w:color="auto"/>
            <w:right w:val="none" w:sz="0" w:space="0" w:color="auto"/>
          </w:divBdr>
        </w:div>
        <w:div w:id="2068609076">
          <w:marLeft w:val="0"/>
          <w:marRight w:val="0"/>
          <w:marTop w:val="0"/>
          <w:marBottom w:val="0"/>
          <w:divBdr>
            <w:top w:val="none" w:sz="0" w:space="0" w:color="auto"/>
            <w:left w:val="none" w:sz="0" w:space="0" w:color="auto"/>
            <w:bottom w:val="none" w:sz="0" w:space="0" w:color="auto"/>
            <w:right w:val="none" w:sz="0" w:space="0" w:color="auto"/>
          </w:divBdr>
        </w:div>
      </w:divsChild>
    </w:div>
    <w:div w:id="356153598">
      <w:bodyDiv w:val="1"/>
      <w:marLeft w:val="0"/>
      <w:marRight w:val="0"/>
      <w:marTop w:val="0"/>
      <w:marBottom w:val="0"/>
      <w:divBdr>
        <w:top w:val="none" w:sz="0" w:space="0" w:color="auto"/>
        <w:left w:val="none" w:sz="0" w:space="0" w:color="auto"/>
        <w:bottom w:val="none" w:sz="0" w:space="0" w:color="auto"/>
        <w:right w:val="none" w:sz="0" w:space="0" w:color="auto"/>
      </w:divBdr>
      <w:divsChild>
        <w:div w:id="1748846786">
          <w:marLeft w:val="0"/>
          <w:marRight w:val="0"/>
          <w:marTop w:val="0"/>
          <w:marBottom w:val="0"/>
          <w:divBdr>
            <w:top w:val="none" w:sz="0" w:space="0" w:color="auto"/>
            <w:left w:val="none" w:sz="0" w:space="0" w:color="auto"/>
            <w:bottom w:val="none" w:sz="0" w:space="0" w:color="auto"/>
            <w:right w:val="none" w:sz="0" w:space="0" w:color="auto"/>
          </w:divBdr>
        </w:div>
        <w:div w:id="1238902595">
          <w:marLeft w:val="0"/>
          <w:marRight w:val="0"/>
          <w:marTop w:val="0"/>
          <w:marBottom w:val="0"/>
          <w:divBdr>
            <w:top w:val="none" w:sz="0" w:space="0" w:color="auto"/>
            <w:left w:val="none" w:sz="0" w:space="0" w:color="auto"/>
            <w:bottom w:val="none" w:sz="0" w:space="0" w:color="auto"/>
            <w:right w:val="none" w:sz="0" w:space="0" w:color="auto"/>
          </w:divBdr>
        </w:div>
        <w:div w:id="1015232673">
          <w:marLeft w:val="0"/>
          <w:marRight w:val="0"/>
          <w:marTop w:val="0"/>
          <w:marBottom w:val="0"/>
          <w:divBdr>
            <w:top w:val="none" w:sz="0" w:space="0" w:color="auto"/>
            <w:left w:val="none" w:sz="0" w:space="0" w:color="auto"/>
            <w:bottom w:val="none" w:sz="0" w:space="0" w:color="auto"/>
            <w:right w:val="none" w:sz="0" w:space="0" w:color="auto"/>
          </w:divBdr>
        </w:div>
      </w:divsChild>
    </w:div>
    <w:div w:id="826482000">
      <w:bodyDiv w:val="1"/>
      <w:marLeft w:val="0"/>
      <w:marRight w:val="0"/>
      <w:marTop w:val="0"/>
      <w:marBottom w:val="0"/>
      <w:divBdr>
        <w:top w:val="none" w:sz="0" w:space="0" w:color="auto"/>
        <w:left w:val="none" w:sz="0" w:space="0" w:color="auto"/>
        <w:bottom w:val="none" w:sz="0" w:space="0" w:color="auto"/>
        <w:right w:val="none" w:sz="0" w:space="0" w:color="auto"/>
      </w:divBdr>
    </w:div>
    <w:div w:id="827403058">
      <w:bodyDiv w:val="1"/>
      <w:marLeft w:val="0"/>
      <w:marRight w:val="0"/>
      <w:marTop w:val="0"/>
      <w:marBottom w:val="0"/>
      <w:divBdr>
        <w:top w:val="none" w:sz="0" w:space="0" w:color="auto"/>
        <w:left w:val="none" w:sz="0" w:space="0" w:color="auto"/>
        <w:bottom w:val="none" w:sz="0" w:space="0" w:color="auto"/>
        <w:right w:val="none" w:sz="0" w:space="0" w:color="auto"/>
      </w:divBdr>
      <w:divsChild>
        <w:div w:id="67921933">
          <w:marLeft w:val="0"/>
          <w:marRight w:val="150"/>
          <w:marTop w:val="0"/>
          <w:marBottom w:val="0"/>
          <w:divBdr>
            <w:top w:val="none" w:sz="0" w:space="0" w:color="auto"/>
            <w:left w:val="none" w:sz="0" w:space="0" w:color="auto"/>
            <w:bottom w:val="none" w:sz="0" w:space="0" w:color="auto"/>
            <w:right w:val="none" w:sz="0" w:space="0" w:color="auto"/>
          </w:divBdr>
          <w:divsChild>
            <w:div w:id="2104177504">
              <w:marLeft w:val="0"/>
              <w:marRight w:val="0"/>
              <w:marTop w:val="0"/>
              <w:marBottom w:val="0"/>
              <w:divBdr>
                <w:top w:val="none" w:sz="0" w:space="0" w:color="auto"/>
                <w:left w:val="none" w:sz="0" w:space="0" w:color="auto"/>
                <w:bottom w:val="none" w:sz="0" w:space="0" w:color="auto"/>
                <w:right w:val="none" w:sz="0" w:space="0" w:color="auto"/>
              </w:divBdr>
            </w:div>
          </w:divsChild>
        </w:div>
        <w:div w:id="1370187164">
          <w:marLeft w:val="0"/>
          <w:marRight w:val="0"/>
          <w:marTop w:val="0"/>
          <w:marBottom w:val="0"/>
          <w:divBdr>
            <w:top w:val="none" w:sz="0" w:space="0" w:color="auto"/>
            <w:left w:val="none" w:sz="0" w:space="0" w:color="auto"/>
            <w:bottom w:val="none" w:sz="0" w:space="0" w:color="auto"/>
            <w:right w:val="none" w:sz="0" w:space="0" w:color="auto"/>
          </w:divBdr>
        </w:div>
      </w:divsChild>
    </w:div>
    <w:div w:id="1001390424">
      <w:bodyDiv w:val="1"/>
      <w:marLeft w:val="0"/>
      <w:marRight w:val="0"/>
      <w:marTop w:val="0"/>
      <w:marBottom w:val="0"/>
      <w:divBdr>
        <w:top w:val="none" w:sz="0" w:space="0" w:color="auto"/>
        <w:left w:val="none" w:sz="0" w:space="0" w:color="auto"/>
        <w:bottom w:val="none" w:sz="0" w:space="0" w:color="auto"/>
        <w:right w:val="none" w:sz="0" w:space="0" w:color="auto"/>
      </w:divBdr>
      <w:divsChild>
        <w:div w:id="1279919881">
          <w:marLeft w:val="0"/>
          <w:marRight w:val="0"/>
          <w:marTop w:val="0"/>
          <w:marBottom w:val="0"/>
          <w:divBdr>
            <w:top w:val="none" w:sz="0" w:space="0" w:color="auto"/>
            <w:left w:val="none" w:sz="0" w:space="0" w:color="auto"/>
            <w:bottom w:val="none" w:sz="0" w:space="0" w:color="auto"/>
            <w:right w:val="none" w:sz="0" w:space="0" w:color="auto"/>
          </w:divBdr>
        </w:div>
        <w:div w:id="1715885827">
          <w:marLeft w:val="0"/>
          <w:marRight w:val="0"/>
          <w:marTop w:val="0"/>
          <w:marBottom w:val="0"/>
          <w:divBdr>
            <w:top w:val="none" w:sz="0" w:space="0" w:color="auto"/>
            <w:left w:val="none" w:sz="0" w:space="0" w:color="auto"/>
            <w:bottom w:val="none" w:sz="0" w:space="0" w:color="auto"/>
            <w:right w:val="none" w:sz="0" w:space="0" w:color="auto"/>
          </w:divBdr>
        </w:div>
        <w:div w:id="536628504">
          <w:marLeft w:val="0"/>
          <w:marRight w:val="0"/>
          <w:marTop w:val="0"/>
          <w:marBottom w:val="0"/>
          <w:divBdr>
            <w:top w:val="none" w:sz="0" w:space="0" w:color="auto"/>
            <w:left w:val="none" w:sz="0" w:space="0" w:color="auto"/>
            <w:bottom w:val="none" w:sz="0" w:space="0" w:color="auto"/>
            <w:right w:val="none" w:sz="0" w:space="0" w:color="auto"/>
          </w:divBdr>
        </w:div>
      </w:divsChild>
    </w:div>
    <w:div w:id="1049768165">
      <w:bodyDiv w:val="1"/>
      <w:marLeft w:val="0"/>
      <w:marRight w:val="0"/>
      <w:marTop w:val="0"/>
      <w:marBottom w:val="0"/>
      <w:divBdr>
        <w:top w:val="none" w:sz="0" w:space="0" w:color="auto"/>
        <w:left w:val="none" w:sz="0" w:space="0" w:color="auto"/>
        <w:bottom w:val="none" w:sz="0" w:space="0" w:color="auto"/>
        <w:right w:val="none" w:sz="0" w:space="0" w:color="auto"/>
      </w:divBdr>
      <w:divsChild>
        <w:div w:id="1407730674">
          <w:marLeft w:val="0"/>
          <w:marRight w:val="0"/>
          <w:marTop w:val="0"/>
          <w:marBottom w:val="0"/>
          <w:divBdr>
            <w:top w:val="none" w:sz="0" w:space="0" w:color="auto"/>
            <w:left w:val="none" w:sz="0" w:space="0" w:color="auto"/>
            <w:bottom w:val="none" w:sz="0" w:space="0" w:color="auto"/>
            <w:right w:val="none" w:sz="0" w:space="0" w:color="auto"/>
          </w:divBdr>
        </w:div>
        <w:div w:id="662011682">
          <w:marLeft w:val="0"/>
          <w:marRight w:val="0"/>
          <w:marTop w:val="0"/>
          <w:marBottom w:val="0"/>
          <w:divBdr>
            <w:top w:val="none" w:sz="0" w:space="0" w:color="auto"/>
            <w:left w:val="none" w:sz="0" w:space="0" w:color="auto"/>
            <w:bottom w:val="none" w:sz="0" w:space="0" w:color="auto"/>
            <w:right w:val="none" w:sz="0" w:space="0" w:color="auto"/>
          </w:divBdr>
        </w:div>
        <w:div w:id="1464958629">
          <w:marLeft w:val="0"/>
          <w:marRight w:val="0"/>
          <w:marTop w:val="0"/>
          <w:marBottom w:val="0"/>
          <w:divBdr>
            <w:top w:val="none" w:sz="0" w:space="0" w:color="auto"/>
            <w:left w:val="none" w:sz="0" w:space="0" w:color="auto"/>
            <w:bottom w:val="none" w:sz="0" w:space="0" w:color="auto"/>
            <w:right w:val="none" w:sz="0" w:space="0" w:color="auto"/>
          </w:divBdr>
        </w:div>
        <w:div w:id="490147536">
          <w:marLeft w:val="0"/>
          <w:marRight w:val="0"/>
          <w:marTop w:val="0"/>
          <w:marBottom w:val="0"/>
          <w:divBdr>
            <w:top w:val="none" w:sz="0" w:space="0" w:color="auto"/>
            <w:left w:val="none" w:sz="0" w:space="0" w:color="auto"/>
            <w:bottom w:val="none" w:sz="0" w:space="0" w:color="auto"/>
            <w:right w:val="none" w:sz="0" w:space="0" w:color="auto"/>
          </w:divBdr>
        </w:div>
        <w:div w:id="1317151592">
          <w:marLeft w:val="0"/>
          <w:marRight w:val="0"/>
          <w:marTop w:val="0"/>
          <w:marBottom w:val="0"/>
          <w:divBdr>
            <w:top w:val="none" w:sz="0" w:space="0" w:color="auto"/>
            <w:left w:val="none" w:sz="0" w:space="0" w:color="auto"/>
            <w:bottom w:val="none" w:sz="0" w:space="0" w:color="auto"/>
            <w:right w:val="none" w:sz="0" w:space="0" w:color="auto"/>
          </w:divBdr>
        </w:div>
        <w:div w:id="1308634272">
          <w:marLeft w:val="0"/>
          <w:marRight w:val="0"/>
          <w:marTop w:val="0"/>
          <w:marBottom w:val="0"/>
          <w:divBdr>
            <w:top w:val="none" w:sz="0" w:space="0" w:color="auto"/>
            <w:left w:val="none" w:sz="0" w:space="0" w:color="auto"/>
            <w:bottom w:val="none" w:sz="0" w:space="0" w:color="auto"/>
            <w:right w:val="none" w:sz="0" w:space="0" w:color="auto"/>
          </w:divBdr>
        </w:div>
        <w:div w:id="490634882">
          <w:marLeft w:val="0"/>
          <w:marRight w:val="0"/>
          <w:marTop w:val="0"/>
          <w:marBottom w:val="0"/>
          <w:divBdr>
            <w:top w:val="none" w:sz="0" w:space="0" w:color="auto"/>
            <w:left w:val="none" w:sz="0" w:space="0" w:color="auto"/>
            <w:bottom w:val="none" w:sz="0" w:space="0" w:color="auto"/>
            <w:right w:val="none" w:sz="0" w:space="0" w:color="auto"/>
          </w:divBdr>
        </w:div>
        <w:div w:id="1819305169">
          <w:marLeft w:val="0"/>
          <w:marRight w:val="0"/>
          <w:marTop w:val="0"/>
          <w:marBottom w:val="0"/>
          <w:divBdr>
            <w:top w:val="none" w:sz="0" w:space="0" w:color="auto"/>
            <w:left w:val="none" w:sz="0" w:space="0" w:color="auto"/>
            <w:bottom w:val="none" w:sz="0" w:space="0" w:color="auto"/>
            <w:right w:val="none" w:sz="0" w:space="0" w:color="auto"/>
          </w:divBdr>
        </w:div>
      </w:divsChild>
    </w:div>
    <w:div w:id="1270431680">
      <w:bodyDiv w:val="1"/>
      <w:marLeft w:val="0"/>
      <w:marRight w:val="0"/>
      <w:marTop w:val="0"/>
      <w:marBottom w:val="0"/>
      <w:divBdr>
        <w:top w:val="none" w:sz="0" w:space="0" w:color="auto"/>
        <w:left w:val="none" w:sz="0" w:space="0" w:color="auto"/>
        <w:bottom w:val="none" w:sz="0" w:space="0" w:color="auto"/>
        <w:right w:val="none" w:sz="0" w:space="0" w:color="auto"/>
      </w:divBdr>
      <w:divsChild>
        <w:div w:id="435296735">
          <w:marLeft w:val="0"/>
          <w:marRight w:val="0"/>
          <w:marTop w:val="0"/>
          <w:marBottom w:val="0"/>
          <w:divBdr>
            <w:top w:val="none" w:sz="0" w:space="0" w:color="auto"/>
            <w:left w:val="none" w:sz="0" w:space="0" w:color="auto"/>
            <w:bottom w:val="none" w:sz="0" w:space="0" w:color="auto"/>
            <w:right w:val="none" w:sz="0" w:space="0" w:color="auto"/>
          </w:divBdr>
        </w:div>
        <w:div w:id="464352433">
          <w:marLeft w:val="0"/>
          <w:marRight w:val="0"/>
          <w:marTop w:val="0"/>
          <w:marBottom w:val="0"/>
          <w:divBdr>
            <w:top w:val="none" w:sz="0" w:space="0" w:color="auto"/>
            <w:left w:val="none" w:sz="0" w:space="0" w:color="auto"/>
            <w:bottom w:val="none" w:sz="0" w:space="0" w:color="auto"/>
            <w:right w:val="none" w:sz="0" w:space="0" w:color="auto"/>
          </w:divBdr>
        </w:div>
      </w:divsChild>
    </w:div>
    <w:div w:id="1437140039">
      <w:bodyDiv w:val="1"/>
      <w:marLeft w:val="0"/>
      <w:marRight w:val="0"/>
      <w:marTop w:val="0"/>
      <w:marBottom w:val="0"/>
      <w:divBdr>
        <w:top w:val="none" w:sz="0" w:space="0" w:color="auto"/>
        <w:left w:val="none" w:sz="0" w:space="0" w:color="auto"/>
        <w:bottom w:val="none" w:sz="0" w:space="0" w:color="auto"/>
        <w:right w:val="none" w:sz="0" w:space="0" w:color="auto"/>
      </w:divBdr>
    </w:div>
    <w:div w:id="1599483220">
      <w:bodyDiv w:val="1"/>
      <w:marLeft w:val="0"/>
      <w:marRight w:val="0"/>
      <w:marTop w:val="0"/>
      <w:marBottom w:val="0"/>
      <w:divBdr>
        <w:top w:val="none" w:sz="0" w:space="0" w:color="auto"/>
        <w:left w:val="none" w:sz="0" w:space="0" w:color="auto"/>
        <w:bottom w:val="none" w:sz="0" w:space="0" w:color="auto"/>
        <w:right w:val="none" w:sz="0" w:space="0" w:color="auto"/>
      </w:divBdr>
      <w:divsChild>
        <w:div w:id="1078481028">
          <w:marLeft w:val="0"/>
          <w:marRight w:val="0"/>
          <w:marTop w:val="0"/>
          <w:marBottom w:val="0"/>
          <w:divBdr>
            <w:top w:val="none" w:sz="0" w:space="0" w:color="auto"/>
            <w:left w:val="none" w:sz="0" w:space="0" w:color="auto"/>
            <w:bottom w:val="none" w:sz="0" w:space="0" w:color="auto"/>
            <w:right w:val="none" w:sz="0" w:space="0" w:color="auto"/>
          </w:divBdr>
        </w:div>
        <w:div w:id="158079143">
          <w:marLeft w:val="0"/>
          <w:marRight w:val="0"/>
          <w:marTop w:val="0"/>
          <w:marBottom w:val="0"/>
          <w:divBdr>
            <w:top w:val="none" w:sz="0" w:space="0" w:color="auto"/>
            <w:left w:val="none" w:sz="0" w:space="0" w:color="auto"/>
            <w:bottom w:val="none" w:sz="0" w:space="0" w:color="auto"/>
            <w:right w:val="none" w:sz="0" w:space="0" w:color="auto"/>
          </w:divBdr>
        </w:div>
        <w:div w:id="1556234597">
          <w:marLeft w:val="0"/>
          <w:marRight w:val="0"/>
          <w:marTop w:val="0"/>
          <w:marBottom w:val="0"/>
          <w:divBdr>
            <w:top w:val="none" w:sz="0" w:space="0" w:color="auto"/>
            <w:left w:val="none" w:sz="0" w:space="0" w:color="auto"/>
            <w:bottom w:val="none" w:sz="0" w:space="0" w:color="auto"/>
            <w:right w:val="none" w:sz="0" w:space="0" w:color="auto"/>
          </w:divBdr>
        </w:div>
      </w:divsChild>
    </w:div>
    <w:div w:id="1675493576">
      <w:bodyDiv w:val="1"/>
      <w:marLeft w:val="0"/>
      <w:marRight w:val="0"/>
      <w:marTop w:val="0"/>
      <w:marBottom w:val="0"/>
      <w:divBdr>
        <w:top w:val="none" w:sz="0" w:space="0" w:color="auto"/>
        <w:left w:val="none" w:sz="0" w:space="0" w:color="auto"/>
        <w:bottom w:val="none" w:sz="0" w:space="0" w:color="auto"/>
        <w:right w:val="none" w:sz="0" w:space="0" w:color="auto"/>
      </w:divBdr>
      <w:divsChild>
        <w:div w:id="1651446741">
          <w:marLeft w:val="0"/>
          <w:marRight w:val="0"/>
          <w:marTop w:val="0"/>
          <w:marBottom w:val="0"/>
          <w:divBdr>
            <w:top w:val="none" w:sz="0" w:space="0" w:color="auto"/>
            <w:left w:val="none" w:sz="0" w:space="0" w:color="auto"/>
            <w:bottom w:val="none" w:sz="0" w:space="0" w:color="auto"/>
            <w:right w:val="none" w:sz="0" w:space="0" w:color="auto"/>
          </w:divBdr>
        </w:div>
        <w:div w:id="1922331180">
          <w:marLeft w:val="0"/>
          <w:marRight w:val="0"/>
          <w:marTop w:val="0"/>
          <w:marBottom w:val="0"/>
          <w:divBdr>
            <w:top w:val="none" w:sz="0" w:space="0" w:color="auto"/>
            <w:left w:val="none" w:sz="0" w:space="0" w:color="auto"/>
            <w:bottom w:val="none" w:sz="0" w:space="0" w:color="auto"/>
            <w:right w:val="none" w:sz="0" w:space="0" w:color="auto"/>
          </w:divBdr>
        </w:div>
        <w:div w:id="503594257">
          <w:marLeft w:val="0"/>
          <w:marRight w:val="0"/>
          <w:marTop w:val="0"/>
          <w:marBottom w:val="0"/>
          <w:divBdr>
            <w:top w:val="none" w:sz="0" w:space="0" w:color="auto"/>
            <w:left w:val="none" w:sz="0" w:space="0" w:color="auto"/>
            <w:bottom w:val="none" w:sz="0" w:space="0" w:color="auto"/>
            <w:right w:val="none" w:sz="0" w:space="0" w:color="auto"/>
          </w:divBdr>
        </w:div>
        <w:div w:id="1077824253">
          <w:marLeft w:val="0"/>
          <w:marRight w:val="0"/>
          <w:marTop w:val="0"/>
          <w:marBottom w:val="0"/>
          <w:divBdr>
            <w:top w:val="none" w:sz="0" w:space="0" w:color="auto"/>
            <w:left w:val="none" w:sz="0" w:space="0" w:color="auto"/>
            <w:bottom w:val="none" w:sz="0" w:space="0" w:color="auto"/>
            <w:right w:val="none" w:sz="0" w:space="0" w:color="auto"/>
          </w:divBdr>
        </w:div>
        <w:div w:id="2098935680">
          <w:marLeft w:val="0"/>
          <w:marRight w:val="0"/>
          <w:marTop w:val="0"/>
          <w:marBottom w:val="0"/>
          <w:divBdr>
            <w:top w:val="none" w:sz="0" w:space="0" w:color="auto"/>
            <w:left w:val="none" w:sz="0" w:space="0" w:color="auto"/>
            <w:bottom w:val="none" w:sz="0" w:space="0" w:color="auto"/>
            <w:right w:val="none" w:sz="0" w:space="0" w:color="auto"/>
          </w:divBdr>
        </w:div>
        <w:div w:id="1012956406">
          <w:marLeft w:val="0"/>
          <w:marRight w:val="0"/>
          <w:marTop w:val="0"/>
          <w:marBottom w:val="0"/>
          <w:divBdr>
            <w:top w:val="none" w:sz="0" w:space="0" w:color="auto"/>
            <w:left w:val="none" w:sz="0" w:space="0" w:color="auto"/>
            <w:bottom w:val="none" w:sz="0" w:space="0" w:color="auto"/>
            <w:right w:val="none" w:sz="0" w:space="0" w:color="auto"/>
          </w:divBdr>
        </w:div>
        <w:div w:id="122383388">
          <w:marLeft w:val="0"/>
          <w:marRight w:val="0"/>
          <w:marTop w:val="0"/>
          <w:marBottom w:val="0"/>
          <w:divBdr>
            <w:top w:val="none" w:sz="0" w:space="0" w:color="auto"/>
            <w:left w:val="none" w:sz="0" w:space="0" w:color="auto"/>
            <w:bottom w:val="none" w:sz="0" w:space="0" w:color="auto"/>
            <w:right w:val="none" w:sz="0" w:space="0" w:color="auto"/>
          </w:divBdr>
        </w:div>
        <w:div w:id="80180038">
          <w:marLeft w:val="0"/>
          <w:marRight w:val="0"/>
          <w:marTop w:val="0"/>
          <w:marBottom w:val="0"/>
          <w:divBdr>
            <w:top w:val="none" w:sz="0" w:space="0" w:color="auto"/>
            <w:left w:val="none" w:sz="0" w:space="0" w:color="auto"/>
            <w:bottom w:val="none" w:sz="0" w:space="0" w:color="auto"/>
            <w:right w:val="none" w:sz="0" w:space="0" w:color="auto"/>
          </w:divBdr>
        </w:div>
      </w:divsChild>
    </w:div>
    <w:div w:id="1726490186">
      <w:bodyDiv w:val="1"/>
      <w:marLeft w:val="0"/>
      <w:marRight w:val="0"/>
      <w:marTop w:val="0"/>
      <w:marBottom w:val="0"/>
      <w:divBdr>
        <w:top w:val="none" w:sz="0" w:space="0" w:color="auto"/>
        <w:left w:val="none" w:sz="0" w:space="0" w:color="auto"/>
        <w:bottom w:val="none" w:sz="0" w:space="0" w:color="auto"/>
        <w:right w:val="none" w:sz="0" w:space="0" w:color="auto"/>
      </w:divBdr>
    </w:div>
    <w:div w:id="1733851758">
      <w:bodyDiv w:val="1"/>
      <w:marLeft w:val="0"/>
      <w:marRight w:val="0"/>
      <w:marTop w:val="0"/>
      <w:marBottom w:val="0"/>
      <w:divBdr>
        <w:top w:val="none" w:sz="0" w:space="0" w:color="auto"/>
        <w:left w:val="none" w:sz="0" w:space="0" w:color="auto"/>
        <w:bottom w:val="none" w:sz="0" w:space="0" w:color="auto"/>
        <w:right w:val="none" w:sz="0" w:space="0" w:color="auto"/>
      </w:divBdr>
      <w:divsChild>
        <w:div w:id="1466704512">
          <w:marLeft w:val="0"/>
          <w:marRight w:val="0"/>
          <w:marTop w:val="0"/>
          <w:marBottom w:val="0"/>
          <w:divBdr>
            <w:top w:val="none" w:sz="0" w:space="0" w:color="auto"/>
            <w:left w:val="none" w:sz="0" w:space="0" w:color="auto"/>
            <w:bottom w:val="none" w:sz="0" w:space="0" w:color="auto"/>
            <w:right w:val="none" w:sz="0" w:space="0" w:color="auto"/>
          </w:divBdr>
        </w:div>
        <w:div w:id="321474141">
          <w:marLeft w:val="0"/>
          <w:marRight w:val="0"/>
          <w:marTop w:val="0"/>
          <w:marBottom w:val="0"/>
          <w:divBdr>
            <w:top w:val="none" w:sz="0" w:space="0" w:color="auto"/>
            <w:left w:val="none" w:sz="0" w:space="0" w:color="auto"/>
            <w:bottom w:val="none" w:sz="0" w:space="0" w:color="auto"/>
            <w:right w:val="none" w:sz="0" w:space="0" w:color="auto"/>
          </w:divBdr>
        </w:div>
        <w:div w:id="1940405998">
          <w:marLeft w:val="0"/>
          <w:marRight w:val="0"/>
          <w:marTop w:val="0"/>
          <w:marBottom w:val="0"/>
          <w:divBdr>
            <w:top w:val="none" w:sz="0" w:space="0" w:color="auto"/>
            <w:left w:val="none" w:sz="0" w:space="0" w:color="auto"/>
            <w:bottom w:val="none" w:sz="0" w:space="0" w:color="auto"/>
            <w:right w:val="none" w:sz="0" w:space="0" w:color="auto"/>
          </w:divBdr>
        </w:div>
        <w:div w:id="1099368946">
          <w:marLeft w:val="0"/>
          <w:marRight w:val="0"/>
          <w:marTop w:val="0"/>
          <w:marBottom w:val="0"/>
          <w:divBdr>
            <w:top w:val="none" w:sz="0" w:space="0" w:color="auto"/>
            <w:left w:val="none" w:sz="0" w:space="0" w:color="auto"/>
            <w:bottom w:val="none" w:sz="0" w:space="0" w:color="auto"/>
            <w:right w:val="none" w:sz="0" w:space="0" w:color="auto"/>
          </w:divBdr>
        </w:div>
        <w:div w:id="589703263">
          <w:marLeft w:val="0"/>
          <w:marRight w:val="0"/>
          <w:marTop w:val="0"/>
          <w:marBottom w:val="0"/>
          <w:divBdr>
            <w:top w:val="none" w:sz="0" w:space="0" w:color="auto"/>
            <w:left w:val="none" w:sz="0" w:space="0" w:color="auto"/>
            <w:bottom w:val="none" w:sz="0" w:space="0" w:color="auto"/>
            <w:right w:val="none" w:sz="0" w:space="0" w:color="auto"/>
          </w:divBdr>
        </w:div>
      </w:divsChild>
    </w:div>
    <w:div w:id="1752123957">
      <w:bodyDiv w:val="1"/>
      <w:marLeft w:val="0"/>
      <w:marRight w:val="0"/>
      <w:marTop w:val="0"/>
      <w:marBottom w:val="0"/>
      <w:divBdr>
        <w:top w:val="none" w:sz="0" w:space="0" w:color="auto"/>
        <w:left w:val="none" w:sz="0" w:space="0" w:color="auto"/>
        <w:bottom w:val="none" w:sz="0" w:space="0" w:color="auto"/>
        <w:right w:val="none" w:sz="0" w:space="0" w:color="auto"/>
      </w:divBdr>
    </w:div>
    <w:div w:id="1772965641">
      <w:bodyDiv w:val="1"/>
      <w:marLeft w:val="0"/>
      <w:marRight w:val="0"/>
      <w:marTop w:val="0"/>
      <w:marBottom w:val="0"/>
      <w:divBdr>
        <w:top w:val="none" w:sz="0" w:space="0" w:color="auto"/>
        <w:left w:val="none" w:sz="0" w:space="0" w:color="auto"/>
        <w:bottom w:val="none" w:sz="0" w:space="0" w:color="auto"/>
        <w:right w:val="none" w:sz="0" w:space="0" w:color="auto"/>
      </w:divBdr>
      <w:divsChild>
        <w:div w:id="269749207">
          <w:marLeft w:val="0"/>
          <w:marRight w:val="0"/>
          <w:marTop w:val="0"/>
          <w:marBottom w:val="0"/>
          <w:divBdr>
            <w:top w:val="none" w:sz="0" w:space="0" w:color="auto"/>
            <w:left w:val="none" w:sz="0" w:space="0" w:color="auto"/>
            <w:bottom w:val="none" w:sz="0" w:space="0" w:color="auto"/>
            <w:right w:val="none" w:sz="0" w:space="0" w:color="auto"/>
          </w:divBdr>
        </w:div>
        <w:div w:id="1245988047">
          <w:marLeft w:val="0"/>
          <w:marRight w:val="0"/>
          <w:marTop w:val="0"/>
          <w:marBottom w:val="0"/>
          <w:divBdr>
            <w:top w:val="none" w:sz="0" w:space="0" w:color="auto"/>
            <w:left w:val="none" w:sz="0" w:space="0" w:color="auto"/>
            <w:bottom w:val="none" w:sz="0" w:space="0" w:color="auto"/>
            <w:right w:val="none" w:sz="0" w:space="0" w:color="auto"/>
          </w:divBdr>
        </w:div>
        <w:div w:id="1629775537">
          <w:marLeft w:val="0"/>
          <w:marRight w:val="0"/>
          <w:marTop w:val="0"/>
          <w:marBottom w:val="0"/>
          <w:divBdr>
            <w:top w:val="none" w:sz="0" w:space="0" w:color="auto"/>
            <w:left w:val="none" w:sz="0" w:space="0" w:color="auto"/>
            <w:bottom w:val="none" w:sz="0" w:space="0" w:color="auto"/>
            <w:right w:val="none" w:sz="0" w:space="0" w:color="auto"/>
          </w:divBdr>
        </w:div>
        <w:div w:id="767654852">
          <w:marLeft w:val="0"/>
          <w:marRight w:val="0"/>
          <w:marTop w:val="0"/>
          <w:marBottom w:val="0"/>
          <w:divBdr>
            <w:top w:val="none" w:sz="0" w:space="0" w:color="auto"/>
            <w:left w:val="none" w:sz="0" w:space="0" w:color="auto"/>
            <w:bottom w:val="none" w:sz="0" w:space="0" w:color="auto"/>
            <w:right w:val="none" w:sz="0" w:space="0" w:color="auto"/>
          </w:divBdr>
        </w:div>
        <w:div w:id="726300622">
          <w:marLeft w:val="0"/>
          <w:marRight w:val="0"/>
          <w:marTop w:val="0"/>
          <w:marBottom w:val="0"/>
          <w:divBdr>
            <w:top w:val="none" w:sz="0" w:space="0" w:color="auto"/>
            <w:left w:val="none" w:sz="0" w:space="0" w:color="auto"/>
            <w:bottom w:val="none" w:sz="0" w:space="0" w:color="auto"/>
            <w:right w:val="none" w:sz="0" w:space="0" w:color="auto"/>
          </w:divBdr>
        </w:div>
        <w:div w:id="964968276">
          <w:marLeft w:val="0"/>
          <w:marRight w:val="0"/>
          <w:marTop w:val="0"/>
          <w:marBottom w:val="0"/>
          <w:divBdr>
            <w:top w:val="none" w:sz="0" w:space="0" w:color="auto"/>
            <w:left w:val="none" w:sz="0" w:space="0" w:color="auto"/>
            <w:bottom w:val="none" w:sz="0" w:space="0" w:color="auto"/>
            <w:right w:val="none" w:sz="0" w:space="0" w:color="auto"/>
          </w:divBdr>
        </w:div>
        <w:div w:id="451091067">
          <w:marLeft w:val="0"/>
          <w:marRight w:val="0"/>
          <w:marTop w:val="0"/>
          <w:marBottom w:val="0"/>
          <w:divBdr>
            <w:top w:val="none" w:sz="0" w:space="0" w:color="auto"/>
            <w:left w:val="none" w:sz="0" w:space="0" w:color="auto"/>
            <w:bottom w:val="none" w:sz="0" w:space="0" w:color="auto"/>
            <w:right w:val="none" w:sz="0" w:space="0" w:color="auto"/>
          </w:divBdr>
        </w:div>
        <w:div w:id="1866167821">
          <w:marLeft w:val="0"/>
          <w:marRight w:val="0"/>
          <w:marTop w:val="0"/>
          <w:marBottom w:val="0"/>
          <w:divBdr>
            <w:top w:val="none" w:sz="0" w:space="0" w:color="auto"/>
            <w:left w:val="none" w:sz="0" w:space="0" w:color="auto"/>
            <w:bottom w:val="none" w:sz="0" w:space="0" w:color="auto"/>
            <w:right w:val="none" w:sz="0" w:space="0" w:color="auto"/>
          </w:divBdr>
        </w:div>
        <w:div w:id="1945720508">
          <w:marLeft w:val="0"/>
          <w:marRight w:val="0"/>
          <w:marTop w:val="0"/>
          <w:marBottom w:val="0"/>
          <w:divBdr>
            <w:top w:val="none" w:sz="0" w:space="0" w:color="auto"/>
            <w:left w:val="none" w:sz="0" w:space="0" w:color="auto"/>
            <w:bottom w:val="none" w:sz="0" w:space="0" w:color="auto"/>
            <w:right w:val="none" w:sz="0" w:space="0" w:color="auto"/>
          </w:divBdr>
        </w:div>
        <w:div w:id="488134207">
          <w:marLeft w:val="0"/>
          <w:marRight w:val="0"/>
          <w:marTop w:val="0"/>
          <w:marBottom w:val="0"/>
          <w:divBdr>
            <w:top w:val="none" w:sz="0" w:space="0" w:color="auto"/>
            <w:left w:val="none" w:sz="0" w:space="0" w:color="auto"/>
            <w:bottom w:val="none" w:sz="0" w:space="0" w:color="auto"/>
            <w:right w:val="none" w:sz="0" w:space="0" w:color="auto"/>
          </w:divBdr>
        </w:div>
        <w:div w:id="1652951697">
          <w:marLeft w:val="0"/>
          <w:marRight w:val="0"/>
          <w:marTop w:val="0"/>
          <w:marBottom w:val="0"/>
          <w:divBdr>
            <w:top w:val="none" w:sz="0" w:space="0" w:color="auto"/>
            <w:left w:val="none" w:sz="0" w:space="0" w:color="auto"/>
            <w:bottom w:val="none" w:sz="0" w:space="0" w:color="auto"/>
            <w:right w:val="none" w:sz="0" w:space="0" w:color="auto"/>
          </w:divBdr>
        </w:div>
        <w:div w:id="1707022973">
          <w:marLeft w:val="0"/>
          <w:marRight w:val="0"/>
          <w:marTop w:val="0"/>
          <w:marBottom w:val="0"/>
          <w:divBdr>
            <w:top w:val="none" w:sz="0" w:space="0" w:color="auto"/>
            <w:left w:val="none" w:sz="0" w:space="0" w:color="auto"/>
            <w:bottom w:val="none" w:sz="0" w:space="0" w:color="auto"/>
            <w:right w:val="none" w:sz="0" w:space="0" w:color="auto"/>
          </w:divBdr>
        </w:div>
        <w:div w:id="734624805">
          <w:marLeft w:val="0"/>
          <w:marRight w:val="0"/>
          <w:marTop w:val="0"/>
          <w:marBottom w:val="0"/>
          <w:divBdr>
            <w:top w:val="none" w:sz="0" w:space="0" w:color="auto"/>
            <w:left w:val="none" w:sz="0" w:space="0" w:color="auto"/>
            <w:bottom w:val="none" w:sz="0" w:space="0" w:color="auto"/>
            <w:right w:val="none" w:sz="0" w:space="0" w:color="auto"/>
          </w:divBdr>
        </w:div>
        <w:div w:id="1050762633">
          <w:marLeft w:val="0"/>
          <w:marRight w:val="0"/>
          <w:marTop w:val="0"/>
          <w:marBottom w:val="0"/>
          <w:divBdr>
            <w:top w:val="none" w:sz="0" w:space="0" w:color="auto"/>
            <w:left w:val="none" w:sz="0" w:space="0" w:color="auto"/>
            <w:bottom w:val="none" w:sz="0" w:space="0" w:color="auto"/>
            <w:right w:val="none" w:sz="0" w:space="0" w:color="auto"/>
          </w:divBdr>
        </w:div>
        <w:div w:id="1928684956">
          <w:marLeft w:val="0"/>
          <w:marRight w:val="0"/>
          <w:marTop w:val="0"/>
          <w:marBottom w:val="0"/>
          <w:divBdr>
            <w:top w:val="none" w:sz="0" w:space="0" w:color="auto"/>
            <w:left w:val="none" w:sz="0" w:space="0" w:color="auto"/>
            <w:bottom w:val="none" w:sz="0" w:space="0" w:color="auto"/>
            <w:right w:val="none" w:sz="0" w:space="0" w:color="auto"/>
          </w:divBdr>
        </w:div>
        <w:div w:id="734090963">
          <w:marLeft w:val="0"/>
          <w:marRight w:val="0"/>
          <w:marTop w:val="0"/>
          <w:marBottom w:val="0"/>
          <w:divBdr>
            <w:top w:val="none" w:sz="0" w:space="0" w:color="auto"/>
            <w:left w:val="none" w:sz="0" w:space="0" w:color="auto"/>
            <w:bottom w:val="none" w:sz="0" w:space="0" w:color="auto"/>
            <w:right w:val="none" w:sz="0" w:space="0" w:color="auto"/>
          </w:divBdr>
        </w:div>
        <w:div w:id="1828355506">
          <w:marLeft w:val="0"/>
          <w:marRight w:val="0"/>
          <w:marTop w:val="0"/>
          <w:marBottom w:val="0"/>
          <w:divBdr>
            <w:top w:val="none" w:sz="0" w:space="0" w:color="auto"/>
            <w:left w:val="none" w:sz="0" w:space="0" w:color="auto"/>
            <w:bottom w:val="none" w:sz="0" w:space="0" w:color="auto"/>
            <w:right w:val="none" w:sz="0" w:space="0" w:color="auto"/>
          </w:divBdr>
        </w:div>
        <w:div w:id="845825612">
          <w:marLeft w:val="0"/>
          <w:marRight w:val="0"/>
          <w:marTop w:val="0"/>
          <w:marBottom w:val="0"/>
          <w:divBdr>
            <w:top w:val="none" w:sz="0" w:space="0" w:color="auto"/>
            <w:left w:val="none" w:sz="0" w:space="0" w:color="auto"/>
            <w:bottom w:val="none" w:sz="0" w:space="0" w:color="auto"/>
            <w:right w:val="none" w:sz="0" w:space="0" w:color="auto"/>
          </w:divBdr>
        </w:div>
      </w:divsChild>
    </w:div>
    <w:div w:id="2146658579">
      <w:bodyDiv w:val="1"/>
      <w:marLeft w:val="0"/>
      <w:marRight w:val="0"/>
      <w:marTop w:val="0"/>
      <w:marBottom w:val="0"/>
      <w:divBdr>
        <w:top w:val="none" w:sz="0" w:space="0" w:color="auto"/>
        <w:left w:val="none" w:sz="0" w:space="0" w:color="auto"/>
        <w:bottom w:val="none" w:sz="0" w:space="0" w:color="auto"/>
        <w:right w:val="none" w:sz="0" w:space="0" w:color="auto"/>
      </w:divBdr>
      <w:divsChild>
        <w:div w:id="267127741">
          <w:marLeft w:val="0"/>
          <w:marRight w:val="0"/>
          <w:marTop w:val="0"/>
          <w:marBottom w:val="0"/>
          <w:divBdr>
            <w:top w:val="none" w:sz="0" w:space="0" w:color="auto"/>
            <w:left w:val="none" w:sz="0" w:space="0" w:color="auto"/>
            <w:bottom w:val="none" w:sz="0" w:space="0" w:color="auto"/>
            <w:right w:val="none" w:sz="0" w:space="0" w:color="auto"/>
          </w:divBdr>
        </w:div>
        <w:div w:id="1699813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en/A/70/29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bracingdiversity.net/files/report/1494325196_fighting-poverty-onepager.pdf"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embracingdiversity.net/files/report/1494325101_choice-and-control-onepager.pdf" TargetMode="External"/><Relationship Id="rId4" Type="http://schemas.openxmlformats.org/officeDocument/2006/relationships/settings" Target="settings.xml"/><Relationship Id="rId9" Type="http://schemas.openxmlformats.org/officeDocument/2006/relationships/hyperlink" Target="http://www.embracingdiversity.net/files/report/1494325154_enabling-inclusion-onepager.pdf" TargetMode="Externa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www.ilo.org/secsoc/areas-of-work/policy-development-and-applied-research/social-protection-floor/lang--en/index.htm" TargetMode="External"/><Relationship Id="rId1" Type="http://schemas.openxmlformats.org/officeDocument/2006/relationships/hyperlink" Target="https://www.usp2030.org/gimi/ShowRessource.action;jsessionid=cwYZJekmzlwoPDmZNu7EULSTArg-jN2OPS6Fvsviywjo1Jksz2_O!1883341381?id=55473" TargetMode="External"/><Relationship Id="rId4" Type="http://schemas.openxmlformats.org/officeDocument/2006/relationships/hyperlink" Target="http://hdr.undp.org/en/faq-page/multidimensional-poverty-index-m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695A1E-A4C9-447C-9F92-E9F11D9946B1}">
  <ds:schemaRefs>
    <ds:schemaRef ds:uri="http://schemas.openxmlformats.org/officeDocument/2006/bibliography"/>
  </ds:schemaRefs>
</ds:datastoreItem>
</file>

<file path=customXml/itemProps2.xml><?xml version="1.0" encoding="utf-8"?>
<ds:datastoreItem xmlns:ds="http://schemas.openxmlformats.org/officeDocument/2006/customXml" ds:itemID="{5D7D9B21-AFAA-40E9-AC29-DA04B3406ACC}"/>
</file>

<file path=customXml/itemProps3.xml><?xml version="1.0" encoding="utf-8"?>
<ds:datastoreItem xmlns:ds="http://schemas.openxmlformats.org/officeDocument/2006/customXml" ds:itemID="{392AD31A-642E-413F-B3A9-C8C1CFE721B5}"/>
</file>

<file path=customXml/itemProps4.xml><?xml version="1.0" encoding="utf-8"?>
<ds:datastoreItem xmlns:ds="http://schemas.openxmlformats.org/officeDocument/2006/customXml" ds:itemID="{21BCA4E5-C469-4FAF-B34A-C46025BACE6E}"/>
</file>

<file path=docProps/app.xml><?xml version="1.0" encoding="utf-8"?>
<Properties xmlns="http://schemas.openxmlformats.org/officeDocument/2006/extended-properties" xmlns:vt="http://schemas.openxmlformats.org/officeDocument/2006/docPropsVTypes">
  <Template>Normal.dotm</Template>
  <TotalTime>0</TotalTime>
  <Pages>3</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3</cp:revision>
  <dcterms:created xsi:type="dcterms:W3CDTF">2020-08-24T15:29:00Z</dcterms:created>
  <dcterms:modified xsi:type="dcterms:W3CDTF">2021-01-30T20:26:00Z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