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147" w:type="dxa"/>
        <w:tblLayout w:type="fixed"/>
        <w:tblLook w:val="04A0" w:firstRow="1" w:lastRow="0" w:firstColumn="1" w:lastColumn="0" w:noHBand="0" w:noVBand="1"/>
      </w:tblPr>
      <w:tblGrid>
        <w:gridCol w:w="1135"/>
        <w:gridCol w:w="4819"/>
        <w:gridCol w:w="9639"/>
      </w:tblGrid>
      <w:tr w:rsidR="003B1FB1" w:rsidRPr="00140F78" w14:paraId="10A96F39" w14:textId="77777777" w:rsidTr="00526F34">
        <w:trPr>
          <w:trHeight w:val="132"/>
        </w:trPr>
        <w:tc>
          <w:tcPr>
            <w:tcW w:w="15593" w:type="dxa"/>
            <w:gridSpan w:val="3"/>
            <w:shd w:val="clear" w:color="auto" w:fill="BFBFBF" w:themeFill="background1" w:themeFillShade="BF"/>
          </w:tcPr>
          <w:p w14:paraId="7B80A0E5" w14:textId="5085B656" w:rsidR="003B1FB1" w:rsidRPr="00ED3DA7" w:rsidRDefault="005E5CF0" w:rsidP="00ED3DA7">
            <w:pPr>
              <w:spacing w:after="0" w:line="240" w:lineRule="auto"/>
              <w:jc w:val="center"/>
              <w:rPr>
                <w:rFonts w:cstheme="minorHAnsi"/>
                <w:b/>
                <w:sz w:val="18"/>
                <w:szCs w:val="18"/>
              </w:rPr>
            </w:pPr>
            <w:r>
              <w:rPr>
                <w:b/>
                <w:sz w:val="18"/>
                <w:szCs w:val="18"/>
              </w:rPr>
              <w:t>Article 28 – Indicateurs illustratifs d'un niveau de vie et d'une protection sociale suffisants</w:t>
            </w:r>
          </w:p>
        </w:tc>
      </w:tr>
      <w:tr w:rsidR="002A4805" w:rsidRPr="00140F78" w14:paraId="04BD768F" w14:textId="77777777" w:rsidTr="00521CEB">
        <w:trPr>
          <w:trHeight w:val="163"/>
        </w:trPr>
        <w:tc>
          <w:tcPr>
            <w:tcW w:w="15593" w:type="dxa"/>
            <w:gridSpan w:val="3"/>
            <w:shd w:val="clear" w:color="auto" w:fill="auto"/>
          </w:tcPr>
          <w:p w14:paraId="3748F3CB" w14:textId="37C7566B" w:rsidR="002A4805" w:rsidRPr="00ED3DA7" w:rsidRDefault="002A4805" w:rsidP="00E64C6D">
            <w:pPr>
              <w:tabs>
                <w:tab w:val="left" w:pos="5291"/>
              </w:tabs>
              <w:spacing w:after="0" w:line="240" w:lineRule="auto"/>
              <w:jc w:val="center"/>
              <w:rPr>
                <w:rFonts w:cstheme="minorHAnsi"/>
                <w:b/>
                <w:sz w:val="18"/>
                <w:szCs w:val="18"/>
              </w:rPr>
            </w:pPr>
            <w:r>
              <w:rPr>
                <w:b/>
                <w:sz w:val="18"/>
                <w:szCs w:val="18"/>
              </w:rPr>
              <w:t xml:space="preserve">Droit à un niveau de vie et à une protection sociale suffisants* </w:t>
            </w:r>
          </w:p>
        </w:tc>
      </w:tr>
      <w:tr w:rsidR="00E72B64" w:rsidRPr="00140F78" w14:paraId="4AD235F6" w14:textId="77777777" w:rsidTr="00BB55D4">
        <w:trPr>
          <w:trHeight w:val="275"/>
        </w:trPr>
        <w:tc>
          <w:tcPr>
            <w:tcW w:w="1135" w:type="dxa"/>
          </w:tcPr>
          <w:p w14:paraId="1E09C9B5" w14:textId="77777777" w:rsidR="00C3191D" w:rsidRPr="00ED3DA7" w:rsidRDefault="003B1FB1" w:rsidP="00ED3DA7">
            <w:pPr>
              <w:pStyle w:val="ListParagraph"/>
              <w:spacing w:after="0" w:line="240" w:lineRule="auto"/>
              <w:ind w:left="0"/>
              <w:rPr>
                <w:rFonts w:cstheme="minorHAnsi"/>
                <w:b/>
                <w:sz w:val="18"/>
                <w:szCs w:val="18"/>
              </w:rPr>
            </w:pPr>
            <w:r>
              <w:rPr>
                <w:b/>
                <w:sz w:val="18"/>
                <w:szCs w:val="18"/>
              </w:rPr>
              <w:t>Attributs/</w:t>
            </w:r>
          </w:p>
          <w:p w14:paraId="18FCE717" w14:textId="788BDAC6" w:rsidR="003B1FB1" w:rsidRPr="00ED3DA7" w:rsidRDefault="0027303A" w:rsidP="00ED3DA7">
            <w:pPr>
              <w:pStyle w:val="ListParagraph"/>
              <w:spacing w:after="0" w:line="240" w:lineRule="auto"/>
              <w:ind w:left="0"/>
              <w:rPr>
                <w:rFonts w:cstheme="minorHAnsi"/>
                <w:b/>
                <w:sz w:val="18"/>
                <w:szCs w:val="18"/>
              </w:rPr>
            </w:pPr>
            <w:r>
              <w:rPr>
                <w:b/>
                <w:sz w:val="18"/>
                <w:szCs w:val="18"/>
              </w:rPr>
              <w:t>Indicateur</w:t>
            </w:r>
          </w:p>
        </w:tc>
        <w:tc>
          <w:tcPr>
            <w:tcW w:w="4819" w:type="dxa"/>
          </w:tcPr>
          <w:p w14:paraId="393A187A" w14:textId="77777777" w:rsidR="003B1FB1" w:rsidRPr="00ED3DA7" w:rsidRDefault="00257443" w:rsidP="006400B0">
            <w:pPr>
              <w:spacing w:before="120" w:after="0" w:line="240" w:lineRule="auto"/>
              <w:jc w:val="center"/>
              <w:rPr>
                <w:rFonts w:eastAsia="Times New Roman" w:cstheme="minorHAnsi"/>
                <w:b/>
                <w:sz w:val="18"/>
                <w:szCs w:val="18"/>
              </w:rPr>
            </w:pPr>
            <w:r>
              <w:rPr>
                <w:b/>
                <w:sz w:val="18"/>
                <w:szCs w:val="18"/>
              </w:rPr>
              <w:t>Niveau de vie suffisant</w:t>
            </w:r>
          </w:p>
        </w:tc>
        <w:tc>
          <w:tcPr>
            <w:tcW w:w="9639" w:type="dxa"/>
          </w:tcPr>
          <w:p w14:paraId="04C9BFDD" w14:textId="77777777" w:rsidR="003B1FB1" w:rsidRPr="00140F78" w:rsidRDefault="00257443" w:rsidP="00521CEB">
            <w:pPr>
              <w:spacing w:before="120" w:after="0" w:line="240" w:lineRule="auto"/>
              <w:jc w:val="center"/>
              <w:rPr>
                <w:rFonts w:eastAsia="Times New Roman" w:cstheme="minorHAnsi"/>
                <w:b/>
                <w:sz w:val="18"/>
                <w:szCs w:val="18"/>
              </w:rPr>
            </w:pPr>
            <w:r>
              <w:rPr>
                <w:b/>
                <w:sz w:val="18"/>
                <w:szCs w:val="18"/>
              </w:rPr>
              <w:t>Protection sociale et réduction de la pauvreté</w:t>
            </w:r>
          </w:p>
        </w:tc>
      </w:tr>
      <w:tr w:rsidR="00E72B64" w:rsidRPr="00140F78" w14:paraId="56ACFA50" w14:textId="77777777" w:rsidTr="00BB55D4">
        <w:trPr>
          <w:trHeight w:val="1597"/>
        </w:trPr>
        <w:tc>
          <w:tcPr>
            <w:tcW w:w="1135" w:type="dxa"/>
          </w:tcPr>
          <w:p w14:paraId="7D6CEC70" w14:textId="77777777" w:rsidR="00476C08" w:rsidRPr="00ED3DA7" w:rsidRDefault="00476C08" w:rsidP="00ED3DA7">
            <w:pPr>
              <w:spacing w:after="0" w:line="240" w:lineRule="auto"/>
              <w:rPr>
                <w:rFonts w:cstheme="minorHAnsi"/>
                <w:b/>
                <w:sz w:val="18"/>
                <w:szCs w:val="18"/>
              </w:rPr>
            </w:pPr>
            <w:r>
              <w:rPr>
                <w:b/>
                <w:sz w:val="18"/>
                <w:szCs w:val="18"/>
              </w:rPr>
              <w:t>Structure</w:t>
            </w:r>
          </w:p>
        </w:tc>
        <w:tc>
          <w:tcPr>
            <w:tcW w:w="4819" w:type="dxa"/>
          </w:tcPr>
          <w:p w14:paraId="1C1F37EF" w14:textId="2C725D29" w:rsidR="0025529E" w:rsidRDefault="0025529E"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color w:val="000000"/>
                <w:sz w:val="18"/>
                <w:szCs w:val="18"/>
              </w:rPr>
              <w:t xml:space="preserve">Adoption d'une législation et d'une politique/d'un plan national incluant les </w:t>
            </w:r>
            <w:r w:rsidR="00DF02E3">
              <w:rPr>
                <w:color w:val="000000"/>
                <w:sz w:val="18"/>
                <w:szCs w:val="18"/>
              </w:rPr>
              <w:t>personnes handicapées</w:t>
            </w:r>
            <w:r>
              <w:rPr>
                <w:color w:val="000000"/>
                <w:sz w:val="18"/>
                <w:szCs w:val="18"/>
              </w:rPr>
              <w:t xml:space="preserve"> pour garantir l'accès à tous les programmes et services généraux et spécifiques au handicap sur un pied d'égalité avec les autres, y compris tous les programmes sociaux, le logement, la nutrition, l'eau, l'assainissement, l'hygiène et la santé (WASH).</w:t>
            </w:r>
          </w:p>
          <w:p w14:paraId="2F95346A" w14:textId="4EB8081C" w:rsidR="00D8348A" w:rsidRPr="0065144E" w:rsidRDefault="006243F4" w:rsidP="007D5D74">
            <w:pPr>
              <w:spacing w:after="0" w:line="240" w:lineRule="auto"/>
              <w:jc w:val="both"/>
              <w:rPr>
                <w:rFonts w:cstheme="minorHAnsi"/>
                <w:color w:val="000000"/>
                <w:sz w:val="18"/>
                <w:szCs w:val="18"/>
              </w:rPr>
            </w:pPr>
            <w:r>
              <w:rPr>
                <w:color w:val="000000"/>
                <w:sz w:val="18"/>
                <w:szCs w:val="18"/>
              </w:rPr>
              <w:t>28.2 Normes nationales d'accessibilité adoptées et appliquées aux logements publics et privés, à l'accès à l'eau et à l'assainissement.</w:t>
            </w:r>
          </w:p>
        </w:tc>
        <w:tc>
          <w:tcPr>
            <w:tcW w:w="9639" w:type="dxa"/>
          </w:tcPr>
          <w:p w14:paraId="5CC3C221" w14:textId="7959F2EC" w:rsidR="00E0221C" w:rsidRPr="00140F78" w:rsidRDefault="006243F4" w:rsidP="00ED3DA7">
            <w:pPr>
              <w:spacing w:after="0" w:line="240" w:lineRule="auto"/>
              <w:jc w:val="both"/>
              <w:rPr>
                <w:rFonts w:cstheme="minorHAnsi"/>
                <w:sz w:val="18"/>
                <w:szCs w:val="18"/>
              </w:rPr>
            </w:pPr>
            <w:r>
              <w:rPr>
                <w:sz w:val="18"/>
                <w:szCs w:val="18"/>
              </w:rPr>
              <w:t xml:space="preserve">28.3 Législation sur la protection sociale et la réduction de la pauvreté qui fait explicitement référence aux </w:t>
            </w:r>
            <w:r w:rsidR="00DF02E3">
              <w:rPr>
                <w:sz w:val="18"/>
                <w:szCs w:val="18"/>
              </w:rPr>
              <w:t>personnes handicapées</w:t>
            </w:r>
            <w:r>
              <w:rPr>
                <w:sz w:val="18"/>
                <w:szCs w:val="18"/>
              </w:rPr>
              <w:t xml:space="preserve"> et garantit leur accès égal à tous les programmes de protection sociale, y compris l'assistance sociale et l'assurance sociale.</w:t>
            </w:r>
            <w:r w:rsidR="00540CF9" w:rsidRPr="00140F78">
              <w:rPr>
                <w:rStyle w:val="EndnoteReference"/>
                <w:rFonts w:cstheme="minorHAnsi"/>
                <w:sz w:val="18"/>
                <w:szCs w:val="18"/>
              </w:rPr>
              <w:endnoteReference w:id="1"/>
            </w:r>
          </w:p>
          <w:p w14:paraId="47BA0899" w14:textId="6F693F54" w:rsidR="00554509" w:rsidRPr="00140F78" w:rsidRDefault="0065144E" w:rsidP="00ED3DA7">
            <w:pPr>
              <w:spacing w:after="0" w:line="240" w:lineRule="auto"/>
              <w:jc w:val="both"/>
              <w:rPr>
                <w:rFonts w:cstheme="minorHAnsi"/>
                <w:sz w:val="18"/>
                <w:szCs w:val="18"/>
              </w:rPr>
            </w:pPr>
            <w:r>
              <w:rPr>
                <w:sz w:val="18"/>
                <w:szCs w:val="18"/>
              </w:rPr>
              <w:t>28.4 Les systèmes</w:t>
            </w:r>
            <w:r w:rsidR="000E4FD5" w:rsidRPr="00140F78">
              <w:rPr>
                <w:rStyle w:val="EndnoteReference"/>
                <w:rFonts w:cstheme="minorHAnsi"/>
                <w:sz w:val="18"/>
                <w:szCs w:val="18"/>
              </w:rPr>
              <w:endnoteReference w:id="2"/>
            </w:r>
            <w:r>
              <w:rPr>
                <w:sz w:val="18"/>
                <w:szCs w:val="18"/>
              </w:rPr>
              <w:t xml:space="preserve"> et programmes de protection sociale contributifs et non contributifs généraux et axés sur le handicap répondent aux critères législatifs énoncés dans l'indicateur 28.3 et garantissent que les programmes et services incluent les </w:t>
            </w:r>
            <w:r w:rsidR="00DF02E3">
              <w:rPr>
                <w:sz w:val="18"/>
                <w:szCs w:val="18"/>
              </w:rPr>
              <w:t>personnes handicapées</w:t>
            </w:r>
            <w:r>
              <w:rPr>
                <w:sz w:val="18"/>
                <w:szCs w:val="18"/>
              </w:rPr>
              <w:t>.</w:t>
            </w:r>
            <w:r w:rsidR="00504EEF" w:rsidRPr="00140F78">
              <w:rPr>
                <w:rStyle w:val="EndnoteReference"/>
                <w:rFonts w:cstheme="minorHAnsi"/>
                <w:sz w:val="18"/>
                <w:szCs w:val="18"/>
              </w:rPr>
              <w:endnoteReference w:id="3"/>
            </w:r>
          </w:p>
          <w:p w14:paraId="0DCDC39D" w14:textId="2216220E" w:rsidR="007D5D74" w:rsidRDefault="0065144E" w:rsidP="00D31BD2">
            <w:pPr>
              <w:spacing w:after="0" w:line="240" w:lineRule="auto"/>
              <w:jc w:val="both"/>
              <w:rPr>
                <w:rFonts w:cstheme="minorHAnsi"/>
                <w:sz w:val="18"/>
                <w:szCs w:val="18"/>
              </w:rPr>
            </w:pPr>
            <w:r>
              <w:rPr>
                <w:sz w:val="18"/>
                <w:szCs w:val="18"/>
              </w:rPr>
              <w:t xml:space="preserve">28.5 Aucune disposition légale, réglementaire ou politique qui requiert : </w:t>
            </w:r>
          </w:p>
          <w:p w14:paraId="2E085E38" w14:textId="33AF6C75" w:rsidR="007D5D74" w:rsidRDefault="007D5D74" w:rsidP="00D31BD2">
            <w:pPr>
              <w:spacing w:after="0" w:line="240" w:lineRule="auto"/>
              <w:jc w:val="both"/>
              <w:rPr>
                <w:rFonts w:cstheme="minorHAnsi"/>
                <w:sz w:val="18"/>
                <w:szCs w:val="18"/>
              </w:rPr>
            </w:pPr>
            <w:r>
              <w:rPr>
                <w:sz w:val="18"/>
                <w:szCs w:val="18"/>
              </w:rPr>
              <w:t xml:space="preserve">- une renonciation à la capacité juridique des </w:t>
            </w:r>
            <w:r w:rsidR="00DF02E3">
              <w:rPr>
                <w:sz w:val="18"/>
                <w:szCs w:val="18"/>
              </w:rPr>
              <w:t>personnes handicapées</w:t>
            </w:r>
            <w:r>
              <w:rPr>
                <w:sz w:val="18"/>
                <w:szCs w:val="18"/>
              </w:rPr>
              <w:t> ;</w:t>
            </w:r>
            <w:r w:rsidR="0084530C">
              <w:rPr>
                <w:rStyle w:val="EndnoteReference"/>
                <w:rFonts w:cstheme="minorHAnsi"/>
                <w:sz w:val="18"/>
                <w:szCs w:val="18"/>
              </w:rPr>
              <w:endnoteReference w:id="4"/>
            </w:r>
            <w:r>
              <w:rPr>
                <w:sz w:val="18"/>
                <w:szCs w:val="18"/>
              </w:rPr>
              <w:t xml:space="preserve"> </w:t>
            </w:r>
          </w:p>
          <w:p w14:paraId="129E1C36" w14:textId="0CFCF07E" w:rsidR="00584F5A" w:rsidRPr="00140F78" w:rsidRDefault="007D5D74" w:rsidP="00D31BD2">
            <w:pPr>
              <w:spacing w:after="0" w:line="240" w:lineRule="auto"/>
              <w:jc w:val="both"/>
              <w:rPr>
                <w:rFonts w:cstheme="minorHAnsi"/>
                <w:sz w:val="18"/>
                <w:szCs w:val="18"/>
              </w:rPr>
            </w:pPr>
            <w:r>
              <w:rPr>
                <w:sz w:val="18"/>
                <w:szCs w:val="18"/>
              </w:rPr>
              <w:t>- des conditions qui ne peuvent être remplies ou qui conduisent à des effets négatifs pour les bénéficiaires, afin d'accéder aux prestations et aux programmes de protection sociale.</w:t>
            </w:r>
            <w:r w:rsidR="0084530C">
              <w:rPr>
                <w:rStyle w:val="EndnoteReference"/>
                <w:rFonts w:cstheme="minorHAnsi"/>
                <w:sz w:val="18"/>
                <w:szCs w:val="18"/>
              </w:rPr>
              <w:endnoteReference w:id="5"/>
            </w:r>
          </w:p>
        </w:tc>
      </w:tr>
      <w:tr w:rsidR="00E72B64" w:rsidRPr="00140F78" w14:paraId="36C8762F" w14:textId="77777777" w:rsidTr="00BB55D4">
        <w:tc>
          <w:tcPr>
            <w:tcW w:w="1135" w:type="dxa"/>
            <w:vMerge w:val="restart"/>
          </w:tcPr>
          <w:p w14:paraId="54727325" w14:textId="77777777" w:rsidR="00DB5466" w:rsidRPr="00ED3DA7" w:rsidRDefault="00DB5466" w:rsidP="00ED3DA7">
            <w:pPr>
              <w:spacing w:after="0" w:line="240" w:lineRule="auto"/>
              <w:rPr>
                <w:rFonts w:cstheme="minorHAnsi"/>
                <w:b/>
                <w:sz w:val="18"/>
                <w:szCs w:val="18"/>
              </w:rPr>
            </w:pPr>
            <w:r>
              <w:rPr>
                <w:b/>
                <w:sz w:val="18"/>
                <w:szCs w:val="18"/>
              </w:rPr>
              <w:t>Processus</w:t>
            </w:r>
          </w:p>
        </w:tc>
        <w:tc>
          <w:tcPr>
            <w:tcW w:w="4819" w:type="dxa"/>
          </w:tcPr>
          <w:p w14:paraId="1CEBA05E" w14:textId="77A70AF5" w:rsidR="00DB5466" w:rsidRDefault="0065144E" w:rsidP="00ED3DA7">
            <w:pPr>
              <w:spacing w:after="0" w:line="240" w:lineRule="auto"/>
              <w:jc w:val="both"/>
              <w:rPr>
                <w:rFonts w:cstheme="minorHAnsi"/>
                <w:color w:val="000000"/>
                <w:sz w:val="18"/>
                <w:szCs w:val="18"/>
              </w:rPr>
            </w:pPr>
            <w:r>
              <w:rPr>
                <w:color w:val="000000"/>
                <w:sz w:val="18"/>
                <w:szCs w:val="18"/>
              </w:rPr>
              <w:t>28.6 Nombre et proportion de logements, y compris les logements sociaux, qui respectent les normes d'accessibilité.</w:t>
            </w:r>
          </w:p>
          <w:p w14:paraId="1902327A" w14:textId="227FFD1B" w:rsidR="00BF03AA" w:rsidRDefault="0065144E" w:rsidP="00326297">
            <w:pPr>
              <w:spacing w:after="0" w:line="240" w:lineRule="auto"/>
              <w:jc w:val="both"/>
              <w:rPr>
                <w:rFonts w:cstheme="minorHAnsi"/>
                <w:color w:val="000000"/>
                <w:sz w:val="18"/>
                <w:szCs w:val="18"/>
              </w:rPr>
            </w:pPr>
            <w:r>
              <w:rPr>
                <w:color w:val="000000"/>
                <w:sz w:val="18"/>
                <w:szCs w:val="18"/>
              </w:rPr>
              <w:t>28.7 Nombre et proportion de bénéficiaires de programmes de logements sociaux, ventilés par sexe, âge, handicap et situation géographique.</w:t>
            </w:r>
          </w:p>
          <w:p w14:paraId="19158313" w14:textId="6BE0908E" w:rsidR="00CE30A8" w:rsidRPr="00ED3DA7" w:rsidRDefault="0065144E" w:rsidP="005A0B55">
            <w:pPr>
              <w:spacing w:after="0" w:line="240" w:lineRule="auto"/>
              <w:jc w:val="both"/>
              <w:rPr>
                <w:rFonts w:cstheme="minorHAnsi"/>
                <w:sz w:val="18"/>
                <w:szCs w:val="18"/>
              </w:rPr>
            </w:pPr>
            <w:r>
              <w:rPr>
                <w:sz w:val="18"/>
                <w:szCs w:val="18"/>
              </w:rPr>
              <w:t xml:space="preserve">28.8 Nombre et proportion de ménages ayant accès à l'eau potable, aux installations d'hygiène et d'assainissement, ventilés par ménage avec </w:t>
            </w:r>
            <w:r w:rsidR="00DF02E3">
              <w:rPr>
                <w:sz w:val="18"/>
                <w:szCs w:val="18"/>
              </w:rPr>
              <w:t>personnes handicapées</w:t>
            </w:r>
            <w:r>
              <w:rPr>
                <w:sz w:val="18"/>
                <w:szCs w:val="18"/>
              </w:rPr>
              <w:t xml:space="preserve"> et situation géographique.</w:t>
            </w:r>
          </w:p>
        </w:tc>
        <w:tc>
          <w:tcPr>
            <w:tcW w:w="9639" w:type="dxa"/>
          </w:tcPr>
          <w:p w14:paraId="079916A3" w14:textId="7723BC3B" w:rsidR="003B7E4E" w:rsidRPr="00140F78" w:rsidRDefault="0065144E" w:rsidP="00ED3DA7">
            <w:pPr>
              <w:spacing w:after="0" w:line="240" w:lineRule="auto"/>
              <w:jc w:val="both"/>
              <w:rPr>
                <w:rFonts w:cstheme="minorHAnsi"/>
                <w:sz w:val="18"/>
                <w:szCs w:val="18"/>
              </w:rPr>
            </w:pPr>
            <w:r>
              <w:rPr>
                <w:sz w:val="18"/>
                <w:szCs w:val="18"/>
              </w:rPr>
              <w:t xml:space="preserve">28.9 Système entièrement accessible pour déterminer qui a droit à des prestations de protection sociale qui ne font pas de discrimination en raison du handicap, et détermine les coûts supplémentaires liés au handicap et les services de soutien adaptés à l'individu, en accordant une attention particulière aux </w:t>
            </w:r>
            <w:r>
              <w:rPr>
                <w:color w:val="000000"/>
                <w:sz w:val="18"/>
                <w:szCs w:val="18"/>
              </w:rPr>
              <w:t xml:space="preserve">femmes, aux enfants, aux personnes âgées, aux </w:t>
            </w:r>
            <w:r w:rsidR="00DF02E3">
              <w:rPr>
                <w:color w:val="000000"/>
                <w:sz w:val="18"/>
                <w:szCs w:val="18"/>
              </w:rPr>
              <w:t xml:space="preserve">personnes </w:t>
            </w:r>
            <w:r>
              <w:rPr>
                <w:color w:val="000000"/>
                <w:sz w:val="18"/>
                <w:szCs w:val="18"/>
              </w:rPr>
              <w:t>autochtones, personnes appartenant à une minorité et migrants handicap</w:t>
            </w:r>
            <w:r w:rsidR="00DF02E3">
              <w:rPr>
                <w:color w:val="000000"/>
                <w:sz w:val="18"/>
                <w:szCs w:val="18"/>
              </w:rPr>
              <w:t>és</w:t>
            </w:r>
            <w:r>
              <w:rPr>
                <w:color w:val="000000"/>
                <w:sz w:val="18"/>
                <w:szCs w:val="18"/>
              </w:rPr>
              <w:t>.</w:t>
            </w:r>
          </w:p>
          <w:p w14:paraId="445B649C" w14:textId="625D0493" w:rsidR="00541E71" w:rsidRPr="00140F78" w:rsidRDefault="0065144E" w:rsidP="00ED3DA7">
            <w:pPr>
              <w:spacing w:after="0" w:line="240" w:lineRule="auto"/>
              <w:jc w:val="both"/>
              <w:rPr>
                <w:rFonts w:cstheme="minorHAnsi"/>
                <w:color w:val="000000"/>
                <w:sz w:val="18"/>
                <w:szCs w:val="18"/>
              </w:rPr>
            </w:pPr>
            <w:r>
              <w:rPr>
                <w:color w:val="000000"/>
                <w:sz w:val="18"/>
                <w:szCs w:val="18"/>
              </w:rPr>
              <w:t xml:space="preserve">28.10 Nombre et proportion de </w:t>
            </w:r>
            <w:r w:rsidR="00DF02E3">
              <w:rPr>
                <w:color w:val="000000"/>
                <w:sz w:val="18"/>
                <w:szCs w:val="18"/>
              </w:rPr>
              <w:t>personnes handicapées</w:t>
            </w:r>
            <w:r>
              <w:rPr>
                <w:color w:val="000000"/>
                <w:sz w:val="18"/>
                <w:szCs w:val="18"/>
              </w:rPr>
              <w:t xml:space="preserve"> qui demandent des prestations de protection sociale et de celles qui les reçoivent, ventilés par sexe, âge, handicap, origine autochtone/minoritaire, statut de migrant et type de prestation (ordinaire ou spécifique au handicap). </w:t>
            </w:r>
          </w:p>
          <w:p w14:paraId="2A5C6CD8" w14:textId="258575D6" w:rsidR="00DB5466" w:rsidRPr="00140F78" w:rsidRDefault="005A0B55" w:rsidP="009F5005">
            <w:pPr>
              <w:spacing w:after="0" w:line="240" w:lineRule="auto"/>
              <w:jc w:val="both"/>
              <w:rPr>
                <w:rFonts w:cstheme="minorHAnsi"/>
                <w:color w:val="000000"/>
                <w:sz w:val="18"/>
                <w:szCs w:val="18"/>
              </w:rPr>
            </w:pPr>
            <w:r>
              <w:rPr>
                <w:color w:val="000000"/>
                <w:sz w:val="18"/>
                <w:szCs w:val="18"/>
              </w:rPr>
              <w:t xml:space="preserve">28.11 Budget alloué et dépensé pour les programmes de protection sociale, à la fois traditionnels et spécifiques au handicap, dont les bénéficiaires sont des </w:t>
            </w:r>
            <w:r w:rsidR="00DF02E3">
              <w:rPr>
                <w:color w:val="000000"/>
                <w:sz w:val="18"/>
                <w:szCs w:val="18"/>
              </w:rPr>
              <w:t>personnes handicapées</w:t>
            </w:r>
            <w:r>
              <w:rPr>
                <w:color w:val="000000"/>
                <w:sz w:val="18"/>
                <w:szCs w:val="18"/>
              </w:rPr>
              <w:t>, ventilé par âge, sexe, handicap, origine autochtone/minoritaire, statut de migrant et type de programme (général ou spécifique au handicap).</w:t>
            </w:r>
          </w:p>
        </w:tc>
      </w:tr>
      <w:tr w:rsidR="0027303A" w:rsidRPr="00140F78" w14:paraId="4F5D7F7B" w14:textId="77777777" w:rsidTr="00526F34">
        <w:tc>
          <w:tcPr>
            <w:tcW w:w="1135" w:type="dxa"/>
            <w:vMerge/>
          </w:tcPr>
          <w:p w14:paraId="28BC4960" w14:textId="77777777" w:rsidR="0027303A" w:rsidRPr="00ED3DA7" w:rsidRDefault="0027303A" w:rsidP="00ED3DA7">
            <w:pPr>
              <w:spacing w:after="0" w:line="240" w:lineRule="auto"/>
              <w:rPr>
                <w:rFonts w:cstheme="minorHAnsi"/>
                <w:b/>
                <w:sz w:val="18"/>
                <w:szCs w:val="18"/>
              </w:rPr>
            </w:pPr>
          </w:p>
        </w:tc>
        <w:tc>
          <w:tcPr>
            <w:tcW w:w="14458" w:type="dxa"/>
            <w:gridSpan w:val="2"/>
            <w:tcBorders>
              <w:bottom w:val="nil"/>
            </w:tcBorders>
          </w:tcPr>
          <w:p w14:paraId="0081A5BE" w14:textId="01269E05" w:rsidR="003D2F9C" w:rsidRPr="00D12592" w:rsidRDefault="005A0B55" w:rsidP="00ED3DA7">
            <w:pPr>
              <w:spacing w:after="0" w:line="240" w:lineRule="auto"/>
              <w:jc w:val="both"/>
              <w:rPr>
                <w:rFonts w:cstheme="minorHAnsi"/>
                <w:color w:val="000000"/>
                <w:sz w:val="18"/>
                <w:szCs w:val="18"/>
              </w:rPr>
            </w:pPr>
            <w:r>
              <w:rPr>
                <w:sz w:val="18"/>
                <w:szCs w:val="18"/>
              </w:rPr>
              <w:t xml:space="preserve">28.12 Processus de consultation entrepris pour assurer la participation active des </w:t>
            </w:r>
            <w:r w:rsidR="00DF02E3">
              <w:rPr>
                <w:sz w:val="18"/>
                <w:szCs w:val="18"/>
              </w:rPr>
              <w:t>personnes handicapées</w:t>
            </w:r>
            <w:r>
              <w:rPr>
                <w:sz w:val="18"/>
                <w:szCs w:val="18"/>
              </w:rPr>
              <w:t xml:space="preserve">, </w:t>
            </w:r>
            <w:r>
              <w:rPr>
                <w:color w:val="444444"/>
                <w:sz w:val="18"/>
                <w:szCs w:val="18"/>
              </w:rPr>
              <w:t>y compris</w:t>
            </w:r>
            <w:r>
              <w:rPr>
                <w:sz w:val="18"/>
                <w:szCs w:val="18"/>
              </w:rPr>
              <w:t xml:space="preserve"> par l</w:t>
            </w:r>
            <w:r w:rsidR="00DF02E3">
              <w:rPr>
                <w:sz w:val="18"/>
                <w:szCs w:val="18"/>
              </w:rPr>
              <w:t>’intermédiaire des</w:t>
            </w:r>
            <w:r>
              <w:rPr>
                <w:sz w:val="18"/>
                <w:szCs w:val="18"/>
              </w:rPr>
              <w:t xml:space="preserve"> organisations</w:t>
            </w:r>
            <w:r w:rsidR="00DF02E3">
              <w:rPr>
                <w:sz w:val="18"/>
                <w:szCs w:val="18"/>
              </w:rPr>
              <w:t xml:space="preserve"> qui les représentent</w:t>
            </w:r>
            <w:r>
              <w:rPr>
                <w:sz w:val="18"/>
                <w:szCs w:val="18"/>
              </w:rPr>
              <w:t xml:space="preserve">, à la conception, à la mise en œuvre et au suivi des lois, réglementations, politiques et programmes </w:t>
            </w:r>
            <w:r>
              <w:rPr>
                <w:color w:val="000000"/>
                <w:sz w:val="18"/>
                <w:szCs w:val="18"/>
              </w:rPr>
              <w:t>liés à la nutrition, au logement, à l'accès à l'eau, à l'assainissement, à la protection sociale et réduction de la pauvreté.</w:t>
            </w:r>
            <w:r w:rsidR="003D2F9C" w:rsidRPr="00D12592">
              <w:rPr>
                <w:rStyle w:val="EndnoteReference"/>
                <w:rFonts w:cstheme="minorHAnsi"/>
                <w:sz w:val="18"/>
                <w:szCs w:val="18"/>
              </w:rPr>
              <w:endnoteReference w:id="6"/>
            </w:r>
            <w:r>
              <w:rPr>
                <w:color w:val="000000"/>
                <w:sz w:val="18"/>
                <w:szCs w:val="18"/>
              </w:rPr>
              <w:t xml:space="preserve"> </w:t>
            </w:r>
          </w:p>
          <w:p w14:paraId="6FB00931" w14:textId="384FF794" w:rsidR="0027303A" w:rsidRPr="00ED3DA7" w:rsidRDefault="005A0B55" w:rsidP="00FB191D">
            <w:pPr>
              <w:spacing w:after="0" w:line="240" w:lineRule="auto"/>
              <w:jc w:val="both"/>
              <w:rPr>
                <w:rFonts w:cstheme="minorHAnsi"/>
                <w:sz w:val="18"/>
                <w:szCs w:val="18"/>
              </w:rPr>
            </w:pPr>
            <w:r>
              <w:rPr>
                <w:sz w:val="18"/>
                <w:szCs w:val="18"/>
              </w:rPr>
              <w:t xml:space="preserve">28.13 Proportion de l'ensemble du personnel du secteur public impliqué dans la prestation de programmes et de services liés à la </w:t>
            </w:r>
            <w:r>
              <w:rPr>
                <w:color w:val="000000"/>
                <w:sz w:val="18"/>
                <w:szCs w:val="18"/>
              </w:rPr>
              <w:t>nutrition, au logement, à l'accès à l'eau, à l'assainissement, à la protection sociale et aux programmes de réduction de la pauvreté qui ont reçu une formation</w:t>
            </w:r>
            <w:r>
              <w:rPr>
                <w:sz w:val="18"/>
                <w:szCs w:val="18"/>
              </w:rPr>
              <w:t xml:space="preserve"> sur les droits des </w:t>
            </w:r>
            <w:r w:rsidR="00DF02E3">
              <w:rPr>
                <w:sz w:val="18"/>
                <w:szCs w:val="18"/>
              </w:rPr>
              <w:t>personnes handicapées</w:t>
            </w:r>
            <w:r>
              <w:rPr>
                <w:sz w:val="18"/>
                <w:szCs w:val="18"/>
              </w:rPr>
              <w:t xml:space="preserve">, en particulier les dépenses liées au handicap et la fourniture d'appareils d'assistance et d'autres formes de soutien aux </w:t>
            </w:r>
            <w:r w:rsidR="00DF02E3">
              <w:rPr>
                <w:sz w:val="18"/>
                <w:szCs w:val="18"/>
              </w:rPr>
              <w:t>personnes handicapées</w:t>
            </w:r>
            <w:r>
              <w:rPr>
                <w:sz w:val="18"/>
                <w:szCs w:val="18"/>
              </w:rPr>
              <w:t>.</w:t>
            </w:r>
            <w:r w:rsidR="00FB191D" w:rsidRPr="00ED3DA7">
              <w:rPr>
                <w:rStyle w:val="EndnoteReference"/>
                <w:rFonts w:cstheme="minorHAnsi"/>
                <w:sz w:val="18"/>
                <w:szCs w:val="18"/>
              </w:rPr>
              <w:endnoteReference w:id="7"/>
            </w:r>
          </w:p>
        </w:tc>
      </w:tr>
      <w:tr w:rsidR="00E56839" w:rsidRPr="00140F78" w14:paraId="3FDC147E" w14:textId="77777777" w:rsidTr="0025529E">
        <w:trPr>
          <w:trHeight w:val="954"/>
        </w:trPr>
        <w:tc>
          <w:tcPr>
            <w:tcW w:w="1135" w:type="dxa"/>
            <w:vMerge/>
          </w:tcPr>
          <w:p w14:paraId="436AA923" w14:textId="1706134E" w:rsidR="00E56839" w:rsidRPr="00ED3DA7" w:rsidRDefault="00E56839" w:rsidP="00ED3DA7">
            <w:pPr>
              <w:spacing w:after="0" w:line="240" w:lineRule="auto"/>
              <w:rPr>
                <w:rFonts w:cstheme="minorHAnsi"/>
                <w:b/>
                <w:sz w:val="18"/>
                <w:szCs w:val="18"/>
              </w:rPr>
            </w:pPr>
          </w:p>
        </w:tc>
        <w:tc>
          <w:tcPr>
            <w:tcW w:w="14458" w:type="dxa"/>
            <w:gridSpan w:val="2"/>
            <w:tcBorders>
              <w:top w:val="nil"/>
            </w:tcBorders>
          </w:tcPr>
          <w:p w14:paraId="0C3F06CC" w14:textId="7FF04B2F" w:rsidR="00E56839" w:rsidRPr="00ED3DA7" w:rsidRDefault="005A0B55" w:rsidP="00ED3DA7">
            <w:pPr>
              <w:spacing w:after="0" w:line="240" w:lineRule="auto"/>
              <w:jc w:val="both"/>
              <w:rPr>
                <w:rFonts w:cstheme="minorHAnsi"/>
                <w:sz w:val="18"/>
                <w:szCs w:val="18"/>
              </w:rPr>
            </w:pPr>
            <w:r>
              <w:rPr>
                <w:sz w:val="18"/>
                <w:szCs w:val="18"/>
              </w:rPr>
              <w:t>28.14 Campagnes et activités de sensibilisation aux programmes et services</w:t>
            </w:r>
            <w:r w:rsidR="00CB4BE6">
              <w:rPr>
                <w:rStyle w:val="EndnoteReference"/>
                <w:rFonts w:cstheme="minorHAnsi"/>
                <w:sz w:val="18"/>
                <w:szCs w:val="18"/>
              </w:rPr>
              <w:endnoteReference w:id="8"/>
            </w:r>
            <w:r>
              <w:rPr>
                <w:sz w:val="18"/>
                <w:szCs w:val="18"/>
              </w:rPr>
              <w:t xml:space="preserve"> pour les </w:t>
            </w:r>
            <w:r w:rsidR="00DF02E3">
              <w:rPr>
                <w:sz w:val="18"/>
                <w:szCs w:val="18"/>
              </w:rPr>
              <w:t>personnes handicapées</w:t>
            </w:r>
            <w:r>
              <w:rPr>
                <w:sz w:val="18"/>
                <w:szCs w:val="18"/>
              </w:rPr>
              <w:t xml:space="preserve">, conçus et réalisés en consultation avec les organisations de </w:t>
            </w:r>
            <w:r w:rsidR="00DF02E3">
              <w:rPr>
                <w:sz w:val="18"/>
                <w:szCs w:val="18"/>
              </w:rPr>
              <w:t>personnes handicapées</w:t>
            </w:r>
            <w:r>
              <w:rPr>
                <w:sz w:val="18"/>
                <w:szCs w:val="18"/>
              </w:rPr>
              <w:t xml:space="preserve">, concernant la nutrition, le logement, l'eau, l'assainissement, les régimes de protection sociale, en particulier pour les femmes, les enfants, les personnes âgées, les </w:t>
            </w:r>
            <w:r w:rsidR="00DF02E3">
              <w:rPr>
                <w:sz w:val="18"/>
                <w:szCs w:val="18"/>
              </w:rPr>
              <w:t xml:space="preserve">personnes </w:t>
            </w:r>
            <w:r>
              <w:rPr>
                <w:sz w:val="18"/>
                <w:szCs w:val="18"/>
              </w:rPr>
              <w:t>autochtones, les personnes appartenant à une minorité et les migrants handicap</w:t>
            </w:r>
            <w:r w:rsidR="00DF02E3">
              <w:rPr>
                <w:sz w:val="18"/>
                <w:szCs w:val="18"/>
              </w:rPr>
              <w:t>és</w:t>
            </w:r>
            <w:r>
              <w:rPr>
                <w:sz w:val="18"/>
                <w:szCs w:val="18"/>
              </w:rPr>
              <w:t>.</w:t>
            </w:r>
            <w:r w:rsidR="007C74BD">
              <w:rPr>
                <w:sz w:val="18"/>
                <w:szCs w:val="18"/>
              </w:rPr>
              <w:t xml:space="preserve"> </w:t>
            </w:r>
          </w:p>
          <w:p w14:paraId="66860E36" w14:textId="4081488E" w:rsidR="00E56839" w:rsidRPr="00FB191D" w:rsidRDefault="005A0B55" w:rsidP="0051740E">
            <w:pPr>
              <w:spacing w:after="0" w:line="240" w:lineRule="auto"/>
              <w:jc w:val="both"/>
              <w:rPr>
                <w:rFonts w:cstheme="minorHAnsi"/>
                <w:sz w:val="18"/>
                <w:szCs w:val="18"/>
              </w:rPr>
            </w:pPr>
            <w:r>
              <w:rPr>
                <w:sz w:val="18"/>
                <w:szCs w:val="18"/>
              </w:rPr>
              <w:t xml:space="preserve">28.15 Proportion de plaintes reçues concernant l'accès et la participation à des programmes et services concernant la nutrition, l'alimentation, le logement, l'eau, l'assainissement, les régimes de protection sociale, alléguant une discrimination fondée sur le handicap et/ou impliquant des </w:t>
            </w:r>
            <w:r w:rsidR="00DF02E3">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CF776F" w:rsidRPr="00140F78" w14:paraId="048ECFF4" w14:textId="77777777" w:rsidTr="00BB55D4">
        <w:trPr>
          <w:trHeight w:val="131"/>
        </w:trPr>
        <w:tc>
          <w:tcPr>
            <w:tcW w:w="1135" w:type="dxa"/>
          </w:tcPr>
          <w:p w14:paraId="5AD9AD43" w14:textId="77777777" w:rsidR="00CF776F" w:rsidRPr="00ED3DA7" w:rsidRDefault="00CF776F" w:rsidP="00ED3DA7">
            <w:pPr>
              <w:spacing w:after="0" w:line="240" w:lineRule="auto"/>
              <w:rPr>
                <w:rFonts w:cstheme="minorHAnsi"/>
                <w:b/>
                <w:sz w:val="18"/>
                <w:szCs w:val="18"/>
              </w:rPr>
            </w:pPr>
            <w:r>
              <w:rPr>
                <w:b/>
                <w:sz w:val="18"/>
                <w:szCs w:val="18"/>
              </w:rPr>
              <w:t>Résultats</w:t>
            </w:r>
          </w:p>
        </w:tc>
        <w:tc>
          <w:tcPr>
            <w:tcW w:w="14458" w:type="dxa"/>
            <w:gridSpan w:val="2"/>
          </w:tcPr>
          <w:p w14:paraId="65A6A99F" w14:textId="4AB12A2D" w:rsidR="005419ED" w:rsidRDefault="006243F4" w:rsidP="00ED3DA7">
            <w:pPr>
              <w:spacing w:after="0" w:line="240" w:lineRule="auto"/>
              <w:jc w:val="both"/>
              <w:rPr>
                <w:rFonts w:cstheme="minorHAnsi"/>
                <w:color w:val="000000"/>
                <w:sz w:val="18"/>
                <w:szCs w:val="18"/>
              </w:rPr>
            </w:pPr>
            <w:r>
              <w:rPr>
                <w:sz w:val="18"/>
                <w:szCs w:val="18"/>
              </w:rPr>
              <w:t xml:space="preserve">28.16 </w:t>
            </w:r>
            <w:r w:rsidR="00BE23B9" w:rsidRPr="00BE23B9">
              <w:rPr>
                <w:color w:val="000000"/>
                <w:sz w:val="18"/>
                <w:szCs w:val="18"/>
              </w:rPr>
              <w:t>Proportion de la population bénéficiant de socles ou systèmes de protection sociale, par sexe et par groupe de population (enfants, chômeurs, personnes âgées, personnes handicapées, femmes enceintes et nouveau-nés, victimes d’un accident du travail, pauvres et personnes vulnérables)</w:t>
            </w:r>
            <w:r>
              <w:rPr>
                <w:sz w:val="18"/>
                <w:szCs w:val="18"/>
              </w:rPr>
              <w:t xml:space="preserve"> </w:t>
            </w:r>
            <w:r>
              <w:rPr>
                <w:color w:val="000000"/>
                <w:sz w:val="18"/>
                <w:szCs w:val="18"/>
              </w:rPr>
              <w:t xml:space="preserve">(indicateur ODD 1.3.1). </w:t>
            </w:r>
          </w:p>
          <w:p w14:paraId="27FE3142" w14:textId="09ABD9E4" w:rsidR="00D12592" w:rsidRPr="00ED3DA7" w:rsidRDefault="005A0B55" w:rsidP="00ED3DA7">
            <w:pPr>
              <w:spacing w:after="0" w:line="240" w:lineRule="auto"/>
              <w:jc w:val="both"/>
              <w:rPr>
                <w:rFonts w:cstheme="minorHAnsi"/>
                <w:color w:val="000000"/>
                <w:sz w:val="18"/>
                <w:szCs w:val="18"/>
              </w:rPr>
            </w:pPr>
            <w:r>
              <w:rPr>
                <w:color w:val="000000"/>
                <w:sz w:val="18"/>
                <w:szCs w:val="18"/>
              </w:rPr>
              <w:t xml:space="preserve">28.17 Proportion de </w:t>
            </w:r>
            <w:r w:rsidR="00DF02E3">
              <w:rPr>
                <w:color w:val="000000"/>
                <w:sz w:val="18"/>
                <w:szCs w:val="18"/>
              </w:rPr>
              <w:t>personnes handicapées</w:t>
            </w:r>
            <w:r>
              <w:rPr>
                <w:color w:val="000000"/>
                <w:sz w:val="18"/>
                <w:szCs w:val="18"/>
              </w:rPr>
              <w:t xml:space="preserve"> ayant accès à toute forme de régime de protection sociale dont les coûts liés au handicap sont déterminés et couverts, par</w:t>
            </w:r>
            <w:r>
              <w:rPr>
                <w:sz w:val="18"/>
                <w:szCs w:val="18"/>
              </w:rPr>
              <w:t xml:space="preserve"> </w:t>
            </w:r>
            <w:r>
              <w:rPr>
                <w:color w:val="000000" w:themeColor="text1"/>
                <w:sz w:val="18"/>
                <w:szCs w:val="18"/>
              </w:rPr>
              <w:t>sexe, âge et handicap.</w:t>
            </w:r>
          </w:p>
          <w:p w14:paraId="580E3E79" w14:textId="77777777" w:rsidR="00EF500B" w:rsidRDefault="005A0B55" w:rsidP="00ED3DA7">
            <w:pPr>
              <w:spacing w:after="0" w:line="240" w:lineRule="auto"/>
              <w:jc w:val="both"/>
              <w:rPr>
                <w:rFonts w:cstheme="minorHAnsi"/>
                <w:color w:val="000000"/>
                <w:sz w:val="18"/>
                <w:szCs w:val="18"/>
              </w:rPr>
            </w:pPr>
            <w:r>
              <w:rPr>
                <w:color w:val="000000"/>
                <w:sz w:val="18"/>
                <w:szCs w:val="18"/>
              </w:rPr>
              <w:t>28.18 Nombre de sans-abri pour 100 000 habitants par sexe, âge et handicap.</w:t>
            </w:r>
          </w:p>
          <w:p w14:paraId="75235C47" w14:textId="515CBDBA" w:rsidR="00CF776F" w:rsidRPr="00ED3DA7" w:rsidRDefault="005A0B55" w:rsidP="00ED3DA7">
            <w:pPr>
              <w:spacing w:after="0" w:line="240" w:lineRule="auto"/>
              <w:jc w:val="both"/>
              <w:rPr>
                <w:rFonts w:cstheme="minorHAnsi"/>
                <w:color w:val="0000D4"/>
                <w:sz w:val="18"/>
                <w:szCs w:val="18"/>
              </w:rPr>
            </w:pPr>
            <w:r>
              <w:rPr>
                <w:color w:val="000000"/>
                <w:sz w:val="18"/>
                <w:szCs w:val="18"/>
              </w:rPr>
              <w:t xml:space="preserve">28.19 </w:t>
            </w:r>
            <w:r w:rsidR="00C07E9F" w:rsidRPr="00C07E9F">
              <w:rPr>
                <w:color w:val="000000"/>
                <w:sz w:val="18"/>
                <w:szCs w:val="18"/>
              </w:rPr>
              <w:t xml:space="preserve">Proportion de la population urbaine vivant dans des quartiers de taudis, des implantations sauvages ou des logements inadéquats </w:t>
            </w:r>
            <w:r>
              <w:rPr>
                <w:color w:val="000000"/>
                <w:sz w:val="18"/>
                <w:szCs w:val="18"/>
              </w:rPr>
              <w:t>(indicateur ODD 11.1.1) par</w:t>
            </w:r>
            <w:r>
              <w:rPr>
                <w:sz w:val="18"/>
                <w:szCs w:val="18"/>
              </w:rPr>
              <w:t xml:space="preserve"> </w:t>
            </w:r>
            <w:r>
              <w:rPr>
                <w:color w:val="000000" w:themeColor="text1"/>
                <w:sz w:val="18"/>
                <w:szCs w:val="18"/>
              </w:rPr>
              <w:t>sexe, âge et handicap.</w:t>
            </w:r>
            <w:r>
              <w:rPr>
                <w:color w:val="000000"/>
                <w:sz w:val="18"/>
                <w:szCs w:val="18"/>
              </w:rPr>
              <w:t>28.20 Proportion de la population utilisant des services</w:t>
            </w:r>
            <w:r w:rsidR="00BE23B9">
              <w:t xml:space="preserve"> </w:t>
            </w:r>
            <w:r w:rsidR="00BE23B9" w:rsidRPr="00BE23B9">
              <w:rPr>
                <w:color w:val="000000"/>
                <w:sz w:val="18"/>
                <w:szCs w:val="18"/>
              </w:rPr>
              <w:t>d’alimentation en eau potable gérés en toute sécurité</w:t>
            </w:r>
            <w:r>
              <w:rPr>
                <w:color w:val="000000"/>
                <w:sz w:val="18"/>
                <w:szCs w:val="18"/>
              </w:rPr>
              <w:t xml:space="preserve"> (indicateur ODD 6.1.1) par</w:t>
            </w:r>
            <w:r>
              <w:rPr>
                <w:sz w:val="18"/>
                <w:szCs w:val="18"/>
              </w:rPr>
              <w:t xml:space="preserve"> </w:t>
            </w:r>
            <w:r>
              <w:rPr>
                <w:color w:val="000000" w:themeColor="text1"/>
                <w:sz w:val="18"/>
                <w:szCs w:val="18"/>
              </w:rPr>
              <w:t>sexe, âge et handicap.</w:t>
            </w:r>
            <w:r w:rsidR="00BE23B9">
              <w:rPr>
                <w:color w:val="000000" w:themeColor="text1"/>
                <w:sz w:val="18"/>
                <w:szCs w:val="18"/>
              </w:rPr>
              <w:t xml:space="preserve"> </w:t>
            </w:r>
          </w:p>
          <w:p w14:paraId="6897F984" w14:textId="60B727D1" w:rsidR="00CF776F" w:rsidRPr="00ED3DA7" w:rsidRDefault="005A0B55" w:rsidP="00ED3DA7">
            <w:pPr>
              <w:spacing w:after="0" w:line="240" w:lineRule="auto"/>
              <w:jc w:val="both"/>
              <w:rPr>
                <w:rFonts w:cstheme="minorHAnsi"/>
                <w:color w:val="000000"/>
                <w:sz w:val="18"/>
                <w:szCs w:val="18"/>
              </w:rPr>
            </w:pPr>
            <w:r>
              <w:rPr>
                <w:color w:val="000000"/>
                <w:sz w:val="18"/>
                <w:szCs w:val="18"/>
              </w:rPr>
              <w:t xml:space="preserve">28.21 Proportion de la population utilisant des services d'assainissement gérés en toute sécurité, </w:t>
            </w:r>
            <w:r w:rsidR="00BE23B9" w:rsidRPr="00BE23B9">
              <w:rPr>
                <w:color w:val="000000"/>
                <w:sz w:val="18"/>
                <w:szCs w:val="18"/>
              </w:rPr>
              <w:t>notamment des équipements pour se laver les mains avec de l’eau et du</w:t>
            </w:r>
            <w:r>
              <w:rPr>
                <w:color w:val="000000"/>
                <w:sz w:val="18"/>
                <w:szCs w:val="18"/>
              </w:rPr>
              <w:t xml:space="preserve"> savon (indicateur ODD 6.2.1) par</w:t>
            </w:r>
            <w:r>
              <w:rPr>
                <w:sz w:val="18"/>
                <w:szCs w:val="18"/>
              </w:rPr>
              <w:t xml:space="preserve"> </w:t>
            </w:r>
            <w:r>
              <w:rPr>
                <w:color w:val="000000" w:themeColor="text1"/>
                <w:sz w:val="18"/>
                <w:szCs w:val="18"/>
              </w:rPr>
              <w:t>sexe, âge et handicap.</w:t>
            </w:r>
            <w:r w:rsidR="00BE23B9">
              <w:rPr>
                <w:rFonts w:ascii="Arial" w:hAnsi="Arial" w:cs="Arial"/>
                <w:sz w:val="25"/>
                <w:szCs w:val="25"/>
              </w:rPr>
              <w:t xml:space="preserve"> </w:t>
            </w:r>
          </w:p>
          <w:p w14:paraId="0CA4569D" w14:textId="4924EF64" w:rsidR="00E56839" w:rsidRPr="00ED3DA7" w:rsidRDefault="005A0B55" w:rsidP="00ED3DA7">
            <w:pPr>
              <w:spacing w:after="0" w:line="240" w:lineRule="auto"/>
              <w:jc w:val="both"/>
              <w:rPr>
                <w:rFonts w:eastAsia="Times New Roman" w:cstheme="minorHAnsi"/>
                <w:sz w:val="18"/>
                <w:szCs w:val="18"/>
              </w:rPr>
            </w:pPr>
            <w:r>
              <w:rPr>
                <w:sz w:val="18"/>
                <w:szCs w:val="18"/>
              </w:rPr>
              <w:t xml:space="preserve">28.22 </w:t>
            </w:r>
            <w:r w:rsidR="00BE23B9">
              <w:rPr>
                <w:sz w:val="18"/>
                <w:szCs w:val="18"/>
              </w:rPr>
              <w:t>P</w:t>
            </w:r>
            <w:r w:rsidR="00BE23B9" w:rsidRPr="00BE23B9">
              <w:rPr>
                <w:sz w:val="18"/>
                <w:szCs w:val="18"/>
              </w:rPr>
              <w:t>roportion de la population vivant au-dessous</w:t>
            </w:r>
            <w:r w:rsidR="00BE23B9">
              <w:rPr>
                <w:sz w:val="18"/>
                <w:szCs w:val="18"/>
              </w:rPr>
              <w:t xml:space="preserve"> </w:t>
            </w:r>
            <w:r w:rsidR="00BE23B9" w:rsidRPr="00BE23B9">
              <w:rPr>
                <w:sz w:val="18"/>
                <w:szCs w:val="18"/>
              </w:rPr>
              <w:t>du seuil de pauvreté fixé au niveau international, par sexe, âge, situation dans l’emploi et lieu de résidence (zone urbaine/zone rurale)</w:t>
            </w:r>
            <w:r>
              <w:rPr>
                <w:sz w:val="18"/>
                <w:szCs w:val="18"/>
              </w:rPr>
              <w:t xml:space="preserve"> (indicateur ODD 1.1.1) et handicap.</w:t>
            </w:r>
            <w:r w:rsidR="00BE23B9">
              <w:t xml:space="preserve"> </w:t>
            </w:r>
          </w:p>
          <w:p w14:paraId="7FC3DACF" w14:textId="3DB6FA73" w:rsidR="00DC1714" w:rsidRDefault="005A0B55" w:rsidP="00ED3DA7">
            <w:pPr>
              <w:spacing w:after="0" w:line="240" w:lineRule="auto"/>
              <w:jc w:val="both"/>
              <w:rPr>
                <w:rFonts w:cstheme="minorHAnsi"/>
                <w:color w:val="000000"/>
                <w:sz w:val="18"/>
                <w:szCs w:val="18"/>
              </w:rPr>
            </w:pPr>
            <w:r>
              <w:rPr>
                <w:color w:val="000000"/>
                <w:sz w:val="18"/>
                <w:szCs w:val="18"/>
              </w:rPr>
              <w:t xml:space="preserve">28.23 Proportion de </w:t>
            </w:r>
            <w:r w:rsidR="00DF02E3">
              <w:rPr>
                <w:color w:val="000000"/>
                <w:sz w:val="18"/>
                <w:szCs w:val="18"/>
              </w:rPr>
              <w:t>personnes handicapées</w:t>
            </w:r>
            <w:r>
              <w:rPr>
                <w:color w:val="000000"/>
                <w:sz w:val="18"/>
                <w:szCs w:val="18"/>
              </w:rPr>
              <w:t xml:space="preserve"> vivant en dessous du seuil de pauvreté international de 1,90 USD (PPA) par jour par rapport à la proportion de la</w:t>
            </w:r>
            <w:r>
              <w:rPr>
                <w:sz w:val="18"/>
                <w:szCs w:val="18"/>
              </w:rPr>
              <w:t xml:space="preserve"> </w:t>
            </w:r>
            <w:r>
              <w:rPr>
                <w:color w:val="000000" w:themeColor="text1"/>
                <w:sz w:val="18"/>
                <w:szCs w:val="18"/>
              </w:rPr>
              <w:t>population</w:t>
            </w:r>
            <w:r>
              <w:rPr>
                <w:sz w:val="18"/>
                <w:szCs w:val="18"/>
              </w:rPr>
              <w:t xml:space="preserve"> </w:t>
            </w:r>
            <w:r>
              <w:rPr>
                <w:color w:val="000000"/>
                <w:sz w:val="18"/>
                <w:szCs w:val="18"/>
              </w:rPr>
              <w:t>totale</w:t>
            </w:r>
            <w:r>
              <w:rPr>
                <w:color w:val="000000" w:themeColor="text1"/>
                <w:sz w:val="18"/>
                <w:szCs w:val="18"/>
              </w:rPr>
              <w:t>, par sexe et âge.</w:t>
            </w:r>
            <w:r w:rsidR="00DC1714" w:rsidRPr="00ED3DA7">
              <w:rPr>
                <w:rStyle w:val="EndnoteReference"/>
                <w:rFonts w:cstheme="minorHAnsi"/>
                <w:color w:val="000000" w:themeColor="text1"/>
                <w:sz w:val="18"/>
                <w:szCs w:val="18"/>
              </w:rPr>
              <w:endnoteReference w:id="9"/>
            </w:r>
          </w:p>
          <w:p w14:paraId="4E5B9CCF" w14:textId="622ECD3C" w:rsidR="00C41329" w:rsidRPr="00ED3DA7" w:rsidRDefault="005A0B55" w:rsidP="00ED3DA7">
            <w:pPr>
              <w:spacing w:after="0" w:line="240" w:lineRule="auto"/>
              <w:jc w:val="both"/>
              <w:rPr>
                <w:rFonts w:cstheme="minorHAnsi"/>
                <w:color w:val="000000"/>
                <w:sz w:val="18"/>
                <w:szCs w:val="18"/>
              </w:rPr>
            </w:pPr>
            <w:r>
              <w:rPr>
                <w:color w:val="000000"/>
                <w:sz w:val="18"/>
                <w:szCs w:val="18"/>
              </w:rPr>
              <w:t xml:space="preserve">28.24 Proportion de la population vivant </w:t>
            </w:r>
            <w:r w:rsidR="00BE23B9">
              <w:rPr>
                <w:color w:val="000000"/>
                <w:sz w:val="18"/>
                <w:szCs w:val="18"/>
              </w:rPr>
              <w:t>au-des</w:t>
            </w:r>
            <w:r>
              <w:rPr>
                <w:color w:val="000000"/>
                <w:sz w:val="18"/>
                <w:szCs w:val="18"/>
              </w:rPr>
              <w:t xml:space="preserve">sous </w:t>
            </w:r>
            <w:r w:rsidR="00BE23B9">
              <w:rPr>
                <w:color w:val="000000"/>
                <w:sz w:val="18"/>
                <w:szCs w:val="18"/>
              </w:rPr>
              <w:t>du</w:t>
            </w:r>
            <w:r>
              <w:rPr>
                <w:color w:val="000000"/>
                <w:sz w:val="18"/>
                <w:szCs w:val="18"/>
              </w:rPr>
              <w:t xml:space="preserve"> seuil </w:t>
            </w:r>
            <w:r w:rsidR="00BE23B9">
              <w:rPr>
                <w:color w:val="000000"/>
                <w:sz w:val="18"/>
                <w:szCs w:val="18"/>
              </w:rPr>
              <w:t xml:space="preserve">national de </w:t>
            </w:r>
            <w:r>
              <w:rPr>
                <w:color w:val="000000"/>
                <w:sz w:val="18"/>
                <w:szCs w:val="18"/>
              </w:rPr>
              <w:t>pauvreté par sexe et âge (indicateur ODD 1.2.1) et handicap.</w:t>
            </w:r>
            <w:r w:rsidR="00BE23B9">
              <w:rPr>
                <w:color w:val="000000"/>
                <w:sz w:val="18"/>
                <w:szCs w:val="18"/>
              </w:rPr>
              <w:t xml:space="preserve"> </w:t>
            </w:r>
          </w:p>
          <w:p w14:paraId="35E228E4" w14:textId="38846F82" w:rsidR="00C41329" w:rsidRPr="00ED3DA7" w:rsidRDefault="005A0B55" w:rsidP="00ED3DA7">
            <w:pPr>
              <w:spacing w:after="0" w:line="240" w:lineRule="auto"/>
              <w:jc w:val="both"/>
              <w:rPr>
                <w:rFonts w:cstheme="minorHAnsi"/>
                <w:color w:val="000000"/>
                <w:sz w:val="18"/>
                <w:szCs w:val="18"/>
              </w:rPr>
            </w:pPr>
            <w:r>
              <w:rPr>
                <w:color w:val="000000"/>
                <w:sz w:val="18"/>
                <w:szCs w:val="18"/>
              </w:rPr>
              <w:t xml:space="preserve">28.25 </w:t>
            </w:r>
            <w:r w:rsidR="00BE23B9" w:rsidRPr="00BE23B9">
              <w:rPr>
                <w:color w:val="000000"/>
                <w:sz w:val="18"/>
                <w:szCs w:val="18"/>
              </w:rPr>
              <w:t>Proportion de la population vivant au-dessous</w:t>
            </w:r>
            <w:r w:rsidR="00BE23B9">
              <w:rPr>
                <w:color w:val="000000"/>
                <w:sz w:val="18"/>
                <w:szCs w:val="18"/>
              </w:rPr>
              <w:t xml:space="preserve"> </w:t>
            </w:r>
            <w:r w:rsidR="00BE23B9" w:rsidRPr="00BE23B9">
              <w:rPr>
                <w:color w:val="000000"/>
                <w:sz w:val="18"/>
                <w:szCs w:val="18"/>
              </w:rPr>
              <w:t>du seuil national de pauvreté, par sexe et âge</w:t>
            </w:r>
            <w:r w:rsidR="00BE23B9">
              <w:rPr>
                <w:color w:val="000000"/>
                <w:sz w:val="18"/>
                <w:szCs w:val="18"/>
              </w:rPr>
              <w:t xml:space="preserve"> </w:t>
            </w:r>
            <w:r>
              <w:rPr>
                <w:color w:val="000000"/>
                <w:sz w:val="18"/>
                <w:szCs w:val="18"/>
              </w:rPr>
              <w:t>(indicateur ODD 1.2.2) ventilée par handicap, avant et après transferts sociaux.</w:t>
            </w:r>
            <w:r w:rsidR="00BE23B9">
              <w:rPr>
                <w:color w:val="000000"/>
                <w:sz w:val="18"/>
                <w:szCs w:val="18"/>
              </w:rPr>
              <w:t xml:space="preserve"> </w:t>
            </w:r>
          </w:p>
          <w:p w14:paraId="7CD80BA1" w14:textId="38EC3A53" w:rsidR="00E56839" w:rsidRPr="00ED3DA7" w:rsidRDefault="005A0B55" w:rsidP="00ED3DA7">
            <w:pPr>
              <w:spacing w:after="0" w:line="240" w:lineRule="auto"/>
              <w:jc w:val="both"/>
              <w:rPr>
                <w:rFonts w:eastAsia="Times New Roman" w:cstheme="minorHAnsi"/>
                <w:sz w:val="18"/>
                <w:szCs w:val="18"/>
              </w:rPr>
            </w:pPr>
            <w:r>
              <w:rPr>
                <w:color w:val="000000"/>
                <w:sz w:val="18"/>
                <w:szCs w:val="18"/>
              </w:rPr>
              <w:t xml:space="preserve">28.26 </w:t>
            </w:r>
            <w:r w:rsidR="00BE23B9">
              <w:rPr>
                <w:color w:val="000000"/>
                <w:sz w:val="18"/>
                <w:szCs w:val="18"/>
              </w:rPr>
              <w:t>P</w:t>
            </w:r>
            <w:r w:rsidR="00BE23B9" w:rsidRPr="00BE23B9">
              <w:rPr>
                <w:color w:val="000000"/>
                <w:sz w:val="18"/>
                <w:szCs w:val="18"/>
              </w:rPr>
              <w:t>roportion de personnes vivant avec moins de</w:t>
            </w:r>
            <w:r w:rsidR="00BE23B9">
              <w:rPr>
                <w:color w:val="000000"/>
                <w:sz w:val="18"/>
                <w:szCs w:val="18"/>
              </w:rPr>
              <w:t xml:space="preserve"> </w:t>
            </w:r>
            <w:r w:rsidR="00BE23B9" w:rsidRPr="00BE23B9">
              <w:rPr>
                <w:color w:val="000000"/>
                <w:sz w:val="18"/>
                <w:szCs w:val="18"/>
              </w:rPr>
              <w:t xml:space="preserve">la moitié du revenu médian, par sexe, âge et situation au regard du handicap </w:t>
            </w:r>
            <w:r>
              <w:rPr>
                <w:color w:val="000000"/>
                <w:sz w:val="18"/>
                <w:szCs w:val="18"/>
              </w:rPr>
              <w:t>(indicateur ODD 10.2.1).</w:t>
            </w:r>
            <w:r>
              <w:rPr>
                <w:sz w:val="18"/>
                <w:szCs w:val="18"/>
              </w:rPr>
              <w:t xml:space="preserve"> </w:t>
            </w:r>
          </w:p>
          <w:p w14:paraId="5918E462" w14:textId="598654CC" w:rsidR="00CF776F" w:rsidRPr="00ED3DA7" w:rsidRDefault="005A0B55" w:rsidP="00ED3DA7">
            <w:pPr>
              <w:spacing w:after="0" w:line="240" w:lineRule="auto"/>
              <w:jc w:val="both"/>
              <w:rPr>
                <w:rFonts w:cstheme="minorHAnsi"/>
                <w:color w:val="000000"/>
                <w:sz w:val="18"/>
                <w:szCs w:val="18"/>
              </w:rPr>
            </w:pPr>
            <w:r>
              <w:rPr>
                <w:color w:val="000000"/>
                <w:sz w:val="18"/>
                <w:szCs w:val="18"/>
              </w:rPr>
              <w:t>28.27 Proportion de la population vivant dans des ménages ayant accès aux services de base (indicateur ODD 1.4.1) par ménage avec une personne handicap</w:t>
            </w:r>
            <w:r w:rsidR="00DF02E3">
              <w:rPr>
                <w:color w:val="000000"/>
                <w:sz w:val="18"/>
                <w:szCs w:val="18"/>
              </w:rPr>
              <w:t>ée</w:t>
            </w:r>
            <w:r>
              <w:rPr>
                <w:color w:val="000000"/>
                <w:sz w:val="18"/>
                <w:szCs w:val="18"/>
              </w:rPr>
              <w:t xml:space="preserve">. </w:t>
            </w:r>
          </w:p>
          <w:p w14:paraId="4C8A8585" w14:textId="116FFD5D" w:rsidR="00E56839" w:rsidRPr="00ED3DA7" w:rsidRDefault="005A0B55" w:rsidP="00ED3DA7">
            <w:pPr>
              <w:spacing w:after="0" w:line="240" w:lineRule="auto"/>
              <w:jc w:val="both"/>
              <w:rPr>
                <w:rFonts w:cstheme="minorHAnsi"/>
                <w:color w:val="000000" w:themeColor="text1"/>
                <w:sz w:val="18"/>
                <w:szCs w:val="18"/>
              </w:rPr>
            </w:pPr>
            <w:r>
              <w:rPr>
                <w:sz w:val="18"/>
                <w:szCs w:val="18"/>
              </w:rPr>
              <w:t xml:space="preserve">28.28 </w:t>
            </w:r>
            <w:r w:rsidR="00BE23B9">
              <w:rPr>
                <w:sz w:val="18"/>
                <w:szCs w:val="18"/>
              </w:rPr>
              <w:t>P</w:t>
            </w:r>
            <w:r w:rsidR="00BE23B9" w:rsidRPr="00BE23B9">
              <w:rPr>
                <w:color w:val="000000" w:themeColor="text1"/>
                <w:sz w:val="18"/>
                <w:szCs w:val="18"/>
              </w:rPr>
              <w:t>révalence d’une insécurité alimentaire modérée ou grave, évaluée selon l’échelle de mesure du sentiment d’insécurité alimentaire</w:t>
            </w:r>
            <w:r w:rsidR="00BE23B9">
              <w:rPr>
                <w:sz w:val="18"/>
                <w:szCs w:val="18"/>
              </w:rPr>
              <w:t xml:space="preserve"> </w:t>
            </w:r>
            <w:r>
              <w:rPr>
                <w:sz w:val="18"/>
                <w:szCs w:val="18"/>
              </w:rPr>
              <w:t xml:space="preserve">(indicateur ODD 2.1.2) </w:t>
            </w:r>
            <w:r>
              <w:rPr>
                <w:color w:val="000000"/>
                <w:sz w:val="18"/>
                <w:szCs w:val="18"/>
              </w:rPr>
              <w:t>par</w:t>
            </w:r>
            <w:r>
              <w:rPr>
                <w:sz w:val="18"/>
                <w:szCs w:val="18"/>
              </w:rPr>
              <w:t xml:space="preserve"> </w:t>
            </w:r>
            <w:r>
              <w:rPr>
                <w:color w:val="000000" w:themeColor="text1"/>
                <w:sz w:val="18"/>
                <w:szCs w:val="18"/>
              </w:rPr>
              <w:t>sexe, âge et handicap.</w:t>
            </w:r>
            <w:r w:rsidR="00BE23B9">
              <w:t xml:space="preserve"> </w:t>
            </w:r>
          </w:p>
          <w:p w14:paraId="531D06A5" w14:textId="0B0DB41C" w:rsidR="0001047B" w:rsidRPr="00ED3DA7" w:rsidRDefault="005A0B55" w:rsidP="00ED3DA7">
            <w:pPr>
              <w:spacing w:after="0" w:line="240" w:lineRule="auto"/>
              <w:jc w:val="both"/>
              <w:rPr>
                <w:rFonts w:cstheme="minorHAnsi"/>
                <w:color w:val="000000" w:themeColor="text1"/>
                <w:sz w:val="18"/>
                <w:szCs w:val="18"/>
              </w:rPr>
            </w:pPr>
            <w:r>
              <w:rPr>
                <w:color w:val="000000"/>
                <w:sz w:val="18"/>
                <w:szCs w:val="18"/>
              </w:rPr>
              <w:t>28.29 Prévalence de la sous-alimentation (indicateur ODD 2.1.1) par</w:t>
            </w:r>
            <w:r>
              <w:rPr>
                <w:sz w:val="18"/>
                <w:szCs w:val="18"/>
              </w:rPr>
              <w:t xml:space="preserve"> </w:t>
            </w:r>
            <w:r>
              <w:rPr>
                <w:color w:val="000000" w:themeColor="text1"/>
                <w:sz w:val="18"/>
                <w:szCs w:val="18"/>
              </w:rPr>
              <w:t>sexe, âge et handicap.</w:t>
            </w:r>
          </w:p>
          <w:p w14:paraId="01F1CACB" w14:textId="27C3471A" w:rsidR="00E9049E" w:rsidRDefault="005A0B55" w:rsidP="00E9049E">
            <w:pPr>
              <w:spacing w:after="0" w:line="240" w:lineRule="auto"/>
              <w:jc w:val="both"/>
              <w:rPr>
                <w:rFonts w:eastAsia="Times New Roman" w:cstheme="minorHAnsi"/>
                <w:sz w:val="18"/>
                <w:szCs w:val="18"/>
              </w:rPr>
            </w:pPr>
            <w:r>
              <w:rPr>
                <w:sz w:val="18"/>
                <w:szCs w:val="18"/>
              </w:rPr>
              <w:t>28.30</w:t>
            </w:r>
            <w:r>
              <w:t xml:space="preserve"> </w:t>
            </w:r>
            <w:r>
              <w:rPr>
                <w:sz w:val="18"/>
                <w:szCs w:val="18"/>
              </w:rPr>
              <w:t>Prévalence de la malnutrition chez les enfants de moins de 5 ans, par type (émaciation et surcharge pondérale), ventilée par sexe, âge et handicap.</w:t>
            </w:r>
          </w:p>
          <w:p w14:paraId="12DEB33C" w14:textId="7147EE61" w:rsidR="00AB69F4" w:rsidRPr="00ED3DA7" w:rsidRDefault="006243F4" w:rsidP="00EF500B">
            <w:pPr>
              <w:spacing w:after="0" w:line="240" w:lineRule="auto"/>
              <w:jc w:val="both"/>
              <w:rPr>
                <w:rFonts w:cstheme="minorHAnsi"/>
                <w:color w:val="000000" w:themeColor="text1"/>
                <w:sz w:val="18"/>
                <w:szCs w:val="18"/>
              </w:rPr>
            </w:pPr>
            <w:r>
              <w:rPr>
                <w:color w:val="000000"/>
                <w:sz w:val="18"/>
                <w:szCs w:val="18"/>
              </w:rPr>
              <w:t>28.31 Pourcentage de la population ayant accès à l'électricité (indicateur ODD 7.1.1) par</w:t>
            </w:r>
            <w:r>
              <w:rPr>
                <w:sz w:val="18"/>
                <w:szCs w:val="18"/>
              </w:rPr>
              <w:t xml:space="preserve"> </w:t>
            </w:r>
            <w:r>
              <w:rPr>
                <w:color w:val="000000" w:themeColor="text1"/>
                <w:sz w:val="18"/>
                <w:szCs w:val="18"/>
              </w:rPr>
              <w:t xml:space="preserve">sexe, âge et handicap. </w:t>
            </w:r>
          </w:p>
        </w:tc>
      </w:tr>
    </w:tbl>
    <w:p w14:paraId="404EB5CE" w14:textId="77777777" w:rsidR="00BB55D4" w:rsidRDefault="00BB55D4" w:rsidP="00BB55D4">
      <w:pPr>
        <w:spacing w:after="0"/>
        <w:rPr>
          <w:sz w:val="20"/>
          <w:szCs w:val="20"/>
        </w:rPr>
      </w:pPr>
    </w:p>
    <w:p w14:paraId="5A58C426" w14:textId="7217118D" w:rsidR="004D50D1" w:rsidRDefault="004D50D1" w:rsidP="00BB55D4">
      <w:pPr>
        <w:spacing w:after="0" w:line="240" w:lineRule="auto"/>
        <w:rPr>
          <w:sz w:val="18"/>
          <w:szCs w:val="18"/>
        </w:rPr>
      </w:pPr>
      <w:r>
        <w:rPr>
          <w:sz w:val="20"/>
          <w:szCs w:val="20"/>
        </w:rPr>
        <w:t xml:space="preserve">* Voir Rapporteur spécial sur les droits des </w:t>
      </w:r>
      <w:r w:rsidR="00DF02E3">
        <w:rPr>
          <w:sz w:val="20"/>
          <w:szCs w:val="20"/>
        </w:rPr>
        <w:t>personnes handicapées</w:t>
      </w:r>
      <w:r>
        <w:rPr>
          <w:sz w:val="20"/>
          <w:szCs w:val="20"/>
        </w:rPr>
        <w:t>,</w:t>
      </w:r>
      <w:r>
        <w:t xml:space="preserve"> </w:t>
      </w:r>
      <w:r w:rsidRPr="00ED2222">
        <w:rPr>
          <w:sz w:val="20"/>
          <w:szCs w:val="20"/>
        </w:rPr>
        <w:t xml:space="preserve">rapport sur le droit des </w:t>
      </w:r>
      <w:r w:rsidR="00DF02E3" w:rsidRPr="00ED2222">
        <w:rPr>
          <w:sz w:val="20"/>
          <w:szCs w:val="20"/>
        </w:rPr>
        <w:t>personnes handicapées</w:t>
      </w:r>
      <w:r w:rsidRPr="00ED2222">
        <w:rPr>
          <w:sz w:val="20"/>
          <w:szCs w:val="20"/>
        </w:rPr>
        <w:t xml:space="preserve"> à une protection sociale</w:t>
      </w:r>
      <w:r w:rsidR="00ED2222">
        <w:rPr>
          <w:sz w:val="20"/>
          <w:szCs w:val="20"/>
        </w:rPr>
        <w:t xml:space="preserve">, </w:t>
      </w:r>
      <w:hyperlink r:id="rId11" w:history="1">
        <w:r w:rsidR="00ED2222" w:rsidRPr="007B361F">
          <w:rPr>
            <w:rStyle w:val="Hyperlink"/>
            <w:rFonts w:cstheme="minorHAnsi"/>
            <w:sz w:val="20"/>
            <w:szCs w:val="20"/>
          </w:rPr>
          <w:t>A/70/297</w:t>
        </w:r>
      </w:hyperlink>
      <w:r w:rsidRPr="004D50D1">
        <w:rPr>
          <w:rFonts w:cstheme="minorHAnsi"/>
          <w:sz w:val="20"/>
          <w:szCs w:val="20"/>
        </w:rPr>
        <w:fldChar w:fldCharType="begin"/>
      </w:r>
      <w:r w:rsidRPr="004D50D1">
        <w:rPr>
          <w:rFonts w:cstheme="minorHAnsi"/>
          <w:sz w:val="20"/>
          <w:szCs w:val="20"/>
        </w:rPr>
        <w:instrText xml:space="preserve"> DOCVARIABLE "sss1" \* MERGEFORMAT </w:instrText>
      </w:r>
      <w:r w:rsidRPr="004D50D1">
        <w:rPr>
          <w:rFonts w:cstheme="minorHAnsi"/>
          <w:sz w:val="20"/>
          <w:szCs w:val="20"/>
        </w:rPr>
        <w:fldChar w:fldCharType="end"/>
      </w:r>
      <w:r>
        <w:rPr>
          <w:sz w:val="20"/>
          <w:szCs w:val="20"/>
        </w:rPr>
        <w:t>. Voir également les</w:t>
      </w:r>
      <w:r>
        <w:t xml:space="preserve"> </w:t>
      </w:r>
      <w:r>
        <w:rPr>
          <w:sz w:val="18"/>
          <w:szCs w:val="18"/>
        </w:rPr>
        <w:t>fiches</w:t>
      </w:r>
      <w:r>
        <w:t xml:space="preserve"> </w:t>
      </w:r>
      <w:r>
        <w:rPr>
          <w:sz w:val="20"/>
          <w:szCs w:val="20"/>
        </w:rPr>
        <w:t>d'</w:t>
      </w:r>
      <w:r>
        <w:rPr>
          <w:sz w:val="18"/>
          <w:szCs w:val="18"/>
        </w:rPr>
        <w:t>information</w:t>
      </w:r>
      <w:r>
        <w:t xml:space="preserve"> </w:t>
      </w:r>
      <w:r>
        <w:rPr>
          <w:sz w:val="20"/>
          <w:szCs w:val="20"/>
        </w:rPr>
        <w:t>du Rapporteur spécial</w:t>
      </w:r>
      <w:r>
        <w:t xml:space="preserve"> </w:t>
      </w:r>
      <w:r>
        <w:rPr>
          <w:sz w:val="18"/>
          <w:szCs w:val="18"/>
        </w:rPr>
        <w:t>sur : la</w:t>
      </w:r>
      <w:r>
        <w:t xml:space="preserve"> </w:t>
      </w:r>
      <w:hyperlink r:id="rId12" w:history="1">
        <w:r>
          <w:rPr>
            <w:rStyle w:val="Hyperlink"/>
            <w:sz w:val="18"/>
            <w:szCs w:val="18"/>
          </w:rPr>
          <w:t>garantie de l'inclusion dans la protection sociale</w:t>
        </w:r>
      </w:hyperlink>
      <w:r>
        <w:rPr>
          <w:sz w:val="18"/>
          <w:szCs w:val="18"/>
        </w:rPr>
        <w:t xml:space="preserve"> ; </w:t>
      </w:r>
      <w:hyperlink r:id="rId13" w:history="1">
        <w:r>
          <w:rPr>
            <w:rStyle w:val="Hyperlink"/>
            <w:sz w:val="18"/>
            <w:szCs w:val="18"/>
          </w:rPr>
          <w:t>permettre le choix et le contrôle d'une protection sociale qui favorise l'indépendance et la participation</w:t>
        </w:r>
      </w:hyperlink>
      <w:r>
        <w:t> </w:t>
      </w:r>
      <w:r>
        <w:rPr>
          <w:sz w:val="18"/>
          <w:szCs w:val="18"/>
        </w:rPr>
        <w:t>; et la</w:t>
      </w:r>
      <w:r>
        <w:t xml:space="preserve"> </w:t>
      </w:r>
      <w:hyperlink r:id="rId14" w:history="1">
        <w:r>
          <w:rPr>
            <w:rStyle w:val="Hyperlink"/>
            <w:sz w:val="18"/>
            <w:szCs w:val="18"/>
          </w:rPr>
          <w:t>lutte contre la pauvreté grâce à une protection sociale inclusive</w:t>
        </w:r>
      </w:hyperlink>
      <w:r>
        <w:rPr>
          <w:sz w:val="18"/>
          <w:szCs w:val="18"/>
        </w:rPr>
        <w:t>.</w:t>
      </w:r>
    </w:p>
    <w:sectPr w:rsidR="004D50D1" w:rsidSect="00526F3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ADEF4" w14:textId="77777777" w:rsidR="00332A32" w:rsidRDefault="00332A32" w:rsidP="000E7D8F">
      <w:pPr>
        <w:spacing w:after="0" w:line="240" w:lineRule="auto"/>
      </w:pPr>
      <w:r>
        <w:separator/>
      </w:r>
    </w:p>
  </w:endnote>
  <w:endnote w:type="continuationSeparator" w:id="0">
    <w:p w14:paraId="4BD43AD5" w14:textId="77777777" w:rsidR="00332A32" w:rsidRDefault="00332A32" w:rsidP="000E7D8F">
      <w:pPr>
        <w:spacing w:after="0" w:line="240" w:lineRule="auto"/>
      </w:pPr>
      <w:r>
        <w:continuationSeparator/>
      </w:r>
    </w:p>
  </w:endnote>
  <w:endnote w:id="1">
    <w:p w14:paraId="1B5030E7" w14:textId="2E343399" w:rsidR="00D71605" w:rsidRPr="00ED231E" w:rsidRDefault="00D71605" w:rsidP="00ED231E">
      <w:pPr>
        <w:pStyle w:val="EndnoteText"/>
        <w:rPr>
          <w:sz w:val="18"/>
          <w:szCs w:val="18"/>
        </w:rPr>
      </w:pPr>
      <w:r>
        <w:rPr>
          <w:rStyle w:val="EndnoteReference"/>
          <w:sz w:val="18"/>
          <w:szCs w:val="18"/>
        </w:rPr>
        <w:endnoteRef/>
      </w:r>
      <w:r>
        <w:t xml:space="preserve"> </w:t>
      </w:r>
      <w:r>
        <w:rPr>
          <w:sz w:val="18"/>
          <w:szCs w:val="18"/>
        </w:rPr>
        <w:t>La législation sur la protection sociale doit comprendre :</w:t>
      </w:r>
    </w:p>
    <w:p w14:paraId="7E87C142" w14:textId="2A28ED4F" w:rsidR="00D71605" w:rsidRPr="00ED231E" w:rsidRDefault="007C74BD" w:rsidP="00ED231E">
      <w:pPr>
        <w:pStyle w:val="ListParagraph"/>
        <w:numPr>
          <w:ilvl w:val="0"/>
          <w:numId w:val="3"/>
        </w:numPr>
        <w:spacing w:after="0" w:line="240" w:lineRule="auto"/>
        <w:rPr>
          <w:sz w:val="18"/>
          <w:szCs w:val="18"/>
        </w:rPr>
      </w:pPr>
      <w:proofErr w:type="gramStart"/>
      <w:r>
        <w:rPr>
          <w:sz w:val="18"/>
          <w:szCs w:val="18"/>
        </w:rPr>
        <w:t>i</w:t>
      </w:r>
      <w:r w:rsidR="007373E4">
        <w:rPr>
          <w:sz w:val="18"/>
          <w:szCs w:val="18"/>
        </w:rPr>
        <w:t>nterdiction</w:t>
      </w:r>
      <w:proofErr w:type="gramEnd"/>
      <w:r w:rsidR="007373E4">
        <w:rPr>
          <w:sz w:val="18"/>
          <w:szCs w:val="18"/>
        </w:rPr>
        <w:t xml:space="preserve"> de la discrimination fondée sur le handicap dans tous les aspects des programmes, y compris par le refus d'aménagements raisonnables ;</w:t>
      </w:r>
    </w:p>
    <w:p w14:paraId="087C90DA" w14:textId="70D504DB" w:rsidR="00584F5A" w:rsidRPr="00ED231E" w:rsidRDefault="0051740E" w:rsidP="00ED231E">
      <w:pPr>
        <w:pStyle w:val="ListParagraph"/>
        <w:numPr>
          <w:ilvl w:val="0"/>
          <w:numId w:val="3"/>
        </w:numPr>
        <w:spacing w:after="0" w:line="240" w:lineRule="auto"/>
        <w:rPr>
          <w:sz w:val="18"/>
          <w:szCs w:val="18"/>
        </w:rPr>
      </w:pPr>
      <w:proofErr w:type="gramStart"/>
      <w:r>
        <w:rPr>
          <w:sz w:val="18"/>
          <w:szCs w:val="18"/>
        </w:rPr>
        <w:t>un</w:t>
      </w:r>
      <w:proofErr w:type="gramEnd"/>
      <w:r>
        <w:rPr>
          <w:sz w:val="18"/>
          <w:szCs w:val="18"/>
        </w:rPr>
        <w:t xml:space="preserve"> accès effectif aux programmes ordinaires et aux programmes spécifiques au handicap ;</w:t>
      </w:r>
    </w:p>
    <w:p w14:paraId="67F4432E" w14:textId="108FDE1F" w:rsidR="00D71605" w:rsidRPr="00ED231E" w:rsidRDefault="0051740E" w:rsidP="00ED231E">
      <w:pPr>
        <w:pStyle w:val="ListParagraph"/>
        <w:numPr>
          <w:ilvl w:val="0"/>
          <w:numId w:val="3"/>
        </w:numPr>
        <w:spacing w:after="0" w:line="240" w:lineRule="auto"/>
        <w:rPr>
          <w:sz w:val="18"/>
          <w:szCs w:val="18"/>
        </w:rPr>
      </w:pPr>
      <w:proofErr w:type="gramStart"/>
      <w:r>
        <w:rPr>
          <w:sz w:val="18"/>
          <w:szCs w:val="18"/>
        </w:rPr>
        <w:t>faire</w:t>
      </w:r>
      <w:proofErr w:type="gramEnd"/>
      <w:r>
        <w:rPr>
          <w:sz w:val="18"/>
          <w:szCs w:val="18"/>
        </w:rPr>
        <w:t xml:space="preserve"> en sorte que les coûts liés au handicap </w:t>
      </w:r>
      <w:r>
        <w:rPr>
          <w:rFonts w:ascii="Calibri" w:hAnsi="Calibri"/>
          <w:sz w:val="18"/>
          <w:szCs w:val="18"/>
        </w:rPr>
        <w:t>et le soutien en espèces et en nature (par exemple, les appareils d'assistance, les aides à la mobilité) soient pris en compte dans les systèmes nationaux de protection sociale</w:t>
      </w:r>
      <w:r>
        <w:rPr>
          <w:sz w:val="18"/>
          <w:szCs w:val="18"/>
        </w:rPr>
        <w:t xml:space="preserve"> tant dans la fixation du niveau de la prestation que dans la fixation des seuils de revenu (</w:t>
      </w:r>
      <w:r>
        <w:rPr>
          <w:rFonts w:ascii="Calibri" w:hAnsi="Calibri"/>
          <w:sz w:val="18"/>
          <w:szCs w:val="18"/>
        </w:rPr>
        <w:t>par exemple en incluant le handicap comme facteur dans les moyennes des tests de dépistage des seuils de revenu minimum)</w:t>
      </w:r>
      <w:r>
        <w:rPr>
          <w:sz w:val="18"/>
          <w:szCs w:val="18"/>
        </w:rPr>
        <w:t xml:space="preserve"> ; </w:t>
      </w:r>
    </w:p>
    <w:p w14:paraId="20C222F7" w14:textId="48989022" w:rsidR="00D71605" w:rsidRPr="00ED231E" w:rsidRDefault="0051740E" w:rsidP="00ED231E">
      <w:pPr>
        <w:pStyle w:val="ListParagraph"/>
        <w:numPr>
          <w:ilvl w:val="0"/>
          <w:numId w:val="3"/>
        </w:numPr>
        <w:spacing w:after="0" w:line="240" w:lineRule="auto"/>
        <w:rPr>
          <w:sz w:val="18"/>
          <w:szCs w:val="18"/>
        </w:rPr>
      </w:pPr>
      <w:proofErr w:type="gramStart"/>
      <w:r>
        <w:rPr>
          <w:sz w:val="18"/>
          <w:szCs w:val="18"/>
        </w:rPr>
        <w:t>fourniture</w:t>
      </w:r>
      <w:proofErr w:type="gramEnd"/>
      <w:r>
        <w:rPr>
          <w:sz w:val="18"/>
          <w:szCs w:val="18"/>
        </w:rPr>
        <w:t xml:space="preserve"> d'un soutien financier nécessaire pour assurer l'inclusion dans la communauté des </w:t>
      </w:r>
      <w:r w:rsidR="00DF02E3">
        <w:rPr>
          <w:sz w:val="18"/>
          <w:szCs w:val="18"/>
        </w:rPr>
        <w:t>personnes handicapées</w:t>
      </w:r>
      <w:r>
        <w:rPr>
          <w:sz w:val="18"/>
          <w:szCs w:val="18"/>
        </w:rPr>
        <w:t xml:space="preserve"> de tous âges, englobant des groupes d'âge spécifiques (enfants, jeunes, adultes en âge de travailler et personnes âgées), y compris un soutien pour quitter une institution ou éviter l'institutionnalisation, pour adapter le logement, pour obtenir des soutiens et des services liés au handicap d'une manière incluant les </w:t>
      </w:r>
      <w:r w:rsidR="00DF02E3">
        <w:rPr>
          <w:sz w:val="18"/>
          <w:szCs w:val="18"/>
        </w:rPr>
        <w:t>personnes handicapées</w:t>
      </w:r>
      <w:r>
        <w:rPr>
          <w:sz w:val="18"/>
          <w:szCs w:val="18"/>
        </w:rPr>
        <w:t> ;</w:t>
      </w:r>
    </w:p>
    <w:p w14:paraId="765FD740" w14:textId="2EAC9145" w:rsidR="00D71605" w:rsidRPr="00ED231E" w:rsidRDefault="0051740E" w:rsidP="00ED231E">
      <w:pPr>
        <w:pStyle w:val="ListParagraph"/>
        <w:numPr>
          <w:ilvl w:val="0"/>
          <w:numId w:val="3"/>
        </w:numPr>
        <w:spacing w:after="0" w:line="240" w:lineRule="auto"/>
        <w:rPr>
          <w:sz w:val="18"/>
          <w:szCs w:val="18"/>
        </w:rPr>
      </w:pPr>
      <w:proofErr w:type="gramStart"/>
      <w:r>
        <w:rPr>
          <w:sz w:val="18"/>
          <w:szCs w:val="18"/>
        </w:rPr>
        <w:t>compatibilité</w:t>
      </w:r>
      <w:proofErr w:type="gramEnd"/>
      <w:r>
        <w:rPr>
          <w:sz w:val="18"/>
          <w:szCs w:val="18"/>
        </w:rPr>
        <w:t xml:space="preserve"> entre l'admissibilité et la réception des prestations et de l'emploi ;</w:t>
      </w:r>
    </w:p>
    <w:p w14:paraId="3922EDCE" w14:textId="1FDE553A" w:rsidR="00D71605" w:rsidRPr="00ED231E" w:rsidRDefault="0051740E" w:rsidP="00ED231E">
      <w:pPr>
        <w:pStyle w:val="ListParagraph"/>
        <w:numPr>
          <w:ilvl w:val="0"/>
          <w:numId w:val="3"/>
        </w:numPr>
        <w:spacing w:after="0" w:line="240" w:lineRule="auto"/>
        <w:rPr>
          <w:sz w:val="18"/>
          <w:szCs w:val="18"/>
        </w:rPr>
      </w:pPr>
      <w:proofErr w:type="gramStart"/>
      <w:r>
        <w:rPr>
          <w:sz w:val="18"/>
          <w:szCs w:val="18"/>
        </w:rPr>
        <w:t>des</w:t>
      </w:r>
      <w:proofErr w:type="gramEnd"/>
      <w:r>
        <w:rPr>
          <w:sz w:val="18"/>
          <w:szCs w:val="18"/>
        </w:rPr>
        <w:t xml:space="preserve"> mesures proactives pour éliminer progressivement les établissements résidentiels en les remplaçant par des programmes de protection sociale adéquats et appropriés qui répondent aux besoins des </w:t>
      </w:r>
      <w:r w:rsidR="00DF02E3">
        <w:rPr>
          <w:sz w:val="18"/>
          <w:szCs w:val="18"/>
        </w:rPr>
        <w:t>personnes handicapées</w:t>
      </w:r>
      <w:r>
        <w:rPr>
          <w:sz w:val="18"/>
          <w:szCs w:val="18"/>
        </w:rPr>
        <w:t xml:space="preserve"> de la communauté ;</w:t>
      </w:r>
    </w:p>
    <w:p w14:paraId="363AA11C" w14:textId="19DFBEDC" w:rsidR="00D71605" w:rsidRPr="00ED231E" w:rsidRDefault="0051740E" w:rsidP="00ED231E">
      <w:pPr>
        <w:pStyle w:val="ListParagraph"/>
        <w:numPr>
          <w:ilvl w:val="0"/>
          <w:numId w:val="3"/>
        </w:numPr>
        <w:spacing w:after="0" w:line="240" w:lineRule="auto"/>
        <w:rPr>
          <w:sz w:val="18"/>
          <w:szCs w:val="18"/>
        </w:rPr>
      </w:pPr>
      <w:proofErr w:type="gramStart"/>
      <w:r>
        <w:rPr>
          <w:sz w:val="18"/>
          <w:szCs w:val="18"/>
        </w:rPr>
        <w:t>l'admissibilité</w:t>
      </w:r>
      <w:proofErr w:type="gramEnd"/>
      <w:r>
        <w:rPr>
          <w:sz w:val="18"/>
          <w:szCs w:val="18"/>
        </w:rPr>
        <w:t xml:space="preserve"> aux prestations peut être satisfaite sans diagnostic médical, sur la base d'une évaluation interactive des besoins.</w:t>
      </w:r>
    </w:p>
    <w:p w14:paraId="4F947F41" w14:textId="2F7842A0" w:rsidR="0090059C" w:rsidRPr="007373E4" w:rsidRDefault="0090059C" w:rsidP="00ED231E">
      <w:pPr>
        <w:spacing w:after="0" w:line="240" w:lineRule="auto"/>
        <w:rPr>
          <w:sz w:val="18"/>
          <w:szCs w:val="18"/>
        </w:rPr>
      </w:pPr>
      <w:r>
        <w:rPr>
          <w:sz w:val="18"/>
          <w:szCs w:val="18"/>
        </w:rPr>
        <w:t>Pour plus d'informations, voir</w:t>
      </w:r>
      <w:r>
        <w:t xml:space="preserve"> </w:t>
      </w:r>
      <w:hyperlink r:id="rId1" w:history="1">
        <w:r>
          <w:rPr>
            <w:rStyle w:val="Hyperlink"/>
            <w:sz w:val="18"/>
            <w:szCs w:val="18"/>
          </w:rPr>
          <w:t xml:space="preserve">la déclaration conjointe de 2019 « Vers des systèmes de protection sociale inclusifs favorisant la participation pleine et effective des </w:t>
        </w:r>
        <w:r w:rsidR="00DF02E3">
          <w:rPr>
            <w:rStyle w:val="Hyperlink"/>
            <w:sz w:val="18"/>
            <w:szCs w:val="18"/>
          </w:rPr>
          <w:t>personnes handicapées</w:t>
        </w:r>
        <w:r>
          <w:rPr>
            <w:rStyle w:val="Hyperlink"/>
            <w:sz w:val="18"/>
            <w:szCs w:val="18"/>
          </w:rPr>
          <w:t> »</w:t>
        </w:r>
      </w:hyperlink>
    </w:p>
  </w:endnote>
  <w:endnote w:id="2">
    <w:p w14:paraId="2590D993" w14:textId="3EF5C7F9" w:rsidR="00D71605" w:rsidRPr="00ED231E" w:rsidRDefault="00D71605" w:rsidP="00ED231E">
      <w:pPr>
        <w:pStyle w:val="EndnoteText"/>
        <w:rPr>
          <w:sz w:val="18"/>
          <w:szCs w:val="18"/>
        </w:rPr>
      </w:pPr>
      <w:r>
        <w:rPr>
          <w:rStyle w:val="EndnoteReference"/>
          <w:sz w:val="18"/>
          <w:szCs w:val="18"/>
        </w:rPr>
        <w:endnoteRef/>
      </w:r>
      <w:r>
        <w:t xml:space="preserve"> </w:t>
      </w:r>
      <w:r>
        <w:rPr>
          <w:sz w:val="18"/>
          <w:szCs w:val="18"/>
        </w:rPr>
        <w:t>Les systèmes et programmes de protection sociale contributifs et non contributifs généraux incluent ceux qui concernent tous les travailleurs, tous les enfants, toutes les personnes âgées, etc.</w:t>
      </w:r>
    </w:p>
  </w:endnote>
  <w:endnote w:id="3">
    <w:p w14:paraId="54BA0CD7" w14:textId="02F10CF7" w:rsidR="002C15E9" w:rsidRPr="00ED231E" w:rsidRDefault="00D71605" w:rsidP="00ED231E">
      <w:pPr>
        <w:pStyle w:val="EndnoteText"/>
        <w:rPr>
          <w:sz w:val="18"/>
          <w:szCs w:val="18"/>
        </w:rPr>
      </w:pPr>
      <w:r>
        <w:rPr>
          <w:rStyle w:val="EndnoteReference"/>
          <w:sz w:val="18"/>
          <w:szCs w:val="18"/>
        </w:rPr>
        <w:endnoteRef/>
      </w:r>
      <w:r>
        <w:t xml:space="preserve"> </w:t>
      </w:r>
      <w:r>
        <w:rPr>
          <w:sz w:val="18"/>
          <w:szCs w:val="18"/>
        </w:rPr>
        <w:t>Ces systèmes et programmes devraient garantir :</w:t>
      </w:r>
    </w:p>
    <w:p w14:paraId="16C2F18C" w14:textId="44F43A5D" w:rsidR="002C15E9" w:rsidRPr="00ED231E" w:rsidRDefault="002C15E9" w:rsidP="00ED231E">
      <w:pPr>
        <w:pStyle w:val="ListParagraph"/>
        <w:numPr>
          <w:ilvl w:val="0"/>
          <w:numId w:val="3"/>
        </w:numPr>
        <w:spacing w:after="0" w:line="240" w:lineRule="auto"/>
        <w:rPr>
          <w:rFonts w:cstheme="minorHAnsi"/>
          <w:sz w:val="18"/>
          <w:szCs w:val="18"/>
        </w:rPr>
      </w:pPr>
      <w:r>
        <w:rPr>
          <w:sz w:val="18"/>
          <w:szCs w:val="18"/>
        </w:rPr>
        <w:t>des planchers de protection sociale (voir les</w:t>
      </w:r>
      <w:r>
        <w:t xml:space="preserve"> </w:t>
      </w:r>
      <w:hyperlink r:id="rId2" w:history="1">
        <w:r>
          <w:rPr>
            <w:rStyle w:val="Hyperlink"/>
            <w:sz w:val="18"/>
            <w:szCs w:val="18"/>
          </w:rPr>
          <w:t>directives du BIT</w:t>
        </w:r>
      </w:hyperlink>
      <w:r>
        <w:rPr>
          <w:sz w:val="18"/>
          <w:szCs w:val="18"/>
        </w:rPr>
        <w:t>)</w:t>
      </w:r>
    </w:p>
    <w:p w14:paraId="46CD6422" w14:textId="39556210" w:rsidR="00D71605" w:rsidRPr="00ED231E" w:rsidRDefault="001A0812" w:rsidP="00ED231E">
      <w:pPr>
        <w:pStyle w:val="ListParagraph"/>
        <w:numPr>
          <w:ilvl w:val="0"/>
          <w:numId w:val="3"/>
        </w:numPr>
        <w:spacing w:after="0" w:line="240" w:lineRule="auto"/>
        <w:rPr>
          <w:rFonts w:cstheme="minorHAnsi"/>
          <w:sz w:val="18"/>
          <w:szCs w:val="18"/>
        </w:rPr>
      </w:pPr>
      <w:proofErr w:type="gramStart"/>
      <w:r>
        <w:rPr>
          <w:sz w:val="18"/>
          <w:szCs w:val="18"/>
        </w:rPr>
        <w:t>dans</w:t>
      </w:r>
      <w:proofErr w:type="gramEnd"/>
      <w:r>
        <w:rPr>
          <w:sz w:val="18"/>
          <w:szCs w:val="18"/>
        </w:rPr>
        <w:t xml:space="preserve"> le cas des adultes handicap</w:t>
      </w:r>
      <w:r w:rsidR="00DF02E3">
        <w:rPr>
          <w:sz w:val="18"/>
          <w:szCs w:val="18"/>
        </w:rPr>
        <w:t>és</w:t>
      </w:r>
      <w:r>
        <w:rPr>
          <w:sz w:val="18"/>
          <w:szCs w:val="18"/>
        </w:rPr>
        <w:t>, que les paiements sont versés directement à la personne handicap</w:t>
      </w:r>
      <w:r w:rsidR="00DF02E3">
        <w:rPr>
          <w:sz w:val="18"/>
          <w:szCs w:val="18"/>
        </w:rPr>
        <w:t>ée</w:t>
      </w:r>
      <w:r>
        <w:rPr>
          <w:sz w:val="18"/>
          <w:szCs w:val="18"/>
        </w:rPr>
        <w:t xml:space="preserve"> concernée ;</w:t>
      </w:r>
    </w:p>
    <w:p w14:paraId="50875566" w14:textId="1B9FBF6E" w:rsidR="00D71605" w:rsidRPr="00ED231E" w:rsidRDefault="001A0812" w:rsidP="00ED231E">
      <w:pPr>
        <w:pStyle w:val="ListParagraph"/>
        <w:numPr>
          <w:ilvl w:val="0"/>
          <w:numId w:val="3"/>
        </w:numPr>
        <w:spacing w:after="0" w:line="240" w:lineRule="auto"/>
        <w:rPr>
          <w:rFonts w:cstheme="minorHAnsi"/>
          <w:color w:val="000000"/>
          <w:sz w:val="18"/>
          <w:szCs w:val="18"/>
        </w:rPr>
      </w:pPr>
      <w:proofErr w:type="gramStart"/>
      <w:r>
        <w:rPr>
          <w:sz w:val="18"/>
          <w:szCs w:val="18"/>
        </w:rPr>
        <w:t>dans</w:t>
      </w:r>
      <w:proofErr w:type="gramEnd"/>
      <w:r>
        <w:rPr>
          <w:sz w:val="18"/>
          <w:szCs w:val="18"/>
        </w:rPr>
        <w:t xml:space="preserve"> le cadre des programmes contributifs, les contributions financées par le gouvernement pour les </w:t>
      </w:r>
      <w:r w:rsidR="00DF02E3">
        <w:rPr>
          <w:sz w:val="18"/>
          <w:szCs w:val="18"/>
        </w:rPr>
        <w:t>personnes handicapées</w:t>
      </w:r>
      <w:r>
        <w:rPr>
          <w:sz w:val="18"/>
          <w:szCs w:val="18"/>
        </w:rPr>
        <w:t xml:space="preserve"> qui ont une </w:t>
      </w:r>
      <w:r>
        <w:rPr>
          <w:color w:val="000000"/>
          <w:sz w:val="18"/>
          <w:szCs w:val="18"/>
        </w:rPr>
        <w:t>capacité contributive</w:t>
      </w:r>
      <w:r>
        <w:rPr>
          <w:sz w:val="18"/>
          <w:szCs w:val="18"/>
        </w:rPr>
        <w:t xml:space="preserve"> limitée </w:t>
      </w:r>
      <w:r>
        <w:rPr>
          <w:color w:val="000000"/>
          <w:sz w:val="18"/>
          <w:szCs w:val="18"/>
        </w:rPr>
        <w:t>;</w:t>
      </w:r>
    </w:p>
    <w:p w14:paraId="72E41D37" w14:textId="0C386AAE" w:rsidR="00D71605" w:rsidRPr="00ED231E" w:rsidRDefault="001A0812" w:rsidP="00ED231E">
      <w:pPr>
        <w:pStyle w:val="ListParagraph"/>
        <w:numPr>
          <w:ilvl w:val="0"/>
          <w:numId w:val="3"/>
        </w:numPr>
        <w:spacing w:after="0" w:line="240" w:lineRule="auto"/>
        <w:rPr>
          <w:rFonts w:cstheme="minorHAnsi"/>
          <w:color w:val="000000"/>
          <w:sz w:val="18"/>
          <w:szCs w:val="18"/>
        </w:rPr>
      </w:pPr>
      <w:proofErr w:type="gramStart"/>
      <w:r>
        <w:rPr>
          <w:color w:val="000000"/>
          <w:sz w:val="18"/>
          <w:szCs w:val="18"/>
        </w:rPr>
        <w:t>la</w:t>
      </w:r>
      <w:proofErr w:type="gramEnd"/>
      <w:r>
        <w:rPr>
          <w:color w:val="000000"/>
          <w:sz w:val="18"/>
          <w:szCs w:val="18"/>
        </w:rPr>
        <w:t xml:space="preserve"> continuité des prestations et des services lors du passage d'un régime contributif à un régime non contributif ;</w:t>
      </w:r>
    </w:p>
    <w:p w14:paraId="0331B094" w14:textId="6C5AF643" w:rsidR="00D71605" w:rsidRPr="00ED231E" w:rsidRDefault="007C74BD" w:rsidP="00ED231E">
      <w:pPr>
        <w:pStyle w:val="ListParagraph"/>
        <w:numPr>
          <w:ilvl w:val="0"/>
          <w:numId w:val="3"/>
        </w:numPr>
        <w:spacing w:after="0" w:line="240" w:lineRule="auto"/>
        <w:jc w:val="both"/>
        <w:rPr>
          <w:rFonts w:cstheme="minorHAnsi"/>
          <w:sz w:val="18"/>
          <w:szCs w:val="18"/>
        </w:rPr>
      </w:pPr>
      <w:proofErr w:type="gramStart"/>
      <w:r>
        <w:rPr>
          <w:color w:val="000000"/>
          <w:sz w:val="18"/>
          <w:szCs w:val="18"/>
        </w:rPr>
        <w:t>l</w:t>
      </w:r>
      <w:r w:rsidR="00D71605">
        <w:rPr>
          <w:color w:val="000000"/>
          <w:sz w:val="18"/>
          <w:szCs w:val="18"/>
        </w:rPr>
        <w:t>es</w:t>
      </w:r>
      <w:proofErr w:type="gramEnd"/>
      <w:r w:rsidR="00D71605">
        <w:rPr>
          <w:color w:val="000000"/>
          <w:sz w:val="18"/>
          <w:szCs w:val="18"/>
        </w:rPr>
        <w:t xml:space="preserve"> programmes de transferts monétaires conditionnels, ou des programmes similaires qui conditionnent la réception de l'aide, doivent mettre à la disposition des </w:t>
      </w:r>
      <w:r w:rsidR="00DF02E3">
        <w:rPr>
          <w:color w:val="000000"/>
          <w:sz w:val="18"/>
          <w:szCs w:val="18"/>
        </w:rPr>
        <w:t>personnes handicapées</w:t>
      </w:r>
      <w:r w:rsidR="00D71605">
        <w:rPr>
          <w:color w:val="000000"/>
          <w:sz w:val="18"/>
          <w:szCs w:val="18"/>
        </w:rPr>
        <w:t xml:space="preserve"> des mesures d'adaptation et de soutien pour s'assurer que les </w:t>
      </w:r>
      <w:r w:rsidR="00DF02E3">
        <w:rPr>
          <w:color w:val="000000"/>
          <w:sz w:val="18"/>
          <w:szCs w:val="18"/>
        </w:rPr>
        <w:t>personnes handicapées</w:t>
      </w:r>
      <w:r w:rsidR="00D71605">
        <w:rPr>
          <w:color w:val="000000"/>
          <w:sz w:val="18"/>
          <w:szCs w:val="18"/>
        </w:rPr>
        <w:t xml:space="preserve"> et leurs familles sont en mesure de remplir ces conditions pour faciliter un accès efficace aux programmes.</w:t>
      </w:r>
    </w:p>
  </w:endnote>
  <w:endnote w:id="4">
    <w:p w14:paraId="7C984FF4" w14:textId="1EE0BE0B" w:rsidR="0084530C" w:rsidRPr="00ED231E" w:rsidRDefault="0084530C" w:rsidP="00ED231E">
      <w:pPr>
        <w:autoSpaceDE w:val="0"/>
        <w:autoSpaceDN w:val="0"/>
        <w:adjustRightInd w:val="0"/>
        <w:spacing w:after="0" w:line="240" w:lineRule="auto"/>
        <w:jc w:val="both"/>
        <w:rPr>
          <w:sz w:val="18"/>
          <w:szCs w:val="18"/>
        </w:rPr>
      </w:pPr>
      <w:r>
        <w:rPr>
          <w:rStyle w:val="EndnoteReference"/>
          <w:sz w:val="18"/>
          <w:szCs w:val="18"/>
        </w:rPr>
        <w:endnoteRef/>
      </w:r>
      <w:r>
        <w:t xml:space="preserve"> </w:t>
      </w:r>
      <w:r>
        <w:rPr>
          <w:sz w:val="18"/>
          <w:szCs w:val="18"/>
        </w:rPr>
        <w:t xml:space="preserve">La législation qui restreint les </w:t>
      </w:r>
      <w:r w:rsidR="00DF02E3">
        <w:rPr>
          <w:sz w:val="18"/>
          <w:szCs w:val="18"/>
        </w:rPr>
        <w:t>personnes handicapées</w:t>
      </w:r>
      <w:r>
        <w:rPr>
          <w:sz w:val="18"/>
          <w:szCs w:val="18"/>
        </w:rPr>
        <w:t xml:space="preserve"> dans l'exercice de leur pleine capacité juridique (contrairement à l'article 12 de la CDPH) empêche généralement la signature de contrats et la gestion de comptes bancaires, ce qui peut empêcher les </w:t>
      </w:r>
      <w:r w:rsidR="00DF02E3">
        <w:rPr>
          <w:sz w:val="18"/>
          <w:szCs w:val="18"/>
        </w:rPr>
        <w:t>personnes handicapées</w:t>
      </w:r>
      <w:r>
        <w:rPr>
          <w:sz w:val="18"/>
          <w:szCs w:val="18"/>
        </w:rPr>
        <w:t xml:space="preserve"> de recevoir des prestations et de l'aide ou d'exercer un contrôle total sur l'avantage et le soutien donnés. Les programmes de protection sociale ne doivent pas exiger de restriction de la capacité juridique comme condition préalable à l'accès aux prestations et doivent être conçus pour fournir des aménagements adéquats pour favoriser le choix, le contrôle et l'autonomie de leurs prestations et le soutien de la personne concernée.</w:t>
      </w:r>
    </w:p>
  </w:endnote>
  <w:endnote w:id="5">
    <w:p w14:paraId="589F2002" w14:textId="5A283050" w:rsidR="0084530C" w:rsidRPr="00ED231E" w:rsidRDefault="0084530C" w:rsidP="00ED231E">
      <w:pPr>
        <w:pStyle w:val="EndnoteText"/>
        <w:jc w:val="both"/>
        <w:rPr>
          <w:rFonts w:cstheme="minorHAnsi"/>
          <w:sz w:val="18"/>
          <w:szCs w:val="18"/>
        </w:rPr>
      </w:pPr>
      <w:r>
        <w:rPr>
          <w:rStyle w:val="EndnoteReference"/>
          <w:sz w:val="18"/>
          <w:szCs w:val="18"/>
        </w:rPr>
        <w:endnoteRef/>
      </w:r>
      <w:r>
        <w:t xml:space="preserve"> </w:t>
      </w:r>
      <w:r>
        <w:rPr>
          <w:sz w:val="18"/>
          <w:szCs w:val="18"/>
        </w:rPr>
        <w:t xml:space="preserve">Les conditionnalités associées aux prestations ne devraient pas être requises lorsqu'il existe des obstacles qui empêchent les </w:t>
      </w:r>
      <w:r w:rsidR="00DF02E3">
        <w:rPr>
          <w:sz w:val="18"/>
          <w:szCs w:val="18"/>
        </w:rPr>
        <w:t>personnes handicapées</w:t>
      </w:r>
      <w:r>
        <w:rPr>
          <w:sz w:val="18"/>
          <w:szCs w:val="18"/>
        </w:rPr>
        <w:t xml:space="preserve"> de les remplir. Par exemple, des programmes de transferts monétaires qui dépendent de la fréquentation scolaire lorsque les écoles ne sont pas accessibles aux </w:t>
      </w:r>
      <w:r w:rsidR="00DF02E3">
        <w:rPr>
          <w:sz w:val="18"/>
          <w:szCs w:val="18"/>
        </w:rPr>
        <w:t>personnes handicapées</w:t>
      </w:r>
      <w:r>
        <w:rPr>
          <w:sz w:val="18"/>
          <w:szCs w:val="18"/>
        </w:rPr>
        <w:t xml:space="preserve">, ou lorsque l'absence de transport accessible empêche l'accès aux dispensaires. Les conditionnalités ne devraient pas non plus entraîner d'effets négatifs ni porter atteinte aux droits des </w:t>
      </w:r>
      <w:r w:rsidR="00DF02E3">
        <w:rPr>
          <w:sz w:val="18"/>
          <w:szCs w:val="18"/>
        </w:rPr>
        <w:t>personnes handicapées</w:t>
      </w:r>
      <w:r>
        <w:rPr>
          <w:sz w:val="18"/>
          <w:szCs w:val="18"/>
        </w:rPr>
        <w:t xml:space="preserve"> en vertu de la CDPH ; par exemple, l'obligation de se conformer à la réadaptation ou au traitement (y compris les traitements de santé mentale) contre sa volonté, ou de vivre dans un cadre isolé comme condition pour recevoir des prestations.</w:t>
      </w:r>
    </w:p>
  </w:endnote>
  <w:endnote w:id="6">
    <w:p w14:paraId="49FD2542" w14:textId="016045E9" w:rsidR="00F11D6C" w:rsidRPr="00DD35DD" w:rsidRDefault="00D71605" w:rsidP="00F11D6C">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DF02E3">
        <w:rPr>
          <w:sz w:val="18"/>
          <w:szCs w:val="18"/>
        </w:rPr>
        <w:t xml:space="preserve">faire participer </w:t>
      </w:r>
      <w:r>
        <w:rPr>
          <w:sz w:val="18"/>
          <w:szCs w:val="18"/>
        </w:rPr>
        <w:t xml:space="preserve">les </w:t>
      </w:r>
      <w:r w:rsidR="00DF02E3">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3" w:history="1">
        <w:r w:rsidRPr="00ED2222">
          <w:rPr>
            <w:rStyle w:val="Hyperlink"/>
            <w:sz w:val="18"/>
            <w:szCs w:val="18"/>
          </w:rPr>
          <w:t>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0F8B2D2C" w14:textId="77777777" w:rsidR="00F11D6C" w:rsidRPr="00DD35DD" w:rsidRDefault="00F11D6C" w:rsidP="00F11D6C">
      <w:pPr>
        <w:pStyle w:val="EndnoteText"/>
        <w:numPr>
          <w:ilvl w:val="0"/>
          <w:numId w:val="4"/>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9509C71" w14:textId="77777777" w:rsidR="00F11D6C" w:rsidRPr="00DD35DD" w:rsidRDefault="00F11D6C" w:rsidP="00F11D6C">
      <w:pPr>
        <w:pStyle w:val="EndnoteText"/>
        <w:numPr>
          <w:ilvl w:val="0"/>
          <w:numId w:val="4"/>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548E8260" w14:textId="5AD3FAB8" w:rsidR="00F11D6C" w:rsidRPr="00DD35DD" w:rsidRDefault="00F11D6C" w:rsidP="00F11D6C">
      <w:pPr>
        <w:pStyle w:val="EndnoteText"/>
        <w:numPr>
          <w:ilvl w:val="0"/>
          <w:numId w:val="4"/>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DF02E3">
        <w:rPr>
          <w:sz w:val="18"/>
          <w:szCs w:val="18"/>
        </w:rPr>
        <w:t>personnes handicapées</w:t>
      </w:r>
      <w:r>
        <w:rPr>
          <w:sz w:val="18"/>
          <w:szCs w:val="18"/>
        </w:rPr>
        <w:t xml:space="preserve"> d'exprimer librement leurs opinions ;</w:t>
      </w:r>
    </w:p>
    <w:p w14:paraId="44D5BEF7" w14:textId="77777777" w:rsidR="00F11D6C" w:rsidRDefault="00F11D6C" w:rsidP="0051740E">
      <w:pPr>
        <w:pStyle w:val="EndnoteText"/>
        <w:numPr>
          <w:ilvl w:val="0"/>
          <w:numId w:val="4"/>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374D3701" w14:textId="11465CE2" w:rsidR="00F11D6C" w:rsidRDefault="00F11D6C" w:rsidP="0051740E">
      <w:pPr>
        <w:pStyle w:val="EndnoteText"/>
        <w:numPr>
          <w:ilvl w:val="0"/>
          <w:numId w:val="16"/>
        </w:numPr>
        <w:jc w:val="both"/>
        <w:rPr>
          <w:sz w:val="18"/>
          <w:szCs w:val="18"/>
        </w:rPr>
      </w:pPr>
      <w:proofErr w:type="gramStart"/>
      <w:r>
        <w:rPr>
          <w:sz w:val="18"/>
          <w:szCs w:val="18"/>
        </w:rPr>
        <w:t>assurer</w:t>
      </w:r>
      <w:proofErr w:type="gramEnd"/>
      <w:r>
        <w:rPr>
          <w:sz w:val="18"/>
          <w:szCs w:val="18"/>
        </w:rPr>
        <w:t xml:space="preserve"> une </w:t>
      </w:r>
      <w:r w:rsidR="00DF02E3">
        <w:rPr>
          <w:sz w:val="18"/>
          <w:szCs w:val="18"/>
        </w:rPr>
        <w:t xml:space="preserve">participation </w:t>
      </w:r>
      <w:r>
        <w:rPr>
          <w:sz w:val="18"/>
          <w:szCs w:val="18"/>
        </w:rPr>
        <w:t xml:space="preserve">précoce et continue ; </w:t>
      </w:r>
    </w:p>
    <w:p w14:paraId="7F76F65E" w14:textId="00F343A0" w:rsidR="00F11D6C" w:rsidRPr="0051740E" w:rsidRDefault="00F11D6C" w:rsidP="0051740E">
      <w:pPr>
        <w:pStyle w:val="EndnoteText"/>
        <w:numPr>
          <w:ilvl w:val="0"/>
          <w:numId w:val="16"/>
        </w:numPr>
        <w:jc w:val="both"/>
        <w:rPr>
          <w:sz w:val="18"/>
          <w:szCs w:val="18"/>
        </w:rPr>
      </w:pPr>
      <w:proofErr w:type="gramStart"/>
      <w:r>
        <w:rPr>
          <w:sz w:val="18"/>
          <w:szCs w:val="18"/>
        </w:rPr>
        <w:t>couvrir</w:t>
      </w:r>
      <w:proofErr w:type="gramEnd"/>
      <w:r>
        <w:rPr>
          <w:sz w:val="18"/>
          <w:szCs w:val="18"/>
        </w:rPr>
        <w:t xml:space="preserve"> les dépenses connexes des participants.</w:t>
      </w:r>
    </w:p>
  </w:endnote>
  <w:endnote w:id="7">
    <w:p w14:paraId="097E838B" w14:textId="5D7500A2" w:rsidR="00FB191D" w:rsidRPr="00FB191D" w:rsidRDefault="00FB191D" w:rsidP="00067FC9">
      <w:pPr>
        <w:pStyle w:val="CommentText"/>
        <w:spacing w:after="0"/>
        <w:jc w:val="both"/>
      </w:pPr>
      <w:r>
        <w:rPr>
          <w:rStyle w:val="EndnoteReference"/>
          <w:sz w:val="18"/>
          <w:szCs w:val="18"/>
        </w:rPr>
        <w:endnoteRef/>
      </w:r>
      <w:r>
        <w:t xml:space="preserve"> </w:t>
      </w:r>
      <w:r>
        <w:rPr>
          <w:sz w:val="18"/>
          <w:szCs w:val="18"/>
        </w:rPr>
        <w:t>La formation devrait également comprendre : l'approche du handicap fondée sur les droits de l'homme, la non-discrimination et la fourniture d'aménagements raisonnables, la conception universelle, l'accessibilité (y compris les informations et communications accessibles).</w:t>
      </w:r>
    </w:p>
  </w:endnote>
  <w:endnote w:id="8">
    <w:p w14:paraId="08BD83A1" w14:textId="0AACA938" w:rsidR="00CB4BE6" w:rsidRPr="00ED231E" w:rsidRDefault="00CB4BE6" w:rsidP="00ED231E">
      <w:pPr>
        <w:pStyle w:val="EndnoteText"/>
        <w:rPr>
          <w:sz w:val="18"/>
          <w:szCs w:val="18"/>
        </w:rPr>
      </w:pPr>
      <w:r>
        <w:rPr>
          <w:rStyle w:val="EndnoteReference"/>
          <w:sz w:val="18"/>
          <w:szCs w:val="18"/>
        </w:rPr>
        <w:endnoteRef/>
      </w:r>
      <w:r>
        <w:t xml:space="preserve"> </w:t>
      </w:r>
      <w:r>
        <w:rPr>
          <w:sz w:val="18"/>
          <w:szCs w:val="18"/>
        </w:rPr>
        <w:t xml:space="preserve">Y compris la formation et le conseil pour les </w:t>
      </w:r>
      <w:r w:rsidR="00DF02E3">
        <w:rPr>
          <w:sz w:val="18"/>
          <w:szCs w:val="18"/>
        </w:rPr>
        <w:t>personnes handicapées</w:t>
      </w:r>
      <w:r>
        <w:rPr>
          <w:sz w:val="18"/>
          <w:szCs w:val="18"/>
        </w:rPr>
        <w:t xml:space="preserve"> et leurs familles, et la lutte contre la stigmatisation des </w:t>
      </w:r>
      <w:r w:rsidR="00DF02E3">
        <w:rPr>
          <w:sz w:val="18"/>
          <w:szCs w:val="18"/>
        </w:rPr>
        <w:t>personnes handicapées</w:t>
      </w:r>
      <w:r>
        <w:rPr>
          <w:sz w:val="18"/>
          <w:szCs w:val="18"/>
        </w:rPr>
        <w:t xml:space="preserve"> dans l'accès aux régimes et prestations de protection sociale.</w:t>
      </w:r>
      <w:r w:rsidR="007C74BD">
        <w:rPr>
          <w:sz w:val="18"/>
          <w:szCs w:val="18"/>
        </w:rPr>
        <w:t xml:space="preserve"> </w:t>
      </w:r>
    </w:p>
  </w:endnote>
  <w:endnote w:id="9">
    <w:p w14:paraId="0EA4DDCB" w14:textId="1537DAA6" w:rsidR="00DC1714" w:rsidRPr="00ED231E" w:rsidRDefault="00DC1714" w:rsidP="00ED231E">
      <w:pPr>
        <w:pStyle w:val="EndnoteText"/>
        <w:jc w:val="both"/>
        <w:rPr>
          <w:sz w:val="18"/>
          <w:szCs w:val="18"/>
        </w:rPr>
      </w:pPr>
      <w:r>
        <w:rPr>
          <w:rStyle w:val="EndnoteReference"/>
          <w:sz w:val="18"/>
          <w:szCs w:val="18"/>
        </w:rPr>
        <w:endnoteRef/>
      </w:r>
      <w:r>
        <w:t xml:space="preserve"> </w:t>
      </w:r>
      <w:r>
        <w:rPr>
          <w:sz w:val="18"/>
          <w:szCs w:val="18"/>
        </w:rPr>
        <w:t>Le chiffre PPA doit être utilisé tel que mis à jour par la Banque mondiale. Le PPA peut être utilisé en conjonction avec l'</w:t>
      </w:r>
      <w:hyperlink r:id="rId4" w:anchor="t295n2956" w:history="1">
        <w:r>
          <w:rPr>
            <w:rStyle w:val="Hyperlink"/>
            <w:sz w:val="18"/>
            <w:szCs w:val="18"/>
          </w:rPr>
          <w:t>indice de pauvreté multidimensionnel (IPM)</w:t>
        </w:r>
      </w:hyperlink>
      <w:r>
        <w:t xml:space="preserve"> </w:t>
      </w:r>
      <w:r>
        <w:rPr>
          <w:sz w:val="18"/>
          <w:szCs w:val="18"/>
        </w:rPr>
        <w:t>qui identifie les multiples privations au niveau des ménages et des individus en matière de santé, d'éducation et de niveau de vie, et offre ainsi un complément précieux aux mesures de la pauvreté fondées sur le revenu. S’il est possible de vérifier les deux, l'utilisation de l’IPM et du PPA peut fournir un plus complet pour les décideurs.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DD9F0" w14:textId="77777777" w:rsidR="00332A32" w:rsidRDefault="00332A32" w:rsidP="000E7D8F">
      <w:pPr>
        <w:spacing w:after="0" w:line="240" w:lineRule="auto"/>
      </w:pPr>
      <w:r>
        <w:separator/>
      </w:r>
    </w:p>
  </w:footnote>
  <w:footnote w:type="continuationSeparator" w:id="0">
    <w:p w14:paraId="38A61FA1" w14:textId="77777777" w:rsidR="00332A32" w:rsidRDefault="00332A32" w:rsidP="000E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12565"/>
    <w:multiLevelType w:val="hybridMultilevel"/>
    <w:tmpl w:val="CD5E48BA"/>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756D0"/>
    <w:multiLevelType w:val="hybridMultilevel"/>
    <w:tmpl w:val="49D87228"/>
    <w:lvl w:ilvl="0" w:tplc="FF643DBC">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5"/>
  </w:num>
  <w:num w:numId="4">
    <w:abstractNumId w:val="7"/>
  </w:num>
  <w:num w:numId="5">
    <w:abstractNumId w:val="3"/>
  </w:num>
  <w:num w:numId="6">
    <w:abstractNumId w:val="0"/>
  </w:num>
  <w:num w:numId="7">
    <w:abstractNumId w:val="14"/>
  </w:num>
  <w:num w:numId="8">
    <w:abstractNumId w:val="1"/>
  </w:num>
  <w:num w:numId="9">
    <w:abstractNumId w:val="8"/>
  </w:num>
  <w:num w:numId="10">
    <w:abstractNumId w:val="10"/>
  </w:num>
  <w:num w:numId="11">
    <w:abstractNumId w:val="6"/>
  </w:num>
  <w:num w:numId="12">
    <w:abstractNumId w:val="7"/>
  </w:num>
  <w:num w:numId="13">
    <w:abstractNumId w:val="2"/>
  </w:num>
  <w:num w:numId="14">
    <w:abstractNumId w:val="12"/>
  </w:num>
  <w:num w:numId="15">
    <w:abstractNumId w:val="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05A0"/>
    <w:rsid w:val="00001E99"/>
    <w:rsid w:val="0001047B"/>
    <w:rsid w:val="00015D98"/>
    <w:rsid w:val="00030032"/>
    <w:rsid w:val="00031BE9"/>
    <w:rsid w:val="00062DAA"/>
    <w:rsid w:val="00067FC9"/>
    <w:rsid w:val="00073B65"/>
    <w:rsid w:val="00075F69"/>
    <w:rsid w:val="000862DE"/>
    <w:rsid w:val="00086E76"/>
    <w:rsid w:val="000931FF"/>
    <w:rsid w:val="00097ECC"/>
    <w:rsid w:val="000A28DD"/>
    <w:rsid w:val="000A2EF9"/>
    <w:rsid w:val="000B6966"/>
    <w:rsid w:val="000C49B5"/>
    <w:rsid w:val="000E4FD5"/>
    <w:rsid w:val="000E7D8F"/>
    <w:rsid w:val="00107F6F"/>
    <w:rsid w:val="00135122"/>
    <w:rsid w:val="00140F78"/>
    <w:rsid w:val="001423E2"/>
    <w:rsid w:val="00146186"/>
    <w:rsid w:val="001504A7"/>
    <w:rsid w:val="00174120"/>
    <w:rsid w:val="001831C1"/>
    <w:rsid w:val="001A0812"/>
    <w:rsid w:val="001A3099"/>
    <w:rsid w:val="001B55D5"/>
    <w:rsid w:val="001C06BC"/>
    <w:rsid w:val="001C24DF"/>
    <w:rsid w:val="001E471F"/>
    <w:rsid w:val="001E701A"/>
    <w:rsid w:val="00205391"/>
    <w:rsid w:val="002178A6"/>
    <w:rsid w:val="00220AFA"/>
    <w:rsid w:val="00237F73"/>
    <w:rsid w:val="00252AC3"/>
    <w:rsid w:val="0025529E"/>
    <w:rsid w:val="00257443"/>
    <w:rsid w:val="00260666"/>
    <w:rsid w:val="00260CD4"/>
    <w:rsid w:val="002616FE"/>
    <w:rsid w:val="0027303A"/>
    <w:rsid w:val="00291446"/>
    <w:rsid w:val="002A4805"/>
    <w:rsid w:val="002A649D"/>
    <w:rsid w:val="002A6964"/>
    <w:rsid w:val="002B19A1"/>
    <w:rsid w:val="002B26FF"/>
    <w:rsid w:val="002C15E9"/>
    <w:rsid w:val="002F2F5C"/>
    <w:rsid w:val="00326297"/>
    <w:rsid w:val="00332A32"/>
    <w:rsid w:val="003456D4"/>
    <w:rsid w:val="003567C1"/>
    <w:rsid w:val="00361910"/>
    <w:rsid w:val="003759C9"/>
    <w:rsid w:val="003B1FB1"/>
    <w:rsid w:val="003B68D1"/>
    <w:rsid w:val="003B6984"/>
    <w:rsid w:val="003B7D0D"/>
    <w:rsid w:val="003B7E4E"/>
    <w:rsid w:val="003D107F"/>
    <w:rsid w:val="003D2F9C"/>
    <w:rsid w:val="003D334E"/>
    <w:rsid w:val="003D501D"/>
    <w:rsid w:val="003F2DAB"/>
    <w:rsid w:val="003F6605"/>
    <w:rsid w:val="0041194D"/>
    <w:rsid w:val="00412581"/>
    <w:rsid w:val="00442530"/>
    <w:rsid w:val="00452978"/>
    <w:rsid w:val="00476C08"/>
    <w:rsid w:val="00484844"/>
    <w:rsid w:val="00490CEC"/>
    <w:rsid w:val="004A29D8"/>
    <w:rsid w:val="004A5E5F"/>
    <w:rsid w:val="004B1092"/>
    <w:rsid w:val="004D14DF"/>
    <w:rsid w:val="004D50D1"/>
    <w:rsid w:val="004D79D8"/>
    <w:rsid w:val="004D7C04"/>
    <w:rsid w:val="004E4D9D"/>
    <w:rsid w:val="004E5ECC"/>
    <w:rsid w:val="004E7159"/>
    <w:rsid w:val="004F3D86"/>
    <w:rsid w:val="00503738"/>
    <w:rsid w:val="00504EEF"/>
    <w:rsid w:val="0051740E"/>
    <w:rsid w:val="00521CEB"/>
    <w:rsid w:val="00524C6D"/>
    <w:rsid w:val="00526F34"/>
    <w:rsid w:val="00537A09"/>
    <w:rsid w:val="00540CF9"/>
    <w:rsid w:val="005419ED"/>
    <w:rsid w:val="00541E71"/>
    <w:rsid w:val="005506DE"/>
    <w:rsid w:val="00554509"/>
    <w:rsid w:val="00566807"/>
    <w:rsid w:val="005734C6"/>
    <w:rsid w:val="00575814"/>
    <w:rsid w:val="005775FD"/>
    <w:rsid w:val="00584F5A"/>
    <w:rsid w:val="00592BB4"/>
    <w:rsid w:val="005949D3"/>
    <w:rsid w:val="005A0B55"/>
    <w:rsid w:val="005A1A6A"/>
    <w:rsid w:val="005A223A"/>
    <w:rsid w:val="005A4A90"/>
    <w:rsid w:val="005D510B"/>
    <w:rsid w:val="005D5D9C"/>
    <w:rsid w:val="005E5CF0"/>
    <w:rsid w:val="00601BEC"/>
    <w:rsid w:val="006243F4"/>
    <w:rsid w:val="006359A5"/>
    <w:rsid w:val="006400B0"/>
    <w:rsid w:val="006442EC"/>
    <w:rsid w:val="006513D4"/>
    <w:rsid w:val="0065144E"/>
    <w:rsid w:val="006557CF"/>
    <w:rsid w:val="00676D7C"/>
    <w:rsid w:val="00684677"/>
    <w:rsid w:val="0069034B"/>
    <w:rsid w:val="006B09D2"/>
    <w:rsid w:val="006B5190"/>
    <w:rsid w:val="006B5CDD"/>
    <w:rsid w:val="006C071D"/>
    <w:rsid w:val="006D1654"/>
    <w:rsid w:val="006D30F4"/>
    <w:rsid w:val="006D57EA"/>
    <w:rsid w:val="006F430B"/>
    <w:rsid w:val="006F6BB8"/>
    <w:rsid w:val="00701128"/>
    <w:rsid w:val="00702091"/>
    <w:rsid w:val="00702368"/>
    <w:rsid w:val="00710899"/>
    <w:rsid w:val="00714804"/>
    <w:rsid w:val="007373E4"/>
    <w:rsid w:val="00743652"/>
    <w:rsid w:val="00760E05"/>
    <w:rsid w:val="00782227"/>
    <w:rsid w:val="00786018"/>
    <w:rsid w:val="007A5679"/>
    <w:rsid w:val="007C684F"/>
    <w:rsid w:val="007C74BD"/>
    <w:rsid w:val="007D5890"/>
    <w:rsid w:val="007D5D74"/>
    <w:rsid w:val="007E482B"/>
    <w:rsid w:val="008057F4"/>
    <w:rsid w:val="008108C3"/>
    <w:rsid w:val="00823591"/>
    <w:rsid w:val="00833CED"/>
    <w:rsid w:val="0084530C"/>
    <w:rsid w:val="00871C3C"/>
    <w:rsid w:val="00872EF2"/>
    <w:rsid w:val="0088168F"/>
    <w:rsid w:val="008859F5"/>
    <w:rsid w:val="00896B65"/>
    <w:rsid w:val="008A0E4A"/>
    <w:rsid w:val="008D44B3"/>
    <w:rsid w:val="008F5732"/>
    <w:rsid w:val="0090059C"/>
    <w:rsid w:val="0098644C"/>
    <w:rsid w:val="00995CBF"/>
    <w:rsid w:val="009B3B89"/>
    <w:rsid w:val="009F5005"/>
    <w:rsid w:val="009F6E73"/>
    <w:rsid w:val="00A15D38"/>
    <w:rsid w:val="00A168B1"/>
    <w:rsid w:val="00A358CB"/>
    <w:rsid w:val="00A5408F"/>
    <w:rsid w:val="00A8184F"/>
    <w:rsid w:val="00A9246A"/>
    <w:rsid w:val="00A96AE8"/>
    <w:rsid w:val="00A97098"/>
    <w:rsid w:val="00AB69F4"/>
    <w:rsid w:val="00AF3953"/>
    <w:rsid w:val="00B11748"/>
    <w:rsid w:val="00B121E9"/>
    <w:rsid w:val="00B1220F"/>
    <w:rsid w:val="00B209EE"/>
    <w:rsid w:val="00B26B05"/>
    <w:rsid w:val="00B325E0"/>
    <w:rsid w:val="00B452EF"/>
    <w:rsid w:val="00B555CA"/>
    <w:rsid w:val="00B556DD"/>
    <w:rsid w:val="00B603B8"/>
    <w:rsid w:val="00BA1F21"/>
    <w:rsid w:val="00BA4646"/>
    <w:rsid w:val="00BA5BAB"/>
    <w:rsid w:val="00BB55D4"/>
    <w:rsid w:val="00BB70EC"/>
    <w:rsid w:val="00BD5CC7"/>
    <w:rsid w:val="00BE23B9"/>
    <w:rsid w:val="00BE4D50"/>
    <w:rsid w:val="00BF03AA"/>
    <w:rsid w:val="00BF5AC5"/>
    <w:rsid w:val="00C07E9F"/>
    <w:rsid w:val="00C173C7"/>
    <w:rsid w:val="00C17CA3"/>
    <w:rsid w:val="00C209FB"/>
    <w:rsid w:val="00C2367A"/>
    <w:rsid w:val="00C3046F"/>
    <w:rsid w:val="00C3191D"/>
    <w:rsid w:val="00C35CE4"/>
    <w:rsid w:val="00C41329"/>
    <w:rsid w:val="00C62702"/>
    <w:rsid w:val="00C64170"/>
    <w:rsid w:val="00C9754A"/>
    <w:rsid w:val="00C9780D"/>
    <w:rsid w:val="00CB4BE6"/>
    <w:rsid w:val="00CD1BA7"/>
    <w:rsid w:val="00CD2CBC"/>
    <w:rsid w:val="00CE30A8"/>
    <w:rsid w:val="00CF776F"/>
    <w:rsid w:val="00D12592"/>
    <w:rsid w:val="00D14D06"/>
    <w:rsid w:val="00D31BD2"/>
    <w:rsid w:val="00D31EDA"/>
    <w:rsid w:val="00D53397"/>
    <w:rsid w:val="00D54DD9"/>
    <w:rsid w:val="00D71605"/>
    <w:rsid w:val="00D8348A"/>
    <w:rsid w:val="00D91439"/>
    <w:rsid w:val="00DA2111"/>
    <w:rsid w:val="00DA3073"/>
    <w:rsid w:val="00DB5466"/>
    <w:rsid w:val="00DC04A3"/>
    <w:rsid w:val="00DC1714"/>
    <w:rsid w:val="00DD66FD"/>
    <w:rsid w:val="00DF0156"/>
    <w:rsid w:val="00DF02E3"/>
    <w:rsid w:val="00DF56A1"/>
    <w:rsid w:val="00E0221C"/>
    <w:rsid w:val="00E05FF8"/>
    <w:rsid w:val="00E14717"/>
    <w:rsid w:val="00E56839"/>
    <w:rsid w:val="00E64C6D"/>
    <w:rsid w:val="00E72B46"/>
    <w:rsid w:val="00E72B64"/>
    <w:rsid w:val="00E9049E"/>
    <w:rsid w:val="00EB06D2"/>
    <w:rsid w:val="00ED2222"/>
    <w:rsid w:val="00ED231E"/>
    <w:rsid w:val="00ED3DA7"/>
    <w:rsid w:val="00EE631B"/>
    <w:rsid w:val="00EF500B"/>
    <w:rsid w:val="00EF73F5"/>
    <w:rsid w:val="00F11D6C"/>
    <w:rsid w:val="00F208BF"/>
    <w:rsid w:val="00F562DE"/>
    <w:rsid w:val="00F62D6C"/>
    <w:rsid w:val="00F63625"/>
    <w:rsid w:val="00F82D44"/>
    <w:rsid w:val="00F95161"/>
    <w:rsid w:val="00F95256"/>
    <w:rsid w:val="00FB063E"/>
    <w:rsid w:val="00FB191D"/>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fr-FR"/>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rsid w:val="00073B65"/>
    <w:rPr>
      <w:sz w:val="20"/>
      <w:szCs w:val="20"/>
      <w:lang w:val="fr-FR"/>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fr-FR"/>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fr-FR"/>
    </w:rPr>
  </w:style>
  <w:style w:type="character" w:customStyle="1" w:styleId="SingleTxtGChar">
    <w:name w:val="_ Single Txt_G Char"/>
    <w:link w:val="SingleTxtG"/>
    <w:rsid w:val="000E7D8F"/>
    <w:rPr>
      <w:rFonts w:ascii="Times New Roman" w:eastAsia="Times New Roman" w:hAnsi="Times New Roman" w:cs="Times New Roman"/>
      <w:sz w:val="20"/>
      <w:szCs w:val="20"/>
      <w:lang w:val="fr-FR"/>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fr-FR"/>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fr-FR"/>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fr-FR"/>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rPr>
  </w:style>
  <w:style w:type="character" w:styleId="Hyperlink">
    <w:name w:val="Hyperlink"/>
    <w:basedOn w:val="DefaultParagraphFont"/>
    <w:uiPriority w:val="99"/>
    <w:unhideWhenUsed/>
    <w:rsid w:val="0089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270431680">
      <w:bodyDiv w:val="1"/>
      <w:marLeft w:val="0"/>
      <w:marRight w:val="0"/>
      <w:marTop w:val="0"/>
      <w:marBottom w:val="0"/>
      <w:divBdr>
        <w:top w:val="none" w:sz="0" w:space="0" w:color="auto"/>
        <w:left w:val="none" w:sz="0" w:space="0" w:color="auto"/>
        <w:bottom w:val="none" w:sz="0" w:space="0" w:color="auto"/>
        <w:right w:val="none" w:sz="0" w:space="0" w:color="auto"/>
      </w:divBdr>
      <w:divsChild>
        <w:div w:id="435296735">
          <w:marLeft w:val="0"/>
          <w:marRight w:val="0"/>
          <w:marTop w:val="0"/>
          <w:marBottom w:val="0"/>
          <w:divBdr>
            <w:top w:val="none" w:sz="0" w:space="0" w:color="auto"/>
            <w:left w:val="none" w:sz="0" w:space="0" w:color="auto"/>
            <w:bottom w:val="none" w:sz="0" w:space="0" w:color="auto"/>
            <w:right w:val="none" w:sz="0" w:space="0" w:color="auto"/>
          </w:divBdr>
        </w:div>
        <w:div w:id="464352433">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bracingdiversity.net/files/report/1494325101_choice-and-control-onepag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154_enabling-inclusion-onepag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fr/A/70/2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bracingdiversity.net/files/report/1494325196_fighting-poverty-onepager.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259C-9419-4F88-9B15-CC4BF5D5CC95}">
  <ds:schemaRefs>
    <ds:schemaRef ds:uri="http://schemas.microsoft.com/sharepoint/v3/contenttype/forms"/>
  </ds:schemaRefs>
</ds:datastoreItem>
</file>

<file path=customXml/itemProps2.xml><?xml version="1.0" encoding="utf-8"?>
<ds:datastoreItem xmlns:ds="http://schemas.openxmlformats.org/officeDocument/2006/customXml" ds:itemID="{74F781B7-1C4E-4915-9BC2-CD935811811B}"/>
</file>

<file path=customXml/itemProps3.xml><?xml version="1.0" encoding="utf-8"?>
<ds:datastoreItem xmlns:ds="http://schemas.openxmlformats.org/officeDocument/2006/customXml" ds:itemID="{3C4710B8-C4ED-4D28-B36D-6403B0FB0922}">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591B960B-E354-40AC-B5E6-D13613F2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2020-08-24T15:30:00Z</dcterms:created>
  <dcterms:modified xsi:type="dcterms:W3CDTF">2020-08-24T15:30:00Z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