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593" w:type="dxa"/>
        <w:tblInd w:w="-147" w:type="dxa"/>
        <w:tblLayout w:type="fixed"/>
        <w:tblLook w:val="04A0" w:firstRow="1" w:lastRow="0" w:firstColumn="1" w:lastColumn="0" w:noHBand="0" w:noVBand="1"/>
      </w:tblPr>
      <w:tblGrid>
        <w:gridCol w:w="1135"/>
        <w:gridCol w:w="5528"/>
        <w:gridCol w:w="8930"/>
      </w:tblGrid>
      <w:tr w:rsidR="003B1FB1" w:rsidRPr="00140F78" w14:paraId="10A96F39" w14:textId="77777777" w:rsidTr="00526F34">
        <w:trPr>
          <w:trHeight w:val="132"/>
        </w:trPr>
        <w:tc>
          <w:tcPr>
            <w:tcW w:w="15593" w:type="dxa"/>
            <w:gridSpan w:val="3"/>
            <w:shd w:val="clear" w:color="auto" w:fill="BFBFBF" w:themeFill="background1" w:themeFillShade="BF"/>
          </w:tcPr>
          <w:p w14:paraId="7B80A0E5" w14:textId="5C8A7872" w:rsidR="003B1FB1" w:rsidRPr="00ED3DA7" w:rsidRDefault="003B1FB1" w:rsidP="00ED3DA7">
            <w:pPr>
              <w:spacing w:after="0" w:line="240" w:lineRule="auto"/>
              <w:jc w:val="center"/>
              <w:rPr>
                <w:rFonts w:cstheme="minorHAnsi"/>
                <w:b/>
                <w:sz w:val="18"/>
                <w:szCs w:val="18"/>
              </w:rPr>
            </w:pPr>
            <w:r>
              <w:rPr>
                <w:b/>
                <w:sz w:val="18"/>
                <w:szCs w:val="18"/>
              </w:rPr>
              <w:t>Artículo 28 - Indicadores sobre el nivel de vida adecuado y la protección social</w:t>
            </w:r>
          </w:p>
        </w:tc>
      </w:tr>
      <w:tr w:rsidR="002A4805" w:rsidRPr="00140F78" w14:paraId="04BD768F" w14:textId="77777777" w:rsidTr="00521CEB">
        <w:trPr>
          <w:trHeight w:val="163"/>
        </w:trPr>
        <w:tc>
          <w:tcPr>
            <w:tcW w:w="15593" w:type="dxa"/>
            <w:gridSpan w:val="3"/>
            <w:shd w:val="clear" w:color="auto" w:fill="auto"/>
          </w:tcPr>
          <w:p w14:paraId="3748F3CB" w14:textId="01CCFC38" w:rsidR="002A4805" w:rsidRPr="00ED3DA7" w:rsidRDefault="002A4805" w:rsidP="000E3892">
            <w:pPr>
              <w:tabs>
                <w:tab w:val="left" w:pos="5291"/>
              </w:tabs>
              <w:spacing w:after="0" w:line="240" w:lineRule="auto"/>
              <w:jc w:val="center"/>
              <w:rPr>
                <w:rFonts w:cstheme="minorHAnsi"/>
                <w:b/>
                <w:sz w:val="18"/>
                <w:szCs w:val="18"/>
              </w:rPr>
            </w:pPr>
            <w:r>
              <w:rPr>
                <w:b/>
                <w:sz w:val="18"/>
                <w:szCs w:val="18"/>
              </w:rPr>
              <w:t xml:space="preserve">Derecho a un nivel de vida adecuado y a la </w:t>
            </w:r>
            <w:r w:rsidR="000E3892">
              <w:rPr>
                <w:b/>
                <w:sz w:val="18"/>
                <w:szCs w:val="18"/>
              </w:rPr>
              <w:t>protección social*</w:t>
            </w:r>
          </w:p>
        </w:tc>
      </w:tr>
      <w:tr w:rsidR="00E72B64" w:rsidRPr="00140F78" w14:paraId="4AD235F6" w14:textId="77777777" w:rsidTr="005A14C6">
        <w:trPr>
          <w:trHeight w:val="95"/>
        </w:trPr>
        <w:tc>
          <w:tcPr>
            <w:tcW w:w="1135" w:type="dxa"/>
          </w:tcPr>
          <w:p w14:paraId="1E09C9B5" w14:textId="77777777" w:rsidR="00C3191D" w:rsidRPr="00ED3DA7" w:rsidRDefault="003B1FB1" w:rsidP="00E309F8">
            <w:pPr>
              <w:pStyle w:val="ListParagraph"/>
              <w:spacing w:after="0" w:line="240" w:lineRule="auto"/>
              <w:ind w:left="0"/>
              <w:rPr>
                <w:rFonts w:cstheme="minorHAnsi"/>
                <w:b/>
                <w:sz w:val="18"/>
                <w:szCs w:val="18"/>
              </w:rPr>
            </w:pPr>
            <w:r>
              <w:rPr>
                <w:b/>
                <w:sz w:val="18"/>
                <w:szCs w:val="18"/>
              </w:rPr>
              <w:t>Atributos/</w:t>
            </w:r>
          </w:p>
          <w:p w14:paraId="18FCE717" w14:textId="788BDAC6" w:rsidR="003B1FB1" w:rsidRPr="00ED3DA7" w:rsidRDefault="0027303A" w:rsidP="002D03AA">
            <w:pPr>
              <w:pStyle w:val="ListParagraph"/>
              <w:spacing w:after="0" w:line="240" w:lineRule="auto"/>
              <w:ind w:left="0"/>
              <w:rPr>
                <w:rFonts w:cstheme="minorHAnsi"/>
                <w:b/>
                <w:sz w:val="18"/>
                <w:szCs w:val="18"/>
              </w:rPr>
            </w:pPr>
            <w:r>
              <w:rPr>
                <w:b/>
                <w:sz w:val="18"/>
                <w:szCs w:val="18"/>
              </w:rPr>
              <w:t>Indicadores</w:t>
            </w:r>
          </w:p>
        </w:tc>
        <w:tc>
          <w:tcPr>
            <w:tcW w:w="5528" w:type="dxa"/>
          </w:tcPr>
          <w:p w14:paraId="393A187A" w14:textId="77777777" w:rsidR="003B1FB1" w:rsidRPr="00ED3DA7" w:rsidRDefault="00257443" w:rsidP="005A14C6">
            <w:pPr>
              <w:spacing w:after="0" w:line="240" w:lineRule="auto"/>
              <w:jc w:val="center"/>
              <w:rPr>
                <w:rFonts w:eastAsia="Times New Roman" w:cstheme="minorHAnsi"/>
                <w:b/>
                <w:sz w:val="18"/>
                <w:szCs w:val="18"/>
              </w:rPr>
            </w:pPr>
            <w:r>
              <w:rPr>
                <w:b/>
                <w:sz w:val="18"/>
                <w:szCs w:val="18"/>
              </w:rPr>
              <w:t>Nivel de vida adecuado</w:t>
            </w:r>
          </w:p>
        </w:tc>
        <w:tc>
          <w:tcPr>
            <w:tcW w:w="8930" w:type="dxa"/>
          </w:tcPr>
          <w:p w14:paraId="04C9BFDD" w14:textId="77777777" w:rsidR="003B1FB1" w:rsidRPr="00140F78" w:rsidRDefault="00257443" w:rsidP="005A14C6">
            <w:pPr>
              <w:spacing w:after="0" w:line="240" w:lineRule="auto"/>
              <w:jc w:val="center"/>
              <w:rPr>
                <w:rFonts w:eastAsia="Times New Roman" w:cstheme="minorHAnsi"/>
                <w:b/>
                <w:sz w:val="18"/>
                <w:szCs w:val="18"/>
              </w:rPr>
            </w:pPr>
            <w:r>
              <w:rPr>
                <w:b/>
                <w:sz w:val="18"/>
                <w:szCs w:val="18"/>
              </w:rPr>
              <w:t>Protección social y reducción de la pobreza</w:t>
            </w:r>
          </w:p>
        </w:tc>
      </w:tr>
      <w:tr w:rsidR="00E72B64" w:rsidRPr="00140F78" w14:paraId="56ACFA50" w14:textId="77777777" w:rsidTr="005A14C6">
        <w:trPr>
          <w:trHeight w:val="1597"/>
        </w:trPr>
        <w:tc>
          <w:tcPr>
            <w:tcW w:w="1135" w:type="dxa"/>
          </w:tcPr>
          <w:p w14:paraId="7D6CEC70" w14:textId="77777777" w:rsidR="00476C08" w:rsidRPr="00ED3DA7" w:rsidRDefault="00476C08" w:rsidP="00ED3DA7">
            <w:pPr>
              <w:spacing w:after="0" w:line="240" w:lineRule="auto"/>
              <w:rPr>
                <w:rFonts w:cstheme="minorHAnsi"/>
                <w:b/>
                <w:sz w:val="18"/>
                <w:szCs w:val="18"/>
              </w:rPr>
            </w:pPr>
            <w:r>
              <w:rPr>
                <w:b/>
                <w:sz w:val="18"/>
                <w:szCs w:val="18"/>
              </w:rPr>
              <w:t>Estructura</w:t>
            </w:r>
          </w:p>
        </w:tc>
        <w:tc>
          <w:tcPr>
            <w:tcW w:w="5528" w:type="dxa"/>
          </w:tcPr>
          <w:p w14:paraId="1C1F37EF" w14:textId="23E1E828" w:rsidR="0025529E" w:rsidRDefault="0025529E" w:rsidP="00E72B64">
            <w:pPr>
              <w:pStyle w:val="ListParagraph"/>
              <w:numPr>
                <w:ilvl w:val="1"/>
                <w:numId w:val="13"/>
              </w:numPr>
              <w:tabs>
                <w:tab w:val="left" w:pos="456"/>
              </w:tabs>
              <w:spacing w:after="0" w:line="240" w:lineRule="auto"/>
              <w:ind w:left="32" w:firstLine="0"/>
              <w:jc w:val="both"/>
              <w:rPr>
                <w:rFonts w:cstheme="minorHAnsi"/>
                <w:color w:val="000000"/>
                <w:sz w:val="18"/>
                <w:szCs w:val="18"/>
              </w:rPr>
            </w:pPr>
            <w:r>
              <w:rPr>
                <w:color w:val="000000"/>
                <w:sz w:val="18"/>
                <w:szCs w:val="18"/>
              </w:rPr>
              <w:t>Legi</w:t>
            </w:r>
            <w:r w:rsidR="003A554C">
              <w:rPr>
                <w:color w:val="000000"/>
                <w:sz w:val="18"/>
                <w:szCs w:val="18"/>
              </w:rPr>
              <w:t>slación promulgada y políticas/</w:t>
            </w:r>
            <w:r>
              <w:rPr>
                <w:color w:val="000000"/>
                <w:sz w:val="18"/>
                <w:szCs w:val="18"/>
              </w:rPr>
              <w:t xml:space="preserve">planes nacionales que </w:t>
            </w:r>
            <w:r w:rsidR="003A554C">
              <w:rPr>
                <w:color w:val="000000"/>
                <w:sz w:val="18"/>
                <w:szCs w:val="18"/>
              </w:rPr>
              <w:t xml:space="preserve">sean </w:t>
            </w:r>
            <w:r>
              <w:rPr>
                <w:color w:val="000000"/>
                <w:sz w:val="18"/>
                <w:szCs w:val="18"/>
              </w:rPr>
              <w:t xml:space="preserve">inclusivos </w:t>
            </w:r>
            <w:r w:rsidR="003A554C">
              <w:rPr>
                <w:color w:val="000000"/>
                <w:sz w:val="18"/>
                <w:szCs w:val="18"/>
              </w:rPr>
              <w:t>de</w:t>
            </w:r>
            <w:r>
              <w:rPr>
                <w:color w:val="000000"/>
                <w:sz w:val="18"/>
                <w:szCs w:val="18"/>
              </w:rPr>
              <w:t xml:space="preserve"> las personas con discapacidad para </w:t>
            </w:r>
            <w:r w:rsidR="00930679">
              <w:rPr>
                <w:color w:val="000000"/>
                <w:sz w:val="18"/>
                <w:szCs w:val="18"/>
              </w:rPr>
              <w:t>asegurar</w:t>
            </w:r>
            <w:r>
              <w:rPr>
                <w:color w:val="000000"/>
                <w:sz w:val="18"/>
                <w:szCs w:val="18"/>
              </w:rPr>
              <w:t xml:space="preserve"> el acceso a todos los programas y servicios generales y específicos para personas con discapacidad en igualdad de condiciones con los demás, incluidos todos los programas sociales, vivienda, nutrición, agua, saneamiento, higiene y salud (WASH).</w:t>
            </w:r>
          </w:p>
          <w:p w14:paraId="2F95346A" w14:textId="3E730B7A" w:rsidR="00D8348A" w:rsidRPr="0065144E" w:rsidRDefault="006243F4">
            <w:pPr>
              <w:spacing w:after="0" w:line="240" w:lineRule="auto"/>
              <w:jc w:val="both"/>
              <w:rPr>
                <w:rFonts w:cstheme="minorHAnsi"/>
                <w:color w:val="000000"/>
                <w:sz w:val="18"/>
                <w:szCs w:val="18"/>
              </w:rPr>
            </w:pPr>
            <w:r>
              <w:rPr>
                <w:color w:val="000000"/>
                <w:sz w:val="18"/>
                <w:szCs w:val="18"/>
              </w:rPr>
              <w:t xml:space="preserve">28.2 </w:t>
            </w:r>
            <w:r w:rsidR="00930679">
              <w:rPr>
                <w:color w:val="000000"/>
                <w:sz w:val="18"/>
                <w:szCs w:val="18"/>
              </w:rPr>
              <w:t>Estándares</w:t>
            </w:r>
            <w:r>
              <w:rPr>
                <w:color w:val="000000"/>
                <w:sz w:val="18"/>
                <w:szCs w:val="18"/>
              </w:rPr>
              <w:t xml:space="preserve"> nacionales de accesibilidad</w:t>
            </w:r>
            <w:r w:rsidR="000E3892">
              <w:rPr>
                <w:color w:val="000000"/>
                <w:sz w:val="18"/>
                <w:szCs w:val="18"/>
              </w:rPr>
              <w:t xml:space="preserve"> adoptad</w:t>
            </w:r>
            <w:r w:rsidR="00930679">
              <w:rPr>
                <w:color w:val="000000"/>
                <w:sz w:val="18"/>
                <w:szCs w:val="18"/>
              </w:rPr>
              <w:t>o</w:t>
            </w:r>
            <w:r w:rsidR="000E3892">
              <w:rPr>
                <w:color w:val="000000"/>
                <w:sz w:val="18"/>
                <w:szCs w:val="18"/>
              </w:rPr>
              <w:t>s y</w:t>
            </w:r>
            <w:r>
              <w:rPr>
                <w:color w:val="000000"/>
                <w:sz w:val="18"/>
                <w:szCs w:val="18"/>
              </w:rPr>
              <w:t xml:space="preserve"> </w:t>
            </w:r>
            <w:r w:rsidR="003A554C">
              <w:rPr>
                <w:color w:val="000000"/>
                <w:sz w:val="18"/>
                <w:szCs w:val="18"/>
              </w:rPr>
              <w:t>aplica</w:t>
            </w:r>
            <w:r w:rsidR="000E3892">
              <w:rPr>
                <w:color w:val="000000"/>
                <w:sz w:val="18"/>
                <w:szCs w:val="18"/>
              </w:rPr>
              <w:t>d</w:t>
            </w:r>
            <w:r w:rsidR="00930679">
              <w:rPr>
                <w:color w:val="000000"/>
                <w:sz w:val="18"/>
                <w:szCs w:val="18"/>
              </w:rPr>
              <w:t>o</w:t>
            </w:r>
            <w:r w:rsidR="003A554C">
              <w:rPr>
                <w:color w:val="000000"/>
                <w:sz w:val="18"/>
                <w:szCs w:val="18"/>
              </w:rPr>
              <w:t xml:space="preserve">s </w:t>
            </w:r>
            <w:r>
              <w:rPr>
                <w:color w:val="000000"/>
                <w:sz w:val="18"/>
                <w:szCs w:val="18"/>
              </w:rPr>
              <w:t xml:space="preserve">a la vivienda pública y privada, </w:t>
            </w:r>
            <w:r w:rsidR="002527B4">
              <w:rPr>
                <w:color w:val="000000"/>
                <w:sz w:val="18"/>
                <w:szCs w:val="18"/>
              </w:rPr>
              <w:t xml:space="preserve">y al acceso al </w:t>
            </w:r>
            <w:r>
              <w:rPr>
                <w:color w:val="000000"/>
                <w:sz w:val="18"/>
                <w:szCs w:val="18"/>
              </w:rPr>
              <w:t xml:space="preserve">agua y </w:t>
            </w:r>
            <w:r w:rsidR="000E3892">
              <w:rPr>
                <w:color w:val="000000"/>
                <w:sz w:val="18"/>
                <w:szCs w:val="18"/>
              </w:rPr>
              <w:t>saneamiento</w:t>
            </w:r>
            <w:r>
              <w:rPr>
                <w:color w:val="000000"/>
                <w:sz w:val="18"/>
                <w:szCs w:val="18"/>
              </w:rPr>
              <w:t>.</w:t>
            </w:r>
          </w:p>
        </w:tc>
        <w:tc>
          <w:tcPr>
            <w:tcW w:w="8930" w:type="dxa"/>
          </w:tcPr>
          <w:p w14:paraId="5CC3C221" w14:textId="2D98115F" w:rsidR="00E0221C" w:rsidRPr="00140F78" w:rsidRDefault="006243F4" w:rsidP="00ED3DA7">
            <w:pPr>
              <w:spacing w:after="0" w:line="240" w:lineRule="auto"/>
              <w:jc w:val="both"/>
              <w:rPr>
                <w:rFonts w:cstheme="minorHAnsi"/>
                <w:sz w:val="18"/>
                <w:szCs w:val="18"/>
              </w:rPr>
            </w:pPr>
            <w:r>
              <w:rPr>
                <w:sz w:val="18"/>
                <w:szCs w:val="18"/>
              </w:rPr>
              <w:t>28.</w:t>
            </w:r>
            <w:r w:rsidR="005A14C6">
              <w:rPr>
                <w:sz w:val="18"/>
                <w:szCs w:val="18"/>
              </w:rPr>
              <w:t>3</w:t>
            </w:r>
            <w:r>
              <w:rPr>
                <w:sz w:val="18"/>
                <w:szCs w:val="18"/>
              </w:rPr>
              <w:t xml:space="preserve"> Legislación sobre protección social y reducción de la pobreza que hace referencia explícita a las personas con discapacidad y garantiza su igualdad de acceso a todos los programas de protección social, incluida la asistencia social y la seguridad social</w:t>
            </w:r>
            <w:r w:rsidR="002527B4">
              <w:rPr>
                <w:sz w:val="18"/>
                <w:szCs w:val="18"/>
              </w:rPr>
              <w:t>.</w:t>
            </w:r>
            <w:r w:rsidR="00540CF9" w:rsidRPr="00140F78">
              <w:rPr>
                <w:rStyle w:val="EndnoteReference"/>
                <w:rFonts w:cstheme="minorHAnsi"/>
                <w:sz w:val="18"/>
                <w:szCs w:val="18"/>
              </w:rPr>
              <w:endnoteReference w:id="1"/>
            </w:r>
          </w:p>
          <w:p w14:paraId="47BA0899" w14:textId="05CBDD5C" w:rsidR="00554509" w:rsidRPr="00140F78" w:rsidRDefault="0065144E" w:rsidP="00ED3DA7">
            <w:pPr>
              <w:spacing w:after="0" w:line="240" w:lineRule="auto"/>
              <w:jc w:val="both"/>
              <w:rPr>
                <w:rFonts w:cstheme="minorHAnsi"/>
                <w:sz w:val="18"/>
                <w:szCs w:val="18"/>
              </w:rPr>
            </w:pPr>
            <w:r>
              <w:rPr>
                <w:sz w:val="18"/>
                <w:szCs w:val="18"/>
              </w:rPr>
              <w:t>28.4 Los sistemas y programas de protección social, tanto contributivos como no contributivos, de carácter general</w:t>
            </w:r>
            <w:r w:rsidR="000E4FD5" w:rsidRPr="00140F78">
              <w:rPr>
                <w:rStyle w:val="EndnoteReference"/>
                <w:rFonts w:cstheme="minorHAnsi"/>
                <w:sz w:val="18"/>
                <w:szCs w:val="18"/>
              </w:rPr>
              <w:endnoteReference w:id="2"/>
            </w:r>
            <w:r>
              <w:rPr>
                <w:sz w:val="18"/>
                <w:szCs w:val="18"/>
              </w:rPr>
              <w:t xml:space="preserve"> y orientados a la discapacidad, cumplen los criterios legislativos </w:t>
            </w:r>
            <w:r w:rsidR="000E3892">
              <w:rPr>
                <w:sz w:val="18"/>
                <w:szCs w:val="18"/>
              </w:rPr>
              <w:t xml:space="preserve">establecidos en el </w:t>
            </w:r>
            <w:r>
              <w:rPr>
                <w:sz w:val="18"/>
                <w:szCs w:val="18"/>
              </w:rPr>
              <w:t>indicador 28.</w:t>
            </w:r>
            <w:r w:rsidR="000E3892">
              <w:rPr>
                <w:sz w:val="18"/>
                <w:szCs w:val="18"/>
              </w:rPr>
              <w:t>3</w:t>
            </w:r>
            <w:r>
              <w:rPr>
                <w:sz w:val="18"/>
                <w:szCs w:val="18"/>
              </w:rPr>
              <w:t xml:space="preserve"> y garantizan que los programas y servicios </w:t>
            </w:r>
            <w:r w:rsidR="00790F85">
              <w:rPr>
                <w:sz w:val="18"/>
                <w:szCs w:val="18"/>
              </w:rPr>
              <w:t xml:space="preserve">sean inclusivos con </w:t>
            </w:r>
            <w:r>
              <w:rPr>
                <w:sz w:val="18"/>
                <w:szCs w:val="18"/>
              </w:rPr>
              <w:t>las personas con discapacidad</w:t>
            </w:r>
            <w:r w:rsidR="00504EEF" w:rsidRPr="00140F78">
              <w:rPr>
                <w:rStyle w:val="EndnoteReference"/>
                <w:rFonts w:cstheme="minorHAnsi"/>
                <w:sz w:val="18"/>
                <w:szCs w:val="18"/>
              </w:rPr>
              <w:endnoteReference w:id="3"/>
            </w:r>
            <w:r>
              <w:rPr>
                <w:sz w:val="18"/>
                <w:szCs w:val="18"/>
              </w:rPr>
              <w:t>.</w:t>
            </w:r>
          </w:p>
          <w:p w14:paraId="7D1DB10D" w14:textId="1AAFAF98" w:rsidR="000E3892" w:rsidRDefault="0065144E" w:rsidP="00D31BD2">
            <w:pPr>
              <w:spacing w:after="0" w:line="240" w:lineRule="auto"/>
              <w:jc w:val="both"/>
              <w:rPr>
                <w:sz w:val="18"/>
                <w:szCs w:val="18"/>
              </w:rPr>
            </w:pPr>
            <w:r>
              <w:rPr>
                <w:sz w:val="18"/>
                <w:szCs w:val="18"/>
              </w:rPr>
              <w:t xml:space="preserve">28.5 </w:t>
            </w:r>
            <w:r w:rsidR="00790F85">
              <w:rPr>
                <w:sz w:val="18"/>
                <w:szCs w:val="18"/>
              </w:rPr>
              <w:t>Ausencia</w:t>
            </w:r>
            <w:r>
              <w:rPr>
                <w:sz w:val="18"/>
                <w:szCs w:val="18"/>
              </w:rPr>
              <w:t xml:space="preserve"> de disposiciones legales o medidas </w:t>
            </w:r>
            <w:r w:rsidR="00790F85">
              <w:rPr>
                <w:sz w:val="18"/>
                <w:szCs w:val="18"/>
              </w:rPr>
              <w:t xml:space="preserve">de </w:t>
            </w:r>
            <w:r>
              <w:rPr>
                <w:sz w:val="18"/>
                <w:szCs w:val="18"/>
              </w:rPr>
              <w:t xml:space="preserve">políticas que exijan: </w:t>
            </w:r>
          </w:p>
          <w:p w14:paraId="669FA57F" w14:textId="77777777" w:rsidR="000E3892" w:rsidRDefault="000E3892" w:rsidP="00D31BD2">
            <w:pPr>
              <w:spacing w:after="0" w:line="240" w:lineRule="auto"/>
              <w:jc w:val="both"/>
              <w:rPr>
                <w:sz w:val="18"/>
                <w:szCs w:val="18"/>
              </w:rPr>
            </w:pPr>
            <w:r>
              <w:rPr>
                <w:sz w:val="18"/>
                <w:szCs w:val="18"/>
              </w:rPr>
              <w:t xml:space="preserve">- </w:t>
            </w:r>
            <w:r w:rsidR="0065144E">
              <w:rPr>
                <w:sz w:val="18"/>
                <w:szCs w:val="18"/>
              </w:rPr>
              <w:t>la renuncia a la capacidad jurídica</w:t>
            </w:r>
            <w:r>
              <w:rPr>
                <w:sz w:val="18"/>
                <w:szCs w:val="18"/>
              </w:rPr>
              <w:t xml:space="preserve"> por parte de las personas con discapacidad</w:t>
            </w:r>
            <w:r w:rsidR="0065144E">
              <w:rPr>
                <w:sz w:val="18"/>
                <w:szCs w:val="18"/>
              </w:rPr>
              <w:t>;</w:t>
            </w:r>
            <w:r w:rsidR="0084530C">
              <w:rPr>
                <w:rStyle w:val="EndnoteReference"/>
                <w:rFonts w:cstheme="minorHAnsi"/>
                <w:sz w:val="18"/>
                <w:szCs w:val="18"/>
              </w:rPr>
              <w:endnoteReference w:id="4"/>
            </w:r>
          </w:p>
          <w:p w14:paraId="129E1C36" w14:textId="6E1140CF" w:rsidR="00584F5A" w:rsidRPr="00140F78" w:rsidRDefault="000E3892">
            <w:pPr>
              <w:spacing w:after="0" w:line="240" w:lineRule="auto"/>
              <w:jc w:val="both"/>
              <w:rPr>
                <w:rFonts w:cstheme="minorHAnsi"/>
                <w:sz w:val="18"/>
                <w:szCs w:val="18"/>
              </w:rPr>
            </w:pPr>
            <w:r>
              <w:rPr>
                <w:sz w:val="18"/>
                <w:szCs w:val="18"/>
              </w:rPr>
              <w:t xml:space="preserve">- </w:t>
            </w:r>
            <w:r w:rsidR="0065144E">
              <w:rPr>
                <w:sz w:val="18"/>
                <w:szCs w:val="18"/>
              </w:rPr>
              <w:t>condicion</w:t>
            </w:r>
            <w:r w:rsidR="00790F85">
              <w:rPr>
                <w:sz w:val="18"/>
                <w:szCs w:val="18"/>
              </w:rPr>
              <w:t>amientos</w:t>
            </w:r>
            <w:r w:rsidR="0065144E">
              <w:rPr>
                <w:sz w:val="18"/>
                <w:szCs w:val="18"/>
              </w:rPr>
              <w:t xml:space="preserve"> que no puedan cumplirse o que tengan efectos adversos para los beneficiarios, </w:t>
            </w:r>
            <w:r>
              <w:rPr>
                <w:sz w:val="18"/>
                <w:szCs w:val="18"/>
              </w:rPr>
              <w:t>para poder</w:t>
            </w:r>
            <w:r w:rsidR="0065144E">
              <w:rPr>
                <w:sz w:val="18"/>
                <w:szCs w:val="18"/>
              </w:rPr>
              <w:t xml:space="preserve"> acceder a las prestaciones y a los programas de protección social</w:t>
            </w:r>
            <w:r w:rsidR="002527B4">
              <w:rPr>
                <w:sz w:val="18"/>
                <w:szCs w:val="18"/>
              </w:rPr>
              <w:t>.</w:t>
            </w:r>
            <w:r w:rsidR="0084530C">
              <w:rPr>
                <w:rStyle w:val="EndnoteReference"/>
                <w:rFonts w:cstheme="minorHAnsi"/>
                <w:sz w:val="18"/>
                <w:szCs w:val="18"/>
              </w:rPr>
              <w:endnoteReference w:id="5"/>
            </w:r>
          </w:p>
        </w:tc>
      </w:tr>
      <w:tr w:rsidR="00E72B64" w:rsidRPr="00140F78" w14:paraId="36C8762F" w14:textId="77777777" w:rsidTr="005A14C6">
        <w:tc>
          <w:tcPr>
            <w:tcW w:w="1135" w:type="dxa"/>
            <w:vMerge w:val="restart"/>
          </w:tcPr>
          <w:p w14:paraId="54727325" w14:textId="77777777" w:rsidR="00DB5466" w:rsidRPr="00ED3DA7" w:rsidRDefault="00DB5466" w:rsidP="00ED3DA7">
            <w:pPr>
              <w:spacing w:after="0" w:line="240" w:lineRule="auto"/>
              <w:rPr>
                <w:rFonts w:cstheme="minorHAnsi"/>
                <w:b/>
                <w:sz w:val="18"/>
                <w:szCs w:val="18"/>
              </w:rPr>
            </w:pPr>
            <w:r>
              <w:rPr>
                <w:b/>
                <w:sz w:val="18"/>
                <w:szCs w:val="18"/>
              </w:rPr>
              <w:t>Proceso</w:t>
            </w:r>
          </w:p>
        </w:tc>
        <w:tc>
          <w:tcPr>
            <w:tcW w:w="5528" w:type="dxa"/>
          </w:tcPr>
          <w:p w14:paraId="1CEBA05E" w14:textId="1D38D27F" w:rsidR="00DB5466" w:rsidRDefault="0065144E" w:rsidP="00ED3DA7">
            <w:pPr>
              <w:spacing w:after="0" w:line="240" w:lineRule="auto"/>
              <w:jc w:val="both"/>
              <w:rPr>
                <w:rFonts w:cstheme="minorHAnsi"/>
                <w:color w:val="000000"/>
                <w:sz w:val="18"/>
                <w:szCs w:val="18"/>
              </w:rPr>
            </w:pPr>
            <w:r>
              <w:rPr>
                <w:color w:val="000000"/>
                <w:sz w:val="18"/>
                <w:szCs w:val="18"/>
              </w:rPr>
              <w:t xml:space="preserve">28.6 Número y proporción de viviendas, incluidas las </w:t>
            </w:r>
            <w:r w:rsidR="002527B4">
              <w:rPr>
                <w:color w:val="000000"/>
                <w:sz w:val="18"/>
                <w:szCs w:val="18"/>
              </w:rPr>
              <w:t>viviendas sociales</w:t>
            </w:r>
            <w:r>
              <w:rPr>
                <w:color w:val="000000"/>
                <w:sz w:val="18"/>
                <w:szCs w:val="18"/>
              </w:rPr>
              <w:t>, que cumplen las normas de accesibilidad.</w:t>
            </w:r>
          </w:p>
          <w:p w14:paraId="1902327A" w14:textId="04DA4768" w:rsidR="00BF03AA" w:rsidRDefault="0065144E" w:rsidP="00326297">
            <w:pPr>
              <w:spacing w:after="0" w:line="240" w:lineRule="auto"/>
              <w:jc w:val="both"/>
              <w:rPr>
                <w:rFonts w:cstheme="minorHAnsi"/>
                <w:color w:val="000000"/>
                <w:sz w:val="18"/>
                <w:szCs w:val="18"/>
              </w:rPr>
            </w:pPr>
            <w:r>
              <w:rPr>
                <w:color w:val="000000"/>
                <w:sz w:val="18"/>
                <w:szCs w:val="18"/>
              </w:rPr>
              <w:t xml:space="preserve">28.7 Número y proporción de beneficiarios de programas de vivienda </w:t>
            </w:r>
            <w:r w:rsidR="002527B4">
              <w:rPr>
                <w:color w:val="000000"/>
                <w:sz w:val="18"/>
                <w:szCs w:val="18"/>
              </w:rPr>
              <w:t>social</w:t>
            </w:r>
            <w:r>
              <w:rPr>
                <w:color w:val="000000"/>
                <w:sz w:val="18"/>
                <w:szCs w:val="18"/>
              </w:rPr>
              <w:t>, desglosados por edad, sexo</w:t>
            </w:r>
            <w:r w:rsidR="000E3892">
              <w:rPr>
                <w:color w:val="000000"/>
                <w:sz w:val="18"/>
                <w:szCs w:val="18"/>
              </w:rPr>
              <w:t xml:space="preserve">, </w:t>
            </w:r>
            <w:r>
              <w:rPr>
                <w:color w:val="000000"/>
                <w:sz w:val="18"/>
                <w:szCs w:val="18"/>
              </w:rPr>
              <w:t>discapacidad</w:t>
            </w:r>
            <w:r w:rsidR="000E3892">
              <w:rPr>
                <w:color w:val="000000"/>
                <w:sz w:val="18"/>
                <w:szCs w:val="18"/>
              </w:rPr>
              <w:t xml:space="preserve"> y ubicación geográfica</w:t>
            </w:r>
            <w:r>
              <w:rPr>
                <w:color w:val="000000"/>
                <w:sz w:val="18"/>
                <w:szCs w:val="18"/>
              </w:rPr>
              <w:t>.</w:t>
            </w:r>
          </w:p>
          <w:p w14:paraId="560F0F8A" w14:textId="3D6912FE" w:rsidR="00D31EDA" w:rsidRDefault="0065144E" w:rsidP="00CE30A8">
            <w:pPr>
              <w:spacing w:after="0" w:line="240" w:lineRule="auto"/>
              <w:jc w:val="both"/>
              <w:rPr>
                <w:rFonts w:cstheme="minorHAnsi"/>
                <w:sz w:val="18"/>
                <w:szCs w:val="18"/>
              </w:rPr>
            </w:pPr>
            <w:r>
              <w:rPr>
                <w:sz w:val="18"/>
                <w:szCs w:val="18"/>
              </w:rPr>
              <w:t>28.8 Número y proporción de hogares con acceso a agua potable e instalaciones de higiene y saneamiento, desglosados por hogares con personas con discapacidad</w:t>
            </w:r>
            <w:r w:rsidR="0090061B">
              <w:rPr>
                <w:sz w:val="18"/>
                <w:szCs w:val="18"/>
              </w:rPr>
              <w:t xml:space="preserve"> y ubicación geográfica</w:t>
            </w:r>
            <w:r>
              <w:rPr>
                <w:sz w:val="18"/>
                <w:szCs w:val="18"/>
              </w:rPr>
              <w:t xml:space="preserve">. </w:t>
            </w:r>
          </w:p>
          <w:p w14:paraId="19158313" w14:textId="5F06CD86" w:rsidR="00CE30A8" w:rsidRPr="00ED3DA7" w:rsidRDefault="00CE30A8" w:rsidP="00D31EDA">
            <w:pPr>
              <w:spacing w:after="0" w:line="240" w:lineRule="auto"/>
              <w:jc w:val="both"/>
              <w:rPr>
                <w:rFonts w:cstheme="minorHAnsi"/>
                <w:sz w:val="18"/>
                <w:szCs w:val="18"/>
              </w:rPr>
            </w:pPr>
          </w:p>
        </w:tc>
        <w:tc>
          <w:tcPr>
            <w:tcW w:w="8930" w:type="dxa"/>
          </w:tcPr>
          <w:p w14:paraId="079916A3" w14:textId="144B19D9" w:rsidR="003B7E4E" w:rsidRPr="00140F78" w:rsidRDefault="002527B4" w:rsidP="00ED3DA7">
            <w:pPr>
              <w:spacing w:after="0" w:line="240" w:lineRule="auto"/>
              <w:jc w:val="both"/>
              <w:rPr>
                <w:rFonts w:cstheme="minorHAnsi"/>
                <w:sz w:val="18"/>
                <w:szCs w:val="18"/>
              </w:rPr>
            </w:pPr>
            <w:r>
              <w:rPr>
                <w:sz w:val="18"/>
                <w:szCs w:val="18"/>
              </w:rPr>
              <w:t>28.9</w:t>
            </w:r>
            <w:r w:rsidR="0065144E">
              <w:rPr>
                <w:sz w:val="18"/>
                <w:szCs w:val="18"/>
              </w:rPr>
              <w:t xml:space="preserve"> Sistema </w:t>
            </w:r>
            <w:r w:rsidR="00084A64">
              <w:rPr>
                <w:sz w:val="18"/>
                <w:szCs w:val="18"/>
              </w:rPr>
              <w:t>completamente</w:t>
            </w:r>
            <w:r w:rsidR="0065144E">
              <w:rPr>
                <w:sz w:val="18"/>
                <w:szCs w:val="18"/>
              </w:rPr>
              <w:t xml:space="preserve"> accesible para determinar quién </w:t>
            </w:r>
            <w:r w:rsidR="00084A64">
              <w:rPr>
                <w:sz w:val="18"/>
                <w:szCs w:val="18"/>
              </w:rPr>
              <w:t>califica a</w:t>
            </w:r>
            <w:r w:rsidR="0065144E">
              <w:rPr>
                <w:sz w:val="18"/>
                <w:szCs w:val="18"/>
              </w:rPr>
              <w:t xml:space="preserve"> prestaciones de protección social y que no discrimina por motivos de discapacidad, determina los costos adicionales relacionados con la discapacidad y los servicios de apoyo adaptados a la persona, con especial atención a las</w:t>
            </w:r>
            <w:r w:rsidR="0065144E">
              <w:rPr>
                <w:color w:val="000000"/>
                <w:sz w:val="18"/>
                <w:szCs w:val="18"/>
              </w:rPr>
              <w:t xml:space="preserve"> mujeres, los niños, las personas </w:t>
            </w:r>
            <w:r w:rsidR="0090061B">
              <w:rPr>
                <w:color w:val="000000"/>
                <w:sz w:val="18"/>
                <w:szCs w:val="18"/>
              </w:rPr>
              <w:t xml:space="preserve">de edad </w:t>
            </w:r>
            <w:r w:rsidR="0065144E">
              <w:rPr>
                <w:color w:val="000000"/>
                <w:sz w:val="18"/>
                <w:szCs w:val="18"/>
              </w:rPr>
              <w:t>y los migrantes con discapacidad</w:t>
            </w:r>
            <w:r w:rsidR="0065144E">
              <w:rPr>
                <w:sz w:val="18"/>
                <w:szCs w:val="18"/>
              </w:rPr>
              <w:t>.</w:t>
            </w:r>
          </w:p>
          <w:p w14:paraId="445B649C" w14:textId="53C12CCA" w:rsidR="00541E71" w:rsidRPr="00140F78" w:rsidRDefault="002527B4" w:rsidP="00ED3DA7">
            <w:pPr>
              <w:spacing w:after="0" w:line="240" w:lineRule="auto"/>
              <w:jc w:val="both"/>
              <w:rPr>
                <w:rFonts w:cstheme="minorHAnsi"/>
                <w:color w:val="000000"/>
                <w:sz w:val="18"/>
                <w:szCs w:val="18"/>
              </w:rPr>
            </w:pPr>
            <w:r>
              <w:rPr>
                <w:color w:val="000000"/>
                <w:sz w:val="18"/>
                <w:szCs w:val="18"/>
              </w:rPr>
              <w:t>28.10</w:t>
            </w:r>
            <w:r w:rsidR="0065144E">
              <w:rPr>
                <w:color w:val="000000"/>
                <w:sz w:val="18"/>
                <w:szCs w:val="18"/>
              </w:rPr>
              <w:t xml:space="preserve"> Número y proporción de personas con discapacidad que solicitan prestaciones de protección social y aquellas que las reciben, </w:t>
            </w:r>
            <w:r w:rsidR="00084A64">
              <w:rPr>
                <w:color w:val="000000"/>
                <w:sz w:val="18"/>
                <w:szCs w:val="18"/>
              </w:rPr>
              <w:t>desagregadas</w:t>
            </w:r>
            <w:r w:rsidR="0065144E">
              <w:rPr>
                <w:color w:val="000000"/>
                <w:sz w:val="18"/>
                <w:szCs w:val="18"/>
              </w:rPr>
              <w:t xml:space="preserve"> por edad, sexo, discapacidad, </w:t>
            </w:r>
            <w:r w:rsidR="0090061B">
              <w:rPr>
                <w:color w:val="000000"/>
                <w:sz w:val="18"/>
                <w:szCs w:val="18"/>
              </w:rPr>
              <w:t xml:space="preserve">origen indígena o pertenencia a una minoría, </w:t>
            </w:r>
            <w:r w:rsidR="0065144E">
              <w:rPr>
                <w:color w:val="000000"/>
                <w:sz w:val="18"/>
                <w:szCs w:val="18"/>
              </w:rPr>
              <w:t xml:space="preserve">condición de migrante y tipo de prestación (general o específica para personas con discapacidad). </w:t>
            </w:r>
          </w:p>
          <w:p w14:paraId="2A5C6CD8" w14:textId="3D52B5DA" w:rsidR="00DB5466" w:rsidRPr="00140F78" w:rsidRDefault="002527B4">
            <w:pPr>
              <w:spacing w:after="0" w:line="240" w:lineRule="auto"/>
              <w:jc w:val="both"/>
              <w:rPr>
                <w:rFonts w:cstheme="minorHAnsi"/>
                <w:color w:val="000000"/>
                <w:sz w:val="18"/>
                <w:szCs w:val="18"/>
              </w:rPr>
            </w:pPr>
            <w:r>
              <w:rPr>
                <w:color w:val="000000"/>
                <w:sz w:val="18"/>
                <w:szCs w:val="18"/>
              </w:rPr>
              <w:t>28.11</w:t>
            </w:r>
            <w:r w:rsidR="0065144E">
              <w:rPr>
                <w:color w:val="000000"/>
                <w:sz w:val="18"/>
                <w:szCs w:val="18"/>
              </w:rPr>
              <w:t xml:space="preserve"> Presupuesto asignado y </w:t>
            </w:r>
            <w:r w:rsidR="0090061B">
              <w:rPr>
                <w:color w:val="000000"/>
                <w:sz w:val="18"/>
                <w:szCs w:val="18"/>
              </w:rPr>
              <w:t xml:space="preserve">utilizado </w:t>
            </w:r>
            <w:r w:rsidR="0065144E">
              <w:rPr>
                <w:color w:val="000000"/>
                <w:sz w:val="18"/>
                <w:szCs w:val="18"/>
              </w:rPr>
              <w:t xml:space="preserve">en programas de protección social, tanto generales como específicos para personas con discapacidad, cuyos beneficiarios son personas con discapacidad, </w:t>
            </w:r>
            <w:r w:rsidR="00084A64">
              <w:rPr>
                <w:color w:val="000000"/>
                <w:sz w:val="18"/>
                <w:szCs w:val="18"/>
              </w:rPr>
              <w:t>desagregados</w:t>
            </w:r>
            <w:r w:rsidR="0065144E">
              <w:rPr>
                <w:color w:val="000000"/>
                <w:sz w:val="18"/>
                <w:szCs w:val="18"/>
              </w:rPr>
              <w:t xml:space="preserve"> por edad, sexo, discapacidad, </w:t>
            </w:r>
            <w:r w:rsidR="0090061B">
              <w:rPr>
                <w:color w:val="000000"/>
                <w:sz w:val="18"/>
                <w:szCs w:val="18"/>
              </w:rPr>
              <w:t xml:space="preserve">origen indígena o pertenencia a una minoría, </w:t>
            </w:r>
            <w:r w:rsidR="0065144E">
              <w:rPr>
                <w:color w:val="000000"/>
                <w:sz w:val="18"/>
                <w:szCs w:val="18"/>
              </w:rPr>
              <w:t>condición de migrante y tipo de programa (general o específico para personas con discapacidad).</w:t>
            </w:r>
          </w:p>
        </w:tc>
      </w:tr>
      <w:tr w:rsidR="0027303A" w:rsidRPr="00140F78" w14:paraId="4F5D7F7B" w14:textId="77777777" w:rsidTr="00526F34">
        <w:tc>
          <w:tcPr>
            <w:tcW w:w="1135" w:type="dxa"/>
            <w:vMerge/>
          </w:tcPr>
          <w:p w14:paraId="28BC4960" w14:textId="77777777" w:rsidR="0027303A" w:rsidRPr="00ED3DA7" w:rsidRDefault="0027303A" w:rsidP="00ED3DA7">
            <w:pPr>
              <w:spacing w:after="0" w:line="240" w:lineRule="auto"/>
              <w:rPr>
                <w:rFonts w:cstheme="minorHAnsi"/>
                <w:b/>
                <w:sz w:val="18"/>
                <w:szCs w:val="18"/>
              </w:rPr>
            </w:pPr>
          </w:p>
        </w:tc>
        <w:tc>
          <w:tcPr>
            <w:tcW w:w="14458" w:type="dxa"/>
            <w:gridSpan w:val="2"/>
            <w:tcBorders>
              <w:bottom w:val="nil"/>
            </w:tcBorders>
          </w:tcPr>
          <w:p w14:paraId="0081A5BE" w14:textId="62C5ADAF" w:rsidR="003D2F9C" w:rsidRPr="00D12592" w:rsidRDefault="002527B4" w:rsidP="00ED3DA7">
            <w:pPr>
              <w:spacing w:after="0" w:line="240" w:lineRule="auto"/>
              <w:jc w:val="both"/>
              <w:rPr>
                <w:rFonts w:cstheme="minorHAnsi"/>
                <w:color w:val="000000"/>
                <w:sz w:val="18"/>
                <w:szCs w:val="18"/>
              </w:rPr>
            </w:pPr>
            <w:r>
              <w:rPr>
                <w:sz w:val="18"/>
                <w:szCs w:val="18"/>
              </w:rPr>
              <w:t>28.12</w:t>
            </w:r>
            <w:r w:rsidR="0065144E">
              <w:rPr>
                <w:sz w:val="18"/>
                <w:szCs w:val="18"/>
              </w:rPr>
              <w:t xml:space="preserve"> Procesos de consulta </w:t>
            </w:r>
            <w:r w:rsidR="00084A64">
              <w:rPr>
                <w:sz w:val="18"/>
                <w:szCs w:val="18"/>
              </w:rPr>
              <w:t>llevados a cabo</w:t>
            </w:r>
            <w:r w:rsidR="0065144E">
              <w:rPr>
                <w:sz w:val="18"/>
                <w:szCs w:val="18"/>
              </w:rPr>
              <w:t xml:space="preserve"> para asegurar la participación activa de las personas con discapacidad, </w:t>
            </w:r>
            <w:r w:rsidR="00084A64">
              <w:rPr>
                <w:sz w:val="18"/>
                <w:szCs w:val="18"/>
              </w:rPr>
              <w:t>incluyendo a las</w:t>
            </w:r>
            <w:r w:rsidR="0065144E">
              <w:rPr>
                <w:sz w:val="18"/>
                <w:szCs w:val="18"/>
              </w:rPr>
              <w:t xml:space="preserve"> organizaciones</w:t>
            </w:r>
            <w:r w:rsidR="0090061B">
              <w:rPr>
                <w:sz w:val="18"/>
                <w:szCs w:val="18"/>
              </w:rPr>
              <w:t xml:space="preserve"> </w:t>
            </w:r>
            <w:r w:rsidR="00084A64">
              <w:rPr>
                <w:sz w:val="18"/>
                <w:szCs w:val="18"/>
              </w:rPr>
              <w:t>que las representan</w:t>
            </w:r>
            <w:r w:rsidR="0065144E">
              <w:rPr>
                <w:sz w:val="18"/>
                <w:szCs w:val="18"/>
              </w:rPr>
              <w:t xml:space="preserve">, en el diseño, la implementación y </w:t>
            </w:r>
            <w:r w:rsidR="0090061B">
              <w:rPr>
                <w:sz w:val="18"/>
                <w:szCs w:val="18"/>
              </w:rPr>
              <w:t>el</w:t>
            </w:r>
            <w:r w:rsidR="0065144E">
              <w:rPr>
                <w:sz w:val="18"/>
                <w:szCs w:val="18"/>
              </w:rPr>
              <w:t xml:space="preserve"> monitor</w:t>
            </w:r>
            <w:r w:rsidR="00514D5C">
              <w:rPr>
                <w:sz w:val="18"/>
                <w:szCs w:val="18"/>
              </w:rPr>
              <w:t>eo</w:t>
            </w:r>
            <w:r w:rsidR="0065144E">
              <w:rPr>
                <w:sz w:val="18"/>
                <w:szCs w:val="18"/>
              </w:rPr>
              <w:t xml:space="preserve"> de leyes, reglamentos, políticas y programas, en relación con la nutrición, la vivienda, el acceso a agua, saneamiento, protección social y reducción de la pobreza.</w:t>
            </w:r>
            <w:r w:rsidR="0065144E">
              <w:rPr>
                <w:rStyle w:val="EndnoteReference"/>
                <w:sz w:val="18"/>
                <w:szCs w:val="18"/>
              </w:rPr>
              <w:t xml:space="preserve"> </w:t>
            </w:r>
            <w:r w:rsidR="003D2F9C" w:rsidRPr="00D12592">
              <w:rPr>
                <w:rStyle w:val="EndnoteReference"/>
                <w:rFonts w:cstheme="minorHAnsi"/>
                <w:sz w:val="18"/>
                <w:szCs w:val="18"/>
              </w:rPr>
              <w:endnoteReference w:id="6"/>
            </w:r>
            <w:r w:rsidR="0065144E">
              <w:rPr>
                <w:color w:val="000000"/>
                <w:sz w:val="18"/>
                <w:szCs w:val="18"/>
              </w:rPr>
              <w:t xml:space="preserve"> </w:t>
            </w:r>
          </w:p>
          <w:p w14:paraId="6FB00931" w14:textId="6522A215" w:rsidR="0027303A" w:rsidRPr="00ED3DA7" w:rsidRDefault="002527B4">
            <w:pPr>
              <w:spacing w:after="0" w:line="240" w:lineRule="auto"/>
              <w:jc w:val="both"/>
              <w:rPr>
                <w:rFonts w:cstheme="minorHAnsi"/>
                <w:sz w:val="18"/>
                <w:szCs w:val="18"/>
              </w:rPr>
            </w:pPr>
            <w:r>
              <w:rPr>
                <w:sz w:val="18"/>
                <w:szCs w:val="18"/>
              </w:rPr>
              <w:t>28.13</w:t>
            </w:r>
            <w:r w:rsidR="0065144E">
              <w:rPr>
                <w:sz w:val="18"/>
                <w:szCs w:val="18"/>
              </w:rPr>
              <w:t xml:space="preserve"> Proporción de todo el personal que participa en la ejecución de programas y servicios relacionados con la </w:t>
            </w:r>
            <w:r w:rsidR="0065144E">
              <w:rPr>
                <w:color w:val="000000"/>
                <w:sz w:val="18"/>
                <w:szCs w:val="18"/>
              </w:rPr>
              <w:t xml:space="preserve">nutrición, la vivienda, el acceso al agua, el saneamiento, la protección social y los planes de reducción de la pobreza que ha recibido </w:t>
            </w:r>
            <w:r w:rsidR="0090061B">
              <w:rPr>
                <w:color w:val="000000"/>
                <w:sz w:val="18"/>
                <w:szCs w:val="18"/>
              </w:rPr>
              <w:t xml:space="preserve">capacitación </w:t>
            </w:r>
            <w:r w:rsidR="0065144E">
              <w:rPr>
                <w:sz w:val="18"/>
                <w:szCs w:val="18"/>
              </w:rPr>
              <w:t xml:space="preserve">en materia de </w:t>
            </w:r>
            <w:r w:rsidR="0090061B">
              <w:rPr>
                <w:sz w:val="18"/>
                <w:szCs w:val="18"/>
              </w:rPr>
              <w:t xml:space="preserve">derechos de las personas con </w:t>
            </w:r>
            <w:r w:rsidR="0065144E">
              <w:rPr>
                <w:sz w:val="18"/>
                <w:szCs w:val="18"/>
              </w:rPr>
              <w:t xml:space="preserve">discapacidad, en particular en lo que respecta a los gastos relacionados con </w:t>
            </w:r>
            <w:r w:rsidR="0040204E">
              <w:rPr>
                <w:sz w:val="18"/>
                <w:szCs w:val="18"/>
              </w:rPr>
              <w:t>la discapacidad y la provisión</w:t>
            </w:r>
            <w:r w:rsidR="0065144E">
              <w:rPr>
                <w:sz w:val="18"/>
                <w:szCs w:val="18"/>
              </w:rPr>
              <w:t xml:space="preserve"> de dispositivos </w:t>
            </w:r>
            <w:r w:rsidR="0090061B">
              <w:rPr>
                <w:sz w:val="18"/>
                <w:szCs w:val="18"/>
              </w:rPr>
              <w:t xml:space="preserve">de </w:t>
            </w:r>
            <w:r w:rsidR="0040204E">
              <w:rPr>
                <w:sz w:val="18"/>
                <w:szCs w:val="18"/>
              </w:rPr>
              <w:t>asistencia</w:t>
            </w:r>
            <w:r w:rsidR="0090061B">
              <w:rPr>
                <w:sz w:val="18"/>
                <w:szCs w:val="18"/>
              </w:rPr>
              <w:t xml:space="preserve"> </w:t>
            </w:r>
            <w:r w:rsidR="0065144E">
              <w:rPr>
                <w:sz w:val="18"/>
                <w:szCs w:val="18"/>
              </w:rPr>
              <w:t xml:space="preserve">y </w:t>
            </w:r>
            <w:r w:rsidR="0040204E">
              <w:rPr>
                <w:sz w:val="18"/>
                <w:szCs w:val="18"/>
              </w:rPr>
              <w:t>otras formas de apoyo</w:t>
            </w:r>
            <w:r w:rsidR="0065144E">
              <w:rPr>
                <w:sz w:val="18"/>
                <w:szCs w:val="18"/>
              </w:rPr>
              <w:t xml:space="preserve"> para </w:t>
            </w:r>
            <w:r w:rsidR="0090061B">
              <w:rPr>
                <w:sz w:val="18"/>
                <w:szCs w:val="18"/>
              </w:rPr>
              <w:t>personas con</w:t>
            </w:r>
            <w:r w:rsidR="0065144E">
              <w:rPr>
                <w:sz w:val="18"/>
                <w:szCs w:val="18"/>
              </w:rPr>
              <w:t xml:space="preserve"> discapacidad</w:t>
            </w:r>
            <w:r w:rsidR="0090061B" w:rsidRPr="00ED3DA7">
              <w:rPr>
                <w:rStyle w:val="EndnoteReference"/>
                <w:rFonts w:cstheme="minorHAnsi"/>
                <w:sz w:val="18"/>
                <w:szCs w:val="18"/>
              </w:rPr>
              <w:endnoteReference w:id="7"/>
            </w:r>
            <w:r w:rsidR="0065144E">
              <w:rPr>
                <w:sz w:val="18"/>
                <w:szCs w:val="18"/>
              </w:rPr>
              <w:t>.</w:t>
            </w:r>
          </w:p>
        </w:tc>
      </w:tr>
      <w:tr w:rsidR="00E56839" w:rsidRPr="00140F78" w14:paraId="3FDC147E" w14:textId="77777777" w:rsidTr="0025529E">
        <w:trPr>
          <w:trHeight w:val="954"/>
        </w:trPr>
        <w:tc>
          <w:tcPr>
            <w:tcW w:w="1135" w:type="dxa"/>
            <w:vMerge/>
          </w:tcPr>
          <w:p w14:paraId="436AA923" w14:textId="1706134E" w:rsidR="00E56839" w:rsidRPr="00ED3DA7" w:rsidRDefault="00E56839" w:rsidP="00ED3DA7">
            <w:pPr>
              <w:spacing w:after="0" w:line="240" w:lineRule="auto"/>
              <w:rPr>
                <w:rFonts w:cstheme="minorHAnsi"/>
                <w:b/>
                <w:sz w:val="18"/>
                <w:szCs w:val="18"/>
              </w:rPr>
            </w:pPr>
          </w:p>
        </w:tc>
        <w:tc>
          <w:tcPr>
            <w:tcW w:w="14458" w:type="dxa"/>
            <w:gridSpan w:val="2"/>
            <w:tcBorders>
              <w:top w:val="nil"/>
            </w:tcBorders>
          </w:tcPr>
          <w:p w14:paraId="0C3F06CC" w14:textId="3ED71997" w:rsidR="00E56839" w:rsidRPr="00ED3DA7" w:rsidRDefault="002527B4" w:rsidP="00ED3DA7">
            <w:pPr>
              <w:spacing w:after="0" w:line="240" w:lineRule="auto"/>
              <w:jc w:val="both"/>
              <w:rPr>
                <w:rFonts w:cstheme="minorHAnsi"/>
                <w:sz w:val="18"/>
                <w:szCs w:val="18"/>
              </w:rPr>
            </w:pPr>
            <w:r>
              <w:rPr>
                <w:sz w:val="18"/>
                <w:szCs w:val="18"/>
              </w:rPr>
              <w:t>28.14</w:t>
            </w:r>
            <w:r w:rsidR="0065144E">
              <w:rPr>
                <w:sz w:val="18"/>
                <w:szCs w:val="18"/>
              </w:rPr>
              <w:t xml:space="preserve"> Campañas y actividades </w:t>
            </w:r>
            <w:r w:rsidR="0040204E">
              <w:rPr>
                <w:sz w:val="18"/>
                <w:szCs w:val="18"/>
              </w:rPr>
              <w:t>para concienciar</w:t>
            </w:r>
            <w:r w:rsidR="0065144E">
              <w:rPr>
                <w:sz w:val="18"/>
                <w:szCs w:val="18"/>
              </w:rPr>
              <w:t xml:space="preserve"> sobre programas y servicios</w:t>
            </w:r>
            <w:r w:rsidR="00CB4BE6">
              <w:rPr>
                <w:rStyle w:val="EndnoteReference"/>
                <w:rFonts w:cstheme="minorHAnsi"/>
                <w:sz w:val="18"/>
                <w:szCs w:val="18"/>
              </w:rPr>
              <w:endnoteReference w:id="8"/>
            </w:r>
            <w:r w:rsidR="0065144E">
              <w:rPr>
                <w:sz w:val="18"/>
                <w:szCs w:val="18"/>
              </w:rPr>
              <w:t xml:space="preserve"> para personas con discapacidad, diseñadas y llevadas a cabo </w:t>
            </w:r>
            <w:r w:rsidR="0090061B">
              <w:rPr>
                <w:sz w:val="18"/>
                <w:szCs w:val="18"/>
              </w:rPr>
              <w:t xml:space="preserve">en colaboración </w:t>
            </w:r>
            <w:r w:rsidR="0065144E">
              <w:rPr>
                <w:sz w:val="18"/>
                <w:szCs w:val="18"/>
              </w:rPr>
              <w:t xml:space="preserve">con las organizaciones de personas con discapacidad, en relación con la nutrición, la vivienda, el agua, el saneamiento, los sistemas de protección social, </w:t>
            </w:r>
            <w:r w:rsidR="0090061B">
              <w:rPr>
                <w:sz w:val="18"/>
                <w:szCs w:val="18"/>
              </w:rPr>
              <w:t xml:space="preserve">dirigidas </w:t>
            </w:r>
            <w:r w:rsidR="0065144E">
              <w:rPr>
                <w:sz w:val="18"/>
                <w:szCs w:val="18"/>
              </w:rPr>
              <w:t xml:space="preserve">en particular </w:t>
            </w:r>
            <w:r w:rsidR="0090061B">
              <w:rPr>
                <w:sz w:val="18"/>
                <w:szCs w:val="18"/>
              </w:rPr>
              <w:t xml:space="preserve">a </w:t>
            </w:r>
            <w:r w:rsidR="0065144E">
              <w:rPr>
                <w:sz w:val="18"/>
                <w:szCs w:val="18"/>
              </w:rPr>
              <w:t xml:space="preserve">mujeres, niños, personas </w:t>
            </w:r>
            <w:r w:rsidR="0090061B">
              <w:rPr>
                <w:sz w:val="18"/>
                <w:szCs w:val="18"/>
              </w:rPr>
              <w:t xml:space="preserve">de edad </w:t>
            </w:r>
            <w:r w:rsidR="0065144E">
              <w:rPr>
                <w:sz w:val="18"/>
                <w:szCs w:val="18"/>
              </w:rPr>
              <w:t xml:space="preserve">y migrantes con discapacidad.  </w:t>
            </w:r>
          </w:p>
          <w:p w14:paraId="66860E36" w14:textId="6003F09A" w:rsidR="00E56839" w:rsidRPr="00ED3DA7" w:rsidRDefault="002527B4">
            <w:pPr>
              <w:spacing w:after="0" w:line="240" w:lineRule="auto"/>
              <w:jc w:val="both"/>
              <w:rPr>
                <w:rFonts w:cstheme="minorHAnsi"/>
                <w:color w:val="000000"/>
                <w:sz w:val="18"/>
                <w:szCs w:val="18"/>
              </w:rPr>
            </w:pPr>
            <w:r>
              <w:rPr>
                <w:sz w:val="18"/>
                <w:szCs w:val="18"/>
              </w:rPr>
              <w:t>28.15</w:t>
            </w:r>
            <w:r w:rsidR="0065144E">
              <w:rPr>
                <w:sz w:val="18"/>
                <w:szCs w:val="18"/>
              </w:rPr>
              <w:t xml:space="preserve"> </w:t>
            </w:r>
            <w:r w:rsidR="0090061B">
              <w:rPr>
                <w:sz w:val="18"/>
                <w:szCs w:val="18"/>
              </w:rPr>
              <w:t xml:space="preserve">Proporción </w:t>
            </w:r>
            <w:r w:rsidR="0065144E">
              <w:rPr>
                <w:sz w:val="18"/>
                <w:szCs w:val="18"/>
              </w:rPr>
              <w:t xml:space="preserve">de </w:t>
            </w:r>
            <w:r w:rsidR="0090061B">
              <w:rPr>
                <w:sz w:val="18"/>
                <w:szCs w:val="18"/>
              </w:rPr>
              <w:t xml:space="preserve">denuncias </w:t>
            </w:r>
            <w:r w:rsidR="00347705">
              <w:rPr>
                <w:sz w:val="18"/>
                <w:szCs w:val="18"/>
              </w:rPr>
              <w:t>recibidas relativas al</w:t>
            </w:r>
            <w:r w:rsidR="0065144E">
              <w:rPr>
                <w:sz w:val="18"/>
                <w:szCs w:val="18"/>
              </w:rPr>
              <w:t xml:space="preserve"> acceso y la participación en programas y servicios relacionados con la nutrición, alimentación, vivienda, agua, saneamiento y programas de protección social, en las que se aleg</w:t>
            </w:r>
            <w:r w:rsidR="0090061B">
              <w:rPr>
                <w:sz w:val="18"/>
                <w:szCs w:val="18"/>
              </w:rPr>
              <w:t>a</w:t>
            </w:r>
            <w:r w:rsidR="0065144E">
              <w:rPr>
                <w:sz w:val="18"/>
                <w:szCs w:val="18"/>
              </w:rPr>
              <w:t xml:space="preserve"> discriminación por  discapacidad y/o relacionadas con personas con discapacidad que </w:t>
            </w:r>
            <w:r w:rsidR="0090061B">
              <w:rPr>
                <w:sz w:val="18"/>
                <w:szCs w:val="18"/>
              </w:rPr>
              <w:t xml:space="preserve">han sido </w:t>
            </w:r>
            <w:r w:rsidR="0065144E">
              <w:rPr>
                <w:sz w:val="18"/>
                <w:szCs w:val="18"/>
              </w:rPr>
              <w:t>investigad</w:t>
            </w:r>
            <w:r w:rsidR="0090061B">
              <w:rPr>
                <w:sz w:val="18"/>
                <w:szCs w:val="18"/>
              </w:rPr>
              <w:t>as</w:t>
            </w:r>
            <w:r w:rsidR="0065144E">
              <w:rPr>
                <w:sz w:val="18"/>
                <w:szCs w:val="18"/>
              </w:rPr>
              <w:t xml:space="preserve"> y resuelt</w:t>
            </w:r>
            <w:r w:rsidR="0090061B">
              <w:rPr>
                <w:sz w:val="18"/>
                <w:szCs w:val="18"/>
              </w:rPr>
              <w:t>as; proporción de las mismas resueltas</w:t>
            </w:r>
            <w:r w:rsidR="0065144E">
              <w:rPr>
                <w:sz w:val="18"/>
                <w:szCs w:val="18"/>
              </w:rPr>
              <w:t xml:space="preserve"> a favor del denunciante, </w:t>
            </w:r>
            <w:r w:rsidR="0090061B">
              <w:rPr>
                <w:sz w:val="18"/>
                <w:szCs w:val="18"/>
              </w:rPr>
              <w:t xml:space="preserve">y proporción de estas últimas cumplidas por el gobierno o el responsable; todas ellas </w:t>
            </w:r>
            <w:r w:rsidR="0065144E">
              <w:rPr>
                <w:sz w:val="18"/>
                <w:szCs w:val="18"/>
              </w:rPr>
              <w:t>desglosadas por tipo de mecanismo.</w:t>
            </w:r>
          </w:p>
        </w:tc>
      </w:tr>
      <w:tr w:rsidR="00CF776F" w:rsidRPr="00140F78" w14:paraId="048ECFF4" w14:textId="77777777" w:rsidTr="00E309F8">
        <w:trPr>
          <w:trHeight w:val="557"/>
        </w:trPr>
        <w:tc>
          <w:tcPr>
            <w:tcW w:w="1135" w:type="dxa"/>
          </w:tcPr>
          <w:p w14:paraId="5AD9AD43" w14:textId="77777777" w:rsidR="00CF776F" w:rsidRPr="00ED3DA7" w:rsidRDefault="00CF776F" w:rsidP="00ED3DA7">
            <w:pPr>
              <w:spacing w:after="0" w:line="240" w:lineRule="auto"/>
              <w:rPr>
                <w:rFonts w:cstheme="minorHAnsi"/>
                <w:b/>
                <w:sz w:val="18"/>
                <w:szCs w:val="18"/>
              </w:rPr>
            </w:pPr>
            <w:r>
              <w:rPr>
                <w:b/>
                <w:sz w:val="18"/>
                <w:szCs w:val="18"/>
              </w:rPr>
              <w:t>Resultado</w:t>
            </w:r>
          </w:p>
        </w:tc>
        <w:tc>
          <w:tcPr>
            <w:tcW w:w="14458" w:type="dxa"/>
            <w:gridSpan w:val="2"/>
          </w:tcPr>
          <w:p w14:paraId="65A6A99F" w14:textId="4D85D681" w:rsidR="005419ED" w:rsidRDefault="002527B4" w:rsidP="00ED3DA7">
            <w:pPr>
              <w:spacing w:after="0" w:line="240" w:lineRule="auto"/>
              <w:jc w:val="both"/>
              <w:rPr>
                <w:rFonts w:cstheme="minorHAnsi"/>
                <w:color w:val="000000"/>
                <w:sz w:val="18"/>
                <w:szCs w:val="18"/>
              </w:rPr>
            </w:pPr>
            <w:r>
              <w:rPr>
                <w:sz w:val="18"/>
                <w:szCs w:val="18"/>
              </w:rPr>
              <w:t>28.16</w:t>
            </w:r>
            <w:r w:rsidR="00662F7F">
              <w:rPr>
                <w:sz w:val="18"/>
                <w:szCs w:val="18"/>
              </w:rPr>
              <w:t xml:space="preserve"> </w:t>
            </w:r>
            <w:r w:rsidR="006243F4">
              <w:rPr>
                <w:sz w:val="18"/>
                <w:szCs w:val="18"/>
              </w:rPr>
              <w:t xml:space="preserve">Proporción de la población cubierta por sistemas o niveles mínimos de protección social, desglosada por sexo, distinguiendo entre niños, desempleados, </w:t>
            </w:r>
            <w:r w:rsidR="0090061B">
              <w:rPr>
                <w:sz w:val="18"/>
                <w:szCs w:val="18"/>
              </w:rPr>
              <w:t>personas de edad</w:t>
            </w:r>
            <w:r w:rsidR="006243F4">
              <w:rPr>
                <w:sz w:val="18"/>
                <w:szCs w:val="18"/>
              </w:rPr>
              <w:t xml:space="preserve">, personas con discapacidad, mujeres embarazadas, recién nacidos, víctimas de accidentes </w:t>
            </w:r>
            <w:r w:rsidR="0090061B">
              <w:rPr>
                <w:sz w:val="18"/>
                <w:szCs w:val="18"/>
              </w:rPr>
              <w:t>laborales</w:t>
            </w:r>
            <w:r w:rsidR="006243F4">
              <w:rPr>
                <w:sz w:val="18"/>
                <w:szCs w:val="18"/>
              </w:rPr>
              <w:t xml:space="preserve">, </w:t>
            </w:r>
            <w:r w:rsidR="0090061B">
              <w:rPr>
                <w:sz w:val="18"/>
                <w:szCs w:val="18"/>
              </w:rPr>
              <w:t xml:space="preserve">personas </w:t>
            </w:r>
            <w:r w:rsidR="006243F4">
              <w:rPr>
                <w:sz w:val="18"/>
                <w:szCs w:val="18"/>
              </w:rPr>
              <w:t>pobres y vulnerables (indicador ODS 1.3.1)</w:t>
            </w:r>
            <w:r w:rsidR="0090061B">
              <w:rPr>
                <w:color w:val="000000"/>
                <w:sz w:val="18"/>
                <w:szCs w:val="18"/>
              </w:rPr>
              <w:t>.</w:t>
            </w:r>
          </w:p>
          <w:p w14:paraId="27FE3142" w14:textId="2F88C898" w:rsidR="00D12592" w:rsidRPr="00ED3DA7" w:rsidRDefault="002527B4" w:rsidP="00ED3DA7">
            <w:pPr>
              <w:spacing w:after="0" w:line="240" w:lineRule="auto"/>
              <w:jc w:val="both"/>
              <w:rPr>
                <w:rFonts w:cstheme="minorHAnsi"/>
                <w:color w:val="000000"/>
                <w:sz w:val="18"/>
                <w:szCs w:val="18"/>
              </w:rPr>
            </w:pPr>
            <w:r>
              <w:rPr>
                <w:color w:val="000000"/>
                <w:sz w:val="18"/>
                <w:szCs w:val="18"/>
              </w:rPr>
              <w:t>28.17</w:t>
            </w:r>
            <w:r w:rsidR="0065144E">
              <w:rPr>
                <w:color w:val="000000"/>
                <w:sz w:val="18"/>
                <w:szCs w:val="18"/>
              </w:rPr>
              <w:t xml:space="preserve"> Proporción de personas con discapacidad que acceden a algún tipo de régimen de protección social cuyos costes relacionados con la discapacidad </w:t>
            </w:r>
            <w:r w:rsidR="00347705">
              <w:rPr>
                <w:color w:val="000000"/>
                <w:sz w:val="18"/>
                <w:szCs w:val="18"/>
              </w:rPr>
              <w:t xml:space="preserve">hayan sido determinados </w:t>
            </w:r>
            <w:bookmarkStart w:id="0" w:name="_GoBack"/>
            <w:bookmarkEnd w:id="0"/>
            <w:r w:rsidR="0065144E">
              <w:rPr>
                <w:color w:val="000000"/>
                <w:sz w:val="18"/>
                <w:szCs w:val="18"/>
              </w:rPr>
              <w:t>y</w:t>
            </w:r>
            <w:r w:rsidR="00347705">
              <w:rPr>
                <w:color w:val="000000"/>
                <w:sz w:val="18"/>
                <w:szCs w:val="18"/>
              </w:rPr>
              <w:t xml:space="preserve"> estén</w:t>
            </w:r>
            <w:r w:rsidR="0065144E">
              <w:rPr>
                <w:color w:val="000000"/>
                <w:sz w:val="18"/>
                <w:szCs w:val="18"/>
              </w:rPr>
              <w:t xml:space="preserve"> cubiertos</w:t>
            </w:r>
            <w:r w:rsidR="001A298A">
              <w:rPr>
                <w:color w:val="000000"/>
                <w:sz w:val="18"/>
                <w:szCs w:val="18"/>
              </w:rPr>
              <w:t>, por sexo, edad y discapacidad</w:t>
            </w:r>
            <w:r w:rsidR="0065144E">
              <w:rPr>
                <w:color w:val="000000"/>
                <w:sz w:val="18"/>
                <w:szCs w:val="18"/>
              </w:rPr>
              <w:t>.</w:t>
            </w:r>
          </w:p>
          <w:p w14:paraId="45C61FCA" w14:textId="1002F3E4" w:rsidR="005419ED" w:rsidRPr="00ED3DA7" w:rsidRDefault="002527B4" w:rsidP="00ED3DA7">
            <w:pPr>
              <w:spacing w:after="0" w:line="240" w:lineRule="auto"/>
              <w:jc w:val="both"/>
              <w:rPr>
                <w:rFonts w:cstheme="minorHAnsi"/>
                <w:color w:val="000000"/>
                <w:sz w:val="18"/>
                <w:szCs w:val="18"/>
              </w:rPr>
            </w:pPr>
            <w:r>
              <w:rPr>
                <w:color w:val="000000"/>
                <w:sz w:val="18"/>
                <w:szCs w:val="18"/>
              </w:rPr>
              <w:t>28.18</w:t>
            </w:r>
            <w:r w:rsidR="0065144E">
              <w:rPr>
                <w:color w:val="000000"/>
                <w:sz w:val="18"/>
                <w:szCs w:val="18"/>
              </w:rPr>
              <w:t xml:space="preserve"> Número de personas sin hogar por cada 100.000 habitantes, por sexo, edad y discapacidad.</w:t>
            </w:r>
          </w:p>
          <w:p w14:paraId="6547CDFC" w14:textId="542CAB99" w:rsidR="0027303A" w:rsidRPr="00ED3DA7" w:rsidRDefault="002527B4" w:rsidP="00ED3DA7">
            <w:pPr>
              <w:spacing w:after="0" w:line="240" w:lineRule="auto"/>
              <w:jc w:val="both"/>
              <w:rPr>
                <w:rFonts w:cstheme="minorHAnsi"/>
                <w:color w:val="000000"/>
                <w:sz w:val="18"/>
                <w:szCs w:val="18"/>
              </w:rPr>
            </w:pPr>
            <w:r>
              <w:rPr>
                <w:color w:val="000000"/>
                <w:sz w:val="18"/>
                <w:szCs w:val="18"/>
              </w:rPr>
              <w:t>28.19</w:t>
            </w:r>
            <w:r w:rsidR="0065144E">
              <w:rPr>
                <w:color w:val="000000"/>
                <w:sz w:val="18"/>
                <w:szCs w:val="18"/>
              </w:rPr>
              <w:t xml:space="preserve"> Proporción de la población urbana que vive en barrios marginales, asentamientos informales o viviendas inadecuadas (indicador ODS 11.1.1) por</w:t>
            </w:r>
            <w:r w:rsidR="0065144E">
              <w:rPr>
                <w:color w:val="000000" w:themeColor="text1"/>
                <w:sz w:val="18"/>
                <w:szCs w:val="18"/>
              </w:rPr>
              <w:t xml:space="preserve"> edad, sexo y discapacidad.</w:t>
            </w:r>
          </w:p>
          <w:p w14:paraId="75235C47" w14:textId="218D78E6" w:rsidR="00CF776F" w:rsidRPr="00ED3DA7" w:rsidRDefault="002527B4" w:rsidP="00ED3DA7">
            <w:pPr>
              <w:spacing w:after="0" w:line="240" w:lineRule="auto"/>
              <w:jc w:val="both"/>
              <w:rPr>
                <w:rFonts w:cstheme="minorHAnsi"/>
                <w:color w:val="0000D4"/>
                <w:sz w:val="18"/>
                <w:szCs w:val="18"/>
              </w:rPr>
            </w:pPr>
            <w:r>
              <w:rPr>
                <w:color w:val="000000"/>
                <w:sz w:val="18"/>
                <w:szCs w:val="18"/>
              </w:rPr>
              <w:t>28.20</w:t>
            </w:r>
            <w:r w:rsidR="0065144E">
              <w:rPr>
                <w:color w:val="000000"/>
                <w:sz w:val="18"/>
                <w:szCs w:val="18"/>
              </w:rPr>
              <w:t xml:space="preserve"> Proporción de la población que utiliza servicios de agua potable </w:t>
            </w:r>
            <w:r w:rsidR="004238A3">
              <w:rPr>
                <w:color w:val="000000"/>
                <w:sz w:val="18"/>
                <w:szCs w:val="18"/>
              </w:rPr>
              <w:t xml:space="preserve">gestionados de forma segura </w:t>
            </w:r>
            <w:r w:rsidR="0065144E">
              <w:rPr>
                <w:color w:val="000000"/>
                <w:sz w:val="18"/>
                <w:szCs w:val="18"/>
              </w:rPr>
              <w:t>(indicador 6.1.1 de los ODS) por</w:t>
            </w:r>
            <w:r w:rsidR="0065144E">
              <w:rPr>
                <w:color w:val="000000" w:themeColor="text1"/>
                <w:sz w:val="18"/>
                <w:szCs w:val="18"/>
              </w:rPr>
              <w:t xml:space="preserve"> edad, sexo y discapacidad.</w:t>
            </w:r>
          </w:p>
          <w:p w14:paraId="6897F984" w14:textId="57AB10A6" w:rsidR="00CF776F" w:rsidRPr="00ED3DA7" w:rsidRDefault="002527B4" w:rsidP="00ED3DA7">
            <w:pPr>
              <w:spacing w:after="0" w:line="240" w:lineRule="auto"/>
              <w:jc w:val="both"/>
              <w:rPr>
                <w:rFonts w:cstheme="minorHAnsi"/>
                <w:color w:val="000000"/>
                <w:sz w:val="18"/>
                <w:szCs w:val="18"/>
              </w:rPr>
            </w:pPr>
            <w:r>
              <w:rPr>
                <w:sz w:val="18"/>
                <w:szCs w:val="18"/>
              </w:rPr>
              <w:t>28.21</w:t>
            </w:r>
            <w:r w:rsidR="0065144E">
              <w:rPr>
                <w:sz w:val="18"/>
                <w:szCs w:val="18"/>
              </w:rPr>
              <w:t xml:space="preserve"> Proporción de la población que utiliza servicios de saneamiento gestionados </w:t>
            </w:r>
            <w:r w:rsidR="004238A3">
              <w:rPr>
                <w:sz w:val="18"/>
                <w:szCs w:val="18"/>
              </w:rPr>
              <w:t>de forma segura</w:t>
            </w:r>
            <w:r w:rsidR="0065144E">
              <w:rPr>
                <w:sz w:val="18"/>
                <w:szCs w:val="18"/>
              </w:rPr>
              <w:t xml:space="preserve">, incluidas instalaciones para el lavado de manos con agua y jabón </w:t>
            </w:r>
            <w:r w:rsidR="0065144E">
              <w:rPr>
                <w:color w:val="000000"/>
                <w:sz w:val="18"/>
                <w:szCs w:val="18"/>
              </w:rPr>
              <w:t>(indicador 6.2.1 de los ODS) por</w:t>
            </w:r>
            <w:r w:rsidR="0065144E">
              <w:rPr>
                <w:color w:val="000000" w:themeColor="text1"/>
                <w:sz w:val="18"/>
                <w:szCs w:val="18"/>
              </w:rPr>
              <w:t xml:space="preserve"> edad, sexo y discapacidad.</w:t>
            </w:r>
          </w:p>
          <w:p w14:paraId="0CA4569D" w14:textId="3BD964EB" w:rsidR="00E56839" w:rsidRPr="00ED3DA7" w:rsidRDefault="002527B4" w:rsidP="00ED3DA7">
            <w:pPr>
              <w:spacing w:after="0" w:line="240" w:lineRule="auto"/>
              <w:jc w:val="both"/>
              <w:rPr>
                <w:rFonts w:eastAsia="Times New Roman" w:cstheme="minorHAnsi"/>
                <w:sz w:val="18"/>
                <w:szCs w:val="18"/>
              </w:rPr>
            </w:pPr>
            <w:r>
              <w:rPr>
                <w:sz w:val="18"/>
                <w:szCs w:val="18"/>
              </w:rPr>
              <w:t>28.22</w:t>
            </w:r>
            <w:r w:rsidR="0065144E">
              <w:rPr>
                <w:sz w:val="18"/>
                <w:szCs w:val="18"/>
              </w:rPr>
              <w:t xml:space="preserve"> Proporción de la población que vive por debajo de</w:t>
            </w:r>
            <w:r w:rsidR="004238A3">
              <w:rPr>
                <w:sz w:val="18"/>
                <w:szCs w:val="18"/>
              </w:rPr>
              <w:t xml:space="preserve">l umbral internacional </w:t>
            </w:r>
            <w:r w:rsidR="0065144E">
              <w:rPr>
                <w:sz w:val="18"/>
                <w:szCs w:val="18"/>
              </w:rPr>
              <w:t xml:space="preserve">de pobreza, </w:t>
            </w:r>
            <w:r w:rsidR="004238A3">
              <w:rPr>
                <w:sz w:val="18"/>
                <w:szCs w:val="18"/>
              </w:rPr>
              <w:t>desagregada</w:t>
            </w:r>
            <w:r w:rsidR="0065144E">
              <w:rPr>
                <w:sz w:val="18"/>
                <w:szCs w:val="18"/>
              </w:rPr>
              <w:t xml:space="preserve"> por sexo, edad, situación laboral y ubicación geográfica (urbana o rural) (indicador 1.1.1 de los ODS) y por discapacidad</w:t>
            </w:r>
            <w:r w:rsidR="001B4104">
              <w:rPr>
                <w:sz w:val="18"/>
                <w:szCs w:val="18"/>
              </w:rPr>
              <w:t>.</w:t>
            </w:r>
          </w:p>
          <w:p w14:paraId="68E0CD1B" w14:textId="5F11FC53" w:rsidR="005A14C6" w:rsidRDefault="002527B4" w:rsidP="00ED3DA7">
            <w:pPr>
              <w:spacing w:after="0" w:line="240" w:lineRule="auto"/>
              <w:jc w:val="both"/>
              <w:rPr>
                <w:color w:val="000000" w:themeColor="text1"/>
                <w:sz w:val="18"/>
                <w:szCs w:val="18"/>
              </w:rPr>
            </w:pPr>
            <w:r>
              <w:rPr>
                <w:color w:val="000000"/>
                <w:sz w:val="18"/>
                <w:szCs w:val="18"/>
              </w:rPr>
              <w:t>28.23</w:t>
            </w:r>
            <w:r w:rsidR="0065144E">
              <w:rPr>
                <w:color w:val="000000"/>
                <w:sz w:val="18"/>
                <w:szCs w:val="18"/>
              </w:rPr>
              <w:t xml:space="preserve"> Proporción de personas con discapacidad que viven por debajo </w:t>
            </w:r>
            <w:r w:rsidR="004238A3">
              <w:rPr>
                <w:sz w:val="18"/>
                <w:szCs w:val="18"/>
              </w:rPr>
              <w:t xml:space="preserve">del umbral </w:t>
            </w:r>
            <w:r w:rsidR="004238A3">
              <w:rPr>
                <w:color w:val="000000"/>
                <w:sz w:val="18"/>
                <w:szCs w:val="18"/>
              </w:rPr>
              <w:t xml:space="preserve">internacional </w:t>
            </w:r>
            <w:r w:rsidR="0065144E">
              <w:rPr>
                <w:color w:val="000000"/>
                <w:sz w:val="18"/>
                <w:szCs w:val="18"/>
              </w:rPr>
              <w:t>de pobreza de 1,90 dólares estadounidenses (PPA) por día, en comparación con la proporción del total de la población</w:t>
            </w:r>
            <w:r w:rsidR="0065144E">
              <w:rPr>
                <w:color w:val="000000" w:themeColor="text1"/>
                <w:sz w:val="18"/>
                <w:szCs w:val="18"/>
              </w:rPr>
              <w:t>, por edad y sexo</w:t>
            </w:r>
            <w:r w:rsidR="001B4104">
              <w:rPr>
                <w:color w:val="000000" w:themeColor="text1"/>
                <w:sz w:val="18"/>
                <w:szCs w:val="18"/>
              </w:rPr>
              <w:t>.</w:t>
            </w:r>
            <w:r w:rsidR="00DC1714" w:rsidRPr="00ED3DA7">
              <w:rPr>
                <w:rStyle w:val="EndnoteReference"/>
                <w:rFonts w:cstheme="minorHAnsi"/>
                <w:color w:val="000000" w:themeColor="text1"/>
                <w:sz w:val="18"/>
                <w:szCs w:val="18"/>
              </w:rPr>
              <w:endnoteReference w:id="9"/>
            </w:r>
          </w:p>
          <w:p w14:paraId="4E5B9CCF" w14:textId="294E4A4D" w:rsidR="00C41329" w:rsidRPr="00ED3DA7" w:rsidRDefault="002527B4" w:rsidP="00ED3DA7">
            <w:pPr>
              <w:spacing w:after="0" w:line="240" w:lineRule="auto"/>
              <w:jc w:val="both"/>
              <w:rPr>
                <w:rFonts w:cstheme="minorHAnsi"/>
                <w:color w:val="000000"/>
                <w:sz w:val="18"/>
                <w:szCs w:val="18"/>
              </w:rPr>
            </w:pPr>
            <w:r>
              <w:rPr>
                <w:color w:val="000000"/>
                <w:sz w:val="18"/>
                <w:szCs w:val="18"/>
              </w:rPr>
              <w:t>28.24</w:t>
            </w:r>
            <w:r w:rsidR="0065144E">
              <w:rPr>
                <w:color w:val="000000"/>
                <w:sz w:val="18"/>
                <w:szCs w:val="18"/>
              </w:rPr>
              <w:t xml:space="preserve"> Proporción de la población que vive por debajo </w:t>
            </w:r>
            <w:r w:rsidR="004238A3">
              <w:rPr>
                <w:sz w:val="18"/>
                <w:szCs w:val="18"/>
              </w:rPr>
              <w:t xml:space="preserve">del umbral </w:t>
            </w:r>
            <w:r w:rsidR="0065144E">
              <w:rPr>
                <w:color w:val="000000"/>
                <w:sz w:val="18"/>
                <w:szCs w:val="18"/>
              </w:rPr>
              <w:t>nacional de pobreza, desglosada por sexo y edad (indicador 1.2.1 de los ODS) y discapacidad.</w:t>
            </w:r>
          </w:p>
          <w:p w14:paraId="35E228E4" w14:textId="5E35EEFE" w:rsidR="00C41329" w:rsidRPr="00ED3DA7" w:rsidRDefault="002527B4" w:rsidP="00ED3DA7">
            <w:pPr>
              <w:spacing w:after="0" w:line="240" w:lineRule="auto"/>
              <w:jc w:val="both"/>
              <w:rPr>
                <w:rFonts w:cstheme="minorHAnsi"/>
                <w:color w:val="000000"/>
                <w:sz w:val="18"/>
                <w:szCs w:val="18"/>
              </w:rPr>
            </w:pPr>
            <w:r>
              <w:rPr>
                <w:color w:val="000000"/>
                <w:sz w:val="18"/>
                <w:szCs w:val="18"/>
              </w:rPr>
              <w:t>28.2</w:t>
            </w:r>
            <w:r w:rsidR="005A14C6">
              <w:rPr>
                <w:color w:val="000000"/>
                <w:sz w:val="18"/>
                <w:szCs w:val="18"/>
              </w:rPr>
              <w:t>5</w:t>
            </w:r>
            <w:r w:rsidR="0065144E">
              <w:rPr>
                <w:color w:val="000000"/>
                <w:sz w:val="18"/>
                <w:szCs w:val="18"/>
              </w:rPr>
              <w:t xml:space="preserve"> Proporción de hombres, mujeres y niños de todas las edades que viven en la pobreza en todas sus dimensiones con arreglo a las definiciones nacionales (indicador 1.2.2 de los ODS) desglosados por discapacidad, antes y después de las transferencias sociales.</w:t>
            </w:r>
          </w:p>
          <w:p w14:paraId="7CD80BA1" w14:textId="02781260" w:rsidR="00E56839" w:rsidRPr="00ED3DA7" w:rsidRDefault="002527B4" w:rsidP="00ED3DA7">
            <w:pPr>
              <w:spacing w:after="0" w:line="240" w:lineRule="auto"/>
              <w:jc w:val="both"/>
              <w:rPr>
                <w:rFonts w:eastAsia="Times New Roman" w:cstheme="minorHAnsi"/>
                <w:sz w:val="18"/>
                <w:szCs w:val="18"/>
              </w:rPr>
            </w:pPr>
            <w:r>
              <w:rPr>
                <w:color w:val="000000"/>
                <w:sz w:val="18"/>
                <w:szCs w:val="18"/>
              </w:rPr>
              <w:t>28.26</w:t>
            </w:r>
            <w:r w:rsidR="0065144E">
              <w:rPr>
                <w:color w:val="000000"/>
                <w:sz w:val="18"/>
                <w:szCs w:val="18"/>
              </w:rPr>
              <w:t xml:space="preserve"> Proporción de personas que viven por debajo del 50% de la mediana de los ingresos, desglosada por edad, sexo y personas con discapacidad (indicador 10.2.1 de los ODS).</w:t>
            </w:r>
            <w:r w:rsidR="0065144E">
              <w:rPr>
                <w:sz w:val="18"/>
                <w:szCs w:val="18"/>
              </w:rPr>
              <w:t xml:space="preserve"> </w:t>
            </w:r>
          </w:p>
          <w:p w14:paraId="5918E462" w14:textId="49DAC3B4" w:rsidR="00CF776F" w:rsidRPr="00ED3DA7" w:rsidRDefault="002527B4" w:rsidP="00ED3DA7">
            <w:pPr>
              <w:spacing w:after="0" w:line="240" w:lineRule="auto"/>
              <w:jc w:val="both"/>
              <w:rPr>
                <w:rFonts w:cstheme="minorHAnsi"/>
                <w:color w:val="000000"/>
                <w:sz w:val="18"/>
                <w:szCs w:val="18"/>
              </w:rPr>
            </w:pPr>
            <w:r>
              <w:rPr>
                <w:color w:val="000000"/>
                <w:sz w:val="18"/>
                <w:szCs w:val="18"/>
              </w:rPr>
              <w:lastRenderedPageBreak/>
              <w:t>28.27</w:t>
            </w:r>
            <w:r w:rsidR="0065144E">
              <w:rPr>
                <w:color w:val="000000"/>
                <w:sz w:val="18"/>
                <w:szCs w:val="18"/>
              </w:rPr>
              <w:t xml:space="preserve"> Proporción de la población que vive en hogares con acceso a servicios básicos (indicador 1.4.1 de los ODS) por hogar con una persona con discapacidad. </w:t>
            </w:r>
          </w:p>
          <w:p w14:paraId="4C8A8585" w14:textId="08836529" w:rsidR="00E56839" w:rsidRPr="00ED3DA7" w:rsidRDefault="002527B4" w:rsidP="00ED3DA7">
            <w:pPr>
              <w:spacing w:after="0" w:line="240" w:lineRule="auto"/>
              <w:jc w:val="both"/>
              <w:rPr>
                <w:rFonts w:cstheme="minorHAnsi"/>
                <w:color w:val="000000" w:themeColor="text1"/>
                <w:sz w:val="18"/>
                <w:szCs w:val="18"/>
              </w:rPr>
            </w:pPr>
            <w:r>
              <w:rPr>
                <w:sz w:val="18"/>
                <w:szCs w:val="18"/>
              </w:rPr>
              <w:t>28.28</w:t>
            </w:r>
            <w:r w:rsidR="0065144E">
              <w:rPr>
                <w:sz w:val="18"/>
                <w:szCs w:val="18"/>
              </w:rPr>
              <w:t xml:space="preserve"> Prevalencia de inseguridad alimentaria moderada o grave en la población, según la Escala de Experiencia en Inseguridad Alimentaria (FIES) (indicador 2.1.2 de los ODS) </w:t>
            </w:r>
            <w:r w:rsidR="0065144E">
              <w:rPr>
                <w:color w:val="000000"/>
                <w:sz w:val="18"/>
                <w:szCs w:val="18"/>
              </w:rPr>
              <w:t xml:space="preserve">por </w:t>
            </w:r>
            <w:r w:rsidR="0065144E">
              <w:rPr>
                <w:color w:val="000000" w:themeColor="text1"/>
                <w:sz w:val="18"/>
                <w:szCs w:val="18"/>
              </w:rPr>
              <w:t>edad, sexo y discapacidad.</w:t>
            </w:r>
          </w:p>
          <w:p w14:paraId="531D06A5" w14:textId="69CC48C8" w:rsidR="0001047B" w:rsidRPr="00ED3DA7" w:rsidRDefault="002527B4" w:rsidP="00ED3DA7">
            <w:pPr>
              <w:spacing w:after="0" w:line="240" w:lineRule="auto"/>
              <w:jc w:val="both"/>
              <w:rPr>
                <w:rFonts w:cstheme="minorHAnsi"/>
                <w:color w:val="000000" w:themeColor="text1"/>
                <w:sz w:val="18"/>
                <w:szCs w:val="18"/>
              </w:rPr>
            </w:pPr>
            <w:r>
              <w:rPr>
                <w:sz w:val="18"/>
                <w:szCs w:val="18"/>
              </w:rPr>
              <w:t>28.29</w:t>
            </w:r>
            <w:r w:rsidR="0065144E">
              <w:rPr>
                <w:sz w:val="18"/>
                <w:szCs w:val="18"/>
              </w:rPr>
              <w:t xml:space="preserve"> Prevalencia de la </w:t>
            </w:r>
            <w:r w:rsidR="004238A3">
              <w:rPr>
                <w:sz w:val="18"/>
                <w:szCs w:val="18"/>
              </w:rPr>
              <w:t>desnutrición</w:t>
            </w:r>
            <w:r w:rsidR="0065144E">
              <w:rPr>
                <w:sz w:val="18"/>
                <w:szCs w:val="18"/>
              </w:rPr>
              <w:t xml:space="preserve"> (indicador ODS 2.1.1) </w:t>
            </w:r>
            <w:r w:rsidR="004238A3">
              <w:rPr>
                <w:sz w:val="18"/>
                <w:szCs w:val="18"/>
              </w:rPr>
              <w:t>desagregada</w:t>
            </w:r>
            <w:r w:rsidR="0065144E">
              <w:rPr>
                <w:sz w:val="18"/>
                <w:szCs w:val="18"/>
              </w:rPr>
              <w:t xml:space="preserve"> por edad, sexo y discapacidad.</w:t>
            </w:r>
          </w:p>
          <w:p w14:paraId="7F3BDCB7" w14:textId="3FAC0CF2" w:rsidR="00CF776F" w:rsidRPr="00ED3DA7" w:rsidRDefault="002527B4" w:rsidP="00ED3DA7">
            <w:pPr>
              <w:spacing w:after="0" w:line="240" w:lineRule="auto"/>
              <w:jc w:val="both"/>
              <w:rPr>
                <w:rFonts w:cstheme="minorHAnsi"/>
                <w:color w:val="000000"/>
                <w:sz w:val="18"/>
                <w:szCs w:val="18"/>
              </w:rPr>
            </w:pPr>
            <w:r>
              <w:rPr>
                <w:sz w:val="18"/>
                <w:szCs w:val="18"/>
              </w:rPr>
              <w:t>28.30</w:t>
            </w:r>
            <w:r w:rsidR="0065144E">
              <w:rPr>
                <w:sz w:val="18"/>
                <w:szCs w:val="18"/>
              </w:rPr>
              <w:t xml:space="preserve"> Prevalencia de la malnutrición </w:t>
            </w:r>
            <w:r w:rsidR="001A298A">
              <w:rPr>
                <w:sz w:val="18"/>
                <w:szCs w:val="18"/>
              </w:rPr>
              <w:t xml:space="preserve">entre niños menores de 5 años, por tipo (emaciación y sobrepeso), </w:t>
            </w:r>
            <w:r w:rsidR="004238A3">
              <w:rPr>
                <w:sz w:val="18"/>
                <w:szCs w:val="18"/>
              </w:rPr>
              <w:t>desagregada</w:t>
            </w:r>
            <w:r w:rsidR="0065144E">
              <w:rPr>
                <w:sz w:val="18"/>
                <w:szCs w:val="18"/>
              </w:rPr>
              <w:t xml:space="preserve"> por edad, sexo y discapacidad.</w:t>
            </w:r>
          </w:p>
          <w:p w14:paraId="12DEB33C" w14:textId="2F04E7E7" w:rsidR="00A15D38" w:rsidRPr="00ED3DA7" w:rsidRDefault="002527B4" w:rsidP="00DA2111">
            <w:pPr>
              <w:spacing w:after="0" w:line="240" w:lineRule="auto"/>
              <w:jc w:val="both"/>
              <w:rPr>
                <w:rFonts w:cstheme="minorHAnsi"/>
                <w:color w:val="000000" w:themeColor="text1"/>
                <w:sz w:val="18"/>
                <w:szCs w:val="18"/>
              </w:rPr>
            </w:pPr>
            <w:r>
              <w:rPr>
                <w:color w:val="000000"/>
                <w:sz w:val="18"/>
                <w:szCs w:val="18"/>
              </w:rPr>
              <w:t>28.31</w:t>
            </w:r>
            <w:r w:rsidR="006243F4">
              <w:rPr>
                <w:color w:val="000000"/>
                <w:sz w:val="18"/>
                <w:szCs w:val="18"/>
              </w:rPr>
              <w:t xml:space="preserve"> Porcentaje de la población con acceso a electricidad (indicador 7.1.1 de los ODS) por</w:t>
            </w:r>
            <w:r w:rsidR="006243F4">
              <w:rPr>
                <w:color w:val="000000" w:themeColor="text1"/>
                <w:sz w:val="18"/>
                <w:szCs w:val="18"/>
              </w:rPr>
              <w:t xml:space="preserve"> edad, sexo y discapacidad. </w:t>
            </w:r>
          </w:p>
        </w:tc>
      </w:tr>
    </w:tbl>
    <w:p w14:paraId="742EBBE3" w14:textId="18FFF9F0" w:rsidR="00BD5CC7" w:rsidRPr="00F06947" w:rsidRDefault="00BA4646" w:rsidP="00E72B64">
      <w:pPr>
        <w:spacing w:before="120" w:after="0"/>
        <w:jc w:val="center"/>
        <w:rPr>
          <w:b/>
          <w:sz w:val="18"/>
          <w:szCs w:val="18"/>
        </w:rPr>
      </w:pPr>
      <w:r w:rsidRPr="00F06947">
        <w:rPr>
          <w:b/>
          <w:sz w:val="18"/>
          <w:szCs w:val="18"/>
        </w:rPr>
        <w:lastRenderedPageBreak/>
        <w:t>ANEXO</w:t>
      </w:r>
    </w:p>
    <w:p w14:paraId="494D92CA" w14:textId="783300BA" w:rsidR="001A298A" w:rsidRPr="001A298A" w:rsidRDefault="001A298A" w:rsidP="00432A49">
      <w:pPr>
        <w:spacing w:before="120" w:after="0"/>
        <w:jc w:val="both"/>
        <w:rPr>
          <w:rFonts w:cstheme="minorHAnsi"/>
          <w:sz w:val="18"/>
          <w:szCs w:val="18"/>
        </w:rPr>
      </w:pPr>
      <w:r w:rsidRPr="00F06947">
        <w:rPr>
          <w:b/>
          <w:sz w:val="18"/>
          <w:szCs w:val="18"/>
        </w:rPr>
        <w:t xml:space="preserve">* </w:t>
      </w:r>
      <w:r w:rsidRPr="00F06947">
        <w:rPr>
          <w:sz w:val="18"/>
          <w:szCs w:val="18"/>
        </w:rPr>
        <w:t>Véase el informe de</w:t>
      </w:r>
      <w:r w:rsidR="00F072BD">
        <w:rPr>
          <w:sz w:val="18"/>
          <w:szCs w:val="18"/>
        </w:rPr>
        <w:t xml:space="preserve"> la</w:t>
      </w:r>
      <w:r w:rsidRPr="00F06947">
        <w:rPr>
          <w:sz w:val="18"/>
          <w:szCs w:val="18"/>
        </w:rPr>
        <w:t xml:space="preserve"> Relator</w:t>
      </w:r>
      <w:r w:rsidR="00F072BD">
        <w:rPr>
          <w:sz w:val="18"/>
          <w:szCs w:val="18"/>
        </w:rPr>
        <w:t>a</w:t>
      </w:r>
      <w:r w:rsidRPr="00F06947">
        <w:rPr>
          <w:sz w:val="18"/>
          <w:szCs w:val="18"/>
        </w:rPr>
        <w:t xml:space="preserve"> Especial sobre los derechos de las personas con discapacidad, </w:t>
      </w:r>
      <w:hyperlink r:id="rId11" w:history="1">
        <w:r w:rsidRPr="00F06947">
          <w:rPr>
            <w:rStyle w:val="Hyperlink"/>
            <w:sz w:val="18"/>
            <w:szCs w:val="18"/>
          </w:rPr>
          <w:t>informe sobre el derecho de las personas con discapacidad a la protección social,</w:t>
        </w:r>
      </w:hyperlink>
      <w:r w:rsidRPr="00F06947">
        <w:rPr>
          <w:sz w:val="18"/>
          <w:szCs w:val="18"/>
        </w:rPr>
        <w:t xml:space="preserve"> A/70/297. Véanse tam</w:t>
      </w:r>
      <w:r w:rsidR="00F072BD">
        <w:rPr>
          <w:sz w:val="18"/>
          <w:szCs w:val="18"/>
        </w:rPr>
        <w:t>bién las fichas descriptivas de la</w:t>
      </w:r>
      <w:r w:rsidRPr="00F06947">
        <w:rPr>
          <w:sz w:val="18"/>
          <w:szCs w:val="18"/>
        </w:rPr>
        <w:t xml:space="preserve"> Relator</w:t>
      </w:r>
      <w:r w:rsidR="00F072BD">
        <w:rPr>
          <w:sz w:val="18"/>
          <w:szCs w:val="18"/>
        </w:rPr>
        <w:t>a</w:t>
      </w:r>
      <w:r w:rsidRPr="00F06947">
        <w:rPr>
          <w:sz w:val="18"/>
          <w:szCs w:val="18"/>
        </w:rPr>
        <w:t xml:space="preserve"> Especial sobre: </w:t>
      </w:r>
      <w:hyperlink r:id="rId12" w:history="1">
        <w:r w:rsidRPr="00F06947">
          <w:rPr>
            <w:rStyle w:val="Hyperlink"/>
            <w:sz w:val="18"/>
            <w:szCs w:val="18"/>
          </w:rPr>
          <w:t>asegurar la inclusión en la protección social</w:t>
        </w:r>
      </w:hyperlink>
      <w:r w:rsidRPr="00F06947">
        <w:rPr>
          <w:sz w:val="18"/>
          <w:szCs w:val="18"/>
        </w:rPr>
        <w:t xml:space="preserve">; </w:t>
      </w:r>
      <w:hyperlink r:id="rId13" w:history="1">
        <w:r w:rsidRPr="00F06947">
          <w:rPr>
            <w:rStyle w:val="Hyperlink"/>
            <w:sz w:val="18"/>
            <w:szCs w:val="18"/>
          </w:rPr>
          <w:t>permitir la elección y el control de una protección social que apoye la independencia y la participación</w:t>
        </w:r>
      </w:hyperlink>
      <w:r w:rsidRPr="00F06947">
        <w:rPr>
          <w:sz w:val="18"/>
          <w:szCs w:val="18"/>
        </w:rPr>
        <w:t xml:space="preserve">; y </w:t>
      </w:r>
      <w:hyperlink r:id="rId14" w:history="1">
        <w:r w:rsidRPr="00F06947">
          <w:rPr>
            <w:rStyle w:val="Hyperlink"/>
            <w:sz w:val="18"/>
            <w:szCs w:val="18"/>
          </w:rPr>
          <w:t>luchar contra la pobreza con una protección social inclusiva</w:t>
        </w:r>
      </w:hyperlink>
      <w:r w:rsidRPr="00432A49">
        <w:rPr>
          <w:sz w:val="18"/>
          <w:szCs w:val="18"/>
        </w:rPr>
        <w:t>.</w:t>
      </w:r>
    </w:p>
    <w:sectPr w:rsidR="001A298A" w:rsidRPr="001A298A" w:rsidSect="00526F34">
      <w:pgSz w:w="15840" w:h="12240" w:orient="landscape"/>
      <w:pgMar w:top="113"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616C7" w14:textId="77777777" w:rsidR="00E54E58" w:rsidRDefault="00E54E58" w:rsidP="000E7D8F">
      <w:pPr>
        <w:spacing w:after="0" w:line="240" w:lineRule="auto"/>
      </w:pPr>
      <w:r>
        <w:separator/>
      </w:r>
    </w:p>
  </w:endnote>
  <w:endnote w:type="continuationSeparator" w:id="0">
    <w:p w14:paraId="4617BEB4" w14:textId="77777777" w:rsidR="00E54E58" w:rsidRDefault="00E54E58" w:rsidP="000E7D8F">
      <w:pPr>
        <w:spacing w:after="0" w:line="240" w:lineRule="auto"/>
      </w:pPr>
      <w:r>
        <w:continuationSeparator/>
      </w:r>
    </w:p>
  </w:endnote>
  <w:endnote w:id="1">
    <w:p w14:paraId="1B5030E7" w14:textId="2E343399" w:rsidR="00D71605" w:rsidRPr="00ED231E" w:rsidRDefault="00D71605" w:rsidP="00ED231E">
      <w:pPr>
        <w:pStyle w:val="EndnoteText"/>
        <w:rPr>
          <w:sz w:val="18"/>
          <w:szCs w:val="18"/>
        </w:rPr>
      </w:pPr>
      <w:r>
        <w:rPr>
          <w:rStyle w:val="EndnoteReference"/>
          <w:sz w:val="18"/>
          <w:szCs w:val="18"/>
        </w:rPr>
        <w:endnoteRef/>
      </w:r>
      <w:r>
        <w:rPr>
          <w:sz w:val="18"/>
          <w:szCs w:val="18"/>
        </w:rPr>
        <w:t>La legislación de protección social debe incluir:</w:t>
      </w:r>
    </w:p>
    <w:p w14:paraId="7E87C142" w14:textId="4BDBBD8E" w:rsidR="00D71605" w:rsidRPr="00ED231E" w:rsidRDefault="001A298A" w:rsidP="00ED231E">
      <w:pPr>
        <w:pStyle w:val="ListParagraph"/>
        <w:numPr>
          <w:ilvl w:val="0"/>
          <w:numId w:val="3"/>
        </w:numPr>
        <w:spacing w:after="0" w:line="240" w:lineRule="auto"/>
        <w:rPr>
          <w:sz w:val="18"/>
          <w:szCs w:val="18"/>
        </w:rPr>
      </w:pPr>
      <w:r>
        <w:rPr>
          <w:sz w:val="18"/>
          <w:szCs w:val="18"/>
        </w:rPr>
        <w:t xml:space="preserve">Prohibición de la </w:t>
      </w:r>
      <w:r w:rsidR="00D71605">
        <w:rPr>
          <w:sz w:val="18"/>
          <w:szCs w:val="18"/>
        </w:rPr>
        <w:t xml:space="preserve">discriminación por motivos de discapacidad en todos los aspectos de los programas, incluso mediante la </w:t>
      </w:r>
      <w:r w:rsidR="00797536">
        <w:rPr>
          <w:sz w:val="18"/>
          <w:szCs w:val="18"/>
        </w:rPr>
        <w:t>denegación</w:t>
      </w:r>
      <w:r w:rsidR="00D71605">
        <w:rPr>
          <w:sz w:val="18"/>
          <w:szCs w:val="18"/>
        </w:rPr>
        <w:t xml:space="preserve"> de ajustes razonables;</w:t>
      </w:r>
    </w:p>
    <w:p w14:paraId="087C90DA" w14:textId="50372138" w:rsidR="00584F5A" w:rsidRPr="00ED231E" w:rsidRDefault="00714804" w:rsidP="00ED231E">
      <w:pPr>
        <w:pStyle w:val="ListParagraph"/>
        <w:numPr>
          <w:ilvl w:val="0"/>
          <w:numId w:val="3"/>
        </w:numPr>
        <w:spacing w:after="0" w:line="240" w:lineRule="auto"/>
        <w:rPr>
          <w:sz w:val="18"/>
          <w:szCs w:val="18"/>
        </w:rPr>
      </w:pPr>
      <w:r>
        <w:rPr>
          <w:sz w:val="18"/>
          <w:szCs w:val="18"/>
        </w:rPr>
        <w:t xml:space="preserve">Acceso efectivo a los </w:t>
      </w:r>
      <w:r w:rsidR="001A298A">
        <w:rPr>
          <w:sz w:val="18"/>
          <w:szCs w:val="18"/>
        </w:rPr>
        <w:t xml:space="preserve">programas </w:t>
      </w:r>
      <w:r>
        <w:rPr>
          <w:sz w:val="18"/>
          <w:szCs w:val="18"/>
        </w:rPr>
        <w:t xml:space="preserve">generales y a los </w:t>
      </w:r>
      <w:r w:rsidR="001A298A">
        <w:rPr>
          <w:sz w:val="18"/>
          <w:szCs w:val="18"/>
        </w:rPr>
        <w:t xml:space="preserve">programas </w:t>
      </w:r>
      <w:r>
        <w:rPr>
          <w:sz w:val="18"/>
          <w:szCs w:val="18"/>
        </w:rPr>
        <w:t>específicos para personas con discapacidad;</w:t>
      </w:r>
    </w:p>
    <w:p w14:paraId="67F4432E" w14:textId="1A242248" w:rsidR="00D71605" w:rsidRPr="00ED231E" w:rsidRDefault="00584F5A" w:rsidP="00ED231E">
      <w:pPr>
        <w:pStyle w:val="ListParagraph"/>
        <w:numPr>
          <w:ilvl w:val="0"/>
          <w:numId w:val="3"/>
        </w:numPr>
        <w:spacing w:after="0" w:line="240" w:lineRule="auto"/>
        <w:rPr>
          <w:sz w:val="18"/>
          <w:szCs w:val="18"/>
        </w:rPr>
      </w:pPr>
      <w:r>
        <w:rPr>
          <w:sz w:val="18"/>
          <w:szCs w:val="18"/>
        </w:rPr>
        <w:t xml:space="preserve">Garantizar que los costes relacionados con la discapacidad </w:t>
      </w:r>
      <w:r>
        <w:rPr>
          <w:rFonts w:ascii="Calibri" w:hAnsi="Calibri"/>
          <w:sz w:val="18"/>
          <w:szCs w:val="18"/>
        </w:rPr>
        <w:t>y el</w:t>
      </w:r>
      <w:r w:rsidR="00E10849">
        <w:rPr>
          <w:rFonts w:ascii="Calibri" w:hAnsi="Calibri"/>
          <w:sz w:val="18"/>
          <w:szCs w:val="18"/>
        </w:rPr>
        <w:t xml:space="preserve"> apoyo</w:t>
      </w:r>
      <w:r>
        <w:rPr>
          <w:rFonts w:ascii="Calibri" w:hAnsi="Calibri"/>
          <w:sz w:val="18"/>
          <w:szCs w:val="18"/>
        </w:rPr>
        <w:t xml:space="preserve"> en </w:t>
      </w:r>
      <w:r w:rsidR="00E10849">
        <w:rPr>
          <w:rFonts w:ascii="Calibri" w:hAnsi="Calibri"/>
          <w:sz w:val="18"/>
          <w:szCs w:val="18"/>
        </w:rPr>
        <w:t>dinero</w:t>
      </w:r>
      <w:r>
        <w:rPr>
          <w:rFonts w:ascii="Calibri" w:hAnsi="Calibri"/>
          <w:sz w:val="18"/>
          <w:szCs w:val="18"/>
        </w:rPr>
        <w:t xml:space="preserve"> y en especie (por ejemplo, dispositivos de asistencia, ayudas a la movilidad) se reflejen en los sistemas nacionales de protección social, </w:t>
      </w:r>
      <w:r>
        <w:rPr>
          <w:sz w:val="18"/>
          <w:szCs w:val="18"/>
        </w:rPr>
        <w:t xml:space="preserve">tanto respecto al establecimiento del nivel de la prestación como </w:t>
      </w:r>
      <w:r w:rsidR="00E10849">
        <w:rPr>
          <w:sz w:val="18"/>
          <w:szCs w:val="18"/>
        </w:rPr>
        <w:t>en el</w:t>
      </w:r>
      <w:r>
        <w:rPr>
          <w:sz w:val="18"/>
          <w:szCs w:val="18"/>
        </w:rPr>
        <w:t xml:space="preserve"> establecimiento de umbrales de ingres</w:t>
      </w:r>
      <w:r w:rsidR="00E10849">
        <w:rPr>
          <w:sz w:val="18"/>
          <w:szCs w:val="18"/>
        </w:rPr>
        <w:t xml:space="preserve"> </w:t>
      </w:r>
      <w:r>
        <w:rPr>
          <w:sz w:val="18"/>
          <w:szCs w:val="18"/>
        </w:rPr>
        <w:t xml:space="preserve">os </w:t>
      </w:r>
      <w:r>
        <w:rPr>
          <w:rFonts w:ascii="Calibri" w:hAnsi="Calibri"/>
          <w:sz w:val="18"/>
          <w:szCs w:val="18"/>
        </w:rPr>
        <w:t xml:space="preserve">(por ejemplo, mediante la inclusión de la discapacidad como factor en las </w:t>
      </w:r>
      <w:r w:rsidR="00E10849">
        <w:rPr>
          <w:rFonts w:ascii="Calibri" w:hAnsi="Calibri"/>
          <w:sz w:val="18"/>
          <w:szCs w:val="18"/>
        </w:rPr>
        <w:t>evaluaciones</w:t>
      </w:r>
      <w:r>
        <w:rPr>
          <w:rFonts w:ascii="Calibri" w:hAnsi="Calibri"/>
          <w:sz w:val="18"/>
          <w:szCs w:val="18"/>
        </w:rPr>
        <w:t xml:space="preserve"> </w:t>
      </w:r>
      <w:r w:rsidR="00E10849">
        <w:rPr>
          <w:rFonts w:ascii="Calibri" w:hAnsi="Calibri"/>
          <w:sz w:val="18"/>
          <w:szCs w:val="18"/>
        </w:rPr>
        <w:t>sobre</w:t>
      </w:r>
      <w:r>
        <w:rPr>
          <w:rFonts w:ascii="Calibri" w:hAnsi="Calibri"/>
          <w:sz w:val="18"/>
          <w:szCs w:val="18"/>
        </w:rPr>
        <w:t xml:space="preserve"> recursos para determinar los umbrales de ingresos mínimos)</w:t>
      </w:r>
      <w:r>
        <w:rPr>
          <w:sz w:val="18"/>
          <w:szCs w:val="18"/>
        </w:rPr>
        <w:t xml:space="preserve">; </w:t>
      </w:r>
    </w:p>
    <w:p w14:paraId="20C222F7" w14:textId="468D6CA3" w:rsidR="00D71605" w:rsidRPr="00ED231E" w:rsidRDefault="00D71605" w:rsidP="00ED231E">
      <w:pPr>
        <w:pStyle w:val="ListParagraph"/>
        <w:numPr>
          <w:ilvl w:val="0"/>
          <w:numId w:val="3"/>
        </w:numPr>
        <w:spacing w:after="0" w:line="240" w:lineRule="auto"/>
        <w:rPr>
          <w:sz w:val="18"/>
          <w:szCs w:val="18"/>
        </w:rPr>
      </w:pPr>
      <w:r>
        <w:rPr>
          <w:sz w:val="18"/>
          <w:szCs w:val="18"/>
        </w:rPr>
        <w:t xml:space="preserve">Prestación del apoyo financiero necesario para asegurar la inclusión en la comunidad de personas con discapacidad de todas las edades, incluidos grupos de edad específicos (niños, jóvenes, adultos en edad de trabajar y personas </w:t>
      </w:r>
      <w:r w:rsidR="0032445A">
        <w:rPr>
          <w:sz w:val="18"/>
          <w:szCs w:val="18"/>
        </w:rPr>
        <w:t>de edad</w:t>
      </w:r>
      <w:r>
        <w:rPr>
          <w:sz w:val="18"/>
          <w:szCs w:val="18"/>
        </w:rPr>
        <w:t xml:space="preserve">), </w:t>
      </w:r>
      <w:r w:rsidR="00E10849">
        <w:rPr>
          <w:sz w:val="18"/>
          <w:szCs w:val="18"/>
        </w:rPr>
        <w:t>incluyendo</w:t>
      </w:r>
      <w:r>
        <w:rPr>
          <w:sz w:val="18"/>
          <w:szCs w:val="18"/>
        </w:rPr>
        <w:t xml:space="preserve"> el apoyo para abandonar una institución o evitar la institucionalización</w:t>
      </w:r>
      <w:r w:rsidR="00E10849">
        <w:rPr>
          <w:sz w:val="18"/>
          <w:szCs w:val="18"/>
        </w:rPr>
        <w:t>, para la adaptación de la vivienda, para</w:t>
      </w:r>
      <w:r>
        <w:rPr>
          <w:sz w:val="18"/>
          <w:szCs w:val="18"/>
        </w:rPr>
        <w:t xml:space="preserve"> obtener apoyo y servicios </w:t>
      </w:r>
      <w:r w:rsidR="00E10849">
        <w:rPr>
          <w:sz w:val="18"/>
          <w:szCs w:val="18"/>
        </w:rPr>
        <w:t>relativos a la</w:t>
      </w:r>
      <w:r>
        <w:rPr>
          <w:sz w:val="18"/>
          <w:szCs w:val="18"/>
        </w:rPr>
        <w:t xml:space="preserve"> discapacidad de u</w:t>
      </w:r>
      <w:r w:rsidR="00E10849">
        <w:rPr>
          <w:sz w:val="18"/>
          <w:szCs w:val="18"/>
        </w:rPr>
        <w:t xml:space="preserve">n modo que sea </w:t>
      </w:r>
      <w:r>
        <w:rPr>
          <w:sz w:val="18"/>
          <w:szCs w:val="18"/>
        </w:rPr>
        <w:t>inclusiv</w:t>
      </w:r>
      <w:r w:rsidR="00E10849">
        <w:rPr>
          <w:sz w:val="18"/>
          <w:szCs w:val="18"/>
        </w:rPr>
        <w:t>o</w:t>
      </w:r>
      <w:r>
        <w:rPr>
          <w:sz w:val="18"/>
          <w:szCs w:val="18"/>
        </w:rPr>
        <w:t xml:space="preserve"> </w:t>
      </w:r>
      <w:r w:rsidR="00E10849">
        <w:rPr>
          <w:sz w:val="18"/>
          <w:szCs w:val="18"/>
        </w:rPr>
        <w:t>hacia</w:t>
      </w:r>
      <w:r>
        <w:rPr>
          <w:sz w:val="18"/>
          <w:szCs w:val="18"/>
        </w:rPr>
        <w:t xml:space="preserve"> las personas con discapacidad;</w:t>
      </w:r>
    </w:p>
    <w:p w14:paraId="765FD740" w14:textId="1B4132C7" w:rsidR="00D71605" w:rsidRPr="00ED231E" w:rsidRDefault="00D71605" w:rsidP="00ED231E">
      <w:pPr>
        <w:pStyle w:val="ListParagraph"/>
        <w:numPr>
          <w:ilvl w:val="0"/>
          <w:numId w:val="3"/>
        </w:numPr>
        <w:spacing w:after="0" w:line="240" w:lineRule="auto"/>
        <w:rPr>
          <w:sz w:val="18"/>
          <w:szCs w:val="18"/>
        </w:rPr>
      </w:pPr>
      <w:r>
        <w:rPr>
          <w:sz w:val="18"/>
          <w:szCs w:val="18"/>
        </w:rPr>
        <w:t xml:space="preserve">Compatibilidad entre </w:t>
      </w:r>
      <w:r w:rsidR="00E10849">
        <w:rPr>
          <w:sz w:val="18"/>
          <w:szCs w:val="18"/>
        </w:rPr>
        <w:t>elegibilidad</w:t>
      </w:r>
      <w:r w:rsidR="0032445A">
        <w:rPr>
          <w:sz w:val="18"/>
          <w:szCs w:val="18"/>
        </w:rPr>
        <w:t xml:space="preserve"> y </w:t>
      </w:r>
      <w:r w:rsidR="00E10849">
        <w:rPr>
          <w:sz w:val="18"/>
          <w:szCs w:val="18"/>
        </w:rPr>
        <w:t>recepción de beneficios</w:t>
      </w:r>
      <w:r>
        <w:rPr>
          <w:sz w:val="18"/>
          <w:szCs w:val="18"/>
        </w:rPr>
        <w:t xml:space="preserve"> y empleo;</w:t>
      </w:r>
    </w:p>
    <w:p w14:paraId="3922EDCE" w14:textId="08834F13" w:rsidR="00D71605" w:rsidRPr="00ED231E" w:rsidRDefault="0032445A" w:rsidP="00ED231E">
      <w:pPr>
        <w:pStyle w:val="ListParagraph"/>
        <w:numPr>
          <w:ilvl w:val="0"/>
          <w:numId w:val="3"/>
        </w:numPr>
        <w:spacing w:after="0" w:line="240" w:lineRule="auto"/>
        <w:rPr>
          <w:sz w:val="18"/>
          <w:szCs w:val="18"/>
        </w:rPr>
      </w:pPr>
      <w:r>
        <w:rPr>
          <w:sz w:val="18"/>
          <w:szCs w:val="18"/>
        </w:rPr>
        <w:t xml:space="preserve">Medidas proactivas para la </w:t>
      </w:r>
      <w:r w:rsidR="00D71605">
        <w:rPr>
          <w:sz w:val="18"/>
          <w:szCs w:val="18"/>
        </w:rPr>
        <w:t xml:space="preserve">eliminación gradual de las </w:t>
      </w:r>
      <w:r w:rsidR="00E309F8">
        <w:rPr>
          <w:sz w:val="18"/>
          <w:szCs w:val="18"/>
        </w:rPr>
        <w:t>instituciones residenciales</w:t>
      </w:r>
      <w:r w:rsidR="00D71605">
        <w:rPr>
          <w:sz w:val="18"/>
          <w:szCs w:val="18"/>
        </w:rPr>
        <w:t xml:space="preserve"> mediante su sustitución por programas de protección social adecuados que </w:t>
      </w:r>
      <w:r w:rsidR="00F072BD">
        <w:rPr>
          <w:sz w:val="18"/>
          <w:szCs w:val="18"/>
        </w:rPr>
        <w:t>cumplan con sa</w:t>
      </w:r>
      <w:r w:rsidR="0059109B">
        <w:rPr>
          <w:sz w:val="18"/>
          <w:szCs w:val="18"/>
        </w:rPr>
        <w:t>tisfacer</w:t>
      </w:r>
      <w:r w:rsidR="00D71605">
        <w:rPr>
          <w:sz w:val="18"/>
          <w:szCs w:val="18"/>
        </w:rPr>
        <w:t xml:space="preserve"> las necesidades de las personas con discapacidad en la comunidad;</w:t>
      </w:r>
    </w:p>
    <w:p w14:paraId="363AA11C" w14:textId="7B33693E" w:rsidR="00D71605" w:rsidRPr="00ED231E" w:rsidRDefault="00D71605" w:rsidP="00ED231E">
      <w:pPr>
        <w:pStyle w:val="ListParagraph"/>
        <w:numPr>
          <w:ilvl w:val="0"/>
          <w:numId w:val="3"/>
        </w:numPr>
        <w:spacing w:after="0" w:line="240" w:lineRule="auto"/>
        <w:rPr>
          <w:sz w:val="18"/>
          <w:szCs w:val="18"/>
        </w:rPr>
      </w:pPr>
      <w:r>
        <w:rPr>
          <w:sz w:val="18"/>
          <w:szCs w:val="18"/>
        </w:rPr>
        <w:t>Los requisitos para obtener los beneficios pueden cumplirse sin diagnóstico médico, basándose en una evaluación interactiva de las necesidades</w:t>
      </w:r>
      <w:r w:rsidR="00E309F8">
        <w:rPr>
          <w:sz w:val="18"/>
          <w:szCs w:val="18"/>
        </w:rPr>
        <w:t>.</w:t>
      </w:r>
    </w:p>
    <w:p w14:paraId="4F947F41" w14:textId="53736A3A" w:rsidR="0090059C" w:rsidRPr="00ED231E" w:rsidRDefault="0090059C" w:rsidP="00ED231E">
      <w:pPr>
        <w:spacing w:after="0" w:line="240" w:lineRule="auto"/>
        <w:rPr>
          <w:sz w:val="18"/>
          <w:szCs w:val="18"/>
        </w:rPr>
      </w:pPr>
      <w:r>
        <w:rPr>
          <w:sz w:val="18"/>
          <w:szCs w:val="18"/>
        </w:rPr>
        <w:t xml:space="preserve"> Para más información, véase </w:t>
      </w:r>
      <w:hyperlink r:id="rId1" w:history="1">
        <w:r>
          <w:rPr>
            <w:rStyle w:val="Hyperlink"/>
            <w:sz w:val="18"/>
            <w:szCs w:val="18"/>
          </w:rPr>
          <w:t>2019 Declaración conjunta "Hacia sistemas de protección social inclusivos que apoyen la participación plena y efectiva de las personas con discapacidad"</w:t>
        </w:r>
      </w:hyperlink>
      <w:r w:rsidR="0032445A">
        <w:rPr>
          <w:rStyle w:val="Hyperlink"/>
          <w:sz w:val="18"/>
          <w:szCs w:val="18"/>
        </w:rPr>
        <w:t>.</w:t>
      </w:r>
    </w:p>
  </w:endnote>
  <w:endnote w:id="2">
    <w:p w14:paraId="2590D993" w14:textId="6DD8C353" w:rsidR="00D71605" w:rsidRPr="00ED231E" w:rsidRDefault="00D71605" w:rsidP="00ED231E">
      <w:pPr>
        <w:pStyle w:val="EndnoteText"/>
        <w:rPr>
          <w:sz w:val="18"/>
          <w:szCs w:val="18"/>
        </w:rPr>
      </w:pPr>
      <w:r>
        <w:rPr>
          <w:rStyle w:val="EndnoteReference"/>
          <w:sz w:val="18"/>
          <w:szCs w:val="18"/>
        </w:rPr>
        <w:endnoteRef/>
      </w:r>
      <w:r>
        <w:rPr>
          <w:sz w:val="18"/>
          <w:szCs w:val="18"/>
        </w:rPr>
        <w:t xml:space="preserve"> </w:t>
      </w:r>
      <w:r w:rsidR="0032445A" w:rsidRPr="0032445A">
        <w:rPr>
          <w:sz w:val="18"/>
          <w:szCs w:val="18"/>
        </w:rPr>
        <w:t>Los sistemas y programas</w:t>
      </w:r>
      <w:r w:rsidR="0059109B">
        <w:rPr>
          <w:sz w:val="18"/>
          <w:szCs w:val="18"/>
        </w:rPr>
        <w:t xml:space="preserve"> generales</w:t>
      </w:r>
      <w:r w:rsidR="0032445A" w:rsidRPr="0032445A">
        <w:rPr>
          <w:sz w:val="18"/>
          <w:szCs w:val="18"/>
        </w:rPr>
        <w:t xml:space="preserve"> de protección social, contributivos y no contributivos, incluyen los relativos a todos los trabajadores, a todos los niños, a todas las personas de edad, etc.</w:t>
      </w:r>
    </w:p>
  </w:endnote>
  <w:endnote w:id="3">
    <w:p w14:paraId="54BA0CD7" w14:textId="02F10CF7" w:rsidR="002C15E9" w:rsidRPr="00ED231E" w:rsidRDefault="00D71605" w:rsidP="00ED231E">
      <w:pPr>
        <w:pStyle w:val="EndnoteText"/>
        <w:rPr>
          <w:sz w:val="18"/>
          <w:szCs w:val="18"/>
        </w:rPr>
      </w:pPr>
      <w:r>
        <w:rPr>
          <w:rStyle w:val="EndnoteReference"/>
          <w:sz w:val="18"/>
          <w:szCs w:val="18"/>
        </w:rPr>
        <w:endnoteRef/>
      </w:r>
      <w:r>
        <w:rPr>
          <w:sz w:val="18"/>
          <w:szCs w:val="18"/>
        </w:rPr>
        <w:t xml:space="preserve"> Estos sistemas y programas deben garantizar:</w:t>
      </w:r>
    </w:p>
    <w:p w14:paraId="16C2F18C" w14:textId="2FCA3F7D" w:rsidR="002C15E9" w:rsidRPr="00ED231E" w:rsidRDefault="0032445A" w:rsidP="00ED231E">
      <w:pPr>
        <w:pStyle w:val="ListParagraph"/>
        <w:numPr>
          <w:ilvl w:val="0"/>
          <w:numId w:val="3"/>
        </w:numPr>
        <w:spacing w:after="0" w:line="240" w:lineRule="auto"/>
        <w:rPr>
          <w:rFonts w:cstheme="minorHAnsi"/>
          <w:sz w:val="18"/>
          <w:szCs w:val="18"/>
        </w:rPr>
      </w:pPr>
      <w:r>
        <w:rPr>
          <w:sz w:val="18"/>
          <w:szCs w:val="18"/>
        </w:rPr>
        <w:t xml:space="preserve">niveles mínimos </w:t>
      </w:r>
      <w:r w:rsidR="002C15E9">
        <w:rPr>
          <w:sz w:val="18"/>
          <w:szCs w:val="18"/>
        </w:rPr>
        <w:t xml:space="preserve">de protección social (véase </w:t>
      </w:r>
      <w:hyperlink r:id="rId2" w:history="1">
        <w:r w:rsidR="002C15E9">
          <w:rPr>
            <w:rStyle w:val="Hyperlink"/>
            <w:sz w:val="18"/>
            <w:szCs w:val="18"/>
          </w:rPr>
          <w:t>Orientaciones de la OIT</w:t>
        </w:r>
      </w:hyperlink>
      <w:r w:rsidR="002C15E9">
        <w:rPr>
          <w:sz w:val="18"/>
          <w:szCs w:val="18"/>
        </w:rPr>
        <w:t>)</w:t>
      </w:r>
    </w:p>
    <w:p w14:paraId="46CD6422" w14:textId="4BBC2840" w:rsidR="00D71605" w:rsidRPr="00ED231E" w:rsidRDefault="0032445A" w:rsidP="00ED231E">
      <w:pPr>
        <w:pStyle w:val="ListParagraph"/>
        <w:numPr>
          <w:ilvl w:val="0"/>
          <w:numId w:val="3"/>
        </w:numPr>
        <w:spacing w:after="0" w:line="240" w:lineRule="auto"/>
        <w:rPr>
          <w:rFonts w:cstheme="minorHAnsi"/>
          <w:sz w:val="18"/>
          <w:szCs w:val="18"/>
        </w:rPr>
      </w:pPr>
      <w:r>
        <w:rPr>
          <w:sz w:val="18"/>
          <w:szCs w:val="18"/>
        </w:rPr>
        <w:t>e</w:t>
      </w:r>
      <w:r w:rsidR="00D71605">
        <w:rPr>
          <w:sz w:val="18"/>
          <w:szCs w:val="18"/>
        </w:rPr>
        <w:t>n el caso de los adultos con discapacidad, que los pagos se hagan directamente a la persona con discapacidad;</w:t>
      </w:r>
    </w:p>
    <w:p w14:paraId="50875566" w14:textId="0C610D8C" w:rsidR="00D71605" w:rsidRPr="00ED231E" w:rsidRDefault="0032445A" w:rsidP="00ED231E">
      <w:pPr>
        <w:pStyle w:val="ListParagraph"/>
        <w:numPr>
          <w:ilvl w:val="0"/>
          <w:numId w:val="3"/>
        </w:numPr>
        <w:spacing w:after="0" w:line="240" w:lineRule="auto"/>
        <w:rPr>
          <w:rFonts w:cstheme="minorHAnsi"/>
          <w:color w:val="000000"/>
          <w:sz w:val="18"/>
          <w:szCs w:val="18"/>
        </w:rPr>
      </w:pPr>
      <w:r>
        <w:rPr>
          <w:sz w:val="18"/>
          <w:szCs w:val="18"/>
        </w:rPr>
        <w:t>d</w:t>
      </w:r>
      <w:r w:rsidR="00D71605">
        <w:rPr>
          <w:sz w:val="18"/>
          <w:szCs w:val="18"/>
        </w:rPr>
        <w:t xml:space="preserve">entro de los programas contributivos, contribuciones financiadas por el gobierno para las personas con discapacidad que tienen una </w:t>
      </w:r>
      <w:r w:rsidR="00D71605">
        <w:rPr>
          <w:color w:val="000000"/>
          <w:sz w:val="18"/>
          <w:szCs w:val="18"/>
        </w:rPr>
        <w:t xml:space="preserve">capacidad </w:t>
      </w:r>
      <w:r w:rsidR="007C5B39">
        <w:rPr>
          <w:color w:val="000000"/>
          <w:sz w:val="18"/>
          <w:szCs w:val="18"/>
        </w:rPr>
        <w:t>contributiva</w:t>
      </w:r>
      <w:r w:rsidR="007C5B39">
        <w:rPr>
          <w:sz w:val="18"/>
          <w:szCs w:val="18"/>
        </w:rPr>
        <w:t xml:space="preserve"> limitada</w:t>
      </w:r>
      <w:r w:rsidR="00D71605">
        <w:rPr>
          <w:sz w:val="18"/>
          <w:szCs w:val="18"/>
        </w:rPr>
        <w:t>;</w:t>
      </w:r>
    </w:p>
    <w:p w14:paraId="72E41D37" w14:textId="6320A704" w:rsidR="00D71605" w:rsidRPr="00ED231E" w:rsidRDefault="0059109B" w:rsidP="00ED231E">
      <w:pPr>
        <w:pStyle w:val="ListParagraph"/>
        <w:numPr>
          <w:ilvl w:val="0"/>
          <w:numId w:val="3"/>
        </w:numPr>
        <w:spacing w:after="0" w:line="240" w:lineRule="auto"/>
        <w:rPr>
          <w:rFonts w:cstheme="minorHAnsi"/>
          <w:color w:val="000000"/>
          <w:sz w:val="18"/>
          <w:szCs w:val="18"/>
        </w:rPr>
      </w:pPr>
      <w:r>
        <w:rPr>
          <w:color w:val="000000"/>
          <w:sz w:val="18"/>
          <w:szCs w:val="18"/>
        </w:rPr>
        <w:t xml:space="preserve">la </w:t>
      </w:r>
      <w:r w:rsidR="0032445A">
        <w:rPr>
          <w:color w:val="000000"/>
          <w:sz w:val="18"/>
          <w:szCs w:val="18"/>
        </w:rPr>
        <w:t>c</w:t>
      </w:r>
      <w:r w:rsidR="00D71605">
        <w:rPr>
          <w:color w:val="000000"/>
          <w:sz w:val="18"/>
          <w:szCs w:val="18"/>
        </w:rPr>
        <w:t>ontinuidad de las prestaciones y servicios al pasar de un régimen contributivo a uno no contributivo;</w:t>
      </w:r>
    </w:p>
    <w:p w14:paraId="0331B094" w14:textId="1C2F15DB" w:rsidR="00D71605" w:rsidRPr="00ED231E" w:rsidRDefault="0032445A" w:rsidP="00ED231E">
      <w:pPr>
        <w:pStyle w:val="ListParagraph"/>
        <w:numPr>
          <w:ilvl w:val="0"/>
          <w:numId w:val="3"/>
        </w:numPr>
        <w:spacing w:after="0" w:line="240" w:lineRule="auto"/>
        <w:jc w:val="both"/>
        <w:rPr>
          <w:rFonts w:cstheme="minorHAnsi"/>
          <w:sz w:val="18"/>
          <w:szCs w:val="18"/>
        </w:rPr>
      </w:pPr>
      <w:r>
        <w:rPr>
          <w:color w:val="000000"/>
          <w:sz w:val="18"/>
          <w:szCs w:val="18"/>
        </w:rPr>
        <w:t>l</w:t>
      </w:r>
      <w:r w:rsidR="00D71605">
        <w:rPr>
          <w:color w:val="000000"/>
          <w:sz w:val="18"/>
          <w:szCs w:val="18"/>
        </w:rPr>
        <w:t xml:space="preserve">os programas de transferencias monetarias condicionadas, o programas similares que condicionan la recepción de asistencia, deben </w:t>
      </w:r>
      <w:r w:rsidR="0059109B">
        <w:rPr>
          <w:color w:val="000000"/>
          <w:sz w:val="18"/>
          <w:szCs w:val="18"/>
        </w:rPr>
        <w:t xml:space="preserve">tener disponibles </w:t>
      </w:r>
      <w:r w:rsidR="00D71605">
        <w:rPr>
          <w:color w:val="000000"/>
          <w:sz w:val="18"/>
          <w:szCs w:val="18"/>
        </w:rPr>
        <w:t xml:space="preserve">ajustes y apoyo para las personas con discapacidad a fin de asegurar que estas y sus familias puedan cumplir las condiciones para </w:t>
      </w:r>
      <w:r w:rsidR="0059109B">
        <w:rPr>
          <w:color w:val="000000"/>
          <w:sz w:val="18"/>
          <w:szCs w:val="18"/>
        </w:rPr>
        <w:t xml:space="preserve">el </w:t>
      </w:r>
      <w:r w:rsidR="00D71605">
        <w:rPr>
          <w:color w:val="000000"/>
          <w:sz w:val="18"/>
          <w:szCs w:val="18"/>
        </w:rPr>
        <w:t>acceso efectivo a los programas.</w:t>
      </w:r>
    </w:p>
  </w:endnote>
  <w:endnote w:id="4">
    <w:p w14:paraId="7C984FF4" w14:textId="2B65120C" w:rsidR="0084530C" w:rsidRPr="00ED231E" w:rsidRDefault="0084530C" w:rsidP="00ED231E">
      <w:pPr>
        <w:autoSpaceDE w:val="0"/>
        <w:autoSpaceDN w:val="0"/>
        <w:adjustRightInd w:val="0"/>
        <w:spacing w:after="0" w:line="240" w:lineRule="auto"/>
        <w:jc w:val="both"/>
        <w:rPr>
          <w:sz w:val="18"/>
          <w:szCs w:val="18"/>
        </w:rPr>
      </w:pPr>
      <w:r>
        <w:rPr>
          <w:rStyle w:val="EndnoteReference"/>
          <w:sz w:val="18"/>
          <w:szCs w:val="18"/>
        </w:rPr>
        <w:endnoteRef/>
      </w:r>
      <w:r>
        <w:rPr>
          <w:sz w:val="18"/>
          <w:szCs w:val="18"/>
        </w:rPr>
        <w:t xml:space="preserve"> La legislación que restringe a las personas con discapacidad el ejercicio de su plena capacidad jurídica </w:t>
      </w:r>
      <w:r w:rsidR="0032445A">
        <w:rPr>
          <w:sz w:val="18"/>
          <w:szCs w:val="18"/>
        </w:rPr>
        <w:t xml:space="preserve">(en contraposición al Artículo 12 de la CDPD) </w:t>
      </w:r>
      <w:r>
        <w:rPr>
          <w:sz w:val="18"/>
          <w:szCs w:val="18"/>
        </w:rPr>
        <w:t>suele impedir la firma de contratos y la gestión de cuentas bancarias, lo que puede impedir que las personas con discapacidad reciban prestaciones y apoyo o que ejerzan un control total de las prestaciones y el apoyo que reciben.  Los programas de protección social no deben exigir ninguna restricción de la capacidad jurídica como condición previa para acceder a las prestaciones y deben estar concebidos de manera que proporcionen los ajustes adecuados para fomentar la elección, el control y la autonomía por parte de la persona interesada de sus prestaciones y apoyo.</w:t>
      </w:r>
    </w:p>
  </w:endnote>
  <w:endnote w:id="5">
    <w:p w14:paraId="589F2002" w14:textId="279DAE35" w:rsidR="0084530C" w:rsidRPr="00ED231E" w:rsidRDefault="0084530C" w:rsidP="00ED231E">
      <w:pPr>
        <w:pStyle w:val="EndnoteText"/>
        <w:jc w:val="both"/>
        <w:rPr>
          <w:rFonts w:cstheme="minorHAnsi"/>
          <w:sz w:val="18"/>
          <w:szCs w:val="18"/>
        </w:rPr>
      </w:pPr>
      <w:r>
        <w:rPr>
          <w:rStyle w:val="EndnoteReference"/>
          <w:sz w:val="18"/>
          <w:szCs w:val="18"/>
        </w:rPr>
        <w:endnoteRef/>
      </w:r>
      <w:r>
        <w:rPr>
          <w:sz w:val="18"/>
          <w:szCs w:val="18"/>
        </w:rPr>
        <w:t xml:space="preserve"> Las </w:t>
      </w:r>
      <w:r w:rsidR="0032445A">
        <w:rPr>
          <w:sz w:val="18"/>
          <w:szCs w:val="18"/>
        </w:rPr>
        <w:t xml:space="preserve">condiciones </w:t>
      </w:r>
      <w:r>
        <w:rPr>
          <w:sz w:val="18"/>
          <w:szCs w:val="18"/>
        </w:rPr>
        <w:t>asociadas a las prestaciones no deberían exigirse cuando existan barreras que impidan que las personas con discapacidad las cumplan. Por ejemplo, los planes de transferencia de efectivo que están condicionados a la asistencia a la escuela cuando las escuelas no son accesibles para las personas con discapacidad, o cuando la falta de transporte accesible impide el acceso a los centros de salud. Las condicion</w:t>
      </w:r>
      <w:r w:rsidR="0032445A">
        <w:rPr>
          <w:sz w:val="18"/>
          <w:szCs w:val="18"/>
        </w:rPr>
        <w:t>e</w:t>
      </w:r>
      <w:r>
        <w:rPr>
          <w:sz w:val="18"/>
          <w:szCs w:val="18"/>
        </w:rPr>
        <w:t>s tampoco deben conducir a efectos adversos o infringir los derechos de las personas con discapacidad en virtud de la CDPD; por ejemplo, el requisito de cumplir con la rehabilitación o el tratamiento (incluido el tratamiento de salud mental) en contra de la propia voluntad, o vivir en un entorno segregado como condición para beneficiarse de las prestaciones.</w:t>
      </w:r>
    </w:p>
  </w:endnote>
  <w:endnote w:id="6">
    <w:p w14:paraId="08C01111" w14:textId="41414A2F" w:rsidR="00D71605" w:rsidRPr="00ED231E" w:rsidRDefault="00D71605" w:rsidP="00ED231E">
      <w:pPr>
        <w:pStyle w:val="EndnoteText"/>
        <w:jc w:val="both"/>
        <w:rPr>
          <w:sz w:val="18"/>
          <w:szCs w:val="18"/>
        </w:rPr>
      </w:pPr>
      <w:r>
        <w:rPr>
          <w:rStyle w:val="EndnoteReference"/>
          <w:sz w:val="18"/>
          <w:szCs w:val="18"/>
        </w:rPr>
        <w:endnoteRef/>
      </w:r>
      <w:r>
        <w:rPr>
          <w:sz w:val="18"/>
          <w:szCs w:val="18"/>
        </w:rPr>
        <w:t xml:space="preserve"> Este indicador requiere la verificación de las actividades concretas emprendidas por las autoridades públicas para involucrar a las personas con discapacidad en los procesos de toma de decisiones relacionados con cuestiones que les afectan directa o indirectamente, de conformidad con el artículo 4.3 de la CDPD</w:t>
      </w:r>
      <w:r w:rsidR="0032445A">
        <w:rPr>
          <w:sz w:val="18"/>
          <w:szCs w:val="18"/>
        </w:rPr>
        <w:t xml:space="preserve"> y la </w:t>
      </w:r>
      <w:hyperlink r:id="rId3" w:history="1">
        <w:r w:rsidR="0032445A" w:rsidRPr="00F072BD">
          <w:rPr>
            <w:rStyle w:val="Hyperlink"/>
            <w:sz w:val="18"/>
            <w:szCs w:val="18"/>
          </w:rPr>
          <w:t>Observación general N.º 7</w:t>
        </w:r>
      </w:hyperlink>
      <w:r w:rsidR="0032445A">
        <w:rPr>
          <w:sz w:val="18"/>
          <w:szCs w:val="18"/>
        </w:rPr>
        <w:t xml:space="preserve"> del Comité</w:t>
      </w:r>
      <w:r>
        <w:rPr>
          <w:sz w:val="18"/>
          <w:szCs w:val="18"/>
        </w:rPr>
        <w:t xml:space="preserve">, incluidas reuniones de consulta, sesiones informativas técnicas, encuestas de consulta en línea, </w:t>
      </w:r>
      <w:r w:rsidR="0059109B">
        <w:rPr>
          <w:sz w:val="18"/>
          <w:szCs w:val="18"/>
        </w:rPr>
        <w:t>llamado a enviar</w:t>
      </w:r>
      <w:r>
        <w:rPr>
          <w:sz w:val="18"/>
          <w:szCs w:val="18"/>
        </w:rPr>
        <w:t xml:space="preserve"> comentarios sobre proyectos de ley y políticas, entre otros métodos participativos. A este respecto, los Estados deben</w:t>
      </w:r>
      <w:r w:rsidR="0032445A">
        <w:rPr>
          <w:sz w:val="18"/>
          <w:szCs w:val="18"/>
        </w:rPr>
        <w:t>:</w:t>
      </w:r>
    </w:p>
    <w:p w14:paraId="4B5B5EA4" w14:textId="5B8C6177" w:rsidR="00D71605" w:rsidRPr="0025529E" w:rsidRDefault="000D5DF7" w:rsidP="0025529E">
      <w:pPr>
        <w:pStyle w:val="ListParagraph"/>
        <w:numPr>
          <w:ilvl w:val="0"/>
          <w:numId w:val="3"/>
        </w:numPr>
        <w:spacing w:after="0" w:line="240" w:lineRule="auto"/>
        <w:rPr>
          <w:rFonts w:cstheme="minorHAnsi"/>
          <w:sz w:val="18"/>
          <w:szCs w:val="18"/>
        </w:rPr>
      </w:pPr>
      <w:r>
        <w:rPr>
          <w:rFonts w:ascii="Calibri" w:hAnsi="Calibri" w:cs="Calibri"/>
          <w:sz w:val="18"/>
          <w:szCs w:val="18"/>
        </w:rPr>
        <w:t>asegurar que los procesos de consulta sean transparentes y accesibles</w:t>
      </w:r>
      <w:r w:rsidR="0032445A">
        <w:rPr>
          <w:sz w:val="18"/>
          <w:szCs w:val="18"/>
        </w:rPr>
        <w:t>;</w:t>
      </w:r>
    </w:p>
    <w:p w14:paraId="0B4A9807" w14:textId="263E8C81" w:rsidR="00D71605" w:rsidRPr="0025529E" w:rsidRDefault="0059109B" w:rsidP="0025529E">
      <w:pPr>
        <w:pStyle w:val="ListParagraph"/>
        <w:numPr>
          <w:ilvl w:val="0"/>
          <w:numId w:val="3"/>
        </w:numPr>
        <w:spacing w:after="0" w:line="240" w:lineRule="auto"/>
        <w:rPr>
          <w:rFonts w:cstheme="minorHAnsi"/>
          <w:sz w:val="18"/>
          <w:szCs w:val="18"/>
        </w:rPr>
      </w:pPr>
      <w:r>
        <w:rPr>
          <w:sz w:val="18"/>
          <w:szCs w:val="18"/>
        </w:rPr>
        <w:t>asegurar</w:t>
      </w:r>
      <w:r w:rsidR="00D71605">
        <w:rPr>
          <w:sz w:val="18"/>
          <w:szCs w:val="18"/>
        </w:rPr>
        <w:t xml:space="preserve"> el suministro de información </w:t>
      </w:r>
      <w:r>
        <w:rPr>
          <w:sz w:val="18"/>
          <w:szCs w:val="18"/>
        </w:rPr>
        <w:t>apropiada</w:t>
      </w:r>
      <w:r w:rsidR="00D71605">
        <w:rPr>
          <w:sz w:val="18"/>
          <w:szCs w:val="18"/>
        </w:rPr>
        <w:t xml:space="preserve"> y accesible</w:t>
      </w:r>
      <w:r w:rsidR="0032445A">
        <w:rPr>
          <w:sz w:val="18"/>
          <w:szCs w:val="18"/>
        </w:rPr>
        <w:t>;</w:t>
      </w:r>
    </w:p>
    <w:p w14:paraId="47B709A0" w14:textId="6A1583C0" w:rsidR="00D71605" w:rsidRPr="0025529E" w:rsidRDefault="00D71605" w:rsidP="0025529E">
      <w:pPr>
        <w:pStyle w:val="ListParagraph"/>
        <w:numPr>
          <w:ilvl w:val="0"/>
          <w:numId w:val="3"/>
        </w:numPr>
        <w:spacing w:after="0" w:line="240" w:lineRule="auto"/>
        <w:rPr>
          <w:rFonts w:cstheme="minorHAnsi"/>
          <w:sz w:val="18"/>
          <w:szCs w:val="18"/>
        </w:rPr>
      </w:pPr>
      <w:r>
        <w:rPr>
          <w:sz w:val="18"/>
          <w:szCs w:val="18"/>
        </w:rPr>
        <w:t xml:space="preserve">no </w:t>
      </w:r>
      <w:r w:rsidR="0059109B">
        <w:rPr>
          <w:sz w:val="18"/>
          <w:szCs w:val="18"/>
        </w:rPr>
        <w:t>retener</w:t>
      </w:r>
      <w:r>
        <w:rPr>
          <w:sz w:val="18"/>
          <w:szCs w:val="18"/>
        </w:rPr>
        <w:t xml:space="preserve"> información, condicionar o impedir que las organizaciones de personas con discapacidad expresen libremente sus opiniones</w:t>
      </w:r>
      <w:r w:rsidR="0032445A">
        <w:rPr>
          <w:sz w:val="18"/>
          <w:szCs w:val="18"/>
        </w:rPr>
        <w:t>;</w:t>
      </w:r>
    </w:p>
    <w:p w14:paraId="53F92B19" w14:textId="5A6910E7" w:rsidR="00D71605" w:rsidRPr="0025529E" w:rsidRDefault="00D71605" w:rsidP="0025529E">
      <w:pPr>
        <w:pStyle w:val="ListParagraph"/>
        <w:numPr>
          <w:ilvl w:val="0"/>
          <w:numId w:val="3"/>
        </w:numPr>
        <w:spacing w:after="0" w:line="240" w:lineRule="auto"/>
        <w:rPr>
          <w:rFonts w:cstheme="minorHAnsi"/>
          <w:sz w:val="18"/>
          <w:szCs w:val="18"/>
        </w:rPr>
      </w:pPr>
      <w:r>
        <w:rPr>
          <w:sz w:val="18"/>
          <w:szCs w:val="18"/>
        </w:rPr>
        <w:t>incluir tanto a las organizaciones registradas como a las no registradas</w:t>
      </w:r>
      <w:r w:rsidR="0032445A">
        <w:rPr>
          <w:sz w:val="18"/>
          <w:szCs w:val="18"/>
        </w:rPr>
        <w:t>;</w:t>
      </w:r>
    </w:p>
    <w:p w14:paraId="18F72E1C" w14:textId="0BBA59D1" w:rsidR="00D71605" w:rsidRPr="0025529E" w:rsidRDefault="00D71605" w:rsidP="0025529E">
      <w:pPr>
        <w:pStyle w:val="ListParagraph"/>
        <w:numPr>
          <w:ilvl w:val="0"/>
          <w:numId w:val="3"/>
        </w:numPr>
        <w:spacing w:after="0" w:line="240" w:lineRule="auto"/>
        <w:rPr>
          <w:rFonts w:cstheme="minorHAnsi"/>
          <w:sz w:val="18"/>
          <w:szCs w:val="18"/>
        </w:rPr>
      </w:pPr>
      <w:r>
        <w:rPr>
          <w:sz w:val="18"/>
          <w:szCs w:val="18"/>
        </w:rPr>
        <w:t>garantizar una participación temprana y continua</w:t>
      </w:r>
      <w:r w:rsidR="0032445A">
        <w:rPr>
          <w:sz w:val="18"/>
          <w:szCs w:val="18"/>
        </w:rPr>
        <w:t>;</w:t>
      </w:r>
    </w:p>
    <w:p w14:paraId="6E28A8A5" w14:textId="709DB341" w:rsidR="00D71605" w:rsidRPr="00ED231E" w:rsidRDefault="00D71605" w:rsidP="0025529E">
      <w:pPr>
        <w:pStyle w:val="ListParagraph"/>
        <w:numPr>
          <w:ilvl w:val="0"/>
          <w:numId w:val="3"/>
        </w:numPr>
        <w:spacing w:after="0" w:line="240" w:lineRule="auto"/>
        <w:rPr>
          <w:sz w:val="18"/>
          <w:szCs w:val="18"/>
        </w:rPr>
      </w:pPr>
      <w:r>
        <w:rPr>
          <w:sz w:val="18"/>
          <w:szCs w:val="18"/>
        </w:rPr>
        <w:t xml:space="preserve">cubrir los gastos relacionados </w:t>
      </w:r>
      <w:r w:rsidR="0032445A">
        <w:rPr>
          <w:sz w:val="18"/>
          <w:szCs w:val="18"/>
        </w:rPr>
        <w:t xml:space="preserve">de </w:t>
      </w:r>
      <w:r>
        <w:rPr>
          <w:sz w:val="18"/>
          <w:szCs w:val="18"/>
        </w:rPr>
        <w:t>los participantes</w:t>
      </w:r>
      <w:r w:rsidR="0032445A">
        <w:rPr>
          <w:sz w:val="18"/>
          <w:szCs w:val="18"/>
        </w:rPr>
        <w:t>.</w:t>
      </w:r>
    </w:p>
  </w:endnote>
  <w:endnote w:id="7">
    <w:p w14:paraId="4B0BB18C" w14:textId="70252FD8" w:rsidR="0090061B" w:rsidRPr="0032445A" w:rsidRDefault="0090061B" w:rsidP="0090061B">
      <w:pPr>
        <w:pStyle w:val="CommentText"/>
        <w:spacing w:after="0"/>
        <w:jc w:val="both"/>
      </w:pPr>
      <w:r w:rsidRPr="00ED231E">
        <w:rPr>
          <w:rStyle w:val="EndnoteReference"/>
          <w:sz w:val="18"/>
          <w:szCs w:val="18"/>
        </w:rPr>
        <w:endnoteRef/>
      </w:r>
      <w:r w:rsidR="0032445A" w:rsidRPr="00432A49">
        <w:rPr>
          <w:sz w:val="18"/>
          <w:szCs w:val="18"/>
        </w:rPr>
        <w:t>La capacitación también debería incluir: el enfoque de la discapacidad basado en los derechos humanos, la no discriminación y la realización de ajustes razonables, el diseño universal, la accesibilidad (incluida la información y las comunicaciones accesibles).</w:t>
      </w:r>
    </w:p>
  </w:endnote>
  <w:endnote w:id="8">
    <w:p w14:paraId="08BD83A1" w14:textId="35A3D80F" w:rsidR="00CB4BE6" w:rsidRPr="00ED231E" w:rsidRDefault="00CB4BE6" w:rsidP="00ED231E">
      <w:pPr>
        <w:pStyle w:val="EndnoteText"/>
        <w:rPr>
          <w:sz w:val="18"/>
          <w:szCs w:val="18"/>
        </w:rPr>
      </w:pPr>
      <w:r>
        <w:rPr>
          <w:rStyle w:val="EndnoteReference"/>
          <w:sz w:val="18"/>
          <w:szCs w:val="18"/>
        </w:rPr>
        <w:endnoteRef/>
      </w:r>
      <w:r>
        <w:rPr>
          <w:sz w:val="18"/>
          <w:szCs w:val="18"/>
        </w:rPr>
        <w:t xml:space="preserve"> Incluida la </w:t>
      </w:r>
      <w:r w:rsidR="0032445A">
        <w:rPr>
          <w:sz w:val="18"/>
          <w:szCs w:val="18"/>
        </w:rPr>
        <w:t xml:space="preserve">capacitación </w:t>
      </w:r>
      <w:r>
        <w:rPr>
          <w:sz w:val="18"/>
          <w:szCs w:val="18"/>
        </w:rPr>
        <w:t>y el asesoramiento de las personas con discapacidad y sus familias</w:t>
      </w:r>
      <w:r w:rsidR="0032445A">
        <w:rPr>
          <w:sz w:val="18"/>
          <w:szCs w:val="18"/>
        </w:rPr>
        <w:t>, así como</w:t>
      </w:r>
      <w:r w:rsidR="0032445A" w:rsidRPr="0032445A">
        <w:rPr>
          <w:sz w:val="18"/>
          <w:szCs w:val="18"/>
        </w:rPr>
        <w:t xml:space="preserve"> la lucha contra el estigma de las personas con discapacidad en el acceso a los planes y prestaciones de protección social.  </w:t>
      </w:r>
    </w:p>
  </w:endnote>
  <w:endnote w:id="9">
    <w:p w14:paraId="0EA4DDCB" w14:textId="3A325753" w:rsidR="00DC1714" w:rsidRPr="00ED231E" w:rsidRDefault="00DC1714" w:rsidP="00ED231E">
      <w:pPr>
        <w:pStyle w:val="EndnoteText"/>
        <w:jc w:val="both"/>
        <w:rPr>
          <w:sz w:val="18"/>
          <w:szCs w:val="18"/>
        </w:rPr>
      </w:pPr>
      <w:r>
        <w:rPr>
          <w:rStyle w:val="EndnoteReference"/>
          <w:sz w:val="18"/>
          <w:szCs w:val="18"/>
        </w:rPr>
        <w:endnoteRef/>
      </w:r>
      <w:r>
        <w:rPr>
          <w:sz w:val="18"/>
          <w:szCs w:val="18"/>
        </w:rPr>
        <w:t xml:space="preserve"> La </w:t>
      </w:r>
      <w:r w:rsidR="004A4784">
        <w:rPr>
          <w:sz w:val="18"/>
          <w:szCs w:val="18"/>
        </w:rPr>
        <w:t>figura</w:t>
      </w:r>
      <w:r>
        <w:rPr>
          <w:sz w:val="18"/>
          <w:szCs w:val="18"/>
        </w:rPr>
        <w:t xml:space="preserve"> de la PPA debe utilizarse </w:t>
      </w:r>
      <w:r w:rsidR="004A4784">
        <w:rPr>
          <w:sz w:val="18"/>
          <w:szCs w:val="18"/>
        </w:rPr>
        <w:t>conforme</w:t>
      </w:r>
      <w:r w:rsidR="0032445A">
        <w:rPr>
          <w:sz w:val="18"/>
          <w:szCs w:val="18"/>
        </w:rPr>
        <w:t xml:space="preserve"> las </w:t>
      </w:r>
      <w:r>
        <w:rPr>
          <w:sz w:val="18"/>
          <w:szCs w:val="18"/>
        </w:rPr>
        <w:t>actuali</w:t>
      </w:r>
      <w:r w:rsidR="0032445A">
        <w:rPr>
          <w:sz w:val="18"/>
          <w:szCs w:val="18"/>
        </w:rPr>
        <w:t>zaciones d</w:t>
      </w:r>
      <w:r>
        <w:rPr>
          <w:sz w:val="18"/>
          <w:szCs w:val="18"/>
        </w:rPr>
        <w:t xml:space="preserve">el Banco Mundial. </w:t>
      </w:r>
      <w:r>
        <w:t xml:space="preserve">La </w:t>
      </w:r>
      <w:r>
        <w:rPr>
          <w:sz w:val="18"/>
          <w:szCs w:val="18"/>
        </w:rPr>
        <w:t xml:space="preserve">PPA se puede utilizar en combinación con el </w:t>
      </w:r>
      <w:hyperlink r:id="rId4" w:anchor="t295n2956" w:history="1">
        <w:r>
          <w:rPr>
            <w:rStyle w:val="Hyperlink"/>
            <w:sz w:val="18"/>
            <w:szCs w:val="18"/>
          </w:rPr>
          <w:t>índice de pobreza multidimensional (IPM)</w:t>
        </w:r>
      </w:hyperlink>
      <w:r w:rsidR="0032445A">
        <w:rPr>
          <w:rStyle w:val="Hyperlink"/>
          <w:sz w:val="18"/>
          <w:szCs w:val="18"/>
        </w:rPr>
        <w:t>,</w:t>
      </w:r>
      <w:r>
        <w:rPr>
          <w:sz w:val="18"/>
          <w:szCs w:val="18"/>
        </w:rPr>
        <w:t xml:space="preserve"> que identifica las múltiples privaciones a nivel familiar e individual en materia de salud, educación y nivel de vida y, por lo tanto, ofrece un complemento valioso a las medidas de pobreza basadas en los ingresos. Si es posible determinar ambos, el uso del IPM y la PPA puede proporcionar una visión más integral </w:t>
      </w:r>
      <w:r w:rsidR="004A4784">
        <w:rPr>
          <w:sz w:val="18"/>
          <w:szCs w:val="18"/>
        </w:rPr>
        <w:t>a los decisores políticos</w:t>
      </w:r>
      <w:r>
        <w:rPr>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73BBB" w14:textId="77777777" w:rsidR="00E54E58" w:rsidRDefault="00E54E58" w:rsidP="000E7D8F">
      <w:pPr>
        <w:spacing w:after="0" w:line="240" w:lineRule="auto"/>
      </w:pPr>
      <w:r>
        <w:separator/>
      </w:r>
    </w:p>
  </w:footnote>
  <w:footnote w:type="continuationSeparator" w:id="0">
    <w:p w14:paraId="7CD1D179" w14:textId="77777777" w:rsidR="00E54E58" w:rsidRDefault="00E54E58" w:rsidP="000E7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3F72"/>
    <w:multiLevelType w:val="hybridMultilevel"/>
    <w:tmpl w:val="6B8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F59B2"/>
    <w:multiLevelType w:val="hybridMultilevel"/>
    <w:tmpl w:val="807CB144"/>
    <w:lvl w:ilvl="0" w:tplc="FF643DBC">
      <w:start w:val="21"/>
      <w:numFmt w:val="bullet"/>
      <w:lvlText w:val="-"/>
      <w:lvlJc w:val="left"/>
      <w:pPr>
        <w:ind w:left="720" w:hanging="360"/>
      </w:pPr>
      <w:rPr>
        <w:rFonts w:ascii="Arial" w:eastAsia="Times New Roman" w:hAnsi="Arial" w:cs="Arial"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60FA6"/>
    <w:multiLevelType w:val="multilevel"/>
    <w:tmpl w:val="006A2ECC"/>
    <w:lvl w:ilvl="0">
      <w:start w:val="28"/>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360" w:hanging="36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080" w:hanging="1080"/>
      </w:pPr>
      <w:rPr>
        <w:rFonts w:cstheme="minorHAnsi" w:hint="default"/>
      </w:rPr>
    </w:lvl>
    <w:lvl w:ilvl="8">
      <w:start w:val="1"/>
      <w:numFmt w:val="decimal"/>
      <w:lvlText w:val="%1.%2.%3.%4.%5.%6.%7.%8.%9"/>
      <w:lvlJc w:val="left"/>
      <w:pPr>
        <w:ind w:left="1440" w:hanging="1440"/>
      </w:pPr>
      <w:rPr>
        <w:rFonts w:cstheme="minorHAnsi" w:hint="default"/>
      </w:rPr>
    </w:lvl>
  </w:abstractNum>
  <w:abstractNum w:abstractNumId="3" w15:restartNumberingAfterBreak="0">
    <w:nsid w:val="1F301BFC"/>
    <w:multiLevelType w:val="hybridMultilevel"/>
    <w:tmpl w:val="3A72ADD4"/>
    <w:lvl w:ilvl="0" w:tplc="11228F46">
      <w:start w:val="1"/>
      <w:numFmt w:val="decimal"/>
      <w:lvlText w:val="%1."/>
      <w:lvlJc w:val="left"/>
      <w:pPr>
        <w:ind w:left="1854" w:hanging="360"/>
      </w:pPr>
      <w:rPr>
        <w:rFonts w:hint="default"/>
        <w:b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0135549"/>
    <w:multiLevelType w:val="hybridMultilevel"/>
    <w:tmpl w:val="8CE4682C"/>
    <w:lvl w:ilvl="0" w:tplc="B1F0DA26">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7034B"/>
    <w:multiLevelType w:val="hybridMultilevel"/>
    <w:tmpl w:val="FCCA6AD6"/>
    <w:lvl w:ilvl="0" w:tplc="65666EDC">
      <w:start w:val="16"/>
      <w:numFmt w:val="bullet"/>
      <w:lvlText w:val="-"/>
      <w:lvlJc w:val="left"/>
      <w:pPr>
        <w:ind w:left="720" w:hanging="360"/>
      </w:pPr>
      <w:rPr>
        <w:rFonts w:ascii="Calibri" w:eastAsiaTheme="minorHAnsi" w:hAnsi="Calibri" w:hint="default"/>
        <w:b w:val="0"/>
        <w:color w:val="00000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255F7A"/>
    <w:multiLevelType w:val="hybridMultilevel"/>
    <w:tmpl w:val="1F323102"/>
    <w:lvl w:ilvl="0" w:tplc="65666EDC">
      <w:start w:val="16"/>
      <w:numFmt w:val="bullet"/>
      <w:lvlText w:val="-"/>
      <w:lvlJc w:val="left"/>
      <w:pPr>
        <w:ind w:left="720" w:hanging="360"/>
      </w:pPr>
      <w:rPr>
        <w:rFonts w:ascii="Calibri" w:eastAsiaTheme="minorHAnsi" w:hAnsi="Calibri" w:hint="default"/>
        <w:b w:val="0"/>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DD0324"/>
    <w:multiLevelType w:val="hybridMultilevel"/>
    <w:tmpl w:val="9F88D026"/>
    <w:lvl w:ilvl="0" w:tplc="4A6805FA">
      <w:numFmt w:val="bullet"/>
      <w:lvlText w:val="-"/>
      <w:lvlJc w:val="left"/>
      <w:pPr>
        <w:ind w:left="720" w:hanging="360"/>
      </w:pPr>
      <w:rPr>
        <w:rFonts w:ascii="Calibri" w:eastAsiaTheme="minorHAnsi" w:hAnsi="Calibri" w:cstheme="minorBid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5684A"/>
    <w:multiLevelType w:val="hybridMultilevel"/>
    <w:tmpl w:val="542C75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F751FC"/>
    <w:multiLevelType w:val="hybridMultilevel"/>
    <w:tmpl w:val="A96C0646"/>
    <w:lvl w:ilvl="0" w:tplc="A19663C2">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5F6741"/>
    <w:multiLevelType w:val="hybridMultilevel"/>
    <w:tmpl w:val="12084090"/>
    <w:lvl w:ilvl="0" w:tplc="A05451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6"/>
  </w:num>
  <w:num w:numId="5">
    <w:abstractNumId w:val="3"/>
  </w:num>
  <w:num w:numId="6">
    <w:abstractNumId w:val="0"/>
  </w:num>
  <w:num w:numId="7">
    <w:abstractNumId w:val="11"/>
  </w:num>
  <w:num w:numId="8">
    <w:abstractNumId w:val="1"/>
  </w:num>
  <w:num w:numId="9">
    <w:abstractNumId w:val="7"/>
  </w:num>
  <w:num w:numId="10">
    <w:abstractNumId w:val="8"/>
  </w:num>
  <w:num w:numId="11">
    <w:abstractNumId w:val="5"/>
  </w:num>
  <w:num w:numId="12">
    <w:abstractNumId w:val="6"/>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 w:vendorID="64" w:dllVersion="6" w:nlCheck="1" w:checkStyle="0"/>
  <w:activeWritingStyle w:appName="MSWord" w:lang="en-GB" w:vendorID="64" w:dllVersion="6" w:nlCheck="1" w:checkStyle="1"/>
  <w:activeWritingStyle w:appName="MSWord" w:lang="es-ES" w:vendorID="64" w:dllVersion="0" w:nlCheck="1" w:checkStyle="0"/>
  <w:activeWritingStyle w:appName="MSWord" w:lang="es-E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B1"/>
    <w:rsid w:val="00001E99"/>
    <w:rsid w:val="0001047B"/>
    <w:rsid w:val="00015D98"/>
    <w:rsid w:val="00030032"/>
    <w:rsid w:val="00031BE9"/>
    <w:rsid w:val="00062DAA"/>
    <w:rsid w:val="00073B65"/>
    <w:rsid w:val="00084A64"/>
    <w:rsid w:val="000862DE"/>
    <w:rsid w:val="00086E76"/>
    <w:rsid w:val="000931FF"/>
    <w:rsid w:val="00096722"/>
    <w:rsid w:val="000A28DD"/>
    <w:rsid w:val="000A2EF9"/>
    <w:rsid w:val="000B6966"/>
    <w:rsid w:val="000C49B5"/>
    <w:rsid w:val="000D5DF7"/>
    <w:rsid w:val="000E3892"/>
    <w:rsid w:val="000E4FD5"/>
    <w:rsid w:val="000E7D8F"/>
    <w:rsid w:val="000F3624"/>
    <w:rsid w:val="00107F6F"/>
    <w:rsid w:val="001235D3"/>
    <w:rsid w:val="00135122"/>
    <w:rsid w:val="00136326"/>
    <w:rsid w:val="00140F78"/>
    <w:rsid w:val="001423E2"/>
    <w:rsid w:val="00146186"/>
    <w:rsid w:val="001504A7"/>
    <w:rsid w:val="00174120"/>
    <w:rsid w:val="001831C1"/>
    <w:rsid w:val="001A298A"/>
    <w:rsid w:val="001A3099"/>
    <w:rsid w:val="001B4104"/>
    <w:rsid w:val="001B55D5"/>
    <w:rsid w:val="001C06BC"/>
    <w:rsid w:val="001E701A"/>
    <w:rsid w:val="00205391"/>
    <w:rsid w:val="002178A6"/>
    <w:rsid w:val="00220AFA"/>
    <w:rsid w:val="002527B4"/>
    <w:rsid w:val="00252AC3"/>
    <w:rsid w:val="0025529E"/>
    <w:rsid w:val="00257443"/>
    <w:rsid w:val="00260666"/>
    <w:rsid w:val="002621C2"/>
    <w:rsid w:val="0027303A"/>
    <w:rsid w:val="00291446"/>
    <w:rsid w:val="002A4805"/>
    <w:rsid w:val="002A6964"/>
    <w:rsid w:val="002B19A1"/>
    <w:rsid w:val="002B26FF"/>
    <w:rsid w:val="002C15E9"/>
    <w:rsid w:val="002D03AA"/>
    <w:rsid w:val="0032445A"/>
    <w:rsid w:val="00326297"/>
    <w:rsid w:val="003456D4"/>
    <w:rsid w:val="00347705"/>
    <w:rsid w:val="003567C1"/>
    <w:rsid w:val="00361910"/>
    <w:rsid w:val="003759C9"/>
    <w:rsid w:val="003A554C"/>
    <w:rsid w:val="003B1FB1"/>
    <w:rsid w:val="003B68D1"/>
    <w:rsid w:val="003B6984"/>
    <w:rsid w:val="003B7D0D"/>
    <w:rsid w:val="003B7E4E"/>
    <w:rsid w:val="003D107F"/>
    <w:rsid w:val="003D2F9C"/>
    <w:rsid w:val="003D334E"/>
    <w:rsid w:val="003D501D"/>
    <w:rsid w:val="003F6605"/>
    <w:rsid w:val="0040204E"/>
    <w:rsid w:val="0041194D"/>
    <w:rsid w:val="00412581"/>
    <w:rsid w:val="004238A3"/>
    <w:rsid w:val="00432A49"/>
    <w:rsid w:val="00442530"/>
    <w:rsid w:val="00452978"/>
    <w:rsid w:val="00476C08"/>
    <w:rsid w:val="00484844"/>
    <w:rsid w:val="00490CEC"/>
    <w:rsid w:val="004A29D8"/>
    <w:rsid w:val="004A4784"/>
    <w:rsid w:val="004A5E5F"/>
    <w:rsid w:val="004D14DF"/>
    <w:rsid w:val="004D79D8"/>
    <w:rsid w:val="004D7C04"/>
    <w:rsid w:val="004E4D9D"/>
    <w:rsid w:val="004E5ECC"/>
    <w:rsid w:val="004E7159"/>
    <w:rsid w:val="004F3D86"/>
    <w:rsid w:val="00503738"/>
    <w:rsid w:val="00504EEF"/>
    <w:rsid w:val="00514D5C"/>
    <w:rsid w:val="00521CEB"/>
    <w:rsid w:val="00524C6D"/>
    <w:rsid w:val="00526F34"/>
    <w:rsid w:val="00537A09"/>
    <w:rsid w:val="00540CF9"/>
    <w:rsid w:val="005419ED"/>
    <w:rsid w:val="00541E71"/>
    <w:rsid w:val="005506DE"/>
    <w:rsid w:val="00554509"/>
    <w:rsid w:val="00566807"/>
    <w:rsid w:val="005734C6"/>
    <w:rsid w:val="00575814"/>
    <w:rsid w:val="005775FD"/>
    <w:rsid w:val="00584F5A"/>
    <w:rsid w:val="0059109B"/>
    <w:rsid w:val="00592BB4"/>
    <w:rsid w:val="005949D3"/>
    <w:rsid w:val="005A14C6"/>
    <w:rsid w:val="005A1A6A"/>
    <w:rsid w:val="005A223A"/>
    <w:rsid w:val="005A4A90"/>
    <w:rsid w:val="005D510B"/>
    <w:rsid w:val="005D5D9C"/>
    <w:rsid w:val="006243F4"/>
    <w:rsid w:val="006359A5"/>
    <w:rsid w:val="006442EC"/>
    <w:rsid w:val="006513D4"/>
    <w:rsid w:val="0065144E"/>
    <w:rsid w:val="00662F7F"/>
    <w:rsid w:val="00676D7C"/>
    <w:rsid w:val="00684677"/>
    <w:rsid w:val="0069034B"/>
    <w:rsid w:val="006B5CDD"/>
    <w:rsid w:val="006C071D"/>
    <w:rsid w:val="006D30F4"/>
    <w:rsid w:val="006D57EA"/>
    <w:rsid w:val="006F430B"/>
    <w:rsid w:val="006F6BB8"/>
    <w:rsid w:val="00701128"/>
    <w:rsid w:val="00702091"/>
    <w:rsid w:val="00710899"/>
    <w:rsid w:val="00714804"/>
    <w:rsid w:val="0073122B"/>
    <w:rsid w:val="00760E05"/>
    <w:rsid w:val="00782227"/>
    <w:rsid w:val="00786018"/>
    <w:rsid w:val="00790F85"/>
    <w:rsid w:val="00797536"/>
    <w:rsid w:val="007A5679"/>
    <w:rsid w:val="007C5B39"/>
    <w:rsid w:val="007C684F"/>
    <w:rsid w:val="007D5890"/>
    <w:rsid w:val="007E482B"/>
    <w:rsid w:val="008057F4"/>
    <w:rsid w:val="008108C3"/>
    <w:rsid w:val="00823591"/>
    <w:rsid w:val="00833CED"/>
    <w:rsid w:val="0084530C"/>
    <w:rsid w:val="00862C16"/>
    <w:rsid w:val="00871C3C"/>
    <w:rsid w:val="00872EF2"/>
    <w:rsid w:val="0088168F"/>
    <w:rsid w:val="008859F5"/>
    <w:rsid w:val="00896B65"/>
    <w:rsid w:val="008A0E4A"/>
    <w:rsid w:val="008D44B3"/>
    <w:rsid w:val="008D5AA6"/>
    <w:rsid w:val="008F5732"/>
    <w:rsid w:val="0090059C"/>
    <w:rsid w:val="0090061B"/>
    <w:rsid w:val="00930679"/>
    <w:rsid w:val="00995CBF"/>
    <w:rsid w:val="009B3B89"/>
    <w:rsid w:val="009F5005"/>
    <w:rsid w:val="009F5E2C"/>
    <w:rsid w:val="009F6E73"/>
    <w:rsid w:val="00A15D38"/>
    <w:rsid w:val="00A168B1"/>
    <w:rsid w:val="00A20D58"/>
    <w:rsid w:val="00A358CB"/>
    <w:rsid w:val="00A5408F"/>
    <w:rsid w:val="00A8184F"/>
    <w:rsid w:val="00A9246A"/>
    <w:rsid w:val="00A96AE8"/>
    <w:rsid w:val="00A97098"/>
    <w:rsid w:val="00AF3953"/>
    <w:rsid w:val="00B11748"/>
    <w:rsid w:val="00B121E9"/>
    <w:rsid w:val="00B1220F"/>
    <w:rsid w:val="00B209EE"/>
    <w:rsid w:val="00B26B05"/>
    <w:rsid w:val="00B452EF"/>
    <w:rsid w:val="00B555CA"/>
    <w:rsid w:val="00B556DD"/>
    <w:rsid w:val="00B603B8"/>
    <w:rsid w:val="00BA1F21"/>
    <w:rsid w:val="00BA4646"/>
    <w:rsid w:val="00BB70EC"/>
    <w:rsid w:val="00BD5CC7"/>
    <w:rsid w:val="00BE4D50"/>
    <w:rsid w:val="00BF03AA"/>
    <w:rsid w:val="00BF5AC5"/>
    <w:rsid w:val="00C1088B"/>
    <w:rsid w:val="00C173C7"/>
    <w:rsid w:val="00C209FB"/>
    <w:rsid w:val="00C3046F"/>
    <w:rsid w:val="00C3191D"/>
    <w:rsid w:val="00C35CE4"/>
    <w:rsid w:val="00C41329"/>
    <w:rsid w:val="00C62702"/>
    <w:rsid w:val="00C64170"/>
    <w:rsid w:val="00C9754A"/>
    <w:rsid w:val="00C9780D"/>
    <w:rsid w:val="00CB4BE6"/>
    <w:rsid w:val="00CD1BA7"/>
    <w:rsid w:val="00CD2CBC"/>
    <w:rsid w:val="00CE30A8"/>
    <w:rsid w:val="00CE568B"/>
    <w:rsid w:val="00CF776F"/>
    <w:rsid w:val="00D12592"/>
    <w:rsid w:val="00D14D06"/>
    <w:rsid w:val="00D2182A"/>
    <w:rsid w:val="00D31BD2"/>
    <w:rsid w:val="00D31EDA"/>
    <w:rsid w:val="00D54DD9"/>
    <w:rsid w:val="00D71605"/>
    <w:rsid w:val="00D8348A"/>
    <w:rsid w:val="00D91439"/>
    <w:rsid w:val="00DA2111"/>
    <w:rsid w:val="00DB5466"/>
    <w:rsid w:val="00DC04A3"/>
    <w:rsid w:val="00DC1714"/>
    <w:rsid w:val="00DD66FD"/>
    <w:rsid w:val="00DF0156"/>
    <w:rsid w:val="00E0221C"/>
    <w:rsid w:val="00E05FF8"/>
    <w:rsid w:val="00E10849"/>
    <w:rsid w:val="00E309F8"/>
    <w:rsid w:val="00E54E58"/>
    <w:rsid w:val="00E56839"/>
    <w:rsid w:val="00E72B46"/>
    <w:rsid w:val="00E72B64"/>
    <w:rsid w:val="00EB06D2"/>
    <w:rsid w:val="00ED231E"/>
    <w:rsid w:val="00ED3DA7"/>
    <w:rsid w:val="00EE631B"/>
    <w:rsid w:val="00EF73F5"/>
    <w:rsid w:val="00F06947"/>
    <w:rsid w:val="00F072BD"/>
    <w:rsid w:val="00F208BF"/>
    <w:rsid w:val="00F562DE"/>
    <w:rsid w:val="00F62D6C"/>
    <w:rsid w:val="00F63625"/>
    <w:rsid w:val="00F95161"/>
    <w:rsid w:val="00F95256"/>
    <w:rsid w:val="00FB063E"/>
    <w:rsid w:val="00FB0B7F"/>
    <w:rsid w:val="00FB4327"/>
    <w:rsid w:val="00FC3BCF"/>
    <w:rsid w:val="00FD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2173"/>
  <w14:defaultImageDpi w14:val="32767"/>
  <w15:chartTrackingRefBased/>
  <w15:docId w15:val="{78408024-FE89-F346-9067-027EDDF5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7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76F"/>
    <w:rPr>
      <w:rFonts w:ascii="Segoe UI" w:hAnsi="Segoe UI" w:cs="Segoe UI"/>
      <w:sz w:val="18"/>
      <w:szCs w:val="18"/>
      <w:lang w:val="es-ES"/>
    </w:rPr>
  </w:style>
  <w:style w:type="character" w:styleId="CommentReference">
    <w:name w:val="annotation reference"/>
    <w:basedOn w:val="DefaultParagraphFont"/>
    <w:uiPriority w:val="99"/>
    <w:semiHidden/>
    <w:unhideWhenUsed/>
    <w:rsid w:val="00073B65"/>
    <w:rPr>
      <w:sz w:val="16"/>
      <w:szCs w:val="16"/>
    </w:rPr>
  </w:style>
  <w:style w:type="paragraph" w:styleId="CommentText">
    <w:name w:val="annotation text"/>
    <w:basedOn w:val="Normal"/>
    <w:link w:val="CommentTextChar"/>
    <w:uiPriority w:val="99"/>
    <w:semiHidden/>
    <w:unhideWhenUsed/>
    <w:rsid w:val="00073B65"/>
    <w:pPr>
      <w:spacing w:line="240" w:lineRule="auto"/>
    </w:pPr>
    <w:rPr>
      <w:sz w:val="20"/>
      <w:szCs w:val="20"/>
    </w:rPr>
  </w:style>
  <w:style w:type="character" w:customStyle="1" w:styleId="CommentTextChar">
    <w:name w:val="Comment Text Char"/>
    <w:basedOn w:val="DefaultParagraphFont"/>
    <w:link w:val="CommentText"/>
    <w:uiPriority w:val="99"/>
    <w:semiHidden/>
    <w:rsid w:val="00073B65"/>
    <w:rPr>
      <w:sz w:val="20"/>
      <w:szCs w:val="20"/>
      <w:lang w:val="es-ES"/>
    </w:rPr>
  </w:style>
  <w:style w:type="paragraph" w:styleId="CommentSubject">
    <w:name w:val="annotation subject"/>
    <w:basedOn w:val="CommentText"/>
    <w:next w:val="CommentText"/>
    <w:link w:val="CommentSubjectChar"/>
    <w:uiPriority w:val="99"/>
    <w:semiHidden/>
    <w:unhideWhenUsed/>
    <w:rsid w:val="00073B65"/>
    <w:rPr>
      <w:b/>
      <w:bCs/>
    </w:rPr>
  </w:style>
  <w:style w:type="character" w:customStyle="1" w:styleId="CommentSubjectChar">
    <w:name w:val="Comment Subject Char"/>
    <w:basedOn w:val="CommentTextChar"/>
    <w:link w:val="CommentSubject"/>
    <w:uiPriority w:val="99"/>
    <w:semiHidden/>
    <w:rsid w:val="00073B65"/>
    <w:rPr>
      <w:b/>
      <w:bCs/>
      <w:sz w:val="20"/>
      <w:szCs w:val="20"/>
      <w:lang w:val="es-ES"/>
    </w:rPr>
  </w:style>
  <w:style w:type="paragraph" w:customStyle="1" w:styleId="SingleTxtG">
    <w:name w:val="_ Single Txt_G"/>
    <w:basedOn w:val="Normal"/>
    <w:link w:val="SingleTxtGChar"/>
    <w:rsid w:val="000E7D8F"/>
    <w:pPr>
      <w:suppressAutoHyphens/>
      <w:spacing w:after="120" w:line="240" w:lineRule="atLeast"/>
      <w:ind w:left="1134" w:right="1134"/>
      <w:jc w:val="both"/>
    </w:pPr>
    <w:rPr>
      <w:rFonts w:ascii="Times New Roman" w:eastAsia="Times New Roman" w:hAnsi="Times New Roman" w:cs="Times New Roman"/>
      <w:sz w:val="20"/>
      <w:szCs w:val="20"/>
    </w:rPr>
  </w:style>
  <w:style w:type="character" w:styleId="FootnoteReference">
    <w:name w:val="footnote reference"/>
    <w:aliases w:val="4_G"/>
    <w:rsid w:val="000E7D8F"/>
    <w:rPr>
      <w:rFonts w:ascii="Times New Roman" w:hAnsi="Times New Roman"/>
      <w:sz w:val="18"/>
      <w:vertAlign w:val="superscript"/>
    </w:rPr>
  </w:style>
  <w:style w:type="paragraph" w:styleId="FootnoteText">
    <w:name w:val="footnote text"/>
    <w:aliases w:val="5_G"/>
    <w:basedOn w:val="Normal"/>
    <w:link w:val="FootnoteTextChar"/>
    <w:rsid w:val="000E7D8F"/>
    <w:pPr>
      <w:tabs>
        <w:tab w:val="right" w:pos="1021"/>
      </w:tabs>
      <w:suppressAutoHyphens/>
      <w:spacing w:after="0" w:line="220" w:lineRule="exact"/>
      <w:ind w:left="1134" w:right="1134" w:hanging="1134"/>
    </w:pPr>
    <w:rPr>
      <w:rFonts w:ascii="Times New Roman" w:eastAsia="Times New Roman" w:hAnsi="Times New Roman" w:cs="Times New Roman"/>
      <w:sz w:val="18"/>
      <w:szCs w:val="20"/>
    </w:rPr>
  </w:style>
  <w:style w:type="character" w:customStyle="1" w:styleId="FootnoteTextChar">
    <w:name w:val="Footnote Text Char"/>
    <w:aliases w:val="5_G Char"/>
    <w:basedOn w:val="DefaultParagraphFont"/>
    <w:link w:val="FootnoteText"/>
    <w:rsid w:val="000E7D8F"/>
    <w:rPr>
      <w:rFonts w:ascii="Times New Roman" w:eastAsia="Times New Roman" w:hAnsi="Times New Roman" w:cs="Times New Roman"/>
      <w:sz w:val="18"/>
      <w:szCs w:val="20"/>
      <w:lang w:val="es-ES"/>
    </w:rPr>
  </w:style>
  <w:style w:type="character" w:customStyle="1" w:styleId="SingleTxtGChar">
    <w:name w:val="_ Single Txt_G Char"/>
    <w:link w:val="SingleTxtG"/>
    <w:rsid w:val="000E7D8F"/>
    <w:rPr>
      <w:rFonts w:ascii="Times New Roman" w:eastAsia="Times New Roman" w:hAnsi="Times New Roman" w:cs="Times New Roman"/>
      <w:sz w:val="20"/>
      <w:szCs w:val="20"/>
      <w:lang w:val="es-ES"/>
    </w:rPr>
  </w:style>
  <w:style w:type="character" w:customStyle="1" w:styleId="highlight">
    <w:name w:val="highlight"/>
    <w:basedOn w:val="DefaultParagraphFont"/>
    <w:rsid w:val="00E56839"/>
  </w:style>
  <w:style w:type="paragraph" w:styleId="Header">
    <w:name w:val="header"/>
    <w:basedOn w:val="Normal"/>
    <w:link w:val="HeaderChar"/>
    <w:uiPriority w:val="99"/>
    <w:unhideWhenUsed/>
    <w:rsid w:val="00273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03A"/>
    <w:rPr>
      <w:sz w:val="22"/>
      <w:szCs w:val="22"/>
      <w:lang w:val="es-ES"/>
    </w:rPr>
  </w:style>
  <w:style w:type="paragraph" w:styleId="Footer">
    <w:name w:val="footer"/>
    <w:basedOn w:val="Normal"/>
    <w:link w:val="FooterChar"/>
    <w:uiPriority w:val="99"/>
    <w:unhideWhenUsed/>
    <w:rsid w:val="00273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03A"/>
    <w:rPr>
      <w:sz w:val="22"/>
      <w:szCs w:val="22"/>
      <w:lang w:val="es-ES"/>
    </w:rPr>
  </w:style>
  <w:style w:type="paragraph" w:styleId="EndnoteText">
    <w:name w:val="endnote text"/>
    <w:basedOn w:val="Normal"/>
    <w:link w:val="EndnoteTextChar"/>
    <w:uiPriority w:val="99"/>
    <w:unhideWhenUsed/>
    <w:rsid w:val="00BA4646"/>
    <w:pPr>
      <w:spacing w:after="0" w:line="240" w:lineRule="auto"/>
    </w:pPr>
    <w:rPr>
      <w:sz w:val="20"/>
      <w:szCs w:val="20"/>
    </w:rPr>
  </w:style>
  <w:style w:type="character" w:customStyle="1" w:styleId="EndnoteTextChar">
    <w:name w:val="Endnote Text Char"/>
    <w:basedOn w:val="DefaultParagraphFont"/>
    <w:link w:val="EndnoteText"/>
    <w:uiPriority w:val="99"/>
    <w:rsid w:val="00BA4646"/>
    <w:rPr>
      <w:sz w:val="20"/>
      <w:szCs w:val="20"/>
      <w:lang w:val="es-ES"/>
    </w:rPr>
  </w:style>
  <w:style w:type="character" w:styleId="EndnoteReference">
    <w:name w:val="endnote reference"/>
    <w:basedOn w:val="DefaultParagraphFont"/>
    <w:uiPriority w:val="99"/>
    <w:semiHidden/>
    <w:unhideWhenUsed/>
    <w:rsid w:val="00BA4646"/>
    <w:rPr>
      <w:vertAlign w:val="superscript"/>
    </w:rPr>
  </w:style>
  <w:style w:type="paragraph" w:styleId="Revision">
    <w:name w:val="Revision"/>
    <w:hidden/>
    <w:uiPriority w:val="99"/>
    <w:semiHidden/>
    <w:rsid w:val="00B26B05"/>
    <w:rPr>
      <w:sz w:val="22"/>
      <w:szCs w:val="22"/>
    </w:rPr>
  </w:style>
  <w:style w:type="character" w:styleId="Hyperlink">
    <w:name w:val="Hyperlink"/>
    <w:basedOn w:val="DefaultParagraphFont"/>
    <w:uiPriority w:val="99"/>
    <w:unhideWhenUsed/>
    <w:rsid w:val="00896B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4380">
      <w:bodyDiv w:val="1"/>
      <w:marLeft w:val="0"/>
      <w:marRight w:val="0"/>
      <w:marTop w:val="0"/>
      <w:marBottom w:val="0"/>
      <w:divBdr>
        <w:top w:val="none" w:sz="0" w:space="0" w:color="auto"/>
        <w:left w:val="none" w:sz="0" w:space="0" w:color="auto"/>
        <w:bottom w:val="none" w:sz="0" w:space="0" w:color="auto"/>
        <w:right w:val="none" w:sz="0" w:space="0" w:color="auto"/>
      </w:divBdr>
      <w:divsChild>
        <w:div w:id="512771212">
          <w:marLeft w:val="0"/>
          <w:marRight w:val="0"/>
          <w:marTop w:val="0"/>
          <w:marBottom w:val="0"/>
          <w:divBdr>
            <w:top w:val="none" w:sz="0" w:space="0" w:color="auto"/>
            <w:left w:val="none" w:sz="0" w:space="0" w:color="auto"/>
            <w:bottom w:val="none" w:sz="0" w:space="0" w:color="auto"/>
            <w:right w:val="none" w:sz="0" w:space="0" w:color="auto"/>
          </w:divBdr>
        </w:div>
        <w:div w:id="1075128149">
          <w:marLeft w:val="0"/>
          <w:marRight w:val="0"/>
          <w:marTop w:val="0"/>
          <w:marBottom w:val="0"/>
          <w:divBdr>
            <w:top w:val="none" w:sz="0" w:space="0" w:color="auto"/>
            <w:left w:val="none" w:sz="0" w:space="0" w:color="auto"/>
            <w:bottom w:val="none" w:sz="0" w:space="0" w:color="auto"/>
            <w:right w:val="none" w:sz="0" w:space="0" w:color="auto"/>
          </w:divBdr>
        </w:div>
        <w:div w:id="1780292650">
          <w:marLeft w:val="0"/>
          <w:marRight w:val="0"/>
          <w:marTop w:val="0"/>
          <w:marBottom w:val="0"/>
          <w:divBdr>
            <w:top w:val="none" w:sz="0" w:space="0" w:color="auto"/>
            <w:left w:val="none" w:sz="0" w:space="0" w:color="auto"/>
            <w:bottom w:val="none" w:sz="0" w:space="0" w:color="auto"/>
            <w:right w:val="none" w:sz="0" w:space="0" w:color="auto"/>
          </w:divBdr>
        </w:div>
        <w:div w:id="146559100">
          <w:marLeft w:val="0"/>
          <w:marRight w:val="0"/>
          <w:marTop w:val="0"/>
          <w:marBottom w:val="0"/>
          <w:divBdr>
            <w:top w:val="none" w:sz="0" w:space="0" w:color="auto"/>
            <w:left w:val="none" w:sz="0" w:space="0" w:color="auto"/>
            <w:bottom w:val="none" w:sz="0" w:space="0" w:color="auto"/>
            <w:right w:val="none" w:sz="0" w:space="0" w:color="auto"/>
          </w:divBdr>
        </w:div>
        <w:div w:id="1018460485">
          <w:marLeft w:val="0"/>
          <w:marRight w:val="0"/>
          <w:marTop w:val="0"/>
          <w:marBottom w:val="0"/>
          <w:divBdr>
            <w:top w:val="none" w:sz="0" w:space="0" w:color="auto"/>
            <w:left w:val="none" w:sz="0" w:space="0" w:color="auto"/>
            <w:bottom w:val="none" w:sz="0" w:space="0" w:color="auto"/>
            <w:right w:val="none" w:sz="0" w:space="0" w:color="auto"/>
          </w:divBdr>
        </w:div>
        <w:div w:id="2058625563">
          <w:marLeft w:val="0"/>
          <w:marRight w:val="0"/>
          <w:marTop w:val="0"/>
          <w:marBottom w:val="0"/>
          <w:divBdr>
            <w:top w:val="none" w:sz="0" w:space="0" w:color="auto"/>
            <w:left w:val="none" w:sz="0" w:space="0" w:color="auto"/>
            <w:bottom w:val="none" w:sz="0" w:space="0" w:color="auto"/>
            <w:right w:val="none" w:sz="0" w:space="0" w:color="auto"/>
          </w:divBdr>
        </w:div>
        <w:div w:id="1944993793">
          <w:marLeft w:val="0"/>
          <w:marRight w:val="0"/>
          <w:marTop w:val="0"/>
          <w:marBottom w:val="0"/>
          <w:divBdr>
            <w:top w:val="none" w:sz="0" w:space="0" w:color="auto"/>
            <w:left w:val="none" w:sz="0" w:space="0" w:color="auto"/>
            <w:bottom w:val="none" w:sz="0" w:space="0" w:color="auto"/>
            <w:right w:val="none" w:sz="0" w:space="0" w:color="auto"/>
          </w:divBdr>
        </w:div>
        <w:div w:id="2068609076">
          <w:marLeft w:val="0"/>
          <w:marRight w:val="0"/>
          <w:marTop w:val="0"/>
          <w:marBottom w:val="0"/>
          <w:divBdr>
            <w:top w:val="none" w:sz="0" w:space="0" w:color="auto"/>
            <w:left w:val="none" w:sz="0" w:space="0" w:color="auto"/>
            <w:bottom w:val="none" w:sz="0" w:space="0" w:color="auto"/>
            <w:right w:val="none" w:sz="0" w:space="0" w:color="auto"/>
          </w:divBdr>
        </w:div>
      </w:divsChild>
    </w:div>
    <w:div w:id="356153598">
      <w:bodyDiv w:val="1"/>
      <w:marLeft w:val="0"/>
      <w:marRight w:val="0"/>
      <w:marTop w:val="0"/>
      <w:marBottom w:val="0"/>
      <w:divBdr>
        <w:top w:val="none" w:sz="0" w:space="0" w:color="auto"/>
        <w:left w:val="none" w:sz="0" w:space="0" w:color="auto"/>
        <w:bottom w:val="none" w:sz="0" w:space="0" w:color="auto"/>
        <w:right w:val="none" w:sz="0" w:space="0" w:color="auto"/>
      </w:divBdr>
      <w:divsChild>
        <w:div w:id="1748846786">
          <w:marLeft w:val="0"/>
          <w:marRight w:val="0"/>
          <w:marTop w:val="0"/>
          <w:marBottom w:val="0"/>
          <w:divBdr>
            <w:top w:val="none" w:sz="0" w:space="0" w:color="auto"/>
            <w:left w:val="none" w:sz="0" w:space="0" w:color="auto"/>
            <w:bottom w:val="none" w:sz="0" w:space="0" w:color="auto"/>
            <w:right w:val="none" w:sz="0" w:space="0" w:color="auto"/>
          </w:divBdr>
        </w:div>
        <w:div w:id="1238902595">
          <w:marLeft w:val="0"/>
          <w:marRight w:val="0"/>
          <w:marTop w:val="0"/>
          <w:marBottom w:val="0"/>
          <w:divBdr>
            <w:top w:val="none" w:sz="0" w:space="0" w:color="auto"/>
            <w:left w:val="none" w:sz="0" w:space="0" w:color="auto"/>
            <w:bottom w:val="none" w:sz="0" w:space="0" w:color="auto"/>
            <w:right w:val="none" w:sz="0" w:space="0" w:color="auto"/>
          </w:divBdr>
        </w:div>
        <w:div w:id="1015232673">
          <w:marLeft w:val="0"/>
          <w:marRight w:val="0"/>
          <w:marTop w:val="0"/>
          <w:marBottom w:val="0"/>
          <w:divBdr>
            <w:top w:val="none" w:sz="0" w:space="0" w:color="auto"/>
            <w:left w:val="none" w:sz="0" w:space="0" w:color="auto"/>
            <w:bottom w:val="none" w:sz="0" w:space="0" w:color="auto"/>
            <w:right w:val="none" w:sz="0" w:space="0" w:color="auto"/>
          </w:divBdr>
        </w:div>
      </w:divsChild>
    </w:div>
    <w:div w:id="826482000">
      <w:bodyDiv w:val="1"/>
      <w:marLeft w:val="0"/>
      <w:marRight w:val="0"/>
      <w:marTop w:val="0"/>
      <w:marBottom w:val="0"/>
      <w:divBdr>
        <w:top w:val="none" w:sz="0" w:space="0" w:color="auto"/>
        <w:left w:val="none" w:sz="0" w:space="0" w:color="auto"/>
        <w:bottom w:val="none" w:sz="0" w:space="0" w:color="auto"/>
        <w:right w:val="none" w:sz="0" w:space="0" w:color="auto"/>
      </w:divBdr>
    </w:div>
    <w:div w:id="827403058">
      <w:bodyDiv w:val="1"/>
      <w:marLeft w:val="0"/>
      <w:marRight w:val="0"/>
      <w:marTop w:val="0"/>
      <w:marBottom w:val="0"/>
      <w:divBdr>
        <w:top w:val="none" w:sz="0" w:space="0" w:color="auto"/>
        <w:left w:val="none" w:sz="0" w:space="0" w:color="auto"/>
        <w:bottom w:val="none" w:sz="0" w:space="0" w:color="auto"/>
        <w:right w:val="none" w:sz="0" w:space="0" w:color="auto"/>
      </w:divBdr>
      <w:divsChild>
        <w:div w:id="67921933">
          <w:marLeft w:val="0"/>
          <w:marRight w:val="150"/>
          <w:marTop w:val="0"/>
          <w:marBottom w:val="0"/>
          <w:divBdr>
            <w:top w:val="none" w:sz="0" w:space="0" w:color="auto"/>
            <w:left w:val="none" w:sz="0" w:space="0" w:color="auto"/>
            <w:bottom w:val="none" w:sz="0" w:space="0" w:color="auto"/>
            <w:right w:val="none" w:sz="0" w:space="0" w:color="auto"/>
          </w:divBdr>
          <w:divsChild>
            <w:div w:id="2104177504">
              <w:marLeft w:val="0"/>
              <w:marRight w:val="0"/>
              <w:marTop w:val="0"/>
              <w:marBottom w:val="0"/>
              <w:divBdr>
                <w:top w:val="none" w:sz="0" w:space="0" w:color="auto"/>
                <w:left w:val="none" w:sz="0" w:space="0" w:color="auto"/>
                <w:bottom w:val="none" w:sz="0" w:space="0" w:color="auto"/>
                <w:right w:val="none" w:sz="0" w:space="0" w:color="auto"/>
              </w:divBdr>
            </w:div>
          </w:divsChild>
        </w:div>
        <w:div w:id="1370187164">
          <w:marLeft w:val="0"/>
          <w:marRight w:val="0"/>
          <w:marTop w:val="0"/>
          <w:marBottom w:val="0"/>
          <w:divBdr>
            <w:top w:val="none" w:sz="0" w:space="0" w:color="auto"/>
            <w:left w:val="none" w:sz="0" w:space="0" w:color="auto"/>
            <w:bottom w:val="none" w:sz="0" w:space="0" w:color="auto"/>
            <w:right w:val="none" w:sz="0" w:space="0" w:color="auto"/>
          </w:divBdr>
        </w:div>
      </w:divsChild>
    </w:div>
    <w:div w:id="1001390424">
      <w:bodyDiv w:val="1"/>
      <w:marLeft w:val="0"/>
      <w:marRight w:val="0"/>
      <w:marTop w:val="0"/>
      <w:marBottom w:val="0"/>
      <w:divBdr>
        <w:top w:val="none" w:sz="0" w:space="0" w:color="auto"/>
        <w:left w:val="none" w:sz="0" w:space="0" w:color="auto"/>
        <w:bottom w:val="none" w:sz="0" w:space="0" w:color="auto"/>
        <w:right w:val="none" w:sz="0" w:space="0" w:color="auto"/>
      </w:divBdr>
      <w:divsChild>
        <w:div w:id="1279919881">
          <w:marLeft w:val="0"/>
          <w:marRight w:val="0"/>
          <w:marTop w:val="0"/>
          <w:marBottom w:val="0"/>
          <w:divBdr>
            <w:top w:val="none" w:sz="0" w:space="0" w:color="auto"/>
            <w:left w:val="none" w:sz="0" w:space="0" w:color="auto"/>
            <w:bottom w:val="none" w:sz="0" w:space="0" w:color="auto"/>
            <w:right w:val="none" w:sz="0" w:space="0" w:color="auto"/>
          </w:divBdr>
        </w:div>
        <w:div w:id="1715885827">
          <w:marLeft w:val="0"/>
          <w:marRight w:val="0"/>
          <w:marTop w:val="0"/>
          <w:marBottom w:val="0"/>
          <w:divBdr>
            <w:top w:val="none" w:sz="0" w:space="0" w:color="auto"/>
            <w:left w:val="none" w:sz="0" w:space="0" w:color="auto"/>
            <w:bottom w:val="none" w:sz="0" w:space="0" w:color="auto"/>
            <w:right w:val="none" w:sz="0" w:space="0" w:color="auto"/>
          </w:divBdr>
        </w:div>
        <w:div w:id="536628504">
          <w:marLeft w:val="0"/>
          <w:marRight w:val="0"/>
          <w:marTop w:val="0"/>
          <w:marBottom w:val="0"/>
          <w:divBdr>
            <w:top w:val="none" w:sz="0" w:space="0" w:color="auto"/>
            <w:left w:val="none" w:sz="0" w:space="0" w:color="auto"/>
            <w:bottom w:val="none" w:sz="0" w:space="0" w:color="auto"/>
            <w:right w:val="none" w:sz="0" w:space="0" w:color="auto"/>
          </w:divBdr>
        </w:div>
      </w:divsChild>
    </w:div>
    <w:div w:id="1049768165">
      <w:bodyDiv w:val="1"/>
      <w:marLeft w:val="0"/>
      <w:marRight w:val="0"/>
      <w:marTop w:val="0"/>
      <w:marBottom w:val="0"/>
      <w:divBdr>
        <w:top w:val="none" w:sz="0" w:space="0" w:color="auto"/>
        <w:left w:val="none" w:sz="0" w:space="0" w:color="auto"/>
        <w:bottom w:val="none" w:sz="0" w:space="0" w:color="auto"/>
        <w:right w:val="none" w:sz="0" w:space="0" w:color="auto"/>
      </w:divBdr>
      <w:divsChild>
        <w:div w:id="1407730674">
          <w:marLeft w:val="0"/>
          <w:marRight w:val="0"/>
          <w:marTop w:val="0"/>
          <w:marBottom w:val="0"/>
          <w:divBdr>
            <w:top w:val="none" w:sz="0" w:space="0" w:color="auto"/>
            <w:left w:val="none" w:sz="0" w:space="0" w:color="auto"/>
            <w:bottom w:val="none" w:sz="0" w:space="0" w:color="auto"/>
            <w:right w:val="none" w:sz="0" w:space="0" w:color="auto"/>
          </w:divBdr>
        </w:div>
        <w:div w:id="662011682">
          <w:marLeft w:val="0"/>
          <w:marRight w:val="0"/>
          <w:marTop w:val="0"/>
          <w:marBottom w:val="0"/>
          <w:divBdr>
            <w:top w:val="none" w:sz="0" w:space="0" w:color="auto"/>
            <w:left w:val="none" w:sz="0" w:space="0" w:color="auto"/>
            <w:bottom w:val="none" w:sz="0" w:space="0" w:color="auto"/>
            <w:right w:val="none" w:sz="0" w:space="0" w:color="auto"/>
          </w:divBdr>
        </w:div>
        <w:div w:id="1464958629">
          <w:marLeft w:val="0"/>
          <w:marRight w:val="0"/>
          <w:marTop w:val="0"/>
          <w:marBottom w:val="0"/>
          <w:divBdr>
            <w:top w:val="none" w:sz="0" w:space="0" w:color="auto"/>
            <w:left w:val="none" w:sz="0" w:space="0" w:color="auto"/>
            <w:bottom w:val="none" w:sz="0" w:space="0" w:color="auto"/>
            <w:right w:val="none" w:sz="0" w:space="0" w:color="auto"/>
          </w:divBdr>
        </w:div>
        <w:div w:id="490147536">
          <w:marLeft w:val="0"/>
          <w:marRight w:val="0"/>
          <w:marTop w:val="0"/>
          <w:marBottom w:val="0"/>
          <w:divBdr>
            <w:top w:val="none" w:sz="0" w:space="0" w:color="auto"/>
            <w:left w:val="none" w:sz="0" w:space="0" w:color="auto"/>
            <w:bottom w:val="none" w:sz="0" w:space="0" w:color="auto"/>
            <w:right w:val="none" w:sz="0" w:space="0" w:color="auto"/>
          </w:divBdr>
        </w:div>
        <w:div w:id="1317151592">
          <w:marLeft w:val="0"/>
          <w:marRight w:val="0"/>
          <w:marTop w:val="0"/>
          <w:marBottom w:val="0"/>
          <w:divBdr>
            <w:top w:val="none" w:sz="0" w:space="0" w:color="auto"/>
            <w:left w:val="none" w:sz="0" w:space="0" w:color="auto"/>
            <w:bottom w:val="none" w:sz="0" w:space="0" w:color="auto"/>
            <w:right w:val="none" w:sz="0" w:space="0" w:color="auto"/>
          </w:divBdr>
        </w:div>
        <w:div w:id="1308634272">
          <w:marLeft w:val="0"/>
          <w:marRight w:val="0"/>
          <w:marTop w:val="0"/>
          <w:marBottom w:val="0"/>
          <w:divBdr>
            <w:top w:val="none" w:sz="0" w:space="0" w:color="auto"/>
            <w:left w:val="none" w:sz="0" w:space="0" w:color="auto"/>
            <w:bottom w:val="none" w:sz="0" w:space="0" w:color="auto"/>
            <w:right w:val="none" w:sz="0" w:space="0" w:color="auto"/>
          </w:divBdr>
        </w:div>
        <w:div w:id="490634882">
          <w:marLeft w:val="0"/>
          <w:marRight w:val="0"/>
          <w:marTop w:val="0"/>
          <w:marBottom w:val="0"/>
          <w:divBdr>
            <w:top w:val="none" w:sz="0" w:space="0" w:color="auto"/>
            <w:left w:val="none" w:sz="0" w:space="0" w:color="auto"/>
            <w:bottom w:val="none" w:sz="0" w:space="0" w:color="auto"/>
            <w:right w:val="none" w:sz="0" w:space="0" w:color="auto"/>
          </w:divBdr>
        </w:div>
        <w:div w:id="1819305169">
          <w:marLeft w:val="0"/>
          <w:marRight w:val="0"/>
          <w:marTop w:val="0"/>
          <w:marBottom w:val="0"/>
          <w:divBdr>
            <w:top w:val="none" w:sz="0" w:space="0" w:color="auto"/>
            <w:left w:val="none" w:sz="0" w:space="0" w:color="auto"/>
            <w:bottom w:val="none" w:sz="0" w:space="0" w:color="auto"/>
            <w:right w:val="none" w:sz="0" w:space="0" w:color="auto"/>
          </w:divBdr>
        </w:div>
      </w:divsChild>
    </w:div>
    <w:div w:id="1437140039">
      <w:bodyDiv w:val="1"/>
      <w:marLeft w:val="0"/>
      <w:marRight w:val="0"/>
      <w:marTop w:val="0"/>
      <w:marBottom w:val="0"/>
      <w:divBdr>
        <w:top w:val="none" w:sz="0" w:space="0" w:color="auto"/>
        <w:left w:val="none" w:sz="0" w:space="0" w:color="auto"/>
        <w:bottom w:val="none" w:sz="0" w:space="0" w:color="auto"/>
        <w:right w:val="none" w:sz="0" w:space="0" w:color="auto"/>
      </w:divBdr>
    </w:div>
    <w:div w:id="1599483220">
      <w:bodyDiv w:val="1"/>
      <w:marLeft w:val="0"/>
      <w:marRight w:val="0"/>
      <w:marTop w:val="0"/>
      <w:marBottom w:val="0"/>
      <w:divBdr>
        <w:top w:val="none" w:sz="0" w:space="0" w:color="auto"/>
        <w:left w:val="none" w:sz="0" w:space="0" w:color="auto"/>
        <w:bottom w:val="none" w:sz="0" w:space="0" w:color="auto"/>
        <w:right w:val="none" w:sz="0" w:space="0" w:color="auto"/>
      </w:divBdr>
      <w:divsChild>
        <w:div w:id="1078481028">
          <w:marLeft w:val="0"/>
          <w:marRight w:val="0"/>
          <w:marTop w:val="0"/>
          <w:marBottom w:val="0"/>
          <w:divBdr>
            <w:top w:val="none" w:sz="0" w:space="0" w:color="auto"/>
            <w:left w:val="none" w:sz="0" w:space="0" w:color="auto"/>
            <w:bottom w:val="none" w:sz="0" w:space="0" w:color="auto"/>
            <w:right w:val="none" w:sz="0" w:space="0" w:color="auto"/>
          </w:divBdr>
        </w:div>
        <w:div w:id="158079143">
          <w:marLeft w:val="0"/>
          <w:marRight w:val="0"/>
          <w:marTop w:val="0"/>
          <w:marBottom w:val="0"/>
          <w:divBdr>
            <w:top w:val="none" w:sz="0" w:space="0" w:color="auto"/>
            <w:left w:val="none" w:sz="0" w:space="0" w:color="auto"/>
            <w:bottom w:val="none" w:sz="0" w:space="0" w:color="auto"/>
            <w:right w:val="none" w:sz="0" w:space="0" w:color="auto"/>
          </w:divBdr>
        </w:div>
        <w:div w:id="1556234597">
          <w:marLeft w:val="0"/>
          <w:marRight w:val="0"/>
          <w:marTop w:val="0"/>
          <w:marBottom w:val="0"/>
          <w:divBdr>
            <w:top w:val="none" w:sz="0" w:space="0" w:color="auto"/>
            <w:left w:val="none" w:sz="0" w:space="0" w:color="auto"/>
            <w:bottom w:val="none" w:sz="0" w:space="0" w:color="auto"/>
            <w:right w:val="none" w:sz="0" w:space="0" w:color="auto"/>
          </w:divBdr>
        </w:div>
      </w:divsChild>
    </w:div>
    <w:div w:id="1675493576">
      <w:bodyDiv w:val="1"/>
      <w:marLeft w:val="0"/>
      <w:marRight w:val="0"/>
      <w:marTop w:val="0"/>
      <w:marBottom w:val="0"/>
      <w:divBdr>
        <w:top w:val="none" w:sz="0" w:space="0" w:color="auto"/>
        <w:left w:val="none" w:sz="0" w:space="0" w:color="auto"/>
        <w:bottom w:val="none" w:sz="0" w:space="0" w:color="auto"/>
        <w:right w:val="none" w:sz="0" w:space="0" w:color="auto"/>
      </w:divBdr>
      <w:divsChild>
        <w:div w:id="1651446741">
          <w:marLeft w:val="0"/>
          <w:marRight w:val="0"/>
          <w:marTop w:val="0"/>
          <w:marBottom w:val="0"/>
          <w:divBdr>
            <w:top w:val="none" w:sz="0" w:space="0" w:color="auto"/>
            <w:left w:val="none" w:sz="0" w:space="0" w:color="auto"/>
            <w:bottom w:val="none" w:sz="0" w:space="0" w:color="auto"/>
            <w:right w:val="none" w:sz="0" w:space="0" w:color="auto"/>
          </w:divBdr>
        </w:div>
        <w:div w:id="1922331180">
          <w:marLeft w:val="0"/>
          <w:marRight w:val="0"/>
          <w:marTop w:val="0"/>
          <w:marBottom w:val="0"/>
          <w:divBdr>
            <w:top w:val="none" w:sz="0" w:space="0" w:color="auto"/>
            <w:left w:val="none" w:sz="0" w:space="0" w:color="auto"/>
            <w:bottom w:val="none" w:sz="0" w:space="0" w:color="auto"/>
            <w:right w:val="none" w:sz="0" w:space="0" w:color="auto"/>
          </w:divBdr>
        </w:div>
        <w:div w:id="503594257">
          <w:marLeft w:val="0"/>
          <w:marRight w:val="0"/>
          <w:marTop w:val="0"/>
          <w:marBottom w:val="0"/>
          <w:divBdr>
            <w:top w:val="none" w:sz="0" w:space="0" w:color="auto"/>
            <w:left w:val="none" w:sz="0" w:space="0" w:color="auto"/>
            <w:bottom w:val="none" w:sz="0" w:space="0" w:color="auto"/>
            <w:right w:val="none" w:sz="0" w:space="0" w:color="auto"/>
          </w:divBdr>
        </w:div>
        <w:div w:id="1077824253">
          <w:marLeft w:val="0"/>
          <w:marRight w:val="0"/>
          <w:marTop w:val="0"/>
          <w:marBottom w:val="0"/>
          <w:divBdr>
            <w:top w:val="none" w:sz="0" w:space="0" w:color="auto"/>
            <w:left w:val="none" w:sz="0" w:space="0" w:color="auto"/>
            <w:bottom w:val="none" w:sz="0" w:space="0" w:color="auto"/>
            <w:right w:val="none" w:sz="0" w:space="0" w:color="auto"/>
          </w:divBdr>
        </w:div>
        <w:div w:id="2098935680">
          <w:marLeft w:val="0"/>
          <w:marRight w:val="0"/>
          <w:marTop w:val="0"/>
          <w:marBottom w:val="0"/>
          <w:divBdr>
            <w:top w:val="none" w:sz="0" w:space="0" w:color="auto"/>
            <w:left w:val="none" w:sz="0" w:space="0" w:color="auto"/>
            <w:bottom w:val="none" w:sz="0" w:space="0" w:color="auto"/>
            <w:right w:val="none" w:sz="0" w:space="0" w:color="auto"/>
          </w:divBdr>
        </w:div>
        <w:div w:id="1012956406">
          <w:marLeft w:val="0"/>
          <w:marRight w:val="0"/>
          <w:marTop w:val="0"/>
          <w:marBottom w:val="0"/>
          <w:divBdr>
            <w:top w:val="none" w:sz="0" w:space="0" w:color="auto"/>
            <w:left w:val="none" w:sz="0" w:space="0" w:color="auto"/>
            <w:bottom w:val="none" w:sz="0" w:space="0" w:color="auto"/>
            <w:right w:val="none" w:sz="0" w:space="0" w:color="auto"/>
          </w:divBdr>
        </w:div>
        <w:div w:id="122383388">
          <w:marLeft w:val="0"/>
          <w:marRight w:val="0"/>
          <w:marTop w:val="0"/>
          <w:marBottom w:val="0"/>
          <w:divBdr>
            <w:top w:val="none" w:sz="0" w:space="0" w:color="auto"/>
            <w:left w:val="none" w:sz="0" w:space="0" w:color="auto"/>
            <w:bottom w:val="none" w:sz="0" w:space="0" w:color="auto"/>
            <w:right w:val="none" w:sz="0" w:space="0" w:color="auto"/>
          </w:divBdr>
        </w:div>
        <w:div w:id="80180038">
          <w:marLeft w:val="0"/>
          <w:marRight w:val="0"/>
          <w:marTop w:val="0"/>
          <w:marBottom w:val="0"/>
          <w:divBdr>
            <w:top w:val="none" w:sz="0" w:space="0" w:color="auto"/>
            <w:left w:val="none" w:sz="0" w:space="0" w:color="auto"/>
            <w:bottom w:val="none" w:sz="0" w:space="0" w:color="auto"/>
            <w:right w:val="none" w:sz="0" w:space="0" w:color="auto"/>
          </w:divBdr>
        </w:div>
      </w:divsChild>
    </w:div>
    <w:div w:id="1726490186">
      <w:bodyDiv w:val="1"/>
      <w:marLeft w:val="0"/>
      <w:marRight w:val="0"/>
      <w:marTop w:val="0"/>
      <w:marBottom w:val="0"/>
      <w:divBdr>
        <w:top w:val="none" w:sz="0" w:space="0" w:color="auto"/>
        <w:left w:val="none" w:sz="0" w:space="0" w:color="auto"/>
        <w:bottom w:val="none" w:sz="0" w:space="0" w:color="auto"/>
        <w:right w:val="none" w:sz="0" w:space="0" w:color="auto"/>
      </w:divBdr>
    </w:div>
    <w:div w:id="1733851758">
      <w:bodyDiv w:val="1"/>
      <w:marLeft w:val="0"/>
      <w:marRight w:val="0"/>
      <w:marTop w:val="0"/>
      <w:marBottom w:val="0"/>
      <w:divBdr>
        <w:top w:val="none" w:sz="0" w:space="0" w:color="auto"/>
        <w:left w:val="none" w:sz="0" w:space="0" w:color="auto"/>
        <w:bottom w:val="none" w:sz="0" w:space="0" w:color="auto"/>
        <w:right w:val="none" w:sz="0" w:space="0" w:color="auto"/>
      </w:divBdr>
      <w:divsChild>
        <w:div w:id="1466704512">
          <w:marLeft w:val="0"/>
          <w:marRight w:val="0"/>
          <w:marTop w:val="0"/>
          <w:marBottom w:val="0"/>
          <w:divBdr>
            <w:top w:val="none" w:sz="0" w:space="0" w:color="auto"/>
            <w:left w:val="none" w:sz="0" w:space="0" w:color="auto"/>
            <w:bottom w:val="none" w:sz="0" w:space="0" w:color="auto"/>
            <w:right w:val="none" w:sz="0" w:space="0" w:color="auto"/>
          </w:divBdr>
        </w:div>
        <w:div w:id="321474141">
          <w:marLeft w:val="0"/>
          <w:marRight w:val="0"/>
          <w:marTop w:val="0"/>
          <w:marBottom w:val="0"/>
          <w:divBdr>
            <w:top w:val="none" w:sz="0" w:space="0" w:color="auto"/>
            <w:left w:val="none" w:sz="0" w:space="0" w:color="auto"/>
            <w:bottom w:val="none" w:sz="0" w:space="0" w:color="auto"/>
            <w:right w:val="none" w:sz="0" w:space="0" w:color="auto"/>
          </w:divBdr>
        </w:div>
        <w:div w:id="1940405998">
          <w:marLeft w:val="0"/>
          <w:marRight w:val="0"/>
          <w:marTop w:val="0"/>
          <w:marBottom w:val="0"/>
          <w:divBdr>
            <w:top w:val="none" w:sz="0" w:space="0" w:color="auto"/>
            <w:left w:val="none" w:sz="0" w:space="0" w:color="auto"/>
            <w:bottom w:val="none" w:sz="0" w:space="0" w:color="auto"/>
            <w:right w:val="none" w:sz="0" w:space="0" w:color="auto"/>
          </w:divBdr>
        </w:div>
        <w:div w:id="1099368946">
          <w:marLeft w:val="0"/>
          <w:marRight w:val="0"/>
          <w:marTop w:val="0"/>
          <w:marBottom w:val="0"/>
          <w:divBdr>
            <w:top w:val="none" w:sz="0" w:space="0" w:color="auto"/>
            <w:left w:val="none" w:sz="0" w:space="0" w:color="auto"/>
            <w:bottom w:val="none" w:sz="0" w:space="0" w:color="auto"/>
            <w:right w:val="none" w:sz="0" w:space="0" w:color="auto"/>
          </w:divBdr>
        </w:div>
        <w:div w:id="589703263">
          <w:marLeft w:val="0"/>
          <w:marRight w:val="0"/>
          <w:marTop w:val="0"/>
          <w:marBottom w:val="0"/>
          <w:divBdr>
            <w:top w:val="none" w:sz="0" w:space="0" w:color="auto"/>
            <w:left w:val="none" w:sz="0" w:space="0" w:color="auto"/>
            <w:bottom w:val="none" w:sz="0" w:space="0" w:color="auto"/>
            <w:right w:val="none" w:sz="0" w:space="0" w:color="auto"/>
          </w:divBdr>
        </w:div>
      </w:divsChild>
    </w:div>
    <w:div w:id="1752123957">
      <w:bodyDiv w:val="1"/>
      <w:marLeft w:val="0"/>
      <w:marRight w:val="0"/>
      <w:marTop w:val="0"/>
      <w:marBottom w:val="0"/>
      <w:divBdr>
        <w:top w:val="none" w:sz="0" w:space="0" w:color="auto"/>
        <w:left w:val="none" w:sz="0" w:space="0" w:color="auto"/>
        <w:bottom w:val="none" w:sz="0" w:space="0" w:color="auto"/>
        <w:right w:val="none" w:sz="0" w:space="0" w:color="auto"/>
      </w:divBdr>
    </w:div>
    <w:div w:id="1772965641">
      <w:bodyDiv w:val="1"/>
      <w:marLeft w:val="0"/>
      <w:marRight w:val="0"/>
      <w:marTop w:val="0"/>
      <w:marBottom w:val="0"/>
      <w:divBdr>
        <w:top w:val="none" w:sz="0" w:space="0" w:color="auto"/>
        <w:left w:val="none" w:sz="0" w:space="0" w:color="auto"/>
        <w:bottom w:val="none" w:sz="0" w:space="0" w:color="auto"/>
        <w:right w:val="none" w:sz="0" w:space="0" w:color="auto"/>
      </w:divBdr>
      <w:divsChild>
        <w:div w:id="269749207">
          <w:marLeft w:val="0"/>
          <w:marRight w:val="0"/>
          <w:marTop w:val="0"/>
          <w:marBottom w:val="0"/>
          <w:divBdr>
            <w:top w:val="none" w:sz="0" w:space="0" w:color="auto"/>
            <w:left w:val="none" w:sz="0" w:space="0" w:color="auto"/>
            <w:bottom w:val="none" w:sz="0" w:space="0" w:color="auto"/>
            <w:right w:val="none" w:sz="0" w:space="0" w:color="auto"/>
          </w:divBdr>
        </w:div>
        <w:div w:id="1245988047">
          <w:marLeft w:val="0"/>
          <w:marRight w:val="0"/>
          <w:marTop w:val="0"/>
          <w:marBottom w:val="0"/>
          <w:divBdr>
            <w:top w:val="none" w:sz="0" w:space="0" w:color="auto"/>
            <w:left w:val="none" w:sz="0" w:space="0" w:color="auto"/>
            <w:bottom w:val="none" w:sz="0" w:space="0" w:color="auto"/>
            <w:right w:val="none" w:sz="0" w:space="0" w:color="auto"/>
          </w:divBdr>
        </w:div>
        <w:div w:id="1629775537">
          <w:marLeft w:val="0"/>
          <w:marRight w:val="0"/>
          <w:marTop w:val="0"/>
          <w:marBottom w:val="0"/>
          <w:divBdr>
            <w:top w:val="none" w:sz="0" w:space="0" w:color="auto"/>
            <w:left w:val="none" w:sz="0" w:space="0" w:color="auto"/>
            <w:bottom w:val="none" w:sz="0" w:space="0" w:color="auto"/>
            <w:right w:val="none" w:sz="0" w:space="0" w:color="auto"/>
          </w:divBdr>
        </w:div>
        <w:div w:id="767654852">
          <w:marLeft w:val="0"/>
          <w:marRight w:val="0"/>
          <w:marTop w:val="0"/>
          <w:marBottom w:val="0"/>
          <w:divBdr>
            <w:top w:val="none" w:sz="0" w:space="0" w:color="auto"/>
            <w:left w:val="none" w:sz="0" w:space="0" w:color="auto"/>
            <w:bottom w:val="none" w:sz="0" w:space="0" w:color="auto"/>
            <w:right w:val="none" w:sz="0" w:space="0" w:color="auto"/>
          </w:divBdr>
        </w:div>
        <w:div w:id="726300622">
          <w:marLeft w:val="0"/>
          <w:marRight w:val="0"/>
          <w:marTop w:val="0"/>
          <w:marBottom w:val="0"/>
          <w:divBdr>
            <w:top w:val="none" w:sz="0" w:space="0" w:color="auto"/>
            <w:left w:val="none" w:sz="0" w:space="0" w:color="auto"/>
            <w:bottom w:val="none" w:sz="0" w:space="0" w:color="auto"/>
            <w:right w:val="none" w:sz="0" w:space="0" w:color="auto"/>
          </w:divBdr>
        </w:div>
        <w:div w:id="964968276">
          <w:marLeft w:val="0"/>
          <w:marRight w:val="0"/>
          <w:marTop w:val="0"/>
          <w:marBottom w:val="0"/>
          <w:divBdr>
            <w:top w:val="none" w:sz="0" w:space="0" w:color="auto"/>
            <w:left w:val="none" w:sz="0" w:space="0" w:color="auto"/>
            <w:bottom w:val="none" w:sz="0" w:space="0" w:color="auto"/>
            <w:right w:val="none" w:sz="0" w:space="0" w:color="auto"/>
          </w:divBdr>
        </w:div>
        <w:div w:id="451091067">
          <w:marLeft w:val="0"/>
          <w:marRight w:val="0"/>
          <w:marTop w:val="0"/>
          <w:marBottom w:val="0"/>
          <w:divBdr>
            <w:top w:val="none" w:sz="0" w:space="0" w:color="auto"/>
            <w:left w:val="none" w:sz="0" w:space="0" w:color="auto"/>
            <w:bottom w:val="none" w:sz="0" w:space="0" w:color="auto"/>
            <w:right w:val="none" w:sz="0" w:space="0" w:color="auto"/>
          </w:divBdr>
        </w:div>
        <w:div w:id="1866167821">
          <w:marLeft w:val="0"/>
          <w:marRight w:val="0"/>
          <w:marTop w:val="0"/>
          <w:marBottom w:val="0"/>
          <w:divBdr>
            <w:top w:val="none" w:sz="0" w:space="0" w:color="auto"/>
            <w:left w:val="none" w:sz="0" w:space="0" w:color="auto"/>
            <w:bottom w:val="none" w:sz="0" w:space="0" w:color="auto"/>
            <w:right w:val="none" w:sz="0" w:space="0" w:color="auto"/>
          </w:divBdr>
        </w:div>
        <w:div w:id="1945720508">
          <w:marLeft w:val="0"/>
          <w:marRight w:val="0"/>
          <w:marTop w:val="0"/>
          <w:marBottom w:val="0"/>
          <w:divBdr>
            <w:top w:val="none" w:sz="0" w:space="0" w:color="auto"/>
            <w:left w:val="none" w:sz="0" w:space="0" w:color="auto"/>
            <w:bottom w:val="none" w:sz="0" w:space="0" w:color="auto"/>
            <w:right w:val="none" w:sz="0" w:space="0" w:color="auto"/>
          </w:divBdr>
        </w:div>
        <w:div w:id="488134207">
          <w:marLeft w:val="0"/>
          <w:marRight w:val="0"/>
          <w:marTop w:val="0"/>
          <w:marBottom w:val="0"/>
          <w:divBdr>
            <w:top w:val="none" w:sz="0" w:space="0" w:color="auto"/>
            <w:left w:val="none" w:sz="0" w:space="0" w:color="auto"/>
            <w:bottom w:val="none" w:sz="0" w:space="0" w:color="auto"/>
            <w:right w:val="none" w:sz="0" w:space="0" w:color="auto"/>
          </w:divBdr>
        </w:div>
        <w:div w:id="1652951697">
          <w:marLeft w:val="0"/>
          <w:marRight w:val="0"/>
          <w:marTop w:val="0"/>
          <w:marBottom w:val="0"/>
          <w:divBdr>
            <w:top w:val="none" w:sz="0" w:space="0" w:color="auto"/>
            <w:left w:val="none" w:sz="0" w:space="0" w:color="auto"/>
            <w:bottom w:val="none" w:sz="0" w:space="0" w:color="auto"/>
            <w:right w:val="none" w:sz="0" w:space="0" w:color="auto"/>
          </w:divBdr>
        </w:div>
        <w:div w:id="1707022973">
          <w:marLeft w:val="0"/>
          <w:marRight w:val="0"/>
          <w:marTop w:val="0"/>
          <w:marBottom w:val="0"/>
          <w:divBdr>
            <w:top w:val="none" w:sz="0" w:space="0" w:color="auto"/>
            <w:left w:val="none" w:sz="0" w:space="0" w:color="auto"/>
            <w:bottom w:val="none" w:sz="0" w:space="0" w:color="auto"/>
            <w:right w:val="none" w:sz="0" w:space="0" w:color="auto"/>
          </w:divBdr>
        </w:div>
        <w:div w:id="734624805">
          <w:marLeft w:val="0"/>
          <w:marRight w:val="0"/>
          <w:marTop w:val="0"/>
          <w:marBottom w:val="0"/>
          <w:divBdr>
            <w:top w:val="none" w:sz="0" w:space="0" w:color="auto"/>
            <w:left w:val="none" w:sz="0" w:space="0" w:color="auto"/>
            <w:bottom w:val="none" w:sz="0" w:space="0" w:color="auto"/>
            <w:right w:val="none" w:sz="0" w:space="0" w:color="auto"/>
          </w:divBdr>
        </w:div>
        <w:div w:id="1050762633">
          <w:marLeft w:val="0"/>
          <w:marRight w:val="0"/>
          <w:marTop w:val="0"/>
          <w:marBottom w:val="0"/>
          <w:divBdr>
            <w:top w:val="none" w:sz="0" w:space="0" w:color="auto"/>
            <w:left w:val="none" w:sz="0" w:space="0" w:color="auto"/>
            <w:bottom w:val="none" w:sz="0" w:space="0" w:color="auto"/>
            <w:right w:val="none" w:sz="0" w:space="0" w:color="auto"/>
          </w:divBdr>
        </w:div>
        <w:div w:id="1928684956">
          <w:marLeft w:val="0"/>
          <w:marRight w:val="0"/>
          <w:marTop w:val="0"/>
          <w:marBottom w:val="0"/>
          <w:divBdr>
            <w:top w:val="none" w:sz="0" w:space="0" w:color="auto"/>
            <w:left w:val="none" w:sz="0" w:space="0" w:color="auto"/>
            <w:bottom w:val="none" w:sz="0" w:space="0" w:color="auto"/>
            <w:right w:val="none" w:sz="0" w:space="0" w:color="auto"/>
          </w:divBdr>
        </w:div>
        <w:div w:id="734090963">
          <w:marLeft w:val="0"/>
          <w:marRight w:val="0"/>
          <w:marTop w:val="0"/>
          <w:marBottom w:val="0"/>
          <w:divBdr>
            <w:top w:val="none" w:sz="0" w:space="0" w:color="auto"/>
            <w:left w:val="none" w:sz="0" w:space="0" w:color="auto"/>
            <w:bottom w:val="none" w:sz="0" w:space="0" w:color="auto"/>
            <w:right w:val="none" w:sz="0" w:space="0" w:color="auto"/>
          </w:divBdr>
        </w:div>
        <w:div w:id="1828355506">
          <w:marLeft w:val="0"/>
          <w:marRight w:val="0"/>
          <w:marTop w:val="0"/>
          <w:marBottom w:val="0"/>
          <w:divBdr>
            <w:top w:val="none" w:sz="0" w:space="0" w:color="auto"/>
            <w:left w:val="none" w:sz="0" w:space="0" w:color="auto"/>
            <w:bottom w:val="none" w:sz="0" w:space="0" w:color="auto"/>
            <w:right w:val="none" w:sz="0" w:space="0" w:color="auto"/>
          </w:divBdr>
        </w:div>
        <w:div w:id="845825612">
          <w:marLeft w:val="0"/>
          <w:marRight w:val="0"/>
          <w:marTop w:val="0"/>
          <w:marBottom w:val="0"/>
          <w:divBdr>
            <w:top w:val="none" w:sz="0" w:space="0" w:color="auto"/>
            <w:left w:val="none" w:sz="0" w:space="0" w:color="auto"/>
            <w:bottom w:val="none" w:sz="0" w:space="0" w:color="auto"/>
            <w:right w:val="none" w:sz="0" w:space="0" w:color="auto"/>
          </w:divBdr>
        </w:div>
      </w:divsChild>
    </w:div>
    <w:div w:id="2146658579">
      <w:bodyDiv w:val="1"/>
      <w:marLeft w:val="0"/>
      <w:marRight w:val="0"/>
      <w:marTop w:val="0"/>
      <w:marBottom w:val="0"/>
      <w:divBdr>
        <w:top w:val="none" w:sz="0" w:space="0" w:color="auto"/>
        <w:left w:val="none" w:sz="0" w:space="0" w:color="auto"/>
        <w:bottom w:val="none" w:sz="0" w:space="0" w:color="auto"/>
        <w:right w:val="none" w:sz="0" w:space="0" w:color="auto"/>
      </w:divBdr>
      <w:divsChild>
        <w:div w:id="267127741">
          <w:marLeft w:val="0"/>
          <w:marRight w:val="0"/>
          <w:marTop w:val="0"/>
          <w:marBottom w:val="0"/>
          <w:divBdr>
            <w:top w:val="none" w:sz="0" w:space="0" w:color="auto"/>
            <w:left w:val="none" w:sz="0" w:space="0" w:color="auto"/>
            <w:bottom w:val="none" w:sz="0" w:space="0" w:color="auto"/>
            <w:right w:val="none" w:sz="0" w:space="0" w:color="auto"/>
          </w:divBdr>
        </w:div>
        <w:div w:id="1699813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bracingdiversity.net/files/report/1494325101_choice-and-control-onepager.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bracingdiversity.net/files/report/1494325154_enabling-inclusion-onepager.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es/A/70/29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bracingdiversity.net/files/report/1494325196_fighting-poverty-onepager.pdf"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www.ilo.org/secsoc/areas-of-work/policy-development-and-applied-research/social-protection-floor/lang--en/index.htm" TargetMode="External"/><Relationship Id="rId1" Type="http://schemas.openxmlformats.org/officeDocument/2006/relationships/hyperlink" Target="https://www.usp2030.org/gimi/ShowRessource.action;jsessionid=cwYZJekmzlwoPDmZNu7EULSTArg-jN2OPS6Fvsviywjo1Jksz2_O!1883341381?id=55473" TargetMode="External"/><Relationship Id="rId4" Type="http://schemas.openxmlformats.org/officeDocument/2006/relationships/hyperlink" Target="http://hdr.undp.org/en/faq-page/multidimensional-poverty-index-m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6C87F-0865-4F07-92B4-D97D0BC4827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86B9950-16F2-4BA7-813C-0D968C2929CB}"/>
</file>

<file path=customXml/itemProps3.xml><?xml version="1.0" encoding="utf-8"?>
<ds:datastoreItem xmlns:ds="http://schemas.openxmlformats.org/officeDocument/2006/customXml" ds:itemID="{D63CE38D-116C-4FE9-80C4-6875D0AED5F0}">
  <ds:schemaRefs>
    <ds:schemaRef ds:uri="http://schemas.microsoft.com/sharepoint/v3/contenttype/forms"/>
  </ds:schemaRefs>
</ds:datastoreItem>
</file>

<file path=customXml/itemProps4.xml><?xml version="1.0" encoding="utf-8"?>
<ds:datastoreItem xmlns:ds="http://schemas.openxmlformats.org/officeDocument/2006/customXml" ds:itemID="{0ED4CA5F-2B2C-4A21-8662-C0D9D4AA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1315</Words>
  <Characters>7500</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5</cp:revision>
  <dcterms:created xsi:type="dcterms:W3CDTF">2020-06-16T14:02:00Z</dcterms:created>
  <dcterms:modified xsi:type="dcterms:W3CDTF">2020-07-02T15:24:00Z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