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265" w:tblpY="-42"/>
        <w:tblW w:w="14575" w:type="dxa"/>
        <w:tblLook w:val="04A0" w:firstRow="1" w:lastRow="0" w:firstColumn="1" w:lastColumn="0" w:noHBand="0" w:noVBand="1"/>
      </w:tblPr>
      <w:tblGrid>
        <w:gridCol w:w="1054"/>
        <w:gridCol w:w="7262"/>
        <w:gridCol w:w="6259"/>
      </w:tblGrid>
      <w:tr w:rsidR="00AD3349" w:rsidRPr="008C25FE" w14:paraId="67C66155" w14:textId="77777777" w:rsidTr="00FD5F4F">
        <w:trPr>
          <w:tblHeader/>
        </w:trPr>
        <w:tc>
          <w:tcPr>
            <w:tcW w:w="14575" w:type="dxa"/>
            <w:gridSpan w:val="3"/>
            <w:shd w:val="clear" w:color="auto" w:fill="BFBFBF" w:themeFill="background1" w:themeFillShade="BF"/>
          </w:tcPr>
          <w:p w14:paraId="501F9C92" w14:textId="01FA8398" w:rsidR="0065051C" w:rsidRPr="008C25FE" w:rsidRDefault="007422DB" w:rsidP="004C5CCF">
            <w:pPr>
              <w:jc w:val="center"/>
              <w:rPr>
                <w:rFonts w:cstheme="minorHAnsi"/>
                <w:b/>
                <w:sz w:val="18"/>
                <w:szCs w:val="18"/>
              </w:rPr>
            </w:pPr>
            <w:bookmarkStart w:id="0" w:name="OLE_LINK69"/>
            <w:bookmarkStart w:id="1" w:name="OLE_LINK70"/>
            <w:r w:rsidRPr="008C25FE">
              <w:rPr>
                <w:rFonts w:cstheme="minorHAnsi"/>
                <w:b/>
                <w:sz w:val="18"/>
                <w:szCs w:val="18"/>
              </w:rPr>
              <w:t>Article 31</w:t>
            </w:r>
            <w:r w:rsidR="0065051C" w:rsidRPr="008C25FE">
              <w:rPr>
                <w:rFonts w:cstheme="minorHAnsi"/>
                <w:b/>
                <w:sz w:val="18"/>
                <w:szCs w:val="18"/>
              </w:rPr>
              <w:t xml:space="preserve"> - List of illustrative indicators on </w:t>
            </w:r>
            <w:r w:rsidRPr="008C25FE">
              <w:rPr>
                <w:rFonts w:cstheme="minorHAnsi"/>
                <w:b/>
                <w:sz w:val="18"/>
                <w:szCs w:val="18"/>
              </w:rPr>
              <w:t>Statistics and data collection</w:t>
            </w:r>
            <w:bookmarkEnd w:id="0"/>
            <w:bookmarkEnd w:id="1"/>
          </w:p>
        </w:tc>
      </w:tr>
      <w:tr w:rsidR="00AD3349" w:rsidRPr="008C25FE" w14:paraId="1113D4A1" w14:textId="77777777" w:rsidTr="00FD5F4F">
        <w:trPr>
          <w:tblHeader/>
        </w:trPr>
        <w:tc>
          <w:tcPr>
            <w:tcW w:w="14575" w:type="dxa"/>
            <w:gridSpan w:val="3"/>
            <w:shd w:val="clear" w:color="auto" w:fill="auto"/>
          </w:tcPr>
          <w:p w14:paraId="4090E0FB" w14:textId="4C2B45E9" w:rsidR="0065051C" w:rsidRPr="008C25FE" w:rsidRDefault="007422DB" w:rsidP="004C5CCF">
            <w:pPr>
              <w:jc w:val="center"/>
              <w:rPr>
                <w:rFonts w:cstheme="minorHAnsi"/>
                <w:b/>
                <w:sz w:val="18"/>
                <w:szCs w:val="18"/>
              </w:rPr>
            </w:pPr>
            <w:r w:rsidRPr="008C25FE">
              <w:rPr>
                <w:rFonts w:cstheme="minorHAnsi"/>
                <w:b/>
                <w:sz w:val="18"/>
                <w:szCs w:val="18"/>
              </w:rPr>
              <w:t>Statistics and data collection</w:t>
            </w:r>
          </w:p>
        </w:tc>
      </w:tr>
      <w:tr w:rsidR="003F432C" w:rsidRPr="008C25FE" w14:paraId="10FDE2E4" w14:textId="77777777" w:rsidTr="00FD5F4F">
        <w:trPr>
          <w:tblHeader/>
        </w:trPr>
        <w:tc>
          <w:tcPr>
            <w:tcW w:w="1054" w:type="dxa"/>
            <w:shd w:val="clear" w:color="auto" w:fill="auto"/>
          </w:tcPr>
          <w:p w14:paraId="40D0D6FD" w14:textId="77777777" w:rsidR="003F432C" w:rsidRPr="008C25FE" w:rsidRDefault="003F432C" w:rsidP="004C5CCF">
            <w:pPr>
              <w:jc w:val="center"/>
              <w:rPr>
                <w:rFonts w:cstheme="minorHAnsi"/>
                <w:b/>
                <w:sz w:val="18"/>
                <w:szCs w:val="18"/>
              </w:rPr>
            </w:pPr>
            <w:r w:rsidRPr="008C25FE">
              <w:rPr>
                <w:rFonts w:cstheme="minorHAnsi"/>
                <w:b/>
                <w:sz w:val="18"/>
                <w:szCs w:val="18"/>
              </w:rPr>
              <w:t>Attributes/</w:t>
            </w:r>
          </w:p>
          <w:p w14:paraId="26D49216" w14:textId="77777777" w:rsidR="003F432C" w:rsidRPr="008C25FE" w:rsidRDefault="003F432C" w:rsidP="004C5CCF">
            <w:pPr>
              <w:jc w:val="center"/>
              <w:rPr>
                <w:rFonts w:cstheme="minorHAnsi"/>
                <w:b/>
                <w:sz w:val="18"/>
                <w:szCs w:val="18"/>
              </w:rPr>
            </w:pPr>
            <w:r w:rsidRPr="008C25FE">
              <w:rPr>
                <w:rFonts w:cstheme="minorHAnsi"/>
                <w:b/>
                <w:sz w:val="18"/>
                <w:szCs w:val="18"/>
              </w:rPr>
              <w:t>Indicators</w:t>
            </w:r>
          </w:p>
        </w:tc>
        <w:tc>
          <w:tcPr>
            <w:tcW w:w="7262" w:type="dxa"/>
            <w:shd w:val="clear" w:color="auto" w:fill="auto"/>
          </w:tcPr>
          <w:p w14:paraId="2CAF58CA" w14:textId="7A558366" w:rsidR="003F432C" w:rsidRPr="008C25FE" w:rsidRDefault="003F432C" w:rsidP="004C5CCF">
            <w:pPr>
              <w:jc w:val="center"/>
              <w:rPr>
                <w:rFonts w:cstheme="minorHAnsi"/>
                <w:b/>
                <w:sz w:val="18"/>
                <w:szCs w:val="18"/>
              </w:rPr>
            </w:pPr>
            <w:r w:rsidRPr="008C25FE">
              <w:rPr>
                <w:rFonts w:cstheme="minorHAnsi"/>
                <w:b/>
                <w:sz w:val="18"/>
                <w:szCs w:val="18"/>
              </w:rPr>
              <w:t>Research, collection and disaggregation of information</w:t>
            </w:r>
          </w:p>
        </w:tc>
        <w:tc>
          <w:tcPr>
            <w:tcW w:w="6259" w:type="dxa"/>
            <w:shd w:val="clear" w:color="auto" w:fill="auto"/>
          </w:tcPr>
          <w:p w14:paraId="5DEE108D" w14:textId="18C494D4" w:rsidR="003F432C" w:rsidRPr="008C25FE" w:rsidRDefault="003F432C" w:rsidP="004C5CCF">
            <w:pPr>
              <w:jc w:val="center"/>
              <w:rPr>
                <w:rFonts w:cstheme="minorHAnsi"/>
                <w:b/>
                <w:sz w:val="18"/>
                <w:szCs w:val="18"/>
              </w:rPr>
            </w:pPr>
            <w:r w:rsidRPr="008C25FE">
              <w:rPr>
                <w:rFonts w:cstheme="minorHAnsi"/>
                <w:b/>
                <w:sz w:val="18"/>
                <w:szCs w:val="18"/>
              </w:rPr>
              <w:t>Dissemination of and access to statistical and research data</w:t>
            </w:r>
          </w:p>
        </w:tc>
      </w:tr>
      <w:tr w:rsidR="00D6399D" w:rsidRPr="008C25FE" w14:paraId="4ECE9922" w14:textId="77777777" w:rsidTr="004C5CCF">
        <w:trPr>
          <w:trHeight w:val="3589"/>
        </w:trPr>
        <w:tc>
          <w:tcPr>
            <w:tcW w:w="1054" w:type="dxa"/>
            <w:shd w:val="clear" w:color="auto" w:fill="auto"/>
          </w:tcPr>
          <w:p w14:paraId="76F60D5B" w14:textId="77777777" w:rsidR="00D6399D" w:rsidRPr="008C25FE" w:rsidRDefault="00D6399D" w:rsidP="004C5CCF">
            <w:pPr>
              <w:pStyle w:val="ListParagraph"/>
              <w:ind w:left="0"/>
              <w:rPr>
                <w:rFonts w:cstheme="minorHAnsi"/>
                <w:b/>
                <w:sz w:val="18"/>
                <w:szCs w:val="18"/>
              </w:rPr>
            </w:pPr>
            <w:r w:rsidRPr="008C25FE">
              <w:rPr>
                <w:rFonts w:cstheme="minorHAnsi"/>
                <w:b/>
                <w:sz w:val="18"/>
                <w:szCs w:val="18"/>
              </w:rPr>
              <w:t>Structure</w:t>
            </w:r>
          </w:p>
        </w:tc>
        <w:tc>
          <w:tcPr>
            <w:tcW w:w="7262" w:type="dxa"/>
            <w:shd w:val="clear" w:color="auto" w:fill="auto"/>
          </w:tcPr>
          <w:p w14:paraId="64B72ECB" w14:textId="4CFC9F53" w:rsidR="00D6399D" w:rsidRPr="008C25FE" w:rsidRDefault="00D6399D" w:rsidP="004C5CCF">
            <w:pPr>
              <w:jc w:val="both"/>
              <w:rPr>
                <w:rFonts w:cstheme="minorHAnsi"/>
                <w:sz w:val="18"/>
                <w:szCs w:val="18"/>
              </w:rPr>
            </w:pPr>
            <w:r w:rsidRPr="008C25FE">
              <w:rPr>
                <w:rFonts w:cstheme="minorHAnsi"/>
                <w:sz w:val="18"/>
                <w:szCs w:val="18"/>
              </w:rPr>
              <w:t>31.1 Legislation enacted that regulates the national statistical system coordinated by the national statistics office</w:t>
            </w:r>
            <w:r w:rsidRPr="008C25FE">
              <w:rPr>
                <w:rStyle w:val="EndnoteReference"/>
                <w:rFonts w:cstheme="minorHAnsi"/>
                <w:sz w:val="18"/>
                <w:szCs w:val="18"/>
              </w:rPr>
              <w:endnoteReference w:id="1"/>
            </w:r>
            <w:r w:rsidRPr="008C25FE">
              <w:rPr>
                <w:rFonts w:cstheme="minorHAnsi"/>
                <w:sz w:val="18"/>
                <w:szCs w:val="18"/>
              </w:rPr>
              <w:t xml:space="preserve"> and which:</w:t>
            </w:r>
          </w:p>
          <w:p w14:paraId="505235FE" w14:textId="27D1A687" w:rsidR="00D6399D" w:rsidRPr="008C25FE" w:rsidRDefault="00D6399D" w:rsidP="004C5CCF">
            <w:pPr>
              <w:jc w:val="both"/>
              <w:rPr>
                <w:rFonts w:cstheme="minorHAnsi"/>
                <w:sz w:val="18"/>
                <w:szCs w:val="18"/>
              </w:rPr>
            </w:pPr>
            <w:r w:rsidRPr="008C25FE">
              <w:rPr>
                <w:rFonts w:cstheme="minorHAnsi"/>
                <w:sz w:val="18"/>
                <w:szCs w:val="18"/>
              </w:rPr>
              <w:t>- complies with internationally accepted norms and ethical principles in collection and use of data,</w:t>
            </w:r>
            <w:r w:rsidRPr="008C25FE">
              <w:rPr>
                <w:rStyle w:val="EndnoteReference"/>
                <w:rFonts w:cstheme="minorHAnsi"/>
                <w:sz w:val="18"/>
                <w:szCs w:val="18"/>
              </w:rPr>
              <w:endnoteReference w:id="2"/>
            </w:r>
            <w:r w:rsidRPr="008C25FE">
              <w:rPr>
                <w:rFonts w:cstheme="minorHAnsi"/>
                <w:sz w:val="18"/>
                <w:szCs w:val="18"/>
              </w:rPr>
              <w:t xml:space="preserve"> </w:t>
            </w:r>
          </w:p>
          <w:p w14:paraId="0B5E7513" w14:textId="07A5B1A7" w:rsidR="00D6399D" w:rsidRPr="008C25FE" w:rsidRDefault="00D6399D" w:rsidP="004C5CCF">
            <w:pPr>
              <w:jc w:val="both"/>
              <w:rPr>
                <w:rFonts w:cstheme="minorHAnsi"/>
                <w:sz w:val="18"/>
                <w:szCs w:val="18"/>
              </w:rPr>
            </w:pPr>
            <w:r w:rsidRPr="008C25FE">
              <w:rPr>
                <w:rFonts w:cstheme="minorHAnsi"/>
                <w:sz w:val="18"/>
                <w:szCs w:val="18"/>
              </w:rPr>
              <w:t xml:space="preserve">- mandates </w:t>
            </w:r>
            <w:r w:rsidR="00CC0919" w:rsidRPr="008C25FE">
              <w:rPr>
                <w:rFonts w:cstheme="minorHAnsi"/>
                <w:sz w:val="18"/>
                <w:szCs w:val="18"/>
              </w:rPr>
              <w:t xml:space="preserve">the </w:t>
            </w:r>
            <w:r w:rsidRPr="008C25FE">
              <w:rPr>
                <w:rFonts w:cstheme="minorHAnsi"/>
                <w:sz w:val="18"/>
                <w:szCs w:val="18"/>
              </w:rPr>
              <w:t xml:space="preserve">availability of high-quality, timely and reliable data disaggregated by income, </w:t>
            </w:r>
            <w:r w:rsidR="00CC0919" w:rsidRPr="008C25FE">
              <w:rPr>
                <w:rFonts w:cstheme="minorHAnsi"/>
                <w:sz w:val="18"/>
                <w:szCs w:val="18"/>
              </w:rPr>
              <w:t>sex</w:t>
            </w:r>
            <w:r w:rsidRPr="008C25FE">
              <w:rPr>
                <w:rFonts w:cstheme="minorHAnsi"/>
                <w:sz w:val="18"/>
                <w:szCs w:val="18"/>
              </w:rPr>
              <w:t xml:space="preserve">, age, race, ethnicity, migratory status, disability, geographic, location and other characteristics relevant </w:t>
            </w:r>
            <w:r w:rsidR="00CC0919" w:rsidRPr="008C25FE">
              <w:rPr>
                <w:rFonts w:cstheme="minorHAnsi"/>
                <w:sz w:val="18"/>
                <w:szCs w:val="18"/>
              </w:rPr>
              <w:t>to</w:t>
            </w:r>
            <w:r w:rsidR="00492EA0" w:rsidRPr="008C25FE">
              <w:rPr>
                <w:rFonts w:cstheme="minorHAnsi"/>
                <w:sz w:val="18"/>
                <w:szCs w:val="18"/>
              </w:rPr>
              <w:t xml:space="preserve"> national contexts (b</w:t>
            </w:r>
            <w:r w:rsidRPr="008C25FE">
              <w:rPr>
                <w:rFonts w:cstheme="minorHAnsi"/>
                <w:sz w:val="18"/>
                <w:szCs w:val="18"/>
              </w:rPr>
              <w:t>ased on SDG Target 17.18)</w:t>
            </w:r>
          </w:p>
          <w:p w14:paraId="37336C9D" w14:textId="7B49934B" w:rsidR="00D6399D" w:rsidRPr="008C25FE" w:rsidRDefault="00D6399D" w:rsidP="004C5CCF">
            <w:pPr>
              <w:jc w:val="both"/>
              <w:rPr>
                <w:rFonts w:cstheme="minorHAnsi"/>
                <w:sz w:val="18"/>
                <w:szCs w:val="18"/>
              </w:rPr>
            </w:pPr>
            <w:r w:rsidRPr="008C25FE">
              <w:rPr>
                <w:rFonts w:cstheme="minorHAnsi"/>
                <w:sz w:val="18"/>
                <w:szCs w:val="18"/>
              </w:rPr>
              <w:t xml:space="preserve">- establishes safeguards and remedies, including </w:t>
            </w:r>
            <w:r w:rsidR="00CC0919" w:rsidRPr="008C25FE">
              <w:rPr>
                <w:rFonts w:cstheme="minorHAnsi"/>
                <w:sz w:val="18"/>
                <w:szCs w:val="18"/>
              </w:rPr>
              <w:t xml:space="preserve">concerning </w:t>
            </w:r>
            <w:r w:rsidRPr="008C25FE">
              <w:rPr>
                <w:rFonts w:cstheme="minorHAnsi"/>
                <w:sz w:val="18"/>
                <w:szCs w:val="18"/>
              </w:rPr>
              <w:t>data protection, to ensure confidentiality and respect for privacy of persons with disabilities;</w:t>
            </w:r>
          </w:p>
          <w:p w14:paraId="65A48701" w14:textId="2734E3D2" w:rsidR="00D6399D" w:rsidRPr="008C25FE" w:rsidRDefault="00D6399D" w:rsidP="004C5CCF">
            <w:pPr>
              <w:jc w:val="both"/>
              <w:rPr>
                <w:rFonts w:cstheme="minorHAnsi"/>
                <w:sz w:val="18"/>
                <w:szCs w:val="18"/>
              </w:rPr>
            </w:pPr>
            <w:r w:rsidRPr="008C25FE">
              <w:rPr>
                <w:rFonts w:cstheme="minorHAnsi"/>
                <w:sz w:val="18"/>
                <w:szCs w:val="18"/>
              </w:rPr>
              <w:t>- ensures coordination for the production of administrative data on persons with disabilities.</w:t>
            </w:r>
          </w:p>
          <w:p w14:paraId="3CA36F33" w14:textId="69394CE8" w:rsidR="00D6399D" w:rsidRPr="008C25FE" w:rsidRDefault="00D6399D" w:rsidP="004C5CCF">
            <w:pPr>
              <w:jc w:val="both"/>
              <w:rPr>
                <w:rFonts w:cstheme="minorHAnsi"/>
                <w:sz w:val="18"/>
                <w:szCs w:val="18"/>
              </w:rPr>
            </w:pPr>
            <w:r w:rsidRPr="008C25FE">
              <w:rPr>
                <w:rFonts w:cstheme="minorHAnsi"/>
                <w:sz w:val="18"/>
                <w:szCs w:val="18"/>
              </w:rPr>
              <w:t>31.2 National strategy or plan to ensure</w:t>
            </w:r>
            <w:r w:rsidR="00CC0919" w:rsidRPr="008C25FE">
              <w:rPr>
                <w:rFonts w:cstheme="minorHAnsi"/>
                <w:sz w:val="18"/>
                <w:szCs w:val="18"/>
              </w:rPr>
              <w:t xml:space="preserve"> the</w:t>
            </w:r>
            <w:r w:rsidRPr="008C25FE">
              <w:rPr>
                <w:rFonts w:cstheme="minorHAnsi"/>
                <w:sz w:val="18"/>
                <w:szCs w:val="18"/>
              </w:rPr>
              <w:t xml:space="preserve"> production </w:t>
            </w:r>
            <w:r w:rsidR="00286353" w:rsidRPr="008C25FE">
              <w:rPr>
                <w:rFonts w:cstheme="minorHAnsi"/>
                <w:sz w:val="18"/>
                <w:szCs w:val="18"/>
              </w:rPr>
              <w:t xml:space="preserve">and storage </w:t>
            </w:r>
            <w:r w:rsidRPr="008C25FE">
              <w:rPr>
                <w:rFonts w:cstheme="minorHAnsi"/>
                <w:sz w:val="18"/>
                <w:szCs w:val="18"/>
              </w:rPr>
              <w:t xml:space="preserve">of statistical data disaggregated by disability within </w:t>
            </w:r>
            <w:r w:rsidR="001F4FFD" w:rsidRPr="008C25FE">
              <w:rPr>
                <w:rFonts w:cstheme="minorHAnsi"/>
                <w:sz w:val="18"/>
                <w:szCs w:val="18"/>
              </w:rPr>
              <w:t xml:space="preserve">the </w:t>
            </w:r>
            <w:r w:rsidRPr="008C25FE">
              <w:rPr>
                <w:rFonts w:cstheme="minorHAnsi"/>
                <w:sz w:val="18"/>
                <w:szCs w:val="18"/>
              </w:rPr>
              <w:t xml:space="preserve">national statistical system </w:t>
            </w:r>
            <w:r w:rsidR="00467D59" w:rsidRPr="008C25FE">
              <w:rPr>
                <w:rFonts w:cstheme="minorHAnsi"/>
                <w:sz w:val="18"/>
                <w:szCs w:val="18"/>
              </w:rPr>
              <w:t>across all sectors</w:t>
            </w:r>
            <w:r w:rsidR="00467D59" w:rsidRPr="008C25FE">
              <w:rPr>
                <w:rStyle w:val="EndnoteReference"/>
                <w:rFonts w:cstheme="minorHAnsi"/>
                <w:sz w:val="18"/>
                <w:szCs w:val="18"/>
              </w:rPr>
              <w:endnoteReference w:id="3"/>
            </w:r>
            <w:r w:rsidR="00467D59" w:rsidRPr="008C25FE">
              <w:rPr>
                <w:rFonts w:cstheme="minorHAnsi"/>
                <w:sz w:val="18"/>
                <w:szCs w:val="18"/>
              </w:rPr>
              <w:t xml:space="preserve"> </w:t>
            </w:r>
            <w:r w:rsidRPr="008C25FE">
              <w:rPr>
                <w:rFonts w:cstheme="minorHAnsi"/>
                <w:sz w:val="18"/>
                <w:szCs w:val="18"/>
              </w:rPr>
              <w:t>and undertake and promote research</w:t>
            </w:r>
            <w:r w:rsidRPr="008C25FE">
              <w:rPr>
                <w:rStyle w:val="EndnoteReference"/>
                <w:rFonts w:cstheme="minorHAnsi"/>
                <w:sz w:val="18"/>
                <w:szCs w:val="18"/>
              </w:rPr>
              <w:endnoteReference w:id="4"/>
            </w:r>
            <w:r w:rsidRPr="008C25FE">
              <w:rPr>
                <w:rFonts w:cstheme="minorHAnsi"/>
                <w:sz w:val="18"/>
                <w:szCs w:val="18"/>
              </w:rPr>
              <w:t xml:space="preserve"> on the rights of persons with disabilities to identify barriers to their implementation, in connection to all </w:t>
            </w:r>
            <w:r w:rsidR="00047855" w:rsidRPr="008C25FE">
              <w:rPr>
                <w:rFonts w:cstheme="minorHAnsi"/>
                <w:sz w:val="18"/>
                <w:szCs w:val="18"/>
              </w:rPr>
              <w:t>rights</w:t>
            </w:r>
            <w:r w:rsidRPr="008C25FE">
              <w:rPr>
                <w:rFonts w:cstheme="minorHAnsi"/>
                <w:sz w:val="18"/>
                <w:szCs w:val="18"/>
              </w:rPr>
              <w:t xml:space="preserve">.  </w:t>
            </w:r>
          </w:p>
          <w:p w14:paraId="4668BAF9" w14:textId="6B3DF2CB" w:rsidR="00D6399D" w:rsidRPr="008C25FE" w:rsidRDefault="00D6399D" w:rsidP="004C5CCF">
            <w:pPr>
              <w:jc w:val="both"/>
              <w:rPr>
                <w:rFonts w:cstheme="minorHAnsi"/>
                <w:sz w:val="18"/>
                <w:szCs w:val="18"/>
              </w:rPr>
            </w:pPr>
            <w:r w:rsidRPr="008C25FE">
              <w:rPr>
                <w:rFonts w:cstheme="minorHAnsi"/>
                <w:sz w:val="18"/>
                <w:szCs w:val="18"/>
              </w:rPr>
              <w:t xml:space="preserve">31.3 Legal requirement to establish a marker on all public spending specifically on </w:t>
            </w:r>
            <w:r w:rsidR="000916AC" w:rsidRPr="008C25FE">
              <w:rPr>
                <w:rFonts w:cstheme="minorHAnsi"/>
                <w:sz w:val="18"/>
                <w:szCs w:val="18"/>
              </w:rPr>
              <w:t xml:space="preserve">research and </w:t>
            </w:r>
            <w:r w:rsidRPr="008C25FE">
              <w:rPr>
                <w:rFonts w:cstheme="minorHAnsi"/>
                <w:sz w:val="18"/>
                <w:szCs w:val="18"/>
              </w:rPr>
              <w:t>data collection and disaggregation related to persons with disabilities and the barriers they face in the exercise of their rights, and all related activities (trainings, awareness raising campaigns, etc.).</w:t>
            </w:r>
            <w:r w:rsidRPr="008C25FE">
              <w:rPr>
                <w:rStyle w:val="EndnoteReference"/>
                <w:rFonts w:cstheme="minorHAnsi"/>
                <w:sz w:val="18"/>
                <w:szCs w:val="18"/>
              </w:rPr>
              <w:endnoteReference w:id="5"/>
            </w:r>
          </w:p>
        </w:tc>
        <w:tc>
          <w:tcPr>
            <w:tcW w:w="6259" w:type="dxa"/>
            <w:shd w:val="clear" w:color="auto" w:fill="auto"/>
          </w:tcPr>
          <w:p w14:paraId="472E9C97" w14:textId="56483CBE" w:rsidR="00D6399D" w:rsidRPr="008C25FE" w:rsidRDefault="00D6399D" w:rsidP="004C5CCF">
            <w:pPr>
              <w:jc w:val="both"/>
              <w:rPr>
                <w:rFonts w:cstheme="minorHAnsi"/>
                <w:sz w:val="18"/>
                <w:szCs w:val="18"/>
              </w:rPr>
            </w:pPr>
            <w:r w:rsidRPr="008C25FE">
              <w:rPr>
                <w:rFonts w:cstheme="minorHAnsi"/>
                <w:sz w:val="18"/>
                <w:szCs w:val="18"/>
              </w:rPr>
              <w:t xml:space="preserve">31.4 Legislation enacted providing for access </w:t>
            </w:r>
            <w:r w:rsidR="003A4B6F" w:rsidRPr="008C25FE">
              <w:rPr>
                <w:rFonts w:cstheme="minorHAnsi"/>
                <w:sz w:val="18"/>
                <w:szCs w:val="18"/>
              </w:rPr>
              <w:t xml:space="preserve">to </w:t>
            </w:r>
            <w:r w:rsidRPr="008C25FE">
              <w:rPr>
                <w:rFonts w:cstheme="minorHAnsi"/>
                <w:sz w:val="18"/>
                <w:szCs w:val="18"/>
              </w:rPr>
              <w:t>statistical and research data in accessible formats and technologies, without additional cost.</w:t>
            </w:r>
            <w:r w:rsidRPr="008C25FE">
              <w:rPr>
                <w:rStyle w:val="EndnoteReference"/>
                <w:rFonts w:cstheme="minorHAnsi"/>
                <w:sz w:val="18"/>
                <w:szCs w:val="18"/>
              </w:rPr>
              <w:endnoteReference w:id="6"/>
            </w:r>
          </w:p>
          <w:p w14:paraId="09967A5F" w14:textId="73348C62" w:rsidR="00D6399D" w:rsidRPr="008C25FE" w:rsidRDefault="00D6399D" w:rsidP="004C5CCF">
            <w:pPr>
              <w:jc w:val="both"/>
              <w:rPr>
                <w:rFonts w:cstheme="minorHAnsi"/>
                <w:sz w:val="18"/>
                <w:szCs w:val="18"/>
              </w:rPr>
            </w:pPr>
            <w:r w:rsidRPr="008C25FE">
              <w:rPr>
                <w:rFonts w:cstheme="minorHAnsi"/>
                <w:sz w:val="18"/>
                <w:szCs w:val="18"/>
              </w:rPr>
              <w:t xml:space="preserve">31.5 National strategy or plan to ensure wide dissemination by the State, </w:t>
            </w:r>
            <w:r w:rsidR="003A4B6F" w:rsidRPr="008C25FE">
              <w:rPr>
                <w:rFonts w:cstheme="minorHAnsi"/>
                <w:sz w:val="18"/>
                <w:szCs w:val="18"/>
              </w:rPr>
              <w:t xml:space="preserve">particularly </w:t>
            </w:r>
            <w:r w:rsidRPr="008C25FE">
              <w:rPr>
                <w:rFonts w:cstheme="minorHAnsi"/>
                <w:sz w:val="18"/>
                <w:szCs w:val="18"/>
              </w:rPr>
              <w:t>among persons with disabilities, of available statistical and research information on persons with disabilities and on their rights in accessible formats.</w:t>
            </w:r>
          </w:p>
          <w:p w14:paraId="656EB3B9" w14:textId="016A3F98" w:rsidR="00D6399D" w:rsidRPr="008C25FE" w:rsidRDefault="00D6399D" w:rsidP="004C5CCF">
            <w:pPr>
              <w:jc w:val="both"/>
              <w:rPr>
                <w:rFonts w:cstheme="minorHAnsi"/>
                <w:sz w:val="18"/>
                <w:szCs w:val="18"/>
              </w:rPr>
            </w:pPr>
            <w:r w:rsidRPr="008C25FE">
              <w:rPr>
                <w:rFonts w:cstheme="minorHAnsi"/>
                <w:sz w:val="18"/>
                <w:szCs w:val="18"/>
              </w:rPr>
              <w:t xml:space="preserve">31.6 Legal requirement to establish a marker on all public spending to </w:t>
            </w:r>
            <w:r w:rsidR="00701DF3" w:rsidRPr="008C25FE">
              <w:rPr>
                <w:rFonts w:cstheme="minorHAnsi"/>
                <w:sz w:val="18"/>
                <w:szCs w:val="18"/>
              </w:rPr>
              <w:t>make</w:t>
            </w:r>
            <w:r w:rsidRPr="008C25FE">
              <w:rPr>
                <w:rFonts w:cstheme="minorHAnsi"/>
                <w:sz w:val="18"/>
                <w:szCs w:val="18"/>
              </w:rPr>
              <w:t xml:space="preserve"> information intended for the general public available in accessible formats.</w:t>
            </w:r>
          </w:p>
          <w:p w14:paraId="3AD9C104" w14:textId="57DF765B" w:rsidR="00D6399D" w:rsidRPr="008C25FE" w:rsidRDefault="00D6399D" w:rsidP="004C5CCF">
            <w:pPr>
              <w:jc w:val="both"/>
              <w:rPr>
                <w:rFonts w:cstheme="minorHAnsi"/>
                <w:sz w:val="18"/>
                <w:szCs w:val="18"/>
              </w:rPr>
            </w:pPr>
          </w:p>
        </w:tc>
      </w:tr>
      <w:tr w:rsidR="002C25A3" w:rsidRPr="008C25FE" w14:paraId="47D1B907" w14:textId="77777777" w:rsidTr="004C5CCF">
        <w:trPr>
          <w:trHeight w:val="838"/>
        </w:trPr>
        <w:tc>
          <w:tcPr>
            <w:tcW w:w="1054" w:type="dxa"/>
            <w:tcBorders>
              <w:bottom w:val="nil"/>
            </w:tcBorders>
          </w:tcPr>
          <w:p w14:paraId="01AB7567" w14:textId="77777777" w:rsidR="002C25A3" w:rsidRPr="008C25FE" w:rsidRDefault="002C25A3" w:rsidP="004C5CCF">
            <w:pPr>
              <w:rPr>
                <w:rFonts w:cstheme="minorHAnsi"/>
                <w:b/>
                <w:sz w:val="18"/>
                <w:szCs w:val="18"/>
              </w:rPr>
            </w:pPr>
            <w:r w:rsidRPr="008C25FE">
              <w:rPr>
                <w:rFonts w:cstheme="minorHAnsi"/>
                <w:b/>
                <w:sz w:val="18"/>
                <w:szCs w:val="18"/>
              </w:rPr>
              <w:t>Process</w:t>
            </w:r>
          </w:p>
          <w:p w14:paraId="29C3A1CC" w14:textId="77777777" w:rsidR="002C25A3" w:rsidRPr="008C25FE" w:rsidRDefault="002C25A3" w:rsidP="004C5CCF">
            <w:pPr>
              <w:rPr>
                <w:rFonts w:cstheme="minorHAnsi"/>
                <w:sz w:val="18"/>
                <w:szCs w:val="18"/>
              </w:rPr>
            </w:pPr>
          </w:p>
        </w:tc>
        <w:tc>
          <w:tcPr>
            <w:tcW w:w="7262" w:type="dxa"/>
            <w:tcBorders>
              <w:bottom w:val="single" w:sz="4" w:space="0" w:color="auto"/>
            </w:tcBorders>
          </w:tcPr>
          <w:p w14:paraId="3ADC5AB6" w14:textId="5B72E338" w:rsidR="009400B8" w:rsidRPr="008C25FE" w:rsidRDefault="007F2ED9" w:rsidP="004C5CCF">
            <w:pPr>
              <w:jc w:val="both"/>
              <w:rPr>
                <w:rFonts w:cstheme="minorHAnsi"/>
                <w:sz w:val="18"/>
                <w:szCs w:val="18"/>
              </w:rPr>
            </w:pPr>
            <w:r w:rsidRPr="008C25FE">
              <w:rPr>
                <w:rFonts w:cstheme="minorHAnsi"/>
                <w:sz w:val="18"/>
                <w:szCs w:val="18"/>
              </w:rPr>
              <w:t>31.</w:t>
            </w:r>
            <w:r w:rsidR="00D61E4B" w:rsidRPr="008C25FE">
              <w:rPr>
                <w:rFonts w:cstheme="minorHAnsi"/>
                <w:sz w:val="18"/>
                <w:szCs w:val="18"/>
              </w:rPr>
              <w:t>7</w:t>
            </w:r>
            <w:r w:rsidR="0079077A" w:rsidRPr="008C25FE">
              <w:rPr>
                <w:rFonts w:cstheme="minorHAnsi"/>
                <w:sz w:val="18"/>
                <w:szCs w:val="18"/>
              </w:rPr>
              <w:t xml:space="preserve"> Incorporation</w:t>
            </w:r>
            <w:r w:rsidR="0001035B" w:rsidRPr="008C25FE">
              <w:rPr>
                <w:rFonts w:cstheme="minorHAnsi"/>
                <w:sz w:val="18"/>
                <w:szCs w:val="18"/>
              </w:rPr>
              <w:t xml:space="preserve"> of reliable and </w:t>
            </w:r>
            <w:r w:rsidR="003A4B6F" w:rsidRPr="008C25FE">
              <w:rPr>
                <w:rFonts w:cstheme="minorHAnsi"/>
                <w:sz w:val="18"/>
                <w:szCs w:val="18"/>
              </w:rPr>
              <w:t xml:space="preserve">tested </w:t>
            </w:r>
            <w:r w:rsidR="0001035B" w:rsidRPr="008C25FE">
              <w:rPr>
                <w:rFonts w:cstheme="minorHAnsi"/>
                <w:sz w:val="18"/>
                <w:szCs w:val="18"/>
              </w:rPr>
              <w:t>tools</w:t>
            </w:r>
            <w:r w:rsidR="00DB28BC" w:rsidRPr="008C25FE">
              <w:rPr>
                <w:rFonts w:cstheme="minorHAnsi"/>
                <w:sz w:val="18"/>
                <w:szCs w:val="18"/>
              </w:rPr>
              <w:t>, such as</w:t>
            </w:r>
            <w:r w:rsidR="00D61E4B" w:rsidRPr="008C25FE">
              <w:rPr>
                <w:rFonts w:cstheme="minorHAnsi"/>
                <w:sz w:val="18"/>
                <w:szCs w:val="18"/>
              </w:rPr>
              <w:t xml:space="preserve"> </w:t>
            </w:r>
            <w:r w:rsidR="0079077A" w:rsidRPr="008C25FE">
              <w:rPr>
                <w:rFonts w:cstheme="minorHAnsi"/>
                <w:sz w:val="18"/>
                <w:szCs w:val="18"/>
              </w:rPr>
              <w:t>th</w:t>
            </w:r>
            <w:r w:rsidR="003A4B6F" w:rsidRPr="008C25FE">
              <w:rPr>
                <w:rFonts w:cstheme="minorHAnsi"/>
                <w:sz w:val="18"/>
                <w:szCs w:val="18"/>
              </w:rPr>
              <w:t>ose developed by the</w:t>
            </w:r>
            <w:r w:rsidR="0079077A" w:rsidRPr="008C25FE">
              <w:rPr>
                <w:rFonts w:cstheme="minorHAnsi"/>
                <w:sz w:val="18"/>
                <w:szCs w:val="18"/>
              </w:rPr>
              <w:t xml:space="preserve"> Washington Group </w:t>
            </w:r>
            <w:r w:rsidR="003A4B6F" w:rsidRPr="008C25FE">
              <w:rPr>
                <w:rFonts w:cstheme="minorHAnsi"/>
                <w:sz w:val="18"/>
                <w:szCs w:val="18"/>
              </w:rPr>
              <w:t>on disability statistics</w:t>
            </w:r>
            <w:r w:rsidR="00DB28BC" w:rsidRPr="008C25FE">
              <w:rPr>
                <w:rFonts w:cstheme="minorHAnsi"/>
                <w:sz w:val="18"/>
                <w:szCs w:val="18"/>
              </w:rPr>
              <w:t>,</w:t>
            </w:r>
            <w:r w:rsidR="00782B52" w:rsidRPr="008C25FE">
              <w:rPr>
                <w:rStyle w:val="EndnoteReference"/>
                <w:rFonts w:cstheme="minorHAnsi"/>
                <w:sz w:val="18"/>
                <w:szCs w:val="18"/>
              </w:rPr>
              <w:endnoteReference w:id="7"/>
            </w:r>
            <w:r w:rsidR="0079077A" w:rsidRPr="008C25FE">
              <w:rPr>
                <w:rFonts w:cstheme="minorHAnsi"/>
                <w:sz w:val="18"/>
                <w:szCs w:val="18"/>
              </w:rPr>
              <w:t xml:space="preserve"> in the</w:t>
            </w:r>
            <w:r w:rsidRPr="008C25FE">
              <w:rPr>
                <w:rFonts w:cstheme="minorHAnsi"/>
                <w:sz w:val="18"/>
                <w:szCs w:val="18"/>
              </w:rPr>
              <w:t xml:space="preserve"> </w:t>
            </w:r>
            <w:r w:rsidR="0079077A" w:rsidRPr="008C25FE">
              <w:rPr>
                <w:rFonts w:cstheme="minorHAnsi"/>
                <w:sz w:val="18"/>
                <w:szCs w:val="18"/>
              </w:rPr>
              <w:t xml:space="preserve">national census </w:t>
            </w:r>
            <w:hyperlink r:id="rId11" w:history="1">
              <w:r w:rsidR="0079077A" w:rsidRPr="008C25FE">
                <w:rPr>
                  <w:rStyle w:val="Hyperlink"/>
                  <w:rFonts w:cstheme="minorHAnsi"/>
                  <w:sz w:val="18"/>
                  <w:szCs w:val="18"/>
                </w:rPr>
                <w:t>(</w:t>
              </w:r>
              <w:r w:rsidR="00DB28BC" w:rsidRPr="008C25FE">
                <w:rPr>
                  <w:rStyle w:val="Hyperlink"/>
                  <w:rFonts w:cstheme="minorHAnsi"/>
                  <w:sz w:val="18"/>
                  <w:szCs w:val="18"/>
                </w:rPr>
                <w:t xml:space="preserve">e.g. </w:t>
              </w:r>
              <w:r w:rsidR="00C338AA" w:rsidRPr="008C25FE">
                <w:rPr>
                  <w:rStyle w:val="Hyperlink"/>
                  <w:rFonts w:cstheme="minorHAnsi"/>
                  <w:sz w:val="18"/>
                  <w:szCs w:val="18"/>
                </w:rPr>
                <w:t>Washington Group S</w:t>
              </w:r>
              <w:r w:rsidR="0079077A" w:rsidRPr="008C25FE">
                <w:rPr>
                  <w:rStyle w:val="Hyperlink"/>
                  <w:rFonts w:cstheme="minorHAnsi"/>
                  <w:sz w:val="18"/>
                  <w:szCs w:val="18"/>
                </w:rPr>
                <w:t>hort set</w:t>
              </w:r>
              <w:r w:rsidR="00C338AA" w:rsidRPr="008C25FE">
                <w:rPr>
                  <w:rStyle w:val="Hyperlink"/>
                  <w:rFonts w:cstheme="minorHAnsi"/>
                  <w:sz w:val="18"/>
                  <w:szCs w:val="18"/>
                </w:rPr>
                <w:t xml:space="preserve"> of Questions</w:t>
              </w:r>
            </w:hyperlink>
            <w:r w:rsidR="003A4B6F" w:rsidRPr="008C25FE">
              <w:rPr>
                <w:rStyle w:val="Hyperlink"/>
                <w:rFonts w:cstheme="minorHAnsi"/>
                <w:sz w:val="18"/>
                <w:szCs w:val="18"/>
              </w:rPr>
              <w:t xml:space="preserve"> on disability</w:t>
            </w:r>
            <w:r w:rsidR="0079077A" w:rsidRPr="008C25FE">
              <w:rPr>
                <w:rFonts w:cstheme="minorHAnsi"/>
                <w:sz w:val="18"/>
                <w:szCs w:val="18"/>
              </w:rPr>
              <w:t>) and in disability</w:t>
            </w:r>
            <w:r w:rsidR="003A4B6F" w:rsidRPr="008C25FE">
              <w:rPr>
                <w:rFonts w:cstheme="minorHAnsi"/>
                <w:sz w:val="18"/>
                <w:szCs w:val="18"/>
              </w:rPr>
              <w:t>-</w:t>
            </w:r>
            <w:r w:rsidR="0079077A" w:rsidRPr="008C25FE">
              <w:rPr>
                <w:rFonts w:cstheme="minorHAnsi"/>
                <w:sz w:val="18"/>
                <w:szCs w:val="18"/>
              </w:rPr>
              <w:t>related and general surveys (</w:t>
            </w:r>
            <w:r w:rsidR="0001035B" w:rsidRPr="008C25FE">
              <w:rPr>
                <w:rFonts w:cstheme="minorHAnsi"/>
                <w:sz w:val="18"/>
                <w:szCs w:val="18"/>
              </w:rPr>
              <w:t xml:space="preserve">e.g. </w:t>
            </w:r>
            <w:r w:rsidR="00C338AA" w:rsidRPr="008C25FE">
              <w:rPr>
                <w:rFonts w:cstheme="minorHAnsi"/>
                <w:sz w:val="18"/>
                <w:szCs w:val="18"/>
              </w:rPr>
              <w:t xml:space="preserve">WG </w:t>
            </w:r>
            <w:r w:rsidR="0079077A" w:rsidRPr="008C25FE">
              <w:rPr>
                <w:rFonts w:cstheme="minorHAnsi"/>
                <w:sz w:val="18"/>
                <w:szCs w:val="18"/>
              </w:rPr>
              <w:t xml:space="preserve">short or </w:t>
            </w:r>
            <w:hyperlink r:id="rId12" w:history="1">
              <w:r w:rsidR="0079077A" w:rsidRPr="008C25FE">
                <w:rPr>
                  <w:rStyle w:val="Hyperlink"/>
                  <w:rFonts w:cstheme="minorHAnsi"/>
                  <w:sz w:val="18"/>
                  <w:szCs w:val="18"/>
                </w:rPr>
                <w:t>extended set</w:t>
              </w:r>
            </w:hyperlink>
            <w:r w:rsidR="0079077A" w:rsidRPr="008C25FE">
              <w:rPr>
                <w:rFonts w:cstheme="minorHAnsi"/>
                <w:sz w:val="18"/>
                <w:szCs w:val="18"/>
              </w:rPr>
              <w:t>)</w:t>
            </w:r>
            <w:r w:rsidRPr="008C25FE">
              <w:rPr>
                <w:rFonts w:cstheme="minorHAnsi"/>
                <w:sz w:val="18"/>
                <w:szCs w:val="18"/>
              </w:rPr>
              <w:t xml:space="preserve">, </w:t>
            </w:r>
            <w:r w:rsidR="00650688" w:rsidRPr="008C25FE">
              <w:rPr>
                <w:rFonts w:cstheme="minorHAnsi"/>
                <w:sz w:val="18"/>
                <w:szCs w:val="18"/>
              </w:rPr>
              <w:t xml:space="preserve">and </w:t>
            </w:r>
            <w:r w:rsidR="000649E0" w:rsidRPr="008C25FE">
              <w:rPr>
                <w:rFonts w:cstheme="minorHAnsi"/>
                <w:sz w:val="18"/>
                <w:szCs w:val="18"/>
              </w:rPr>
              <w:t>within</w:t>
            </w:r>
            <w:r w:rsidR="00650688" w:rsidRPr="008C25FE">
              <w:rPr>
                <w:rFonts w:cstheme="minorHAnsi"/>
                <w:sz w:val="18"/>
                <w:szCs w:val="18"/>
              </w:rPr>
              <w:t xml:space="preserve"> all </w:t>
            </w:r>
            <w:r w:rsidR="000649E0" w:rsidRPr="008C25FE">
              <w:rPr>
                <w:rFonts w:cstheme="minorHAnsi"/>
                <w:sz w:val="18"/>
                <w:szCs w:val="18"/>
              </w:rPr>
              <w:t>instruments</w:t>
            </w:r>
            <w:r w:rsidR="00650688" w:rsidRPr="008C25FE">
              <w:rPr>
                <w:rFonts w:cstheme="minorHAnsi"/>
                <w:sz w:val="18"/>
                <w:szCs w:val="18"/>
              </w:rPr>
              <w:t xml:space="preserve"> used to generate </w:t>
            </w:r>
            <w:r w:rsidR="003A4B6F" w:rsidRPr="008C25FE">
              <w:rPr>
                <w:rFonts w:cstheme="minorHAnsi"/>
                <w:sz w:val="18"/>
                <w:szCs w:val="18"/>
              </w:rPr>
              <w:t xml:space="preserve">the </w:t>
            </w:r>
            <w:r w:rsidR="00650688" w:rsidRPr="008C25FE">
              <w:rPr>
                <w:rFonts w:cstheme="minorHAnsi"/>
                <w:sz w:val="18"/>
                <w:szCs w:val="18"/>
              </w:rPr>
              <w:t>SDG indicators.</w:t>
            </w:r>
            <w:r w:rsidRPr="008C25FE">
              <w:rPr>
                <w:rFonts w:cstheme="minorHAnsi"/>
                <w:sz w:val="18"/>
                <w:szCs w:val="18"/>
              </w:rPr>
              <w:t xml:space="preserve"> </w:t>
            </w:r>
          </w:p>
          <w:p w14:paraId="5349C718" w14:textId="2AA99CB8" w:rsidR="009400B8" w:rsidRPr="008C25FE" w:rsidRDefault="0079077A" w:rsidP="004C5CCF">
            <w:pPr>
              <w:jc w:val="both"/>
              <w:rPr>
                <w:rFonts w:cstheme="minorHAnsi"/>
                <w:sz w:val="18"/>
                <w:szCs w:val="18"/>
              </w:rPr>
            </w:pPr>
            <w:r w:rsidRPr="008C25FE">
              <w:rPr>
                <w:rFonts w:cstheme="minorHAnsi"/>
                <w:sz w:val="18"/>
                <w:szCs w:val="18"/>
              </w:rPr>
              <w:t>31.</w:t>
            </w:r>
            <w:r w:rsidR="00D61E4B" w:rsidRPr="008C25FE">
              <w:rPr>
                <w:rFonts w:cstheme="minorHAnsi"/>
                <w:sz w:val="18"/>
                <w:szCs w:val="18"/>
              </w:rPr>
              <w:t>8</w:t>
            </w:r>
            <w:r w:rsidR="007F2ED9" w:rsidRPr="008C25FE">
              <w:rPr>
                <w:rFonts w:cstheme="minorHAnsi"/>
                <w:sz w:val="18"/>
                <w:szCs w:val="18"/>
              </w:rPr>
              <w:t xml:space="preserve"> </w:t>
            </w:r>
            <w:r w:rsidR="006F0941" w:rsidRPr="008C25FE">
              <w:rPr>
                <w:rFonts w:cstheme="minorHAnsi"/>
                <w:sz w:val="18"/>
                <w:szCs w:val="18"/>
              </w:rPr>
              <w:t>Number and proportion</w:t>
            </w:r>
            <w:r w:rsidR="007F2ED9" w:rsidRPr="008C25FE">
              <w:rPr>
                <w:rFonts w:cstheme="minorHAnsi"/>
                <w:sz w:val="18"/>
                <w:szCs w:val="18"/>
              </w:rPr>
              <w:t xml:space="preserve"> of </w:t>
            </w:r>
            <w:r w:rsidR="006F0941" w:rsidRPr="008C25FE">
              <w:rPr>
                <w:rFonts w:cstheme="minorHAnsi"/>
                <w:sz w:val="18"/>
                <w:szCs w:val="18"/>
              </w:rPr>
              <w:t xml:space="preserve">relevant </w:t>
            </w:r>
            <w:r w:rsidR="007F2ED9" w:rsidRPr="008C25FE">
              <w:rPr>
                <w:rFonts w:cstheme="minorHAnsi"/>
                <w:sz w:val="18"/>
                <w:szCs w:val="18"/>
              </w:rPr>
              <w:t>publ</w:t>
            </w:r>
            <w:r w:rsidR="00CF3AFC" w:rsidRPr="008C25FE">
              <w:rPr>
                <w:rFonts w:cstheme="minorHAnsi"/>
                <w:sz w:val="18"/>
                <w:szCs w:val="18"/>
              </w:rPr>
              <w:t>ic staff</w:t>
            </w:r>
            <w:r w:rsidR="00552C55" w:rsidRPr="008C25FE">
              <w:rPr>
                <w:rFonts w:cstheme="minorHAnsi"/>
                <w:sz w:val="18"/>
                <w:szCs w:val="18"/>
              </w:rPr>
              <w:t xml:space="preserve"> trained</w:t>
            </w:r>
            <w:r w:rsidR="00CF3AFC" w:rsidRPr="008C25FE">
              <w:rPr>
                <w:rFonts w:cstheme="minorHAnsi"/>
                <w:sz w:val="18"/>
                <w:szCs w:val="18"/>
              </w:rPr>
              <w:t>, including those of the national statistics agency</w:t>
            </w:r>
            <w:r w:rsidR="00AD78C8" w:rsidRPr="008C25FE">
              <w:rPr>
                <w:rFonts w:cstheme="minorHAnsi"/>
                <w:sz w:val="18"/>
                <w:szCs w:val="18"/>
              </w:rPr>
              <w:t xml:space="preserve"> and census and survey workers</w:t>
            </w:r>
            <w:r w:rsidR="00CF3AFC" w:rsidRPr="008C25FE">
              <w:rPr>
                <w:rFonts w:cstheme="minorHAnsi"/>
                <w:sz w:val="18"/>
                <w:szCs w:val="18"/>
              </w:rPr>
              <w:t>, on</w:t>
            </w:r>
            <w:r w:rsidR="00EF30F6" w:rsidRPr="008C25FE">
              <w:rPr>
                <w:rFonts w:cstheme="minorHAnsi"/>
                <w:sz w:val="18"/>
                <w:szCs w:val="18"/>
              </w:rPr>
              <w:t xml:space="preserve"> the official methodology for </w:t>
            </w:r>
            <w:r w:rsidR="00286353" w:rsidRPr="008C25FE">
              <w:rPr>
                <w:rFonts w:cstheme="minorHAnsi"/>
                <w:sz w:val="18"/>
                <w:szCs w:val="18"/>
              </w:rPr>
              <w:t xml:space="preserve">disability </w:t>
            </w:r>
            <w:r w:rsidR="00EF30F6" w:rsidRPr="008C25FE">
              <w:rPr>
                <w:rFonts w:cstheme="minorHAnsi"/>
                <w:sz w:val="18"/>
                <w:szCs w:val="18"/>
              </w:rPr>
              <w:t>data</w:t>
            </w:r>
            <w:r w:rsidR="00CF3AFC" w:rsidRPr="008C25FE">
              <w:rPr>
                <w:rFonts w:cstheme="minorHAnsi"/>
                <w:sz w:val="18"/>
                <w:szCs w:val="18"/>
              </w:rPr>
              <w:t xml:space="preserve"> collection and disaggregation</w:t>
            </w:r>
            <w:r w:rsidR="00A867AB" w:rsidRPr="008C25FE">
              <w:rPr>
                <w:rFonts w:cstheme="minorHAnsi"/>
                <w:sz w:val="18"/>
                <w:szCs w:val="18"/>
              </w:rPr>
              <w:t>.</w:t>
            </w:r>
            <w:r w:rsidR="0046189F" w:rsidRPr="008C25FE">
              <w:rPr>
                <w:rStyle w:val="EndnoteReference"/>
                <w:rFonts w:cstheme="minorHAnsi"/>
                <w:sz w:val="18"/>
                <w:szCs w:val="18"/>
              </w:rPr>
              <w:endnoteReference w:id="8"/>
            </w:r>
          </w:p>
          <w:p w14:paraId="6617F604" w14:textId="0EF75FA5" w:rsidR="009400B8" w:rsidRPr="008C25FE" w:rsidRDefault="003A36A6" w:rsidP="004C5CCF">
            <w:pPr>
              <w:jc w:val="both"/>
              <w:rPr>
                <w:rFonts w:cstheme="minorHAnsi"/>
                <w:sz w:val="18"/>
                <w:szCs w:val="18"/>
              </w:rPr>
            </w:pPr>
            <w:r w:rsidRPr="008C25FE">
              <w:rPr>
                <w:rFonts w:cstheme="minorHAnsi"/>
                <w:sz w:val="18"/>
                <w:szCs w:val="18"/>
              </w:rPr>
              <w:t>31.</w:t>
            </w:r>
            <w:r w:rsidR="00D61E4B" w:rsidRPr="008C25FE">
              <w:rPr>
                <w:rFonts w:cstheme="minorHAnsi"/>
                <w:sz w:val="18"/>
                <w:szCs w:val="18"/>
              </w:rPr>
              <w:t>9</w:t>
            </w:r>
            <w:r w:rsidR="00CC6AD9" w:rsidRPr="008C25FE">
              <w:rPr>
                <w:rFonts w:cstheme="minorHAnsi"/>
                <w:sz w:val="18"/>
                <w:szCs w:val="18"/>
              </w:rPr>
              <w:t xml:space="preserve"> Budget allocated to</w:t>
            </w:r>
            <w:r w:rsidR="004532AA" w:rsidRPr="008C25FE">
              <w:rPr>
                <w:rFonts w:cstheme="minorHAnsi"/>
                <w:sz w:val="18"/>
                <w:szCs w:val="18"/>
              </w:rPr>
              <w:t xml:space="preserve"> </w:t>
            </w:r>
            <w:r w:rsidR="00CC6AD9" w:rsidRPr="008C25FE">
              <w:rPr>
                <w:rFonts w:cstheme="minorHAnsi"/>
                <w:sz w:val="18"/>
                <w:szCs w:val="18"/>
              </w:rPr>
              <w:t>collect disaggregated statistical data and to undertake and promote research on persons with disabilities and the barriers the</w:t>
            </w:r>
            <w:r w:rsidR="003A4B6F" w:rsidRPr="008C25FE">
              <w:rPr>
                <w:rFonts w:cstheme="minorHAnsi"/>
                <w:sz w:val="18"/>
                <w:szCs w:val="18"/>
              </w:rPr>
              <w:t>y</w:t>
            </w:r>
            <w:r w:rsidR="00CC6AD9" w:rsidRPr="008C25FE">
              <w:rPr>
                <w:rFonts w:cstheme="minorHAnsi"/>
                <w:sz w:val="18"/>
                <w:szCs w:val="18"/>
              </w:rPr>
              <w:t xml:space="preserve"> face </w:t>
            </w:r>
            <w:r w:rsidR="003A4B6F" w:rsidRPr="008C25FE">
              <w:rPr>
                <w:rFonts w:cstheme="minorHAnsi"/>
                <w:sz w:val="18"/>
                <w:szCs w:val="18"/>
              </w:rPr>
              <w:t xml:space="preserve">in </w:t>
            </w:r>
            <w:r w:rsidR="00552C55" w:rsidRPr="008C25FE">
              <w:rPr>
                <w:rFonts w:cstheme="minorHAnsi"/>
                <w:sz w:val="18"/>
                <w:szCs w:val="18"/>
              </w:rPr>
              <w:t xml:space="preserve">the exercise of their rights, </w:t>
            </w:r>
            <w:r w:rsidR="003F28AD" w:rsidRPr="008C25FE">
              <w:rPr>
                <w:rFonts w:cstheme="minorHAnsi"/>
                <w:sz w:val="18"/>
                <w:szCs w:val="18"/>
              </w:rPr>
              <w:t xml:space="preserve">and </w:t>
            </w:r>
            <w:r w:rsidR="00DA61CD" w:rsidRPr="008C25FE">
              <w:rPr>
                <w:rFonts w:cstheme="minorHAnsi"/>
                <w:sz w:val="18"/>
                <w:szCs w:val="18"/>
              </w:rPr>
              <w:t>to related trainings, awareness raising campaigns and measures to ensure the accessibility of these activities.</w:t>
            </w:r>
            <w:r w:rsidR="00552C55" w:rsidRPr="008C25FE">
              <w:rPr>
                <w:rFonts w:cstheme="minorHAnsi"/>
                <w:sz w:val="18"/>
                <w:szCs w:val="18"/>
              </w:rPr>
              <w:t xml:space="preserve"> </w:t>
            </w:r>
          </w:p>
          <w:p w14:paraId="77E309B0" w14:textId="6EC8AC78" w:rsidR="00683172" w:rsidRPr="008C25FE" w:rsidRDefault="00A163F8" w:rsidP="004C5CCF">
            <w:pPr>
              <w:autoSpaceDE w:val="0"/>
              <w:autoSpaceDN w:val="0"/>
              <w:adjustRightInd w:val="0"/>
              <w:jc w:val="both"/>
              <w:rPr>
                <w:rFonts w:cstheme="minorHAnsi"/>
                <w:sz w:val="18"/>
                <w:szCs w:val="18"/>
                <w:lang w:val="en-GB"/>
              </w:rPr>
            </w:pPr>
            <w:r w:rsidRPr="008C25FE">
              <w:rPr>
                <w:rFonts w:cstheme="minorHAnsi"/>
                <w:sz w:val="18"/>
                <w:szCs w:val="18"/>
                <w:lang w:val="en-GB"/>
              </w:rPr>
              <w:t>31.1</w:t>
            </w:r>
            <w:r w:rsidR="00D61E4B" w:rsidRPr="008C25FE">
              <w:rPr>
                <w:rFonts w:cstheme="minorHAnsi"/>
                <w:sz w:val="18"/>
                <w:szCs w:val="18"/>
                <w:lang w:val="en-GB"/>
              </w:rPr>
              <w:t>0</w:t>
            </w:r>
            <w:r w:rsidR="000E3A3E" w:rsidRPr="008C25FE">
              <w:rPr>
                <w:rFonts w:cstheme="minorHAnsi"/>
                <w:sz w:val="18"/>
                <w:szCs w:val="18"/>
                <w:lang w:val="en-GB"/>
              </w:rPr>
              <w:t xml:space="preserve"> Proportion of sustainable development indicators produced at the national level with full disaggregation</w:t>
            </w:r>
            <w:r w:rsidR="003A4B6F" w:rsidRPr="008C25FE">
              <w:rPr>
                <w:rFonts w:cstheme="minorHAnsi"/>
                <w:sz w:val="18"/>
                <w:szCs w:val="18"/>
                <w:lang w:val="en-GB"/>
              </w:rPr>
              <w:t>, including by disability,</w:t>
            </w:r>
            <w:r w:rsidR="000E3A3E" w:rsidRPr="008C25FE">
              <w:rPr>
                <w:rFonts w:cstheme="minorHAnsi"/>
                <w:sz w:val="18"/>
                <w:szCs w:val="18"/>
                <w:lang w:val="en-GB"/>
              </w:rPr>
              <w:t xml:space="preserve"> when relevant to the target, in accordance with the Fundamental Principles of Official Statistics </w:t>
            </w:r>
            <w:r w:rsidR="00683172" w:rsidRPr="008C25FE">
              <w:rPr>
                <w:rFonts w:cstheme="minorHAnsi"/>
                <w:sz w:val="18"/>
                <w:szCs w:val="18"/>
                <w:lang w:val="en-GB"/>
              </w:rPr>
              <w:t>(SDG</w:t>
            </w:r>
            <w:r w:rsidR="000952F4" w:rsidRPr="008C25FE">
              <w:rPr>
                <w:rFonts w:cstheme="minorHAnsi"/>
                <w:sz w:val="18"/>
                <w:szCs w:val="18"/>
                <w:lang w:val="en-GB"/>
              </w:rPr>
              <w:t xml:space="preserve"> indicator</w:t>
            </w:r>
            <w:r w:rsidR="00683172" w:rsidRPr="008C25FE">
              <w:rPr>
                <w:rFonts w:cstheme="minorHAnsi"/>
                <w:sz w:val="18"/>
                <w:szCs w:val="18"/>
                <w:lang w:val="en-GB"/>
              </w:rPr>
              <w:t xml:space="preserve"> 17.18.1).</w:t>
            </w:r>
          </w:p>
        </w:tc>
        <w:tc>
          <w:tcPr>
            <w:tcW w:w="6259" w:type="dxa"/>
            <w:tcBorders>
              <w:bottom w:val="single" w:sz="4" w:space="0" w:color="auto"/>
            </w:tcBorders>
          </w:tcPr>
          <w:p w14:paraId="633F98B8" w14:textId="19538557" w:rsidR="004532AA" w:rsidRPr="008C25FE" w:rsidRDefault="004532AA" w:rsidP="004C5CCF">
            <w:pPr>
              <w:jc w:val="both"/>
              <w:rPr>
                <w:rFonts w:cstheme="minorHAnsi"/>
                <w:sz w:val="18"/>
                <w:szCs w:val="18"/>
              </w:rPr>
            </w:pPr>
            <w:r w:rsidRPr="008C25FE">
              <w:rPr>
                <w:rFonts w:cstheme="minorHAnsi"/>
                <w:sz w:val="18"/>
                <w:szCs w:val="18"/>
              </w:rPr>
              <w:t>31.1</w:t>
            </w:r>
            <w:r w:rsidR="00D61E4B" w:rsidRPr="008C25FE">
              <w:rPr>
                <w:rFonts w:cstheme="minorHAnsi"/>
                <w:sz w:val="18"/>
                <w:szCs w:val="18"/>
              </w:rPr>
              <w:t>1</w:t>
            </w:r>
            <w:r w:rsidRPr="008C25FE">
              <w:rPr>
                <w:rFonts w:cstheme="minorHAnsi"/>
                <w:sz w:val="18"/>
                <w:szCs w:val="18"/>
              </w:rPr>
              <w:t xml:space="preserve"> Awareness raising campaign</w:t>
            </w:r>
            <w:r w:rsidR="00184190" w:rsidRPr="008C25FE">
              <w:rPr>
                <w:rFonts w:cstheme="minorHAnsi"/>
                <w:sz w:val="18"/>
                <w:szCs w:val="18"/>
              </w:rPr>
              <w:t>s</w:t>
            </w:r>
            <w:r w:rsidRPr="008C25FE">
              <w:rPr>
                <w:rFonts w:cstheme="minorHAnsi"/>
                <w:sz w:val="18"/>
                <w:szCs w:val="18"/>
              </w:rPr>
              <w:t xml:space="preserve"> directed to the general public, in particular persons with disabilities, to inform about availability and dissemination of statistical and research data on persons with disabilities in accessible formats, developed in close collaboration with organizations of persons with disabilities.</w:t>
            </w:r>
          </w:p>
          <w:p w14:paraId="51626604" w14:textId="0BB21383" w:rsidR="00A867AB" w:rsidRPr="008C25FE" w:rsidRDefault="00027EE0" w:rsidP="004C5CCF">
            <w:pPr>
              <w:jc w:val="both"/>
              <w:rPr>
                <w:rFonts w:cstheme="minorHAnsi"/>
                <w:sz w:val="18"/>
                <w:szCs w:val="18"/>
              </w:rPr>
            </w:pPr>
            <w:r w:rsidRPr="008C25FE">
              <w:rPr>
                <w:rFonts w:cstheme="minorHAnsi"/>
                <w:sz w:val="18"/>
                <w:szCs w:val="18"/>
              </w:rPr>
              <w:t>31</w:t>
            </w:r>
            <w:r w:rsidR="00A867AB" w:rsidRPr="008C25FE">
              <w:rPr>
                <w:rFonts w:cstheme="minorHAnsi"/>
                <w:sz w:val="18"/>
                <w:szCs w:val="18"/>
              </w:rPr>
              <w:t>.1</w:t>
            </w:r>
            <w:r w:rsidR="00D61E4B" w:rsidRPr="008C25FE">
              <w:rPr>
                <w:rFonts w:cstheme="minorHAnsi"/>
                <w:sz w:val="18"/>
                <w:szCs w:val="18"/>
              </w:rPr>
              <w:t>2</w:t>
            </w:r>
            <w:r w:rsidR="00A867AB" w:rsidRPr="008C25FE">
              <w:rPr>
                <w:rFonts w:cstheme="minorHAnsi"/>
                <w:sz w:val="18"/>
                <w:szCs w:val="18"/>
              </w:rPr>
              <w:t xml:space="preserve"> Number and proportion of all public </w:t>
            </w:r>
            <w:r w:rsidR="00552C55" w:rsidRPr="008C25FE">
              <w:rPr>
                <w:rFonts w:cstheme="minorHAnsi"/>
                <w:sz w:val="18"/>
                <w:szCs w:val="18"/>
              </w:rPr>
              <w:t>staff</w:t>
            </w:r>
            <w:r w:rsidR="00A867AB" w:rsidRPr="008C25FE">
              <w:rPr>
                <w:rFonts w:cstheme="minorHAnsi"/>
                <w:sz w:val="18"/>
                <w:szCs w:val="18"/>
              </w:rPr>
              <w:t xml:space="preserve"> undergoing training, on access to information (statistical and research data) for p</w:t>
            </w:r>
            <w:r w:rsidR="007E66DA" w:rsidRPr="008C25FE">
              <w:rPr>
                <w:rFonts w:cstheme="minorHAnsi"/>
                <w:sz w:val="18"/>
                <w:szCs w:val="18"/>
              </w:rPr>
              <w:t xml:space="preserve">ersons with disabilities and on accessibility and </w:t>
            </w:r>
            <w:r w:rsidR="00A867AB" w:rsidRPr="008C25FE">
              <w:rPr>
                <w:rFonts w:cstheme="minorHAnsi"/>
                <w:sz w:val="18"/>
                <w:szCs w:val="18"/>
              </w:rPr>
              <w:t>alternative formats of communication.</w:t>
            </w:r>
          </w:p>
          <w:p w14:paraId="174D87D7" w14:textId="1718E048" w:rsidR="002C25A3" w:rsidRPr="008C25FE" w:rsidRDefault="00A163F8" w:rsidP="004C5CCF">
            <w:pPr>
              <w:rPr>
                <w:rFonts w:cstheme="minorHAnsi"/>
                <w:sz w:val="18"/>
                <w:szCs w:val="18"/>
              </w:rPr>
            </w:pPr>
            <w:r w:rsidRPr="008C25FE">
              <w:rPr>
                <w:rFonts w:cstheme="minorHAnsi"/>
                <w:sz w:val="18"/>
                <w:szCs w:val="18"/>
              </w:rPr>
              <w:t>31.1</w:t>
            </w:r>
            <w:r w:rsidR="00D61E4B" w:rsidRPr="008C25FE">
              <w:rPr>
                <w:rFonts w:cstheme="minorHAnsi"/>
                <w:sz w:val="18"/>
                <w:szCs w:val="18"/>
              </w:rPr>
              <w:t>3</w:t>
            </w:r>
            <w:r w:rsidR="00A867AB" w:rsidRPr="008C25FE">
              <w:rPr>
                <w:rFonts w:cstheme="minorHAnsi"/>
                <w:sz w:val="18"/>
                <w:szCs w:val="18"/>
              </w:rPr>
              <w:t xml:space="preserve"> Budget allocated to </w:t>
            </w:r>
            <w:r w:rsidR="00DA61CD" w:rsidRPr="008C25FE">
              <w:rPr>
                <w:rFonts w:cstheme="minorHAnsi"/>
                <w:sz w:val="18"/>
                <w:szCs w:val="18"/>
              </w:rPr>
              <w:t>disseminate available statistical and research information on persons with disabilities and on their rights in accessible formats.</w:t>
            </w:r>
          </w:p>
          <w:p w14:paraId="65E66F0D" w14:textId="73BB0041" w:rsidR="00683172" w:rsidRPr="008C25FE" w:rsidRDefault="000E3A3E" w:rsidP="004C5CCF">
            <w:pPr>
              <w:jc w:val="both"/>
              <w:rPr>
                <w:rFonts w:cstheme="minorHAnsi"/>
                <w:sz w:val="18"/>
                <w:szCs w:val="18"/>
              </w:rPr>
            </w:pPr>
            <w:r w:rsidRPr="008C25FE">
              <w:rPr>
                <w:rFonts w:cstheme="minorHAnsi"/>
                <w:sz w:val="18"/>
                <w:szCs w:val="18"/>
              </w:rPr>
              <w:t>31.1</w:t>
            </w:r>
            <w:r w:rsidR="00D61E4B" w:rsidRPr="008C25FE">
              <w:rPr>
                <w:rFonts w:cstheme="minorHAnsi"/>
                <w:sz w:val="18"/>
                <w:szCs w:val="18"/>
              </w:rPr>
              <w:t>4</w:t>
            </w:r>
            <w:r w:rsidR="00683172" w:rsidRPr="008C25FE">
              <w:rPr>
                <w:rFonts w:cstheme="minorHAnsi"/>
                <w:sz w:val="18"/>
                <w:szCs w:val="18"/>
              </w:rPr>
              <w:t xml:space="preserve"> Number of reports and publications </w:t>
            </w:r>
            <w:r w:rsidR="00E3200B" w:rsidRPr="008C25FE">
              <w:rPr>
                <w:rFonts w:cstheme="minorHAnsi"/>
                <w:sz w:val="18"/>
                <w:szCs w:val="18"/>
              </w:rPr>
              <w:t>relating to</w:t>
            </w:r>
            <w:r w:rsidR="00683172" w:rsidRPr="008C25FE">
              <w:rPr>
                <w:rFonts w:cstheme="minorHAnsi"/>
                <w:sz w:val="18"/>
                <w:szCs w:val="18"/>
              </w:rPr>
              <w:t xml:space="preserve"> statistical and research data</w:t>
            </w:r>
            <w:r w:rsidR="0019342A" w:rsidRPr="008C25FE">
              <w:rPr>
                <w:rFonts w:cstheme="minorHAnsi"/>
                <w:sz w:val="18"/>
                <w:szCs w:val="18"/>
              </w:rPr>
              <w:t xml:space="preserve"> relevant for the implementation and monitoring of the </w:t>
            </w:r>
            <w:r w:rsidR="00E337B1" w:rsidRPr="008C25FE">
              <w:rPr>
                <w:rFonts w:cstheme="minorHAnsi"/>
                <w:sz w:val="18"/>
                <w:szCs w:val="18"/>
              </w:rPr>
              <w:t>CRPD</w:t>
            </w:r>
            <w:r w:rsidR="00683172" w:rsidRPr="008C25FE">
              <w:rPr>
                <w:rFonts w:cstheme="minorHAnsi"/>
                <w:sz w:val="18"/>
                <w:szCs w:val="18"/>
              </w:rPr>
              <w:t xml:space="preserve">, including </w:t>
            </w:r>
            <w:r w:rsidR="00E337B1" w:rsidRPr="008C25FE">
              <w:rPr>
                <w:rFonts w:cstheme="minorHAnsi"/>
                <w:sz w:val="18"/>
                <w:szCs w:val="18"/>
              </w:rPr>
              <w:t xml:space="preserve">results of </w:t>
            </w:r>
            <w:r w:rsidR="00683172" w:rsidRPr="008C25FE">
              <w:rPr>
                <w:rFonts w:cstheme="minorHAnsi"/>
                <w:sz w:val="18"/>
                <w:szCs w:val="18"/>
              </w:rPr>
              <w:t>census</w:t>
            </w:r>
            <w:r w:rsidR="00E3200B" w:rsidRPr="008C25FE">
              <w:rPr>
                <w:rFonts w:cstheme="minorHAnsi"/>
                <w:sz w:val="18"/>
                <w:szCs w:val="18"/>
              </w:rPr>
              <w:t>es</w:t>
            </w:r>
            <w:r w:rsidR="00683172" w:rsidRPr="008C25FE">
              <w:rPr>
                <w:rFonts w:cstheme="minorHAnsi"/>
                <w:sz w:val="18"/>
                <w:szCs w:val="18"/>
              </w:rPr>
              <w:t xml:space="preserve"> and surveys,</w:t>
            </w:r>
            <w:r w:rsidR="00E3200B" w:rsidRPr="008C25FE">
              <w:rPr>
                <w:rFonts w:cstheme="minorHAnsi"/>
                <w:sz w:val="18"/>
                <w:szCs w:val="18"/>
              </w:rPr>
              <w:t xml:space="preserve"> </w:t>
            </w:r>
            <w:r w:rsidR="00C9774C" w:rsidRPr="008C25FE">
              <w:rPr>
                <w:rFonts w:cstheme="minorHAnsi"/>
                <w:sz w:val="18"/>
                <w:szCs w:val="18"/>
              </w:rPr>
              <w:t xml:space="preserve">and proportion of these </w:t>
            </w:r>
            <w:r w:rsidR="00E3200B" w:rsidRPr="008C25FE">
              <w:rPr>
                <w:rFonts w:cstheme="minorHAnsi"/>
                <w:sz w:val="18"/>
                <w:szCs w:val="18"/>
              </w:rPr>
              <w:t>produced</w:t>
            </w:r>
            <w:r w:rsidR="00683172" w:rsidRPr="008C25FE">
              <w:rPr>
                <w:rFonts w:cstheme="minorHAnsi"/>
                <w:sz w:val="18"/>
                <w:szCs w:val="18"/>
              </w:rPr>
              <w:t xml:space="preserve"> and disseminated </w:t>
            </w:r>
            <w:r w:rsidR="00E3200B" w:rsidRPr="008C25FE">
              <w:rPr>
                <w:rFonts w:cstheme="minorHAnsi"/>
                <w:sz w:val="18"/>
                <w:szCs w:val="18"/>
              </w:rPr>
              <w:t xml:space="preserve">by the State </w:t>
            </w:r>
            <w:r w:rsidR="00683172" w:rsidRPr="008C25FE">
              <w:rPr>
                <w:rFonts w:cstheme="minorHAnsi"/>
                <w:sz w:val="18"/>
                <w:szCs w:val="18"/>
              </w:rPr>
              <w:t>to the general public in accessible formats, disaggregated by type of format.</w:t>
            </w:r>
          </w:p>
          <w:p w14:paraId="5BF7ADC1" w14:textId="15AC1344" w:rsidR="000952F4" w:rsidRPr="008C25FE" w:rsidRDefault="000E3A3E" w:rsidP="004C5CCF">
            <w:pPr>
              <w:jc w:val="both"/>
              <w:rPr>
                <w:rFonts w:cstheme="minorHAnsi"/>
                <w:sz w:val="18"/>
                <w:szCs w:val="18"/>
              </w:rPr>
            </w:pPr>
            <w:r w:rsidRPr="008C25FE">
              <w:rPr>
                <w:rFonts w:cstheme="minorHAnsi"/>
                <w:sz w:val="18"/>
                <w:szCs w:val="18"/>
              </w:rPr>
              <w:t>31.</w:t>
            </w:r>
            <w:r w:rsidR="00A163F8" w:rsidRPr="008C25FE">
              <w:rPr>
                <w:rFonts w:cstheme="minorHAnsi"/>
                <w:sz w:val="18"/>
                <w:szCs w:val="18"/>
              </w:rPr>
              <w:t>1</w:t>
            </w:r>
            <w:r w:rsidR="00D61E4B" w:rsidRPr="008C25FE">
              <w:rPr>
                <w:rFonts w:cstheme="minorHAnsi"/>
                <w:sz w:val="18"/>
                <w:szCs w:val="18"/>
              </w:rPr>
              <w:t>5</w:t>
            </w:r>
            <w:r w:rsidR="00683172" w:rsidRPr="008C25FE">
              <w:rPr>
                <w:rFonts w:cstheme="minorHAnsi"/>
                <w:sz w:val="18"/>
                <w:szCs w:val="18"/>
              </w:rPr>
              <w:t xml:space="preserve"> </w:t>
            </w:r>
            <w:r w:rsidR="000952F4" w:rsidRPr="008C25FE">
              <w:rPr>
                <w:rFonts w:cstheme="minorHAnsi"/>
                <w:sz w:val="18"/>
                <w:szCs w:val="18"/>
              </w:rPr>
              <w:t>Number and proportion of requests of public information being granted to persons with disabilities in accessible formats, out of the total of requests of public information, disaggregated by respondent public body or agency. (Idem 21.23)</w:t>
            </w:r>
          </w:p>
        </w:tc>
      </w:tr>
      <w:tr w:rsidR="00D6399D" w:rsidRPr="008C25FE" w14:paraId="63D0A62A" w14:textId="77777777" w:rsidTr="004C5CCF">
        <w:tc>
          <w:tcPr>
            <w:tcW w:w="1054" w:type="dxa"/>
            <w:tcBorders>
              <w:top w:val="nil"/>
            </w:tcBorders>
          </w:tcPr>
          <w:p w14:paraId="5B62BEE5" w14:textId="77777777" w:rsidR="00D6399D" w:rsidRPr="008C25FE" w:rsidRDefault="00D6399D" w:rsidP="004C5CCF">
            <w:pPr>
              <w:rPr>
                <w:rFonts w:cstheme="minorHAnsi"/>
                <w:b/>
                <w:sz w:val="18"/>
                <w:szCs w:val="18"/>
              </w:rPr>
            </w:pPr>
          </w:p>
        </w:tc>
        <w:tc>
          <w:tcPr>
            <w:tcW w:w="13521" w:type="dxa"/>
            <w:gridSpan w:val="2"/>
          </w:tcPr>
          <w:p w14:paraId="3F163ECE" w14:textId="4BF0CCCA" w:rsidR="00081F9F" w:rsidRPr="008C25FE" w:rsidRDefault="00A163F8" w:rsidP="004C5CCF">
            <w:pPr>
              <w:jc w:val="both"/>
              <w:rPr>
                <w:rFonts w:cstheme="minorHAnsi"/>
                <w:color w:val="000000"/>
                <w:sz w:val="18"/>
                <w:szCs w:val="18"/>
              </w:rPr>
            </w:pPr>
            <w:r w:rsidRPr="008C25FE">
              <w:rPr>
                <w:rFonts w:cstheme="minorHAnsi"/>
                <w:sz w:val="18"/>
                <w:szCs w:val="18"/>
              </w:rPr>
              <w:t>31.1</w:t>
            </w:r>
            <w:r w:rsidR="00D61E4B" w:rsidRPr="008C25FE">
              <w:rPr>
                <w:rFonts w:cstheme="minorHAnsi"/>
                <w:sz w:val="18"/>
                <w:szCs w:val="18"/>
              </w:rPr>
              <w:t>6</w:t>
            </w:r>
            <w:r w:rsidR="00081F9F" w:rsidRPr="008C25FE">
              <w:rPr>
                <w:rFonts w:cstheme="minorHAnsi"/>
                <w:sz w:val="18"/>
                <w:szCs w:val="18"/>
              </w:rPr>
              <w:t xml:space="preserve"> Consultation processes undertaken to ensure active involvement of persons with disabilities, </w:t>
            </w:r>
            <w:r w:rsidR="00081F9F" w:rsidRPr="008C25FE">
              <w:rPr>
                <w:rFonts w:cstheme="minorHAnsi"/>
                <w:color w:val="444444"/>
                <w:sz w:val="18"/>
                <w:szCs w:val="18"/>
              </w:rPr>
              <w:t>including</w:t>
            </w:r>
            <w:r w:rsidR="00081F9F" w:rsidRPr="008C25FE">
              <w:rPr>
                <w:rFonts w:cstheme="minorHAnsi"/>
                <w:sz w:val="18"/>
                <w:szCs w:val="18"/>
              </w:rPr>
              <w:t xml:space="preserve"> through their</w:t>
            </w:r>
            <w:r w:rsidR="003A4B6F" w:rsidRPr="008C25FE">
              <w:rPr>
                <w:rFonts w:cstheme="minorHAnsi"/>
                <w:sz w:val="18"/>
                <w:szCs w:val="18"/>
              </w:rPr>
              <w:t xml:space="preserve"> representative</w:t>
            </w:r>
            <w:r w:rsidR="00081F9F" w:rsidRPr="008C25FE">
              <w:rPr>
                <w:rFonts w:cstheme="minorHAnsi"/>
                <w:sz w:val="18"/>
                <w:szCs w:val="18"/>
              </w:rPr>
              <w:t xml:space="preserve"> organizations, in the design, implementation and monitoring of laws, regulations, policies and </w:t>
            </w:r>
            <w:proofErr w:type="spellStart"/>
            <w:r w:rsidR="00081F9F" w:rsidRPr="008C25FE">
              <w:rPr>
                <w:rFonts w:cstheme="minorHAnsi"/>
                <w:sz w:val="18"/>
                <w:szCs w:val="18"/>
              </w:rPr>
              <w:t>program</w:t>
            </w:r>
            <w:r w:rsidR="00195FCD" w:rsidRPr="008C25FE">
              <w:rPr>
                <w:rFonts w:cstheme="minorHAnsi"/>
                <w:sz w:val="18"/>
                <w:szCs w:val="18"/>
              </w:rPr>
              <w:t>me</w:t>
            </w:r>
            <w:r w:rsidR="00081F9F" w:rsidRPr="008C25FE">
              <w:rPr>
                <w:rFonts w:cstheme="minorHAnsi"/>
                <w:sz w:val="18"/>
                <w:szCs w:val="18"/>
              </w:rPr>
              <w:t>s</w:t>
            </w:r>
            <w:proofErr w:type="spellEnd"/>
            <w:r w:rsidR="00081F9F" w:rsidRPr="008C25FE">
              <w:rPr>
                <w:rFonts w:cstheme="minorHAnsi"/>
                <w:sz w:val="18"/>
                <w:szCs w:val="18"/>
              </w:rPr>
              <w:t>, related</w:t>
            </w:r>
            <w:r w:rsidR="00081F9F" w:rsidRPr="008C25FE">
              <w:rPr>
                <w:rFonts w:cstheme="minorHAnsi"/>
                <w:color w:val="000000"/>
                <w:sz w:val="18"/>
                <w:szCs w:val="18"/>
              </w:rPr>
              <w:t xml:space="preserve"> to</w:t>
            </w:r>
            <w:r w:rsidR="00081F9F" w:rsidRPr="008C25FE">
              <w:rPr>
                <w:rFonts w:cstheme="minorHAnsi"/>
                <w:sz w:val="18"/>
                <w:szCs w:val="18"/>
              </w:rPr>
              <w:t xml:space="preserve"> the development a</w:t>
            </w:r>
            <w:r w:rsidR="00323695" w:rsidRPr="008C25FE">
              <w:rPr>
                <w:rFonts w:cstheme="minorHAnsi"/>
                <w:sz w:val="18"/>
                <w:szCs w:val="18"/>
              </w:rPr>
              <w:t xml:space="preserve">nd implementation of </w:t>
            </w:r>
            <w:r w:rsidR="00081F9F" w:rsidRPr="008C25FE">
              <w:rPr>
                <w:rFonts w:cstheme="minorHAnsi"/>
                <w:sz w:val="18"/>
                <w:szCs w:val="18"/>
              </w:rPr>
              <w:t xml:space="preserve">data systems, collection </w:t>
            </w:r>
            <w:r w:rsidR="00047855" w:rsidRPr="008C25FE">
              <w:rPr>
                <w:rFonts w:cstheme="minorHAnsi"/>
                <w:sz w:val="18"/>
                <w:szCs w:val="18"/>
              </w:rPr>
              <w:t xml:space="preserve">and disaggregation </w:t>
            </w:r>
            <w:r w:rsidR="00081F9F" w:rsidRPr="008C25FE">
              <w:rPr>
                <w:rFonts w:cstheme="minorHAnsi"/>
                <w:sz w:val="18"/>
                <w:szCs w:val="18"/>
              </w:rPr>
              <w:t xml:space="preserve">processes and research </w:t>
            </w:r>
            <w:proofErr w:type="spellStart"/>
            <w:r w:rsidR="00081F9F" w:rsidRPr="008C25FE">
              <w:rPr>
                <w:rFonts w:cstheme="minorHAnsi"/>
                <w:sz w:val="18"/>
                <w:szCs w:val="18"/>
              </w:rPr>
              <w:t>program</w:t>
            </w:r>
            <w:r w:rsidR="00195FCD" w:rsidRPr="008C25FE">
              <w:rPr>
                <w:rFonts w:cstheme="minorHAnsi"/>
                <w:sz w:val="18"/>
                <w:szCs w:val="18"/>
              </w:rPr>
              <w:t>me</w:t>
            </w:r>
            <w:r w:rsidR="00081F9F" w:rsidRPr="008C25FE">
              <w:rPr>
                <w:rFonts w:cstheme="minorHAnsi"/>
                <w:sz w:val="18"/>
                <w:szCs w:val="18"/>
              </w:rPr>
              <w:t>s</w:t>
            </w:r>
            <w:proofErr w:type="spellEnd"/>
            <w:r w:rsidR="0019342A" w:rsidRPr="008C25FE">
              <w:rPr>
                <w:rFonts w:cstheme="minorHAnsi"/>
                <w:sz w:val="18"/>
                <w:szCs w:val="18"/>
              </w:rPr>
              <w:t xml:space="preserve"> relevant for the implementation and monitoring of the Convention</w:t>
            </w:r>
            <w:r w:rsidR="00081F9F" w:rsidRPr="008C25FE">
              <w:rPr>
                <w:rFonts w:cstheme="minorHAnsi"/>
                <w:color w:val="000000"/>
                <w:sz w:val="18"/>
                <w:szCs w:val="18"/>
              </w:rPr>
              <w:t>.</w:t>
            </w:r>
            <w:r w:rsidR="00081F9F" w:rsidRPr="008C25FE">
              <w:rPr>
                <w:rStyle w:val="EndnoteReference"/>
                <w:rFonts w:cstheme="minorHAnsi"/>
                <w:sz w:val="18"/>
                <w:szCs w:val="18"/>
              </w:rPr>
              <w:endnoteReference w:id="9"/>
            </w:r>
            <w:r w:rsidR="00081F9F" w:rsidRPr="008C25FE">
              <w:rPr>
                <w:rFonts w:cstheme="minorHAnsi"/>
                <w:color w:val="000000"/>
                <w:sz w:val="18"/>
                <w:szCs w:val="18"/>
              </w:rPr>
              <w:t xml:space="preserve"> </w:t>
            </w:r>
          </w:p>
          <w:p w14:paraId="68E63D75" w14:textId="1D6D3428" w:rsidR="000952F4" w:rsidRPr="008C25FE" w:rsidRDefault="00081F9F" w:rsidP="004C5CCF">
            <w:pPr>
              <w:jc w:val="both"/>
              <w:rPr>
                <w:rFonts w:cstheme="minorHAnsi"/>
                <w:sz w:val="18"/>
                <w:szCs w:val="18"/>
              </w:rPr>
            </w:pPr>
            <w:r w:rsidRPr="008C25FE">
              <w:rPr>
                <w:rFonts w:cstheme="minorHAnsi"/>
                <w:sz w:val="18"/>
                <w:szCs w:val="18"/>
              </w:rPr>
              <w:t>3</w:t>
            </w:r>
            <w:r w:rsidR="00D6399D" w:rsidRPr="008C25FE">
              <w:rPr>
                <w:rFonts w:cstheme="minorHAnsi"/>
                <w:sz w:val="18"/>
                <w:szCs w:val="18"/>
              </w:rPr>
              <w:t>1</w:t>
            </w:r>
            <w:r w:rsidR="00A163F8" w:rsidRPr="008C25FE">
              <w:rPr>
                <w:rFonts w:cstheme="minorHAnsi"/>
                <w:sz w:val="18"/>
                <w:szCs w:val="18"/>
              </w:rPr>
              <w:t>.1</w:t>
            </w:r>
            <w:r w:rsidR="00D61E4B" w:rsidRPr="008C25FE">
              <w:rPr>
                <w:rFonts w:cstheme="minorHAnsi"/>
                <w:sz w:val="18"/>
                <w:szCs w:val="18"/>
              </w:rPr>
              <w:t>7</w:t>
            </w:r>
            <w:r w:rsidR="00D6399D" w:rsidRPr="008C25FE">
              <w:rPr>
                <w:rFonts w:cstheme="minorHAnsi"/>
                <w:sz w:val="18"/>
                <w:szCs w:val="18"/>
              </w:rPr>
              <w:t xml:space="preserve"> </w:t>
            </w:r>
            <w:r w:rsidR="003C3AF6" w:rsidRPr="008C25FE">
              <w:rPr>
                <w:rFonts w:cstheme="minorHAnsi"/>
                <w:sz w:val="18"/>
                <w:szCs w:val="18"/>
              </w:rPr>
              <w:t>P</w:t>
            </w:r>
            <w:r w:rsidR="000952F4" w:rsidRPr="008C25FE">
              <w:rPr>
                <w:rFonts w:cstheme="minorHAnsi"/>
                <w:sz w:val="18"/>
                <w:szCs w:val="18"/>
              </w:rPr>
              <w:t xml:space="preserve">roportion of received complaints related to data collection and disaggregation by disability, lack of access to information, accessibility of information and websites intended to the public, that have been investigated and adjudicated; proportion of those found in </w:t>
            </w:r>
            <w:proofErr w:type="spellStart"/>
            <w:r w:rsidR="000952F4" w:rsidRPr="008C25FE">
              <w:rPr>
                <w:rFonts w:cstheme="minorHAnsi"/>
                <w:sz w:val="18"/>
                <w:szCs w:val="18"/>
              </w:rPr>
              <w:t>favour</w:t>
            </w:r>
            <w:proofErr w:type="spellEnd"/>
            <w:r w:rsidR="000952F4" w:rsidRPr="008C25FE">
              <w:rPr>
                <w:rFonts w:cstheme="minorHAnsi"/>
                <w:sz w:val="18"/>
                <w:szCs w:val="18"/>
              </w:rPr>
              <w:t xml:space="preserve"> of the complainant; and proportion of the latter that have been complied with by the government and/or duty bearer; each disaggregated by kind of mechanism.</w:t>
            </w:r>
          </w:p>
        </w:tc>
      </w:tr>
      <w:tr w:rsidR="002C25A3" w:rsidRPr="008C25FE" w14:paraId="4B91F32E" w14:textId="77777777" w:rsidTr="004C5CCF">
        <w:trPr>
          <w:trHeight w:val="687"/>
        </w:trPr>
        <w:tc>
          <w:tcPr>
            <w:tcW w:w="1054" w:type="dxa"/>
          </w:tcPr>
          <w:p w14:paraId="73C4FE8D" w14:textId="77777777" w:rsidR="002C25A3" w:rsidRPr="008C25FE" w:rsidRDefault="002C25A3" w:rsidP="004C5CCF">
            <w:pPr>
              <w:rPr>
                <w:rFonts w:cstheme="minorHAnsi"/>
                <w:b/>
                <w:sz w:val="18"/>
                <w:szCs w:val="18"/>
              </w:rPr>
            </w:pPr>
            <w:r w:rsidRPr="008C25FE">
              <w:rPr>
                <w:rFonts w:cstheme="minorHAnsi"/>
                <w:b/>
                <w:sz w:val="18"/>
                <w:szCs w:val="18"/>
              </w:rPr>
              <w:lastRenderedPageBreak/>
              <w:t>Outcome</w:t>
            </w:r>
          </w:p>
        </w:tc>
        <w:tc>
          <w:tcPr>
            <w:tcW w:w="7262" w:type="dxa"/>
          </w:tcPr>
          <w:p w14:paraId="5AC09EA1" w14:textId="0487E769" w:rsidR="00CD728A" w:rsidRPr="008C25FE" w:rsidRDefault="00A163F8" w:rsidP="004C5CCF">
            <w:pPr>
              <w:autoSpaceDE w:val="0"/>
              <w:autoSpaceDN w:val="0"/>
              <w:adjustRightInd w:val="0"/>
              <w:jc w:val="both"/>
              <w:rPr>
                <w:rFonts w:cstheme="minorHAnsi"/>
                <w:sz w:val="18"/>
                <w:szCs w:val="18"/>
                <w:lang w:val="en-GB"/>
              </w:rPr>
            </w:pPr>
            <w:r w:rsidRPr="008C25FE">
              <w:rPr>
                <w:rFonts w:cstheme="minorHAnsi"/>
                <w:sz w:val="18"/>
                <w:szCs w:val="18"/>
                <w:lang w:val="en-GB"/>
              </w:rPr>
              <w:t>31.</w:t>
            </w:r>
            <w:r w:rsidR="00D61E4B" w:rsidRPr="008C25FE">
              <w:rPr>
                <w:rFonts w:cstheme="minorHAnsi"/>
                <w:sz w:val="18"/>
                <w:szCs w:val="18"/>
                <w:lang w:val="en-GB"/>
              </w:rPr>
              <w:t>18</w:t>
            </w:r>
            <w:r w:rsidR="00E51B19" w:rsidRPr="008C25FE">
              <w:rPr>
                <w:rFonts w:cstheme="minorHAnsi"/>
                <w:sz w:val="18"/>
                <w:szCs w:val="18"/>
                <w:lang w:val="en-GB"/>
              </w:rPr>
              <w:t xml:space="preserve"> </w:t>
            </w:r>
            <w:r w:rsidR="00CD728A" w:rsidRPr="00CD728A">
              <w:rPr>
                <w:rFonts w:cstheme="minorHAnsi"/>
                <w:sz w:val="18"/>
                <w:szCs w:val="18"/>
                <w:lang w:val="en-GB"/>
              </w:rPr>
              <w:t>Level of satisfaction with the national</w:t>
            </w:r>
            <w:r w:rsidR="00CD728A">
              <w:rPr>
                <w:rFonts w:cstheme="minorHAnsi"/>
                <w:sz w:val="18"/>
                <w:szCs w:val="18"/>
                <w:lang w:val="en-GB"/>
              </w:rPr>
              <w:t xml:space="preserve"> </w:t>
            </w:r>
            <w:r w:rsidR="00CD728A" w:rsidRPr="00CD728A">
              <w:rPr>
                <w:rFonts w:cstheme="minorHAnsi"/>
                <w:sz w:val="18"/>
                <w:szCs w:val="18"/>
                <w:lang w:val="en-GB"/>
              </w:rPr>
              <w:t>statistical system in terms of type of data collected and its disability</w:t>
            </w:r>
            <w:r w:rsidR="00CD728A">
              <w:rPr>
                <w:rFonts w:cstheme="minorHAnsi"/>
                <w:sz w:val="18"/>
                <w:szCs w:val="18"/>
                <w:lang w:val="en-GB"/>
              </w:rPr>
              <w:t xml:space="preserve"> </w:t>
            </w:r>
            <w:r w:rsidR="00CD728A" w:rsidRPr="00CD728A">
              <w:rPr>
                <w:rFonts w:cstheme="minorHAnsi"/>
                <w:sz w:val="18"/>
                <w:szCs w:val="18"/>
                <w:lang w:val="en-GB"/>
              </w:rPr>
              <w:t>disaggregation by users with disabilities, disaggregated by sex, age,</w:t>
            </w:r>
            <w:r w:rsidR="00CD728A">
              <w:rPr>
                <w:rFonts w:cstheme="minorHAnsi"/>
                <w:sz w:val="18"/>
                <w:szCs w:val="18"/>
                <w:lang w:val="en-GB"/>
              </w:rPr>
              <w:t xml:space="preserve"> </w:t>
            </w:r>
            <w:r w:rsidR="00AF1BB7">
              <w:rPr>
                <w:rFonts w:cstheme="minorHAnsi"/>
                <w:sz w:val="18"/>
                <w:szCs w:val="18"/>
                <w:lang w:val="en-GB"/>
              </w:rPr>
              <w:t>disability</w:t>
            </w:r>
            <w:r w:rsidR="00E51B19" w:rsidRPr="008C25FE">
              <w:rPr>
                <w:rFonts w:cstheme="minorHAnsi"/>
                <w:sz w:val="18"/>
                <w:szCs w:val="18"/>
                <w:lang w:val="en-GB"/>
              </w:rPr>
              <w:t>.</w:t>
            </w:r>
            <w:r w:rsidR="00E51B19" w:rsidRPr="008C25FE">
              <w:rPr>
                <w:rStyle w:val="EndnoteReference"/>
                <w:rFonts w:cstheme="minorHAnsi"/>
                <w:sz w:val="18"/>
                <w:szCs w:val="18"/>
                <w:lang w:val="en-GB"/>
              </w:rPr>
              <w:endnoteReference w:id="10"/>
            </w:r>
            <w:r w:rsidR="00E51B19" w:rsidRPr="008C25FE">
              <w:rPr>
                <w:rFonts w:cstheme="minorHAnsi"/>
                <w:sz w:val="18"/>
                <w:szCs w:val="18"/>
                <w:lang w:val="en-GB"/>
              </w:rPr>
              <w:t xml:space="preserve"> </w:t>
            </w:r>
          </w:p>
        </w:tc>
        <w:tc>
          <w:tcPr>
            <w:tcW w:w="6259" w:type="dxa"/>
          </w:tcPr>
          <w:p w14:paraId="2A9259F6" w14:textId="779330AD" w:rsidR="002452F7" w:rsidRPr="008C25FE" w:rsidRDefault="00323695" w:rsidP="004C5CCF">
            <w:pPr>
              <w:jc w:val="both"/>
              <w:rPr>
                <w:rFonts w:cstheme="minorHAnsi"/>
                <w:sz w:val="18"/>
                <w:szCs w:val="18"/>
              </w:rPr>
            </w:pPr>
            <w:r w:rsidRPr="008C25FE">
              <w:rPr>
                <w:rFonts w:cstheme="minorHAnsi"/>
                <w:sz w:val="18"/>
                <w:szCs w:val="18"/>
              </w:rPr>
              <w:t>31</w:t>
            </w:r>
            <w:r w:rsidR="002452F7" w:rsidRPr="008C25FE">
              <w:rPr>
                <w:rFonts w:cstheme="minorHAnsi"/>
                <w:sz w:val="18"/>
                <w:szCs w:val="18"/>
              </w:rPr>
              <w:t>.</w:t>
            </w:r>
            <w:r w:rsidR="000916AC" w:rsidRPr="008C25FE">
              <w:rPr>
                <w:rFonts w:cstheme="minorHAnsi"/>
                <w:sz w:val="18"/>
                <w:szCs w:val="18"/>
              </w:rPr>
              <w:t xml:space="preserve">19 </w:t>
            </w:r>
            <w:r w:rsidR="002452F7" w:rsidRPr="008C25FE">
              <w:rPr>
                <w:rFonts w:cstheme="minorHAnsi"/>
                <w:sz w:val="18"/>
                <w:szCs w:val="18"/>
              </w:rPr>
              <w:t>Number of reports i</w:t>
            </w:r>
            <w:r w:rsidR="00D6399D" w:rsidRPr="008C25FE">
              <w:rPr>
                <w:rFonts w:cstheme="minorHAnsi"/>
                <w:sz w:val="18"/>
                <w:szCs w:val="18"/>
              </w:rPr>
              <w:t>ntended for</w:t>
            </w:r>
            <w:r w:rsidR="002452F7" w:rsidRPr="008C25FE">
              <w:rPr>
                <w:rFonts w:cstheme="minorHAnsi"/>
                <w:sz w:val="18"/>
                <w:szCs w:val="18"/>
              </w:rPr>
              <w:t xml:space="preserve"> the general</w:t>
            </w:r>
            <w:r w:rsidR="00FC41C3">
              <w:rPr>
                <w:rFonts w:cstheme="minorHAnsi"/>
                <w:sz w:val="18"/>
                <w:szCs w:val="18"/>
              </w:rPr>
              <w:t xml:space="preserve"> </w:t>
            </w:r>
            <w:r w:rsidR="002452F7" w:rsidRPr="008C25FE">
              <w:rPr>
                <w:rFonts w:cstheme="minorHAnsi"/>
                <w:sz w:val="18"/>
                <w:szCs w:val="18"/>
              </w:rPr>
              <w:t>public p</w:t>
            </w:r>
            <w:r w:rsidR="00FB7932" w:rsidRPr="008C25FE">
              <w:rPr>
                <w:rFonts w:cstheme="minorHAnsi"/>
                <w:sz w:val="18"/>
                <w:szCs w:val="18"/>
              </w:rPr>
              <w:t>roduced by the State</w:t>
            </w:r>
            <w:r w:rsidR="00D6399D" w:rsidRPr="008C25FE">
              <w:rPr>
                <w:rFonts w:cstheme="minorHAnsi"/>
                <w:sz w:val="18"/>
                <w:szCs w:val="18"/>
              </w:rPr>
              <w:t xml:space="preserve"> </w:t>
            </w:r>
            <w:r w:rsidR="002452F7" w:rsidRPr="008C25FE">
              <w:rPr>
                <w:rFonts w:cstheme="minorHAnsi"/>
                <w:sz w:val="18"/>
                <w:szCs w:val="18"/>
              </w:rPr>
              <w:t>in accessible formats, disaggregated by type of format and their proportion out of the total</w:t>
            </w:r>
            <w:r w:rsidR="00FB7932" w:rsidRPr="008C25FE">
              <w:rPr>
                <w:rFonts w:cstheme="minorHAnsi"/>
                <w:sz w:val="18"/>
                <w:szCs w:val="18"/>
              </w:rPr>
              <w:t xml:space="preserve"> number</w:t>
            </w:r>
            <w:r w:rsidR="002452F7" w:rsidRPr="008C25FE">
              <w:rPr>
                <w:rFonts w:cstheme="minorHAnsi"/>
                <w:sz w:val="18"/>
                <w:szCs w:val="18"/>
              </w:rPr>
              <w:t xml:space="preserve"> of </w:t>
            </w:r>
            <w:r w:rsidR="00FB7932" w:rsidRPr="008C25FE">
              <w:rPr>
                <w:rFonts w:cstheme="minorHAnsi"/>
                <w:sz w:val="18"/>
                <w:szCs w:val="18"/>
              </w:rPr>
              <w:t xml:space="preserve">published </w:t>
            </w:r>
            <w:r w:rsidR="002452F7" w:rsidRPr="008C25FE">
              <w:rPr>
                <w:rFonts w:cstheme="minorHAnsi"/>
                <w:sz w:val="18"/>
                <w:szCs w:val="18"/>
              </w:rPr>
              <w:t>States reports.</w:t>
            </w:r>
          </w:p>
        </w:tc>
      </w:tr>
    </w:tbl>
    <w:p w14:paraId="4A31DA89" w14:textId="0C7C0D3E" w:rsidR="000916AC" w:rsidRDefault="000916AC">
      <w:pPr>
        <w:rPr>
          <w:rFonts w:cstheme="minorHAnsi"/>
          <w:b/>
          <w:sz w:val="18"/>
          <w:szCs w:val="18"/>
        </w:rPr>
      </w:pPr>
    </w:p>
    <w:p w14:paraId="0E14C2B1" w14:textId="77777777" w:rsidR="004C5CCF" w:rsidRPr="008C25FE" w:rsidRDefault="004C5CCF">
      <w:pPr>
        <w:rPr>
          <w:rFonts w:cstheme="minorHAnsi"/>
          <w:b/>
          <w:sz w:val="18"/>
          <w:szCs w:val="18"/>
        </w:rPr>
      </w:pPr>
    </w:p>
    <w:p w14:paraId="1D8C4919" w14:textId="6416651C" w:rsidR="00DE431B" w:rsidRPr="004C5CCF" w:rsidRDefault="0065051C" w:rsidP="004C5CCF">
      <w:pPr>
        <w:pStyle w:val="Heading2"/>
      </w:pPr>
      <w:r w:rsidRPr="004C5CCF">
        <w:t>ANNEX</w:t>
      </w:r>
    </w:p>
    <w:sectPr w:rsidR="00DE431B" w:rsidRPr="004C5CCF" w:rsidSect="00BA22F4">
      <w:headerReference w:type="default" r:id="rId13"/>
      <w:footerReference w:type="default" r:id="rId1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AFAC0" w14:textId="77777777" w:rsidR="00A2606A" w:rsidRDefault="00A2606A" w:rsidP="00CA591E"/>
  </w:endnote>
  <w:endnote w:type="continuationSeparator" w:id="0">
    <w:p w14:paraId="18F9C505" w14:textId="77777777" w:rsidR="00A2606A" w:rsidRDefault="00A2606A" w:rsidP="00CA591E">
      <w:r>
        <w:continuationSeparator/>
      </w:r>
    </w:p>
  </w:endnote>
  <w:endnote w:id="1">
    <w:p w14:paraId="07E7F2DD" w14:textId="51475BB3" w:rsidR="00D6399D" w:rsidRPr="00701DF3" w:rsidRDefault="00D6399D" w:rsidP="007F16FB">
      <w:pPr>
        <w:pStyle w:val="EndnoteText"/>
        <w:jc w:val="both"/>
        <w:rPr>
          <w:sz w:val="18"/>
          <w:szCs w:val="18"/>
        </w:rPr>
      </w:pPr>
      <w:r w:rsidRPr="00701DF3">
        <w:rPr>
          <w:rStyle w:val="EndnoteReference"/>
          <w:sz w:val="18"/>
          <w:szCs w:val="18"/>
        </w:rPr>
        <w:endnoteRef/>
      </w:r>
      <w:r w:rsidRPr="00701DF3">
        <w:rPr>
          <w:sz w:val="18"/>
          <w:szCs w:val="18"/>
        </w:rPr>
        <w:t xml:space="preserve"> The </w:t>
      </w:r>
      <w:hyperlink r:id="rId1" w:history="1">
        <w:r w:rsidRPr="003C3AF6">
          <w:rPr>
            <w:rStyle w:val="Hyperlink"/>
            <w:sz w:val="18"/>
            <w:szCs w:val="18"/>
          </w:rPr>
          <w:t>National Strategies for the Development of Statistics Guidelines</w:t>
        </w:r>
        <w:r w:rsidRPr="003C3AF6">
          <w:rPr>
            <w:rStyle w:val="Hyperlink"/>
            <w:color w:val="000000" w:themeColor="text1"/>
            <w:sz w:val="18"/>
            <w:szCs w:val="18"/>
            <w:u w:val="none"/>
          </w:rPr>
          <w:t xml:space="preserve"> provide guidance to States to develop and strengthen statistical systems and capacity, and are issued by </w:t>
        </w:r>
        <w:r w:rsidRPr="003C3AF6">
          <w:rPr>
            <w:color w:val="000000" w:themeColor="text1"/>
            <w:sz w:val="18"/>
            <w:szCs w:val="18"/>
          </w:rPr>
          <w:t xml:space="preserve">the </w:t>
        </w:r>
        <w:hyperlink r:id="rId2" w:history="1">
          <w:r w:rsidRPr="003C3AF6">
            <w:rPr>
              <w:rStyle w:val="Hyperlink"/>
              <w:sz w:val="18"/>
              <w:szCs w:val="18"/>
            </w:rPr>
            <w:t>Partnership in Statistics for Development in the 21st Century (PARIS21)</w:t>
          </w:r>
        </w:hyperlink>
        <w:r w:rsidRPr="003C3AF6">
          <w:rPr>
            <w:rStyle w:val="Hyperlink"/>
            <w:sz w:val="18"/>
            <w:szCs w:val="18"/>
            <w:u w:val="none"/>
          </w:rPr>
          <w:t>.</w:t>
        </w:r>
        <w:r w:rsidRPr="003C3AF6">
          <w:rPr>
            <w:rStyle w:val="Hyperlink"/>
            <w:sz w:val="18"/>
            <w:szCs w:val="18"/>
          </w:rPr>
          <w:t xml:space="preserve">  </w:t>
        </w:r>
      </w:hyperlink>
      <w:r w:rsidRPr="00701DF3">
        <w:rPr>
          <w:sz w:val="18"/>
          <w:szCs w:val="18"/>
        </w:rPr>
        <w:t xml:space="preserve"> </w:t>
      </w:r>
    </w:p>
  </w:endnote>
  <w:endnote w:id="2">
    <w:p w14:paraId="78E413F5" w14:textId="3BB7FD11" w:rsidR="00D6399D" w:rsidRPr="00701DF3" w:rsidRDefault="00D6399D" w:rsidP="007F16FB">
      <w:pPr>
        <w:pStyle w:val="EndnoteText"/>
        <w:rPr>
          <w:sz w:val="18"/>
          <w:szCs w:val="18"/>
          <w:lang w:val="en-GB"/>
        </w:rPr>
      </w:pPr>
      <w:r w:rsidRPr="00701DF3">
        <w:rPr>
          <w:rStyle w:val="EndnoteReference"/>
          <w:sz w:val="18"/>
          <w:szCs w:val="18"/>
        </w:rPr>
        <w:endnoteRef/>
      </w:r>
      <w:r w:rsidRPr="00701DF3">
        <w:rPr>
          <w:sz w:val="18"/>
          <w:szCs w:val="18"/>
        </w:rPr>
        <w:t xml:space="preserve"> </w:t>
      </w:r>
      <w:r w:rsidRPr="00701DF3">
        <w:rPr>
          <w:sz w:val="18"/>
          <w:szCs w:val="18"/>
          <w:lang w:val="en-GB"/>
        </w:rPr>
        <w:t xml:space="preserve">See as a reference ECOSOC, </w:t>
      </w:r>
      <w:hyperlink r:id="rId3" w:history="1">
        <w:r w:rsidRPr="003C3AF6">
          <w:rPr>
            <w:rStyle w:val="Hyperlink"/>
            <w:i/>
            <w:sz w:val="18"/>
            <w:szCs w:val="18"/>
            <w:lang w:val="en-GB"/>
          </w:rPr>
          <w:t>Fundamental Principles of Official Statistics</w:t>
        </w:r>
      </w:hyperlink>
      <w:r w:rsidRPr="00701DF3">
        <w:rPr>
          <w:sz w:val="18"/>
          <w:szCs w:val="18"/>
          <w:lang w:val="en-GB"/>
        </w:rPr>
        <w:t>, Resolution E/RES/2013/21 adopted on 24 July 2013.</w:t>
      </w:r>
    </w:p>
  </w:endnote>
  <w:endnote w:id="3">
    <w:p w14:paraId="16225083" w14:textId="795E0693" w:rsidR="00467D59" w:rsidRPr="003C3AF6" w:rsidRDefault="00467D59" w:rsidP="00467D59">
      <w:pPr>
        <w:pStyle w:val="EndnoteText"/>
        <w:rPr>
          <w:sz w:val="18"/>
          <w:szCs w:val="18"/>
        </w:rPr>
      </w:pPr>
      <w:r w:rsidRPr="003C3AF6">
        <w:rPr>
          <w:rStyle w:val="EndnoteReference"/>
          <w:sz w:val="18"/>
          <w:szCs w:val="18"/>
        </w:rPr>
        <w:endnoteRef/>
      </w:r>
      <w:r w:rsidRPr="003C3AF6">
        <w:rPr>
          <w:sz w:val="18"/>
          <w:szCs w:val="18"/>
        </w:rPr>
        <w:t xml:space="preserve"> E.g. health</w:t>
      </w:r>
      <w:r w:rsidRPr="002D4817">
        <w:rPr>
          <w:sz w:val="18"/>
          <w:szCs w:val="18"/>
        </w:rPr>
        <w:t>, inclusive</w:t>
      </w:r>
      <w:r w:rsidRPr="003C3AF6">
        <w:rPr>
          <w:sz w:val="18"/>
          <w:szCs w:val="18"/>
        </w:rPr>
        <w:t xml:space="preserve"> education, employment, political participation, access to justice, </w:t>
      </w:r>
      <w:r w:rsidR="002D4817">
        <w:rPr>
          <w:sz w:val="18"/>
          <w:szCs w:val="18"/>
        </w:rPr>
        <w:t xml:space="preserve">violence, </w:t>
      </w:r>
      <w:r w:rsidRPr="003C3AF6">
        <w:rPr>
          <w:sz w:val="18"/>
          <w:szCs w:val="18"/>
        </w:rPr>
        <w:t>social protection,</w:t>
      </w:r>
      <w:r w:rsidR="002D4817">
        <w:rPr>
          <w:sz w:val="18"/>
          <w:szCs w:val="18"/>
        </w:rPr>
        <w:t xml:space="preserve"> access to services, assistive technology</w:t>
      </w:r>
      <w:r w:rsidRPr="003C3AF6">
        <w:rPr>
          <w:sz w:val="18"/>
          <w:szCs w:val="18"/>
        </w:rPr>
        <w:t>, etc.</w:t>
      </w:r>
    </w:p>
  </w:endnote>
  <w:endnote w:id="4">
    <w:p w14:paraId="5DC38EDB" w14:textId="4A13E84B" w:rsidR="00D6399D" w:rsidRPr="00701DF3" w:rsidRDefault="00D6399D" w:rsidP="007F16FB">
      <w:pPr>
        <w:pStyle w:val="EndnoteText"/>
        <w:rPr>
          <w:sz w:val="18"/>
          <w:szCs w:val="18"/>
          <w:lang w:val="en-GB"/>
        </w:rPr>
      </w:pPr>
      <w:r w:rsidRPr="00701DF3">
        <w:rPr>
          <w:rStyle w:val="EndnoteReference"/>
          <w:sz w:val="18"/>
          <w:szCs w:val="18"/>
        </w:rPr>
        <w:endnoteRef/>
      </w:r>
      <w:r w:rsidRPr="00701DF3">
        <w:rPr>
          <w:sz w:val="18"/>
          <w:szCs w:val="18"/>
        </w:rPr>
        <w:t xml:space="preserve"> Participatory research should be </w:t>
      </w:r>
      <w:proofErr w:type="spellStart"/>
      <w:r w:rsidRPr="00701DF3">
        <w:rPr>
          <w:sz w:val="18"/>
          <w:szCs w:val="18"/>
        </w:rPr>
        <w:t>prioritised</w:t>
      </w:r>
      <w:proofErr w:type="spellEnd"/>
      <w:r w:rsidRPr="00701DF3">
        <w:rPr>
          <w:sz w:val="18"/>
          <w:szCs w:val="18"/>
        </w:rPr>
        <w:t xml:space="preserve"> in line with </w:t>
      </w:r>
      <w:hyperlink r:id="rId4" w:history="1">
        <w:r w:rsidRPr="007825EC">
          <w:rPr>
            <w:rStyle w:val="Hyperlink"/>
            <w:sz w:val="18"/>
            <w:szCs w:val="18"/>
          </w:rPr>
          <w:t>General Comment No. 7</w:t>
        </w:r>
      </w:hyperlink>
      <w:r w:rsidRPr="00701DF3">
        <w:rPr>
          <w:sz w:val="18"/>
          <w:szCs w:val="18"/>
        </w:rPr>
        <w:t xml:space="preserve"> (2018).</w:t>
      </w:r>
    </w:p>
  </w:endnote>
  <w:endnote w:id="5">
    <w:p w14:paraId="7B05E570" w14:textId="2F7A7986" w:rsidR="00CA7D8C" w:rsidRPr="00701DF3" w:rsidRDefault="00D6399D" w:rsidP="007F16FB">
      <w:pPr>
        <w:pStyle w:val="EndnoteText"/>
        <w:jc w:val="both"/>
        <w:rPr>
          <w:sz w:val="18"/>
          <w:szCs w:val="18"/>
        </w:rPr>
      </w:pPr>
      <w:r w:rsidRPr="00701DF3">
        <w:rPr>
          <w:rStyle w:val="EndnoteReference"/>
          <w:sz w:val="18"/>
          <w:szCs w:val="18"/>
        </w:rPr>
        <w:endnoteRef/>
      </w:r>
      <w:r w:rsidRPr="00701DF3">
        <w:rPr>
          <w:sz w:val="18"/>
          <w:szCs w:val="18"/>
        </w:rPr>
        <w:t xml:space="preserve"> </w:t>
      </w:r>
      <w:r w:rsidR="00CA7D8C" w:rsidRPr="00701DF3">
        <w:rPr>
          <w:sz w:val="18"/>
          <w:szCs w:val="18"/>
        </w:rPr>
        <w:t xml:space="preserve">The resources allocated to international cooperation and development </w:t>
      </w:r>
      <w:proofErr w:type="spellStart"/>
      <w:r w:rsidR="00CA7D8C" w:rsidRPr="00701DF3">
        <w:rPr>
          <w:sz w:val="18"/>
          <w:szCs w:val="18"/>
        </w:rPr>
        <w:t>program</w:t>
      </w:r>
      <w:r w:rsidR="00195FCD">
        <w:rPr>
          <w:sz w:val="18"/>
          <w:szCs w:val="18"/>
        </w:rPr>
        <w:t>me</w:t>
      </w:r>
      <w:r w:rsidR="00CA7D8C" w:rsidRPr="00701DF3">
        <w:rPr>
          <w:sz w:val="18"/>
          <w:szCs w:val="18"/>
        </w:rPr>
        <w:t>s</w:t>
      </w:r>
      <w:proofErr w:type="spellEnd"/>
      <w:r w:rsidR="00CA7D8C" w:rsidRPr="00701DF3">
        <w:rPr>
          <w:sz w:val="18"/>
          <w:szCs w:val="18"/>
        </w:rPr>
        <w:t xml:space="preserve"> outside the territory of the State, directed to other countries or regional or international organizations, should be monitored. This information will track disability inclusive </w:t>
      </w:r>
      <w:r w:rsidR="00CA7D8C" w:rsidRPr="003C3AF6">
        <w:rPr>
          <w:sz w:val="18"/>
          <w:szCs w:val="18"/>
        </w:rPr>
        <w:t>aid flows to identify gaps in sectors and populations for more effec</w:t>
      </w:r>
      <w:r w:rsidR="00492EA0">
        <w:rPr>
          <w:sz w:val="18"/>
          <w:szCs w:val="18"/>
        </w:rPr>
        <w:t>tive aid allocation. The Organiz</w:t>
      </w:r>
      <w:r w:rsidR="00CA7D8C" w:rsidRPr="003C3AF6">
        <w:rPr>
          <w:sz w:val="18"/>
          <w:szCs w:val="18"/>
        </w:rPr>
        <w:t>ation for Economic Co-operation and Development (OECD) approved the introduction  of  a  policy  marker to flag aid flows relating to  the  inclusion  and empowerment  of  people  with  disabilities, and a handbook to guide reporting on the disability marker</w:t>
      </w:r>
      <w:r w:rsidR="000916AC">
        <w:rPr>
          <w:sz w:val="18"/>
          <w:szCs w:val="18"/>
        </w:rPr>
        <w:t xml:space="preserve"> (forthcoming)</w:t>
      </w:r>
      <w:r w:rsidR="00CA7D8C" w:rsidRPr="003C3AF6">
        <w:rPr>
          <w:sz w:val="18"/>
          <w:szCs w:val="18"/>
        </w:rPr>
        <w:t>. S</w:t>
      </w:r>
      <w:r w:rsidRPr="003C3AF6">
        <w:rPr>
          <w:sz w:val="18"/>
          <w:szCs w:val="18"/>
        </w:rPr>
        <w:t>ee OECD,</w:t>
      </w:r>
      <w:r w:rsidR="004506AD" w:rsidRPr="003C3AF6">
        <w:rPr>
          <w:sz w:val="18"/>
          <w:szCs w:val="18"/>
        </w:rPr>
        <w:t xml:space="preserve"> DAC Working Party on Development Finance Statistics</w:t>
      </w:r>
      <w:r w:rsidR="00423C50" w:rsidRPr="003C3AF6">
        <w:rPr>
          <w:sz w:val="18"/>
          <w:szCs w:val="18"/>
        </w:rPr>
        <w:t>,</w:t>
      </w:r>
      <w:r w:rsidR="004506AD" w:rsidRPr="003C3AF6">
        <w:rPr>
          <w:sz w:val="18"/>
          <w:szCs w:val="18"/>
        </w:rPr>
        <w:t xml:space="preserve"> </w:t>
      </w:r>
      <w:hyperlink r:id="rId5" w:history="1">
        <w:r w:rsidR="004506AD" w:rsidRPr="003C3AF6">
          <w:rPr>
            <w:rStyle w:val="Hyperlink"/>
            <w:i/>
            <w:sz w:val="18"/>
            <w:szCs w:val="18"/>
          </w:rPr>
          <w:t>Handbook for the marker for the inclusion and empowerment of persons with disabilities</w:t>
        </w:r>
      </w:hyperlink>
      <w:r w:rsidRPr="00701DF3">
        <w:rPr>
          <w:sz w:val="18"/>
          <w:szCs w:val="18"/>
        </w:rPr>
        <w:t xml:space="preserve">, </w:t>
      </w:r>
      <w:r w:rsidR="004506AD" w:rsidRPr="00701DF3">
        <w:rPr>
          <w:sz w:val="18"/>
          <w:szCs w:val="18"/>
        </w:rPr>
        <w:t>DCD/DAC/STAT/RD(2019)1/RD1, page 2.</w:t>
      </w:r>
    </w:p>
  </w:endnote>
  <w:endnote w:id="6">
    <w:p w14:paraId="7BBE225C" w14:textId="77777777" w:rsidR="00D6399D" w:rsidRPr="00701DF3" w:rsidRDefault="00D6399D" w:rsidP="007F16FB">
      <w:pPr>
        <w:pStyle w:val="EndnoteText"/>
        <w:rPr>
          <w:sz w:val="18"/>
          <w:szCs w:val="18"/>
        </w:rPr>
      </w:pPr>
      <w:r w:rsidRPr="00701DF3">
        <w:rPr>
          <w:rStyle w:val="EndnoteReference"/>
          <w:sz w:val="18"/>
          <w:szCs w:val="18"/>
        </w:rPr>
        <w:endnoteRef/>
      </w:r>
      <w:r w:rsidRPr="00701DF3">
        <w:rPr>
          <w:sz w:val="18"/>
          <w:szCs w:val="18"/>
        </w:rPr>
        <w:t xml:space="preserve"> Legislation on access to information must ensure that:</w:t>
      </w:r>
    </w:p>
    <w:p w14:paraId="48392965" w14:textId="30DAD609" w:rsidR="00D6399D" w:rsidRPr="00701DF3" w:rsidRDefault="00D6399D" w:rsidP="007F16FB">
      <w:pPr>
        <w:pStyle w:val="EndnoteText"/>
        <w:numPr>
          <w:ilvl w:val="0"/>
          <w:numId w:val="9"/>
        </w:numPr>
        <w:rPr>
          <w:sz w:val="18"/>
          <w:szCs w:val="18"/>
        </w:rPr>
      </w:pPr>
      <w:r w:rsidRPr="00701DF3">
        <w:rPr>
          <w:sz w:val="18"/>
          <w:szCs w:val="18"/>
        </w:rPr>
        <w:t>Available Information intended for the general public is disseminated in accessible formats.</w:t>
      </w:r>
      <w:r w:rsidR="00701DF3">
        <w:rPr>
          <w:sz w:val="18"/>
          <w:szCs w:val="18"/>
        </w:rPr>
        <w:t xml:space="preserve"> </w:t>
      </w:r>
      <w:r w:rsidR="00701DF3" w:rsidRPr="009D6255">
        <w:rPr>
          <w:sz w:val="18"/>
          <w:szCs w:val="18"/>
          <w:lang w:val="en-GB"/>
        </w:rPr>
        <w:t xml:space="preserve">Information should be available in </w:t>
      </w:r>
      <w:r w:rsidR="00701DF3" w:rsidRPr="009D6255">
        <w:rPr>
          <w:rFonts w:cstheme="minorHAnsi"/>
          <w:sz w:val="18"/>
          <w:szCs w:val="18"/>
        </w:rPr>
        <w:t>sign language, Braille, Easy to Read format, captioning, tactile communication, among others.</w:t>
      </w:r>
    </w:p>
    <w:p w14:paraId="53F5D8D6" w14:textId="0E6530D0" w:rsidR="00D6399D" w:rsidRPr="00701DF3" w:rsidRDefault="00D6399D" w:rsidP="007F16FB">
      <w:pPr>
        <w:pStyle w:val="EndnoteText"/>
        <w:numPr>
          <w:ilvl w:val="0"/>
          <w:numId w:val="9"/>
        </w:numPr>
        <w:rPr>
          <w:sz w:val="18"/>
          <w:szCs w:val="18"/>
        </w:rPr>
      </w:pPr>
      <w:r w:rsidRPr="00701DF3">
        <w:rPr>
          <w:sz w:val="18"/>
          <w:szCs w:val="18"/>
        </w:rPr>
        <w:t>Procedures to request information intended for the general public are accessible to all persons with disabilities.</w:t>
      </w:r>
    </w:p>
    <w:p w14:paraId="3DF40D57" w14:textId="4D260363" w:rsidR="00D6399D" w:rsidRPr="00701DF3" w:rsidRDefault="00D6399D" w:rsidP="007F16FB">
      <w:pPr>
        <w:pStyle w:val="EndnoteText"/>
        <w:numPr>
          <w:ilvl w:val="0"/>
          <w:numId w:val="9"/>
        </w:numPr>
        <w:rPr>
          <w:sz w:val="18"/>
          <w:szCs w:val="18"/>
        </w:rPr>
      </w:pPr>
      <w:r w:rsidRPr="00701DF3">
        <w:rPr>
          <w:sz w:val="18"/>
          <w:szCs w:val="18"/>
        </w:rPr>
        <w:t>There is no restriction in accessing information on the basis of denial or restriction of legal capacity in contradiction with Article 12 of the CRPD.</w:t>
      </w:r>
    </w:p>
  </w:endnote>
  <w:endnote w:id="7">
    <w:p w14:paraId="2AFC119D" w14:textId="11AB7CC6" w:rsidR="00B60EAA" w:rsidRPr="00701DF3" w:rsidRDefault="00782B52" w:rsidP="007F16FB">
      <w:pPr>
        <w:pStyle w:val="EndnoteText"/>
        <w:jc w:val="both"/>
        <w:rPr>
          <w:sz w:val="18"/>
          <w:szCs w:val="18"/>
        </w:rPr>
      </w:pPr>
      <w:r w:rsidRPr="00701DF3">
        <w:rPr>
          <w:rStyle w:val="EndnoteReference"/>
          <w:sz w:val="18"/>
          <w:szCs w:val="18"/>
        </w:rPr>
        <w:endnoteRef/>
      </w:r>
      <w:r w:rsidRPr="00701DF3">
        <w:rPr>
          <w:sz w:val="18"/>
          <w:szCs w:val="18"/>
        </w:rPr>
        <w:t xml:space="preserve"> As commented in the </w:t>
      </w:r>
      <w:r w:rsidR="00B60EAA" w:rsidRPr="00701DF3">
        <w:rPr>
          <w:sz w:val="18"/>
          <w:szCs w:val="18"/>
        </w:rPr>
        <w:t xml:space="preserve">Frequently Asked Questions on human rights indicators of the CRPD, no. 11, </w:t>
      </w:r>
      <w:r w:rsidR="005A29F0" w:rsidRPr="00701DF3">
        <w:rPr>
          <w:sz w:val="18"/>
          <w:szCs w:val="18"/>
        </w:rPr>
        <w:t xml:space="preserve">the </w:t>
      </w:r>
      <w:hyperlink r:id="rId6" w:history="1">
        <w:r w:rsidR="005A29F0" w:rsidRPr="00971006">
          <w:rPr>
            <w:rStyle w:val="Hyperlink"/>
            <w:sz w:val="18"/>
            <w:szCs w:val="18"/>
          </w:rPr>
          <w:t>Washington Group s</w:t>
        </w:r>
        <w:r w:rsidRPr="00971006">
          <w:rPr>
            <w:rStyle w:val="Hyperlink"/>
            <w:sz w:val="18"/>
            <w:szCs w:val="18"/>
          </w:rPr>
          <w:t>et</w:t>
        </w:r>
        <w:r w:rsidR="005A29F0" w:rsidRPr="00971006">
          <w:rPr>
            <w:rStyle w:val="Hyperlink"/>
            <w:sz w:val="18"/>
            <w:szCs w:val="18"/>
          </w:rPr>
          <w:t>s</w:t>
        </w:r>
        <w:r w:rsidRPr="00971006">
          <w:rPr>
            <w:rStyle w:val="Hyperlink"/>
            <w:sz w:val="18"/>
            <w:szCs w:val="18"/>
          </w:rPr>
          <w:t xml:space="preserve"> of </w:t>
        </w:r>
        <w:r w:rsidR="005A29F0" w:rsidRPr="00971006">
          <w:rPr>
            <w:rStyle w:val="Hyperlink"/>
            <w:sz w:val="18"/>
            <w:szCs w:val="18"/>
          </w:rPr>
          <w:t>q</w:t>
        </w:r>
        <w:r w:rsidRPr="00971006">
          <w:rPr>
            <w:rStyle w:val="Hyperlink"/>
            <w:sz w:val="18"/>
            <w:szCs w:val="18"/>
          </w:rPr>
          <w:t>uestions on Disability</w:t>
        </w:r>
      </w:hyperlink>
      <w:r w:rsidRPr="00701DF3">
        <w:rPr>
          <w:sz w:val="18"/>
          <w:szCs w:val="18"/>
        </w:rPr>
        <w:t xml:space="preserve"> constitute today </w:t>
      </w:r>
      <w:r w:rsidR="000C0DDE" w:rsidRPr="00701DF3">
        <w:rPr>
          <w:sz w:val="18"/>
          <w:szCs w:val="18"/>
        </w:rPr>
        <w:t>readily</w:t>
      </w:r>
      <w:r w:rsidR="0068627A" w:rsidRPr="00701DF3">
        <w:rPr>
          <w:sz w:val="18"/>
          <w:szCs w:val="18"/>
        </w:rPr>
        <w:t xml:space="preserve"> available, </w:t>
      </w:r>
      <w:r w:rsidRPr="00701DF3">
        <w:rPr>
          <w:sz w:val="18"/>
          <w:szCs w:val="18"/>
        </w:rPr>
        <w:t xml:space="preserve">internationally accepted </w:t>
      </w:r>
      <w:r w:rsidR="00A95B50" w:rsidRPr="00701DF3">
        <w:rPr>
          <w:sz w:val="18"/>
          <w:szCs w:val="18"/>
        </w:rPr>
        <w:t xml:space="preserve">and tested </w:t>
      </w:r>
      <w:r w:rsidRPr="00701DF3">
        <w:rPr>
          <w:sz w:val="18"/>
          <w:szCs w:val="18"/>
        </w:rPr>
        <w:t>tool</w:t>
      </w:r>
      <w:r w:rsidR="005A29F0" w:rsidRPr="00701DF3">
        <w:rPr>
          <w:sz w:val="18"/>
          <w:szCs w:val="18"/>
        </w:rPr>
        <w:t>s</w:t>
      </w:r>
      <w:r w:rsidR="0068627A" w:rsidRPr="00701DF3">
        <w:rPr>
          <w:sz w:val="18"/>
          <w:szCs w:val="18"/>
        </w:rPr>
        <w:t>, supported by the CRPD Committee,</w:t>
      </w:r>
      <w:r w:rsidRPr="00701DF3">
        <w:rPr>
          <w:sz w:val="18"/>
          <w:szCs w:val="18"/>
        </w:rPr>
        <w:t xml:space="preserve"> to collect and </w:t>
      </w:r>
      <w:r w:rsidR="005A29F0" w:rsidRPr="00701DF3">
        <w:rPr>
          <w:sz w:val="18"/>
          <w:szCs w:val="18"/>
        </w:rPr>
        <w:t>disaggregate data by disability status, be it in national censuses (</w:t>
      </w:r>
      <w:hyperlink r:id="rId7" w:history="1">
        <w:r w:rsidR="005E2C34" w:rsidRPr="00971006">
          <w:rPr>
            <w:rStyle w:val="Hyperlink"/>
            <w:sz w:val="18"/>
            <w:szCs w:val="18"/>
          </w:rPr>
          <w:t>short set</w:t>
        </w:r>
      </w:hyperlink>
      <w:r w:rsidR="005A29F0" w:rsidRPr="00701DF3">
        <w:rPr>
          <w:sz w:val="18"/>
          <w:szCs w:val="18"/>
        </w:rPr>
        <w:t>) or in other data collection exercises such as surveys and others (</w:t>
      </w:r>
      <w:hyperlink r:id="rId8" w:history="1">
        <w:r w:rsidR="005A29F0" w:rsidRPr="00971006">
          <w:rPr>
            <w:rStyle w:val="Hyperlink"/>
            <w:sz w:val="18"/>
            <w:szCs w:val="18"/>
          </w:rPr>
          <w:t>extended set</w:t>
        </w:r>
      </w:hyperlink>
      <w:r w:rsidR="005A29F0" w:rsidRPr="00701DF3">
        <w:rPr>
          <w:sz w:val="18"/>
          <w:szCs w:val="18"/>
        </w:rPr>
        <w:t>)</w:t>
      </w:r>
      <w:r w:rsidR="005E2C34" w:rsidRPr="00701DF3">
        <w:rPr>
          <w:sz w:val="18"/>
          <w:szCs w:val="18"/>
        </w:rPr>
        <w:t>.</w:t>
      </w:r>
      <w:r w:rsidR="00B60EAA" w:rsidRPr="00701DF3">
        <w:rPr>
          <w:sz w:val="18"/>
          <w:szCs w:val="18"/>
        </w:rPr>
        <w:t xml:space="preserve"> In connection to children and youth with disabilities, </w:t>
      </w:r>
      <w:r w:rsidR="0068627A" w:rsidRPr="00701DF3">
        <w:rPr>
          <w:sz w:val="18"/>
          <w:szCs w:val="18"/>
        </w:rPr>
        <w:t xml:space="preserve">please consider </w:t>
      </w:r>
      <w:r w:rsidR="00B60EAA" w:rsidRPr="00701DF3">
        <w:rPr>
          <w:sz w:val="18"/>
          <w:szCs w:val="18"/>
        </w:rPr>
        <w:t>the UNICEF/Washington Group Child Functioning Module</w:t>
      </w:r>
      <w:r w:rsidR="0068627A" w:rsidRPr="00701DF3">
        <w:rPr>
          <w:sz w:val="18"/>
          <w:szCs w:val="18"/>
        </w:rPr>
        <w:t>.</w:t>
      </w:r>
      <w:r w:rsidR="00B60EAA" w:rsidRPr="00701DF3">
        <w:rPr>
          <w:sz w:val="18"/>
          <w:szCs w:val="18"/>
        </w:rPr>
        <w:t xml:space="preserve"> Disability-data </w:t>
      </w:r>
      <w:r w:rsidR="0068627A" w:rsidRPr="00701DF3">
        <w:rPr>
          <w:sz w:val="18"/>
          <w:szCs w:val="18"/>
        </w:rPr>
        <w:t>collection methods and tools remain</w:t>
      </w:r>
      <w:r w:rsidR="00B60EAA" w:rsidRPr="00701DF3">
        <w:rPr>
          <w:sz w:val="18"/>
          <w:szCs w:val="18"/>
        </w:rPr>
        <w:t xml:space="preserve"> a matter of current technical debate and development and disaggregation “by disability” may require different methods, depending on the kind of information sought and the method deployed. </w:t>
      </w:r>
    </w:p>
  </w:endnote>
  <w:endnote w:id="8">
    <w:p w14:paraId="53553E12" w14:textId="684F1BFC" w:rsidR="0046189F" w:rsidRPr="00701DF3" w:rsidRDefault="0046189F" w:rsidP="007F16FB">
      <w:pPr>
        <w:pStyle w:val="EndnoteText"/>
        <w:jc w:val="both"/>
        <w:rPr>
          <w:sz w:val="18"/>
          <w:szCs w:val="18"/>
        </w:rPr>
      </w:pPr>
      <w:r w:rsidRPr="00701DF3">
        <w:rPr>
          <w:rStyle w:val="EndnoteReference"/>
          <w:sz w:val="18"/>
          <w:szCs w:val="18"/>
        </w:rPr>
        <w:endnoteRef/>
      </w:r>
      <w:r w:rsidRPr="00701DF3">
        <w:rPr>
          <w:sz w:val="18"/>
          <w:szCs w:val="18"/>
        </w:rPr>
        <w:t xml:space="preserve"> Trainings should be </w:t>
      </w:r>
      <w:r w:rsidR="008D4818" w:rsidRPr="00701DF3">
        <w:rPr>
          <w:sz w:val="18"/>
          <w:szCs w:val="18"/>
        </w:rPr>
        <w:t>designed</w:t>
      </w:r>
      <w:r w:rsidRPr="00701DF3">
        <w:rPr>
          <w:sz w:val="18"/>
          <w:szCs w:val="18"/>
        </w:rPr>
        <w:t xml:space="preserve"> and tailored to the specific audience.</w:t>
      </w:r>
      <w:r w:rsidR="005E2C34" w:rsidRPr="00701DF3">
        <w:rPr>
          <w:sz w:val="18"/>
          <w:szCs w:val="18"/>
          <w:lang w:val="en-GB"/>
        </w:rPr>
        <w:t xml:space="preserve"> While staff of statistics offices is typically involved in data collection and disaggregation, staff of other areas of government might be responsible for collecting, systematizing and reporting administrative data related to their area of work, which should be disaggregated by disability.</w:t>
      </w:r>
      <w:r w:rsidR="000003D4" w:rsidRPr="00701DF3">
        <w:rPr>
          <w:sz w:val="18"/>
          <w:szCs w:val="18"/>
          <w:lang w:val="en-GB"/>
        </w:rPr>
        <w:t xml:space="preserve"> In addition, s</w:t>
      </w:r>
      <w:proofErr w:type="spellStart"/>
      <w:r w:rsidR="000003D4" w:rsidRPr="00701DF3">
        <w:rPr>
          <w:sz w:val="18"/>
          <w:szCs w:val="18"/>
        </w:rPr>
        <w:t>taff</w:t>
      </w:r>
      <w:proofErr w:type="spellEnd"/>
      <w:r w:rsidR="000003D4" w:rsidRPr="00701DF3">
        <w:rPr>
          <w:sz w:val="18"/>
          <w:szCs w:val="18"/>
        </w:rPr>
        <w:t xml:space="preserve"> involved in policy development, planning and </w:t>
      </w:r>
      <w:proofErr w:type="gramStart"/>
      <w:r w:rsidR="000003D4" w:rsidRPr="00701DF3">
        <w:rPr>
          <w:sz w:val="18"/>
          <w:szCs w:val="18"/>
        </w:rPr>
        <w:t>programming  should</w:t>
      </w:r>
      <w:proofErr w:type="gramEnd"/>
      <w:r w:rsidR="000003D4" w:rsidRPr="00701DF3">
        <w:rPr>
          <w:sz w:val="18"/>
          <w:szCs w:val="18"/>
        </w:rPr>
        <w:t xml:space="preserve"> also be trained to ensure eventual evidence-based programming and assessment.</w:t>
      </w:r>
    </w:p>
  </w:endnote>
  <w:endnote w:id="9">
    <w:p w14:paraId="60DD0C7A" w14:textId="2552EB4D" w:rsidR="00701DF3" w:rsidRPr="00DD35DD" w:rsidRDefault="00081F9F" w:rsidP="00701DF3">
      <w:pPr>
        <w:pStyle w:val="EndnoteText"/>
        <w:jc w:val="both"/>
        <w:rPr>
          <w:sz w:val="18"/>
          <w:szCs w:val="18"/>
        </w:rPr>
      </w:pPr>
      <w:r w:rsidRPr="00701DF3">
        <w:rPr>
          <w:rStyle w:val="EndnoteReference"/>
          <w:sz w:val="18"/>
          <w:szCs w:val="18"/>
        </w:rPr>
        <w:endnoteRef/>
      </w:r>
      <w:r w:rsidRPr="00701DF3">
        <w:rPr>
          <w:sz w:val="18"/>
          <w:szCs w:val="18"/>
        </w:rPr>
        <w:t xml:space="preserve"> </w:t>
      </w:r>
      <w:r w:rsidR="00701DF3" w:rsidRPr="00DD35DD">
        <w:rPr>
          <w:sz w:val="18"/>
          <w:szCs w:val="18"/>
        </w:rPr>
        <w:t>This indicator requires verifying concrete activities undertaken by public authorities to involve persons with disabilities in decision-making processes related to issues that directly or indirectly aff</w:t>
      </w:r>
      <w:r w:rsidR="00195FCD">
        <w:rPr>
          <w:sz w:val="18"/>
          <w:szCs w:val="18"/>
        </w:rPr>
        <w:t>ect them in line with article 4(</w:t>
      </w:r>
      <w:r w:rsidR="00701DF3" w:rsidRPr="00DD35DD">
        <w:rPr>
          <w:sz w:val="18"/>
          <w:szCs w:val="18"/>
        </w:rPr>
        <w:t>3</w:t>
      </w:r>
      <w:r w:rsidR="00195FCD">
        <w:rPr>
          <w:sz w:val="18"/>
          <w:szCs w:val="18"/>
        </w:rPr>
        <w:t>)</w:t>
      </w:r>
      <w:r w:rsidR="00701DF3" w:rsidRPr="00DD35DD">
        <w:rPr>
          <w:sz w:val="18"/>
          <w:szCs w:val="18"/>
        </w:rPr>
        <w:t xml:space="preserve"> of the CRPD</w:t>
      </w:r>
      <w:r w:rsidR="00195FCD">
        <w:rPr>
          <w:sz w:val="18"/>
          <w:szCs w:val="18"/>
        </w:rPr>
        <w:t xml:space="preserve"> and </w:t>
      </w:r>
      <w:hyperlink r:id="rId9" w:history="1">
        <w:r w:rsidR="00195FCD" w:rsidRPr="007825EC">
          <w:rPr>
            <w:rStyle w:val="Hyperlink"/>
            <w:sz w:val="18"/>
            <w:szCs w:val="18"/>
          </w:rPr>
          <w:t>General C</w:t>
        </w:r>
        <w:r w:rsidR="00701DF3" w:rsidRPr="007825EC">
          <w:rPr>
            <w:rStyle w:val="Hyperlink"/>
            <w:sz w:val="18"/>
            <w:szCs w:val="18"/>
          </w:rPr>
          <w:t>omment no. 7</w:t>
        </w:r>
      </w:hyperlink>
      <w:r w:rsidR="00701DF3">
        <w:rPr>
          <w:sz w:val="18"/>
          <w:szCs w:val="18"/>
        </w:rPr>
        <w:t xml:space="preserve"> of the CRPD Committee</w:t>
      </w:r>
      <w:r w:rsidR="00701DF3" w:rsidRPr="00DD35DD">
        <w:rPr>
          <w:sz w:val="18"/>
          <w:szCs w:val="18"/>
        </w:rPr>
        <w:t xml:space="preserve">, </w:t>
      </w:r>
      <w:r w:rsidR="00701DF3" w:rsidRPr="006D3D7F">
        <w:rPr>
          <w:sz w:val="18"/>
          <w:szCs w:val="18"/>
        </w:rPr>
        <w:t>including consultation meetings, technical briefings, online consultation surveys, calls for comments on draft legislation and policies, among other methods and mechanisms of participation</w:t>
      </w:r>
      <w:r w:rsidR="00701DF3" w:rsidRPr="00DD35DD">
        <w:rPr>
          <w:sz w:val="18"/>
          <w:szCs w:val="18"/>
        </w:rPr>
        <w:t>. In this regard, States must</w:t>
      </w:r>
    </w:p>
    <w:p w14:paraId="1B3497F0" w14:textId="77777777" w:rsidR="00701DF3" w:rsidRPr="00DD35DD" w:rsidRDefault="00701DF3" w:rsidP="00701DF3">
      <w:pPr>
        <w:pStyle w:val="EndnoteText"/>
        <w:numPr>
          <w:ilvl w:val="0"/>
          <w:numId w:val="3"/>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4BB59014" w14:textId="77777777" w:rsidR="00701DF3" w:rsidRPr="00DD35DD" w:rsidRDefault="00701DF3" w:rsidP="00701DF3">
      <w:pPr>
        <w:pStyle w:val="EndnoteText"/>
        <w:numPr>
          <w:ilvl w:val="0"/>
          <w:numId w:val="3"/>
        </w:numPr>
        <w:ind w:left="714" w:hanging="357"/>
        <w:contextualSpacing/>
        <w:rPr>
          <w:sz w:val="18"/>
          <w:szCs w:val="18"/>
        </w:rPr>
      </w:pPr>
      <w:r w:rsidRPr="00DD35DD">
        <w:rPr>
          <w:sz w:val="18"/>
          <w:szCs w:val="18"/>
        </w:rPr>
        <w:t>ensure provision of appropriate and accessible information</w:t>
      </w:r>
      <w:r>
        <w:rPr>
          <w:sz w:val="18"/>
          <w:szCs w:val="18"/>
        </w:rPr>
        <w:t>;</w:t>
      </w:r>
    </w:p>
    <w:p w14:paraId="0F652A75" w14:textId="77777777" w:rsidR="00701DF3" w:rsidRPr="00DD35DD" w:rsidRDefault="00701DF3" w:rsidP="00701DF3">
      <w:pPr>
        <w:pStyle w:val="EndnoteText"/>
        <w:numPr>
          <w:ilvl w:val="0"/>
          <w:numId w:val="3"/>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7F65D8E9" w14:textId="77777777" w:rsidR="00701DF3" w:rsidRDefault="00701DF3" w:rsidP="00971006">
      <w:pPr>
        <w:pStyle w:val="EndnoteText"/>
        <w:numPr>
          <w:ilvl w:val="0"/>
          <w:numId w:val="3"/>
        </w:numPr>
        <w:ind w:left="714" w:hanging="357"/>
        <w:contextualSpacing/>
        <w:rPr>
          <w:sz w:val="18"/>
          <w:szCs w:val="18"/>
        </w:rPr>
      </w:pPr>
      <w:r w:rsidRPr="00DD35DD">
        <w:rPr>
          <w:sz w:val="18"/>
          <w:szCs w:val="18"/>
        </w:rPr>
        <w:t>include both registered and unregistered organ</w:t>
      </w:r>
      <w:r>
        <w:rPr>
          <w:sz w:val="18"/>
          <w:szCs w:val="18"/>
        </w:rPr>
        <w:t>izations;</w:t>
      </w:r>
    </w:p>
    <w:p w14:paraId="127D3E33" w14:textId="73F270F9" w:rsidR="00701DF3" w:rsidRDefault="00701DF3" w:rsidP="00971006">
      <w:pPr>
        <w:pStyle w:val="EndnoteText"/>
        <w:numPr>
          <w:ilvl w:val="0"/>
          <w:numId w:val="3"/>
        </w:numPr>
        <w:ind w:left="714" w:hanging="357"/>
        <w:contextualSpacing/>
        <w:rPr>
          <w:sz w:val="18"/>
          <w:szCs w:val="18"/>
        </w:rPr>
      </w:pPr>
      <w:r w:rsidRPr="00701DF3">
        <w:rPr>
          <w:sz w:val="18"/>
          <w:szCs w:val="18"/>
        </w:rPr>
        <w:t>ensure early and continuous involvement;</w:t>
      </w:r>
    </w:p>
    <w:p w14:paraId="1594FB6B" w14:textId="4356A87D" w:rsidR="00081F9F" w:rsidRPr="000916AC" w:rsidRDefault="00701DF3" w:rsidP="000916AC">
      <w:pPr>
        <w:pStyle w:val="EndnoteText"/>
        <w:numPr>
          <w:ilvl w:val="0"/>
          <w:numId w:val="3"/>
        </w:numPr>
        <w:ind w:left="714" w:hanging="357"/>
        <w:contextualSpacing/>
        <w:rPr>
          <w:sz w:val="18"/>
          <w:szCs w:val="18"/>
        </w:rPr>
      </w:pPr>
      <w:r w:rsidRPr="009D6255">
        <w:rPr>
          <w:rFonts w:cstheme="minorHAnsi"/>
          <w:sz w:val="18"/>
          <w:szCs w:val="18"/>
        </w:rPr>
        <w:t>cover related expenses of participants.</w:t>
      </w:r>
    </w:p>
  </w:endnote>
  <w:endnote w:id="10">
    <w:p w14:paraId="1CE24188" w14:textId="6655CB54" w:rsidR="00E51B19" w:rsidRPr="00971006" w:rsidRDefault="00E51B19" w:rsidP="007F16FB">
      <w:pPr>
        <w:pStyle w:val="EndnoteText"/>
        <w:rPr>
          <w:sz w:val="18"/>
          <w:szCs w:val="18"/>
          <w:lang w:val="en-GB"/>
        </w:rPr>
      </w:pPr>
      <w:r w:rsidRPr="00701DF3">
        <w:rPr>
          <w:rStyle w:val="EndnoteReference"/>
          <w:sz w:val="18"/>
          <w:szCs w:val="18"/>
        </w:rPr>
        <w:endnoteRef/>
      </w:r>
      <w:r w:rsidRPr="00701DF3">
        <w:rPr>
          <w:sz w:val="18"/>
          <w:szCs w:val="18"/>
        </w:rPr>
        <w:t xml:space="preserve"> </w:t>
      </w:r>
      <w:r w:rsidR="000D50B0" w:rsidRPr="00701DF3">
        <w:rPr>
          <w:sz w:val="18"/>
          <w:szCs w:val="18"/>
        </w:rPr>
        <w:t xml:space="preserve">User satisfaction surveys (USS) constitute a tool to capture the views of users on the National Statistical System. For instance, </w:t>
      </w:r>
      <w:r w:rsidR="00815818" w:rsidRPr="00701DF3">
        <w:rPr>
          <w:sz w:val="18"/>
          <w:szCs w:val="18"/>
        </w:rPr>
        <w:t xml:space="preserve">at the European level, </w:t>
      </w:r>
      <w:r w:rsidR="000D50B0" w:rsidRPr="00701DF3">
        <w:rPr>
          <w:sz w:val="18"/>
          <w:szCs w:val="18"/>
        </w:rPr>
        <w:t xml:space="preserve">Eurostat develops </w:t>
      </w:r>
      <w:r w:rsidR="002452F7" w:rsidRPr="00701DF3">
        <w:rPr>
          <w:sz w:val="18"/>
          <w:szCs w:val="18"/>
        </w:rPr>
        <w:t>one USS per</w:t>
      </w:r>
      <w:r w:rsidR="00815818" w:rsidRPr="00701DF3">
        <w:rPr>
          <w:sz w:val="18"/>
          <w:szCs w:val="18"/>
        </w:rPr>
        <w:t xml:space="preserve"> year providing with updated input to improve the statistical system (see 2017 USS). While disability disaggregation, notably of the users, is absent, the tool remains a powerful instrument to be improved to monitor enjoyment of the rights related to Article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F4B04" w14:textId="0BCE36E1" w:rsidR="004C5CCF" w:rsidRPr="004C5CCF" w:rsidRDefault="004C5CCF">
    <w:pPr>
      <w:pStyle w:val="Footer"/>
      <w:rPr>
        <w:sz w:val="20"/>
        <w:szCs w:val="20"/>
      </w:rPr>
    </w:pPr>
    <w:r w:rsidRPr="004C5CCF">
      <w:rPr>
        <w:sz w:val="20"/>
        <w:szCs w:val="20"/>
      </w:rPr>
      <w:t>CRPD + Article 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979A9" w14:textId="77777777" w:rsidR="00A2606A" w:rsidRDefault="00A2606A" w:rsidP="00CA591E">
      <w:r>
        <w:separator/>
      </w:r>
    </w:p>
  </w:footnote>
  <w:footnote w:type="continuationSeparator" w:id="0">
    <w:p w14:paraId="5A635D25" w14:textId="77777777" w:rsidR="00A2606A" w:rsidRDefault="00A2606A"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AB62F" w14:textId="1AC8EAB4" w:rsidR="004C5CCF" w:rsidRPr="004C5CCF" w:rsidRDefault="004C5CCF" w:rsidP="004C5CCF">
    <w:pPr>
      <w:pStyle w:val="Heading1"/>
    </w:pPr>
    <w:r w:rsidRPr="004C5CCF">
      <w:t>Article 31 - List of illustrative indicators on Statistics and data collection</w:t>
    </w:r>
    <w:r w:rsidRPr="004C5CCF">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1F4"/>
    <w:multiLevelType w:val="hybridMultilevel"/>
    <w:tmpl w:val="00CE1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5"/>
  </w:num>
  <w:num w:numId="6">
    <w:abstractNumId w:val="10"/>
  </w:num>
  <w:num w:numId="7">
    <w:abstractNumId w:val="8"/>
  </w:num>
  <w:num w:numId="8">
    <w:abstractNumId w:val="2"/>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03D4"/>
    <w:rsid w:val="0001035B"/>
    <w:rsid w:val="000134AA"/>
    <w:rsid w:val="00026CE2"/>
    <w:rsid w:val="00027EE0"/>
    <w:rsid w:val="00030719"/>
    <w:rsid w:val="00047855"/>
    <w:rsid w:val="00050711"/>
    <w:rsid w:val="0005219A"/>
    <w:rsid w:val="00057593"/>
    <w:rsid w:val="000575D1"/>
    <w:rsid w:val="00063173"/>
    <w:rsid w:val="000649E0"/>
    <w:rsid w:val="00081F9F"/>
    <w:rsid w:val="000916AC"/>
    <w:rsid w:val="000952F4"/>
    <w:rsid w:val="000A25BC"/>
    <w:rsid w:val="000A3ED2"/>
    <w:rsid w:val="000A468C"/>
    <w:rsid w:val="000A6E0F"/>
    <w:rsid w:val="000A76BA"/>
    <w:rsid w:val="000B3868"/>
    <w:rsid w:val="000C0DDE"/>
    <w:rsid w:val="000C66CE"/>
    <w:rsid w:val="000D50B0"/>
    <w:rsid w:val="000E3A3E"/>
    <w:rsid w:val="00101BAD"/>
    <w:rsid w:val="001030AE"/>
    <w:rsid w:val="001143E6"/>
    <w:rsid w:val="00121ED4"/>
    <w:rsid w:val="00150861"/>
    <w:rsid w:val="00167016"/>
    <w:rsid w:val="00167E3A"/>
    <w:rsid w:val="0017378D"/>
    <w:rsid w:val="0017443D"/>
    <w:rsid w:val="00184190"/>
    <w:rsid w:val="00191D14"/>
    <w:rsid w:val="0019342A"/>
    <w:rsid w:val="00195062"/>
    <w:rsid w:val="00195FCD"/>
    <w:rsid w:val="001E522C"/>
    <w:rsid w:val="001E7EA3"/>
    <w:rsid w:val="001F1B86"/>
    <w:rsid w:val="001F1C12"/>
    <w:rsid w:val="001F4FFD"/>
    <w:rsid w:val="00203E7D"/>
    <w:rsid w:val="00240F47"/>
    <w:rsid w:val="002452F7"/>
    <w:rsid w:val="002553D0"/>
    <w:rsid w:val="00264909"/>
    <w:rsid w:val="002671D8"/>
    <w:rsid w:val="00271986"/>
    <w:rsid w:val="002773AC"/>
    <w:rsid w:val="002836A9"/>
    <w:rsid w:val="00286353"/>
    <w:rsid w:val="00293512"/>
    <w:rsid w:val="002C25A3"/>
    <w:rsid w:val="002C2D1B"/>
    <w:rsid w:val="002C3801"/>
    <w:rsid w:val="002D3D29"/>
    <w:rsid w:val="002D4817"/>
    <w:rsid w:val="002D72F5"/>
    <w:rsid w:val="002D7F12"/>
    <w:rsid w:val="002E5553"/>
    <w:rsid w:val="002F0435"/>
    <w:rsid w:val="002F45D6"/>
    <w:rsid w:val="00307F27"/>
    <w:rsid w:val="00311035"/>
    <w:rsid w:val="00323695"/>
    <w:rsid w:val="003301F5"/>
    <w:rsid w:val="00334DE8"/>
    <w:rsid w:val="00335FE8"/>
    <w:rsid w:val="00346DAD"/>
    <w:rsid w:val="0035662E"/>
    <w:rsid w:val="003718CF"/>
    <w:rsid w:val="003759C9"/>
    <w:rsid w:val="00387DE6"/>
    <w:rsid w:val="003A36A6"/>
    <w:rsid w:val="003A4B6F"/>
    <w:rsid w:val="003A712F"/>
    <w:rsid w:val="003C3AF6"/>
    <w:rsid w:val="003E7407"/>
    <w:rsid w:val="003F28AD"/>
    <w:rsid w:val="003F432C"/>
    <w:rsid w:val="003F7DEE"/>
    <w:rsid w:val="0040444C"/>
    <w:rsid w:val="004149FE"/>
    <w:rsid w:val="00423C50"/>
    <w:rsid w:val="00426450"/>
    <w:rsid w:val="00442427"/>
    <w:rsid w:val="004506AD"/>
    <w:rsid w:val="004532AA"/>
    <w:rsid w:val="00455B5F"/>
    <w:rsid w:val="0046189F"/>
    <w:rsid w:val="00461CF2"/>
    <w:rsid w:val="00467D59"/>
    <w:rsid w:val="004838EC"/>
    <w:rsid w:val="00492EA0"/>
    <w:rsid w:val="0049767B"/>
    <w:rsid w:val="004A22A0"/>
    <w:rsid w:val="004A42A4"/>
    <w:rsid w:val="004A4FCD"/>
    <w:rsid w:val="004C3801"/>
    <w:rsid w:val="004C5CCF"/>
    <w:rsid w:val="004E6523"/>
    <w:rsid w:val="0051360A"/>
    <w:rsid w:val="005469A1"/>
    <w:rsid w:val="00552C55"/>
    <w:rsid w:val="005676AC"/>
    <w:rsid w:val="0057367E"/>
    <w:rsid w:val="005970C3"/>
    <w:rsid w:val="005A29F0"/>
    <w:rsid w:val="005B0200"/>
    <w:rsid w:val="005B3669"/>
    <w:rsid w:val="005D0B24"/>
    <w:rsid w:val="005E2C34"/>
    <w:rsid w:val="005F254E"/>
    <w:rsid w:val="005F266C"/>
    <w:rsid w:val="005F4EC8"/>
    <w:rsid w:val="00612353"/>
    <w:rsid w:val="006362B7"/>
    <w:rsid w:val="00646457"/>
    <w:rsid w:val="0065051C"/>
    <w:rsid w:val="00650688"/>
    <w:rsid w:val="006671F0"/>
    <w:rsid w:val="00672036"/>
    <w:rsid w:val="00683172"/>
    <w:rsid w:val="0068399E"/>
    <w:rsid w:val="00685CF4"/>
    <w:rsid w:val="0068627A"/>
    <w:rsid w:val="00696FC9"/>
    <w:rsid w:val="006B3FE4"/>
    <w:rsid w:val="006B5CDD"/>
    <w:rsid w:val="006C10D5"/>
    <w:rsid w:val="006C138B"/>
    <w:rsid w:val="006C5832"/>
    <w:rsid w:val="006D795C"/>
    <w:rsid w:val="006F0941"/>
    <w:rsid w:val="006F3CEC"/>
    <w:rsid w:val="006F7AAC"/>
    <w:rsid w:val="0070160D"/>
    <w:rsid w:val="00701DF3"/>
    <w:rsid w:val="00702448"/>
    <w:rsid w:val="00705361"/>
    <w:rsid w:val="007070D2"/>
    <w:rsid w:val="0072068D"/>
    <w:rsid w:val="00736A44"/>
    <w:rsid w:val="007422DB"/>
    <w:rsid w:val="007457D0"/>
    <w:rsid w:val="007472F1"/>
    <w:rsid w:val="00753C2C"/>
    <w:rsid w:val="00773555"/>
    <w:rsid w:val="007825EC"/>
    <w:rsid w:val="00782B52"/>
    <w:rsid w:val="007847A5"/>
    <w:rsid w:val="00785B3A"/>
    <w:rsid w:val="0079077A"/>
    <w:rsid w:val="00792C5D"/>
    <w:rsid w:val="00797DF6"/>
    <w:rsid w:val="007A414A"/>
    <w:rsid w:val="007C2DCA"/>
    <w:rsid w:val="007E5D3F"/>
    <w:rsid w:val="007E66DA"/>
    <w:rsid w:val="007F16FB"/>
    <w:rsid w:val="007F2ED9"/>
    <w:rsid w:val="00813049"/>
    <w:rsid w:val="00815818"/>
    <w:rsid w:val="00823FA2"/>
    <w:rsid w:val="00841566"/>
    <w:rsid w:val="00852571"/>
    <w:rsid w:val="00884F8C"/>
    <w:rsid w:val="008858A7"/>
    <w:rsid w:val="0089365A"/>
    <w:rsid w:val="00893A92"/>
    <w:rsid w:val="008A0161"/>
    <w:rsid w:val="008C25FE"/>
    <w:rsid w:val="008C79F5"/>
    <w:rsid w:val="008D2892"/>
    <w:rsid w:val="008D4818"/>
    <w:rsid w:val="008E15CB"/>
    <w:rsid w:val="008F7266"/>
    <w:rsid w:val="00912C74"/>
    <w:rsid w:val="009159FD"/>
    <w:rsid w:val="009202F5"/>
    <w:rsid w:val="0092368C"/>
    <w:rsid w:val="009400B8"/>
    <w:rsid w:val="00964A5B"/>
    <w:rsid w:val="0096663D"/>
    <w:rsid w:val="00967373"/>
    <w:rsid w:val="00971006"/>
    <w:rsid w:val="009A4374"/>
    <w:rsid w:val="009A6799"/>
    <w:rsid w:val="009B0C95"/>
    <w:rsid w:val="009C38CA"/>
    <w:rsid w:val="009D6367"/>
    <w:rsid w:val="009E1074"/>
    <w:rsid w:val="009F3BF7"/>
    <w:rsid w:val="009F6E73"/>
    <w:rsid w:val="009F7D61"/>
    <w:rsid w:val="00A00F50"/>
    <w:rsid w:val="00A11619"/>
    <w:rsid w:val="00A1356E"/>
    <w:rsid w:val="00A163F8"/>
    <w:rsid w:val="00A2606A"/>
    <w:rsid w:val="00A42C44"/>
    <w:rsid w:val="00A651FF"/>
    <w:rsid w:val="00A778DE"/>
    <w:rsid w:val="00A867AB"/>
    <w:rsid w:val="00A95B50"/>
    <w:rsid w:val="00AB5AAF"/>
    <w:rsid w:val="00AC03AB"/>
    <w:rsid w:val="00AC3D22"/>
    <w:rsid w:val="00AD3349"/>
    <w:rsid w:val="00AD78C8"/>
    <w:rsid w:val="00AE00B9"/>
    <w:rsid w:val="00AF1BB7"/>
    <w:rsid w:val="00B03486"/>
    <w:rsid w:val="00B11F3E"/>
    <w:rsid w:val="00B37311"/>
    <w:rsid w:val="00B4198C"/>
    <w:rsid w:val="00B60EAA"/>
    <w:rsid w:val="00BA22F4"/>
    <w:rsid w:val="00BB4CB4"/>
    <w:rsid w:val="00BC022E"/>
    <w:rsid w:val="00BC0719"/>
    <w:rsid w:val="00BF20CB"/>
    <w:rsid w:val="00BF276B"/>
    <w:rsid w:val="00C00627"/>
    <w:rsid w:val="00C24776"/>
    <w:rsid w:val="00C25CBF"/>
    <w:rsid w:val="00C338AA"/>
    <w:rsid w:val="00C4598B"/>
    <w:rsid w:val="00C46252"/>
    <w:rsid w:val="00C51F20"/>
    <w:rsid w:val="00C52009"/>
    <w:rsid w:val="00C541CC"/>
    <w:rsid w:val="00C873E3"/>
    <w:rsid w:val="00C92A6B"/>
    <w:rsid w:val="00C9774C"/>
    <w:rsid w:val="00CA0ACC"/>
    <w:rsid w:val="00CA591E"/>
    <w:rsid w:val="00CA7D8C"/>
    <w:rsid w:val="00CC0919"/>
    <w:rsid w:val="00CC6AD9"/>
    <w:rsid w:val="00CC77B2"/>
    <w:rsid w:val="00CD728A"/>
    <w:rsid w:val="00CF20D7"/>
    <w:rsid w:val="00CF3AFC"/>
    <w:rsid w:val="00D001FF"/>
    <w:rsid w:val="00D01F95"/>
    <w:rsid w:val="00D13F5B"/>
    <w:rsid w:val="00D15237"/>
    <w:rsid w:val="00D167E3"/>
    <w:rsid w:val="00D4028C"/>
    <w:rsid w:val="00D61E4B"/>
    <w:rsid w:val="00D6399D"/>
    <w:rsid w:val="00D70669"/>
    <w:rsid w:val="00D745E7"/>
    <w:rsid w:val="00D80803"/>
    <w:rsid w:val="00D911DD"/>
    <w:rsid w:val="00DA61CD"/>
    <w:rsid w:val="00DB28BC"/>
    <w:rsid w:val="00DC37B5"/>
    <w:rsid w:val="00DC7FAE"/>
    <w:rsid w:val="00DD2A83"/>
    <w:rsid w:val="00DD2F70"/>
    <w:rsid w:val="00DE431B"/>
    <w:rsid w:val="00DE4B64"/>
    <w:rsid w:val="00E15075"/>
    <w:rsid w:val="00E232CB"/>
    <w:rsid w:val="00E27296"/>
    <w:rsid w:val="00E27806"/>
    <w:rsid w:val="00E31899"/>
    <w:rsid w:val="00E31AF2"/>
    <w:rsid w:val="00E3200B"/>
    <w:rsid w:val="00E32612"/>
    <w:rsid w:val="00E333C1"/>
    <w:rsid w:val="00E337B1"/>
    <w:rsid w:val="00E51B19"/>
    <w:rsid w:val="00E608B7"/>
    <w:rsid w:val="00E64E57"/>
    <w:rsid w:val="00E85A23"/>
    <w:rsid w:val="00E96C21"/>
    <w:rsid w:val="00EC0D4A"/>
    <w:rsid w:val="00EC1B6E"/>
    <w:rsid w:val="00ED2C1C"/>
    <w:rsid w:val="00ED42B0"/>
    <w:rsid w:val="00EE4AB0"/>
    <w:rsid w:val="00EE5CFE"/>
    <w:rsid w:val="00EE6540"/>
    <w:rsid w:val="00EF30F6"/>
    <w:rsid w:val="00EF5634"/>
    <w:rsid w:val="00F02937"/>
    <w:rsid w:val="00F05557"/>
    <w:rsid w:val="00F1596B"/>
    <w:rsid w:val="00F160DF"/>
    <w:rsid w:val="00F24310"/>
    <w:rsid w:val="00F47CF6"/>
    <w:rsid w:val="00F63625"/>
    <w:rsid w:val="00F63CBD"/>
    <w:rsid w:val="00F657D2"/>
    <w:rsid w:val="00F77E96"/>
    <w:rsid w:val="00F97690"/>
    <w:rsid w:val="00FB33D1"/>
    <w:rsid w:val="00FB367A"/>
    <w:rsid w:val="00FB7932"/>
    <w:rsid w:val="00FC41C3"/>
    <w:rsid w:val="00FD39D7"/>
    <w:rsid w:val="00FD5F4F"/>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4C5CCF"/>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4C5CCF"/>
    <w:pPr>
      <w:jc w:val="cente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paragraph" w:styleId="Header">
    <w:name w:val="header"/>
    <w:basedOn w:val="Normal"/>
    <w:link w:val="HeaderChar"/>
    <w:uiPriority w:val="99"/>
    <w:unhideWhenUsed/>
    <w:rsid w:val="007F2ED9"/>
    <w:pPr>
      <w:tabs>
        <w:tab w:val="center" w:pos="4513"/>
        <w:tab w:val="right" w:pos="9026"/>
      </w:tabs>
    </w:pPr>
  </w:style>
  <w:style w:type="character" w:customStyle="1" w:styleId="HeaderChar">
    <w:name w:val="Header Char"/>
    <w:basedOn w:val="DefaultParagraphFont"/>
    <w:link w:val="Header"/>
    <w:uiPriority w:val="99"/>
    <w:rsid w:val="007F2ED9"/>
  </w:style>
  <w:style w:type="paragraph" w:styleId="Footer">
    <w:name w:val="footer"/>
    <w:basedOn w:val="Normal"/>
    <w:link w:val="FooterChar"/>
    <w:uiPriority w:val="99"/>
    <w:unhideWhenUsed/>
    <w:rsid w:val="007F2ED9"/>
    <w:pPr>
      <w:tabs>
        <w:tab w:val="center" w:pos="4513"/>
        <w:tab w:val="right" w:pos="9026"/>
      </w:tabs>
    </w:pPr>
  </w:style>
  <w:style w:type="character" w:customStyle="1" w:styleId="FooterChar">
    <w:name w:val="Footer Char"/>
    <w:basedOn w:val="DefaultParagraphFont"/>
    <w:link w:val="Footer"/>
    <w:uiPriority w:val="99"/>
    <w:rsid w:val="007F2ED9"/>
  </w:style>
  <w:style w:type="character" w:styleId="FollowedHyperlink">
    <w:name w:val="FollowedHyperlink"/>
    <w:basedOn w:val="DefaultParagraphFont"/>
    <w:uiPriority w:val="99"/>
    <w:semiHidden/>
    <w:unhideWhenUsed/>
    <w:rsid w:val="006C10D5"/>
    <w:rPr>
      <w:color w:val="954F72" w:themeColor="followedHyperlink"/>
      <w:u w:val="single"/>
    </w:rPr>
  </w:style>
  <w:style w:type="character" w:customStyle="1" w:styleId="UnresolvedMention1">
    <w:name w:val="Unresolved Mention1"/>
    <w:basedOn w:val="DefaultParagraphFont"/>
    <w:uiPriority w:val="99"/>
    <w:semiHidden/>
    <w:unhideWhenUsed/>
    <w:rsid w:val="00191D14"/>
    <w:rPr>
      <w:color w:val="605E5C"/>
      <w:shd w:val="clear" w:color="auto" w:fill="E1DFDD"/>
    </w:rPr>
  </w:style>
  <w:style w:type="character" w:customStyle="1" w:styleId="Heading1Char">
    <w:name w:val="Heading 1 Char"/>
    <w:basedOn w:val="DefaultParagraphFont"/>
    <w:link w:val="Heading1"/>
    <w:uiPriority w:val="9"/>
    <w:rsid w:val="004C5CCF"/>
    <w:rPr>
      <w:rFonts w:cstheme="minorHAnsi"/>
      <w:b/>
      <w:sz w:val="20"/>
      <w:szCs w:val="20"/>
    </w:rPr>
  </w:style>
  <w:style w:type="character" w:customStyle="1" w:styleId="Heading2Char">
    <w:name w:val="Heading 2 Char"/>
    <w:basedOn w:val="DefaultParagraphFont"/>
    <w:link w:val="Heading2"/>
    <w:uiPriority w:val="9"/>
    <w:rsid w:val="004C5CCF"/>
    <w:rPr>
      <w:rFonts w:cstheme="minorHAns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146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ingtongroup-disability.com/washington-group-question-sets/extended-set-of-disability-ques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shingtongroup-disability.com/washington-group-question-sets/short-set-of-disability-ques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file://fshq.ad.ohchr.org/RRDB/DESIB%20HRESIS/Disability/Indicators%20project/Implementation/Indicators/drafts/Art%2031/G" TargetMode="External"/><Relationship Id="rId3" Type="http://schemas.openxmlformats.org/officeDocument/2006/relationships/hyperlink" Target="https://unstats.un.org/unsd/dnss/gp/FP-Rev2013-E.pdf" TargetMode="External"/><Relationship Id="rId7" Type="http://schemas.openxmlformats.org/officeDocument/2006/relationships/hyperlink" Target="http://www.washingtongroup-disability.com/wp-content/uploads/2016/01/The-Washington-Group-Short-Set-of-Questions-on-Disability.pdf" TargetMode="External"/><Relationship Id="rId2" Type="http://schemas.openxmlformats.org/officeDocument/2006/relationships/hyperlink" Target="https://paris21.org/" TargetMode="External"/><Relationship Id="rId1" Type="http://schemas.openxmlformats.org/officeDocument/2006/relationships/hyperlink" Target="https://nsdsguidelines.paris21.org/" TargetMode="External"/><Relationship Id="rId6" Type="http://schemas.openxmlformats.org/officeDocument/2006/relationships/hyperlink" Target="http://www.washingtongroup-disability.com/washington-group-question-sets/short-set-of-disability-questions/" TargetMode="External"/><Relationship Id="rId5" Type="http://schemas.openxmlformats.org/officeDocument/2006/relationships/hyperlink" Target="http://www.oecd.org/officialdocuments/publicdisplaydocumentpdf/?cote=DCD/DAC/STAT/RD(2019)1/RD1&amp;docLanguage=En" TargetMode="External"/><Relationship Id="rId4" Type="http://schemas.openxmlformats.org/officeDocument/2006/relationships/hyperlink" Target="https://tbinternet.ohchr.org/_layouts/treatybodyexternal/Download.aspx?symbolno=CRPD/C/GC/7&amp;Lang=en" TargetMode="External"/><Relationship Id="rId9"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7460F-9ADA-44EA-ACBE-0EA6CBFA0C74}">
  <ds:schemaRefs>
    <ds:schemaRef ds:uri="http://schemas.openxmlformats.org/officeDocument/2006/bibliography"/>
  </ds:schemaRefs>
</ds:datastoreItem>
</file>

<file path=customXml/itemProps2.xml><?xml version="1.0" encoding="utf-8"?>
<ds:datastoreItem xmlns:ds="http://schemas.openxmlformats.org/officeDocument/2006/customXml" ds:itemID="{30B510D3-7F0C-4281-AB83-07539596A682}"/>
</file>

<file path=customXml/itemProps3.xml><?xml version="1.0" encoding="utf-8"?>
<ds:datastoreItem xmlns:ds="http://schemas.openxmlformats.org/officeDocument/2006/customXml" ds:itemID="{8473B6D7-A1DD-48AF-883F-A5B94A4014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28FB6D-8A2F-4F1A-9219-C9D5630F1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919</Words>
  <Characters>5239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4</cp:revision>
  <cp:lastPrinted>2018-11-12T09:21:00Z</cp:lastPrinted>
  <dcterms:created xsi:type="dcterms:W3CDTF">2020-10-19T12:24:00Z</dcterms:created>
  <dcterms:modified xsi:type="dcterms:W3CDTF">2021-01-30T22:07:00Z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