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571" w:type="dxa"/>
        <w:jc w:val="center"/>
        <w:tblLayout w:type="fixed"/>
        <w:tblLook w:val="04A0" w:firstRow="1" w:lastRow="0" w:firstColumn="1" w:lastColumn="0" w:noHBand="0" w:noVBand="1"/>
      </w:tblPr>
      <w:tblGrid>
        <w:gridCol w:w="1129"/>
        <w:gridCol w:w="3544"/>
        <w:gridCol w:w="3260"/>
        <w:gridCol w:w="3119"/>
        <w:gridCol w:w="4519"/>
      </w:tblGrid>
      <w:tr w:rsidR="003B1FB1" w:rsidRPr="00CA7793" w14:paraId="5CC4CA2F" w14:textId="77777777" w:rsidTr="00E617DB">
        <w:trPr>
          <w:trHeight w:val="131"/>
          <w:jc w:val="center"/>
        </w:trPr>
        <w:tc>
          <w:tcPr>
            <w:tcW w:w="15571" w:type="dxa"/>
            <w:gridSpan w:val="5"/>
            <w:shd w:val="clear" w:color="auto" w:fill="BFBFBF" w:themeFill="background1" w:themeFillShade="BF"/>
          </w:tcPr>
          <w:p w14:paraId="350A073F" w14:textId="3F6D61B7" w:rsidR="003B1FB1" w:rsidRPr="0094011A" w:rsidRDefault="003B1FB1" w:rsidP="001E75D9">
            <w:pPr>
              <w:spacing w:after="0" w:line="240" w:lineRule="auto"/>
              <w:jc w:val="center"/>
              <w:rPr>
                <w:b/>
                <w:sz w:val="18"/>
                <w:szCs w:val="18"/>
              </w:rPr>
            </w:pPr>
            <w:r>
              <w:rPr>
                <w:b/>
                <w:sz w:val="18"/>
                <w:szCs w:val="18"/>
              </w:rPr>
              <w:t>Article 32 – Indicateurs illustratifs de la coopération internationale</w:t>
            </w:r>
          </w:p>
        </w:tc>
      </w:tr>
      <w:tr w:rsidR="0088106C" w:rsidRPr="00CA7793" w14:paraId="11DC7BAB" w14:textId="77777777" w:rsidTr="00E617DB">
        <w:trPr>
          <w:trHeight w:val="191"/>
          <w:jc w:val="center"/>
        </w:trPr>
        <w:tc>
          <w:tcPr>
            <w:tcW w:w="15571" w:type="dxa"/>
            <w:gridSpan w:val="5"/>
            <w:shd w:val="clear" w:color="auto" w:fill="auto"/>
          </w:tcPr>
          <w:p w14:paraId="2D46D815" w14:textId="1675DC65" w:rsidR="0088106C" w:rsidRPr="0094011A" w:rsidRDefault="0088106C" w:rsidP="001E75D9">
            <w:pPr>
              <w:spacing w:after="0" w:line="240" w:lineRule="auto"/>
              <w:jc w:val="center"/>
              <w:rPr>
                <w:b/>
                <w:sz w:val="18"/>
                <w:szCs w:val="18"/>
              </w:rPr>
            </w:pPr>
            <w:r>
              <w:rPr>
                <w:b/>
                <w:sz w:val="18"/>
                <w:szCs w:val="18"/>
              </w:rPr>
              <w:t xml:space="preserve">Veiller à ce que la coopération internationale soit inclusive et accessible aux </w:t>
            </w:r>
            <w:r w:rsidR="007A4262">
              <w:rPr>
                <w:b/>
                <w:sz w:val="18"/>
                <w:szCs w:val="18"/>
              </w:rPr>
              <w:t>personnes handicapées</w:t>
            </w:r>
          </w:p>
        </w:tc>
      </w:tr>
      <w:tr w:rsidR="00CA7793" w:rsidRPr="00CA7793" w14:paraId="339C1582" w14:textId="77777777" w:rsidTr="001E75D9">
        <w:trPr>
          <w:trHeight w:val="436"/>
          <w:jc w:val="center"/>
        </w:trPr>
        <w:tc>
          <w:tcPr>
            <w:tcW w:w="1129" w:type="dxa"/>
          </w:tcPr>
          <w:p w14:paraId="048D662A" w14:textId="77777777" w:rsidR="00545CB4" w:rsidRPr="0094011A" w:rsidRDefault="00545CB4" w:rsidP="001E75D9">
            <w:pPr>
              <w:pStyle w:val="ListParagraph"/>
              <w:spacing w:after="0" w:line="240" w:lineRule="auto"/>
              <w:ind w:left="0"/>
              <w:rPr>
                <w:rFonts w:cstheme="minorHAnsi"/>
                <w:b/>
                <w:sz w:val="18"/>
                <w:szCs w:val="18"/>
              </w:rPr>
            </w:pPr>
            <w:r>
              <w:rPr>
                <w:b/>
                <w:sz w:val="18"/>
                <w:szCs w:val="18"/>
              </w:rPr>
              <w:t>Attributs/</w:t>
            </w:r>
          </w:p>
          <w:p w14:paraId="3F94FAC0" w14:textId="77777777" w:rsidR="00545CB4" w:rsidRPr="0094011A" w:rsidRDefault="00545CB4" w:rsidP="001E75D9">
            <w:pPr>
              <w:pStyle w:val="ListParagraph"/>
              <w:spacing w:after="0" w:line="240" w:lineRule="auto"/>
              <w:ind w:left="0"/>
              <w:rPr>
                <w:rFonts w:cstheme="minorHAnsi"/>
                <w:b/>
                <w:sz w:val="18"/>
                <w:szCs w:val="18"/>
              </w:rPr>
            </w:pPr>
            <w:r>
              <w:rPr>
                <w:b/>
                <w:sz w:val="18"/>
                <w:szCs w:val="18"/>
              </w:rPr>
              <w:t>Indicateurs</w:t>
            </w:r>
          </w:p>
        </w:tc>
        <w:tc>
          <w:tcPr>
            <w:tcW w:w="3544" w:type="dxa"/>
          </w:tcPr>
          <w:p w14:paraId="51647902" w14:textId="77777777" w:rsidR="00545CB4" w:rsidRPr="0094011A" w:rsidRDefault="00545CB4" w:rsidP="001E75D9">
            <w:pPr>
              <w:spacing w:after="0" w:line="240" w:lineRule="auto"/>
              <w:jc w:val="center"/>
              <w:rPr>
                <w:rFonts w:cstheme="minorHAnsi"/>
                <w:color w:val="0000D4"/>
                <w:sz w:val="18"/>
                <w:szCs w:val="18"/>
              </w:rPr>
            </w:pPr>
            <w:r>
              <w:rPr>
                <w:b/>
                <w:sz w:val="18"/>
                <w:szCs w:val="18"/>
              </w:rPr>
              <w:t>Coopération internationale inclusive et accessible</w:t>
            </w:r>
          </w:p>
        </w:tc>
        <w:tc>
          <w:tcPr>
            <w:tcW w:w="3260" w:type="dxa"/>
          </w:tcPr>
          <w:p w14:paraId="168312BA" w14:textId="108601BA" w:rsidR="00545CB4" w:rsidRPr="0094011A" w:rsidRDefault="00BA4EE6" w:rsidP="001E75D9">
            <w:pPr>
              <w:spacing w:after="0" w:line="240" w:lineRule="auto"/>
              <w:jc w:val="center"/>
              <w:rPr>
                <w:rFonts w:cstheme="minorHAnsi"/>
                <w:b/>
                <w:sz w:val="18"/>
                <w:szCs w:val="18"/>
              </w:rPr>
            </w:pPr>
            <w:r>
              <w:rPr>
                <w:b/>
                <w:sz w:val="18"/>
                <w:szCs w:val="18"/>
              </w:rPr>
              <w:t xml:space="preserve">Renforcement des capacités </w:t>
            </w:r>
          </w:p>
        </w:tc>
        <w:tc>
          <w:tcPr>
            <w:tcW w:w="3119" w:type="dxa"/>
          </w:tcPr>
          <w:p w14:paraId="3D722A9C" w14:textId="77777777" w:rsidR="00545CB4" w:rsidRPr="0094011A" w:rsidRDefault="00545CB4" w:rsidP="001E75D9">
            <w:pPr>
              <w:spacing w:after="0" w:line="240" w:lineRule="auto"/>
              <w:jc w:val="center"/>
              <w:rPr>
                <w:rFonts w:cstheme="minorHAnsi"/>
                <w:b/>
                <w:sz w:val="18"/>
                <w:szCs w:val="18"/>
              </w:rPr>
            </w:pPr>
            <w:r>
              <w:rPr>
                <w:b/>
                <w:sz w:val="18"/>
                <w:szCs w:val="18"/>
              </w:rPr>
              <w:t>Assistance technique et économique</w:t>
            </w:r>
          </w:p>
        </w:tc>
        <w:tc>
          <w:tcPr>
            <w:tcW w:w="4519" w:type="dxa"/>
          </w:tcPr>
          <w:p w14:paraId="5FD96F9F" w14:textId="624A8B2F" w:rsidR="00545CB4" w:rsidRPr="0094011A" w:rsidRDefault="00545CB4" w:rsidP="001E75D9">
            <w:pPr>
              <w:spacing w:after="0" w:line="240" w:lineRule="auto"/>
              <w:jc w:val="center"/>
              <w:rPr>
                <w:rFonts w:cstheme="minorHAnsi"/>
                <w:sz w:val="18"/>
                <w:szCs w:val="18"/>
              </w:rPr>
            </w:pPr>
            <w:r>
              <w:rPr>
                <w:b/>
                <w:sz w:val="18"/>
                <w:szCs w:val="18"/>
              </w:rPr>
              <w:t>Recherche et connaissances</w:t>
            </w:r>
          </w:p>
        </w:tc>
      </w:tr>
      <w:tr w:rsidR="00756106" w:rsidRPr="00CA7793" w14:paraId="6C7186DE" w14:textId="77777777" w:rsidTr="00E617DB">
        <w:trPr>
          <w:trHeight w:val="917"/>
          <w:jc w:val="center"/>
        </w:trPr>
        <w:tc>
          <w:tcPr>
            <w:tcW w:w="1129" w:type="dxa"/>
            <w:vMerge w:val="restart"/>
          </w:tcPr>
          <w:p w14:paraId="05F1E18A" w14:textId="4CCE7238" w:rsidR="00756106" w:rsidRPr="0094011A" w:rsidRDefault="00A94A11" w:rsidP="001E75D9">
            <w:pPr>
              <w:pStyle w:val="ListParagraph"/>
              <w:spacing w:after="0" w:line="240" w:lineRule="auto"/>
              <w:ind w:left="0"/>
              <w:rPr>
                <w:rFonts w:cstheme="minorHAnsi"/>
                <w:b/>
                <w:sz w:val="18"/>
                <w:szCs w:val="18"/>
              </w:rPr>
            </w:pPr>
            <w:r>
              <w:rPr>
                <w:b/>
                <w:sz w:val="18"/>
                <w:szCs w:val="18"/>
              </w:rPr>
              <w:t>Structure</w:t>
            </w:r>
          </w:p>
        </w:tc>
        <w:tc>
          <w:tcPr>
            <w:tcW w:w="14442" w:type="dxa"/>
            <w:gridSpan w:val="4"/>
          </w:tcPr>
          <w:p w14:paraId="36F18338" w14:textId="5EBC7579" w:rsidR="008B5838" w:rsidRPr="00CD4A14" w:rsidRDefault="0088106C" w:rsidP="001E75D9">
            <w:pPr>
              <w:spacing w:after="0" w:line="240" w:lineRule="auto"/>
              <w:jc w:val="both"/>
              <w:rPr>
                <w:rFonts w:cstheme="minorHAnsi"/>
                <w:sz w:val="18"/>
                <w:szCs w:val="18"/>
              </w:rPr>
            </w:pPr>
            <w:r>
              <w:rPr>
                <w:sz w:val="18"/>
                <w:szCs w:val="18"/>
              </w:rPr>
              <w:t>32.1 Législation et politiques adoptées sur les accords de coopération internationale</w:t>
            </w:r>
            <w:r w:rsidR="00350DAF">
              <w:rPr>
                <w:rStyle w:val="EndnoteReference"/>
                <w:rFonts w:cstheme="minorHAnsi"/>
                <w:sz w:val="18"/>
                <w:szCs w:val="18"/>
              </w:rPr>
              <w:endnoteReference w:id="1"/>
            </w:r>
            <w:r>
              <w:rPr>
                <w:sz w:val="18"/>
                <w:szCs w:val="18"/>
              </w:rPr>
              <w:t xml:space="preserve"> (bilatéraux ou multilatéraux) relatifs au développement durable, y compris la promotion de la démocratie, de l'État de droit, de la bonne gouvernance et des droits de l'homme, incorporent :</w:t>
            </w:r>
          </w:p>
          <w:p w14:paraId="7545F002" w14:textId="402E1542" w:rsidR="001154E8" w:rsidRPr="00CD4A14" w:rsidRDefault="001154E8" w:rsidP="001E75D9">
            <w:pPr>
              <w:pStyle w:val="ListParagraph"/>
              <w:numPr>
                <w:ilvl w:val="0"/>
                <w:numId w:val="10"/>
              </w:numPr>
              <w:spacing w:after="0" w:line="240" w:lineRule="auto"/>
              <w:ind w:left="174" w:hanging="142"/>
              <w:jc w:val="both"/>
              <w:rPr>
                <w:rFonts w:cstheme="minorHAnsi"/>
                <w:sz w:val="18"/>
                <w:szCs w:val="18"/>
              </w:rPr>
            </w:pPr>
            <w:proofErr w:type="gramStart"/>
            <w:r>
              <w:rPr>
                <w:sz w:val="18"/>
                <w:szCs w:val="18"/>
              </w:rPr>
              <w:t>des</w:t>
            </w:r>
            <w:proofErr w:type="gramEnd"/>
            <w:r>
              <w:rPr>
                <w:sz w:val="18"/>
                <w:szCs w:val="18"/>
              </w:rPr>
              <w:t xml:space="preserve"> objectifs et engagements concernant l'inclusion des droits des </w:t>
            </w:r>
            <w:r w:rsidR="007A4262">
              <w:rPr>
                <w:sz w:val="18"/>
                <w:szCs w:val="18"/>
              </w:rPr>
              <w:t>personnes handicapées</w:t>
            </w:r>
            <w:r>
              <w:rPr>
                <w:sz w:val="18"/>
                <w:szCs w:val="18"/>
              </w:rPr>
              <w:t xml:space="preserve"> dans la coopération internationale ; </w:t>
            </w:r>
          </w:p>
          <w:p w14:paraId="4D4A7D40" w14:textId="42F24AA9" w:rsidR="00AA029D" w:rsidRPr="00CD4A14" w:rsidRDefault="00756106" w:rsidP="001E75D9">
            <w:pPr>
              <w:pStyle w:val="ListParagraph"/>
              <w:numPr>
                <w:ilvl w:val="0"/>
                <w:numId w:val="10"/>
              </w:numPr>
              <w:spacing w:after="0" w:line="240" w:lineRule="auto"/>
              <w:ind w:left="174" w:hanging="142"/>
              <w:jc w:val="both"/>
              <w:rPr>
                <w:rFonts w:cstheme="minorHAnsi"/>
                <w:sz w:val="18"/>
                <w:szCs w:val="18"/>
              </w:rPr>
            </w:pPr>
            <w:r>
              <w:rPr>
                <w:sz w:val="18"/>
                <w:szCs w:val="18"/>
              </w:rPr>
              <w:t xml:space="preserve">un marqueur sur l'inclusion des </w:t>
            </w:r>
            <w:r w:rsidR="007A4262">
              <w:rPr>
                <w:sz w:val="18"/>
                <w:szCs w:val="18"/>
              </w:rPr>
              <w:t>personnes handicapées</w:t>
            </w:r>
            <w:r>
              <w:rPr>
                <w:sz w:val="18"/>
                <w:szCs w:val="18"/>
              </w:rPr>
              <w:t xml:space="preserve"> pour chaque activité d'aide et sur l'allocation des ressources ;</w:t>
            </w:r>
            <w:r w:rsidR="008B5838" w:rsidRPr="00CD4A14">
              <w:rPr>
                <w:rStyle w:val="EndnoteReference"/>
                <w:rFonts w:cstheme="minorHAnsi"/>
                <w:sz w:val="18"/>
                <w:szCs w:val="18"/>
              </w:rPr>
              <w:endnoteReference w:id="2"/>
            </w:r>
          </w:p>
          <w:p w14:paraId="4CE07DA7" w14:textId="1C377B09" w:rsidR="008B5838" w:rsidRPr="00CD4A14" w:rsidRDefault="008B5838" w:rsidP="001E75D9">
            <w:pPr>
              <w:pStyle w:val="ListParagraph"/>
              <w:numPr>
                <w:ilvl w:val="0"/>
                <w:numId w:val="10"/>
              </w:numPr>
              <w:spacing w:after="0" w:line="240" w:lineRule="auto"/>
              <w:ind w:left="174" w:hanging="142"/>
              <w:jc w:val="both"/>
              <w:rPr>
                <w:rFonts w:cstheme="minorHAnsi"/>
                <w:sz w:val="18"/>
                <w:szCs w:val="18"/>
              </w:rPr>
            </w:pPr>
            <w:proofErr w:type="gramStart"/>
            <w:r>
              <w:rPr>
                <w:sz w:val="18"/>
                <w:szCs w:val="18"/>
              </w:rPr>
              <w:t>des</w:t>
            </w:r>
            <w:proofErr w:type="gramEnd"/>
            <w:r>
              <w:rPr>
                <w:sz w:val="18"/>
                <w:szCs w:val="18"/>
              </w:rPr>
              <w:t xml:space="preserve"> exigences d'appliquer la conception universelle, l'accessibilité et le respect des principes et normes de la CDPH, ainsi que la collecte et la ventilation des données par sexe, âge et handicap sur les activités d'aide ;</w:t>
            </w:r>
          </w:p>
          <w:p w14:paraId="290DC7A3" w14:textId="1FD39BCE" w:rsidR="001154E8" w:rsidRPr="00CD4A14" w:rsidRDefault="00876D44" w:rsidP="001E75D9">
            <w:pPr>
              <w:pStyle w:val="ListParagraph"/>
              <w:numPr>
                <w:ilvl w:val="0"/>
                <w:numId w:val="10"/>
              </w:numPr>
              <w:spacing w:after="0" w:line="240" w:lineRule="auto"/>
              <w:ind w:left="174" w:hanging="142"/>
              <w:jc w:val="both"/>
              <w:rPr>
                <w:rFonts w:cstheme="minorHAnsi"/>
                <w:sz w:val="18"/>
                <w:szCs w:val="18"/>
              </w:rPr>
            </w:pPr>
            <w:proofErr w:type="gramStart"/>
            <w:r>
              <w:rPr>
                <w:sz w:val="18"/>
                <w:szCs w:val="18"/>
              </w:rPr>
              <w:t>des</w:t>
            </w:r>
            <w:proofErr w:type="gramEnd"/>
            <w:r>
              <w:rPr>
                <w:sz w:val="18"/>
                <w:szCs w:val="18"/>
              </w:rPr>
              <w:t xml:space="preserve"> normes d'accessibilité dans tous les marchés publics liés aux activités d'aide ;</w:t>
            </w:r>
          </w:p>
          <w:p w14:paraId="07CAF72F" w14:textId="64270C62" w:rsidR="001154E8" w:rsidRPr="00CD4A14" w:rsidRDefault="008B5838" w:rsidP="001E75D9">
            <w:pPr>
              <w:pStyle w:val="ListParagraph"/>
              <w:numPr>
                <w:ilvl w:val="0"/>
                <w:numId w:val="10"/>
              </w:numPr>
              <w:spacing w:after="0" w:line="240" w:lineRule="auto"/>
              <w:ind w:left="174" w:hanging="142"/>
              <w:jc w:val="both"/>
              <w:rPr>
                <w:rFonts w:ascii="Calibri" w:eastAsia="Times New Roman" w:hAnsi="Calibri" w:cs="Calibri"/>
                <w:color w:val="000000"/>
                <w:sz w:val="18"/>
                <w:szCs w:val="18"/>
              </w:rPr>
            </w:pPr>
            <w:r>
              <w:rPr>
                <w:sz w:val="18"/>
                <w:szCs w:val="18"/>
              </w:rPr>
              <w:t xml:space="preserve">l’obligation de faire rapport sur la consultation et la participation des </w:t>
            </w:r>
            <w:r w:rsidR="007A4262">
              <w:rPr>
                <w:sz w:val="18"/>
                <w:szCs w:val="18"/>
              </w:rPr>
              <w:t>personnes handicapées</w:t>
            </w:r>
            <w:r>
              <w:rPr>
                <w:sz w:val="18"/>
                <w:szCs w:val="18"/>
              </w:rPr>
              <w:t xml:space="preserve"> et de leurs organisations représentatives à la planification, à la mise en œuvre, au suivi et à l'évaluation des activités ;</w:t>
            </w:r>
            <w:r>
              <w:rPr>
                <w:rStyle w:val="EndnoteReference"/>
                <w:sz w:val="18"/>
                <w:szCs w:val="18"/>
              </w:rPr>
              <w:t xml:space="preserve"> </w:t>
            </w:r>
            <w:r w:rsidR="00876D44" w:rsidRPr="00CD4A14">
              <w:rPr>
                <w:rStyle w:val="EndnoteReference"/>
                <w:rFonts w:cstheme="minorHAnsi"/>
                <w:sz w:val="18"/>
                <w:szCs w:val="18"/>
              </w:rPr>
              <w:endnoteReference w:id="3"/>
            </w:r>
            <w:r>
              <w:rPr>
                <w:sz w:val="18"/>
                <w:szCs w:val="18"/>
              </w:rPr>
              <w:t xml:space="preserve"> </w:t>
            </w:r>
          </w:p>
          <w:p w14:paraId="1411F6E2" w14:textId="6CB33875" w:rsidR="006748A3" w:rsidRPr="00CD4A14" w:rsidRDefault="006748A3" w:rsidP="001E75D9">
            <w:pPr>
              <w:pStyle w:val="ListParagraph"/>
              <w:numPr>
                <w:ilvl w:val="0"/>
                <w:numId w:val="10"/>
              </w:numPr>
              <w:spacing w:after="0" w:line="240" w:lineRule="auto"/>
              <w:ind w:left="174" w:hanging="142"/>
              <w:jc w:val="both"/>
              <w:rPr>
                <w:rFonts w:cstheme="minorHAnsi"/>
                <w:sz w:val="18"/>
                <w:szCs w:val="18"/>
              </w:rPr>
            </w:pPr>
            <w:proofErr w:type="gramStart"/>
            <w:r>
              <w:rPr>
                <w:sz w:val="18"/>
                <w:szCs w:val="18"/>
              </w:rPr>
              <w:t>des</w:t>
            </w:r>
            <w:proofErr w:type="gramEnd"/>
            <w:r>
              <w:rPr>
                <w:sz w:val="18"/>
                <w:szCs w:val="18"/>
              </w:rPr>
              <w:t xml:space="preserve"> politiques de durabilité et de sauvegarde pour prévenir et atténuer l'impact négatif des activités des accords de coopération internationale sur les personnes et l'environnement ; et </w:t>
            </w:r>
          </w:p>
          <w:p w14:paraId="7F013595" w14:textId="49130762" w:rsidR="00756106" w:rsidRPr="00CD4A14" w:rsidRDefault="006748A3" w:rsidP="001E75D9">
            <w:pPr>
              <w:pStyle w:val="ListParagraph"/>
              <w:numPr>
                <w:ilvl w:val="0"/>
                <w:numId w:val="10"/>
              </w:numPr>
              <w:spacing w:after="0" w:line="240" w:lineRule="auto"/>
              <w:ind w:left="174" w:hanging="142"/>
              <w:jc w:val="both"/>
              <w:rPr>
                <w:rFonts w:cstheme="minorHAnsi"/>
                <w:sz w:val="18"/>
                <w:szCs w:val="18"/>
              </w:rPr>
            </w:pPr>
            <w:r>
              <w:rPr>
                <w:sz w:val="18"/>
                <w:szCs w:val="18"/>
              </w:rPr>
              <w:t xml:space="preserve">l'obligation de réaliser une analyse d'impact tenant compte des mesures visant à éliminer les obstacles et à permettre aux </w:t>
            </w:r>
            <w:r w:rsidR="007A4262">
              <w:rPr>
                <w:sz w:val="18"/>
                <w:szCs w:val="18"/>
              </w:rPr>
              <w:t>personnes handicapées</w:t>
            </w:r>
            <w:r>
              <w:rPr>
                <w:sz w:val="18"/>
                <w:szCs w:val="18"/>
              </w:rPr>
              <w:t xml:space="preserve"> de bénéficier des activités d'aide.</w:t>
            </w:r>
          </w:p>
        </w:tc>
      </w:tr>
      <w:tr w:rsidR="00A025C2" w:rsidRPr="00CA7793" w14:paraId="603141E6" w14:textId="77777777" w:rsidTr="001E75D9">
        <w:trPr>
          <w:trHeight w:val="917"/>
          <w:jc w:val="center"/>
        </w:trPr>
        <w:tc>
          <w:tcPr>
            <w:tcW w:w="1129" w:type="dxa"/>
            <w:vMerge/>
          </w:tcPr>
          <w:p w14:paraId="5A4FE8A9" w14:textId="77777777" w:rsidR="00756106" w:rsidRPr="00EA3DBD" w:rsidRDefault="00756106" w:rsidP="001E75D9">
            <w:pPr>
              <w:pStyle w:val="ListParagraph"/>
              <w:spacing w:after="0" w:line="240" w:lineRule="auto"/>
              <w:ind w:left="0"/>
              <w:rPr>
                <w:rFonts w:cstheme="minorHAnsi"/>
                <w:b/>
                <w:sz w:val="18"/>
                <w:szCs w:val="18"/>
              </w:rPr>
            </w:pPr>
          </w:p>
        </w:tc>
        <w:tc>
          <w:tcPr>
            <w:tcW w:w="9923" w:type="dxa"/>
            <w:gridSpan w:val="3"/>
          </w:tcPr>
          <w:p w14:paraId="2225CAC8" w14:textId="77777777" w:rsidR="00756106" w:rsidRPr="00CD4A14" w:rsidRDefault="00756106" w:rsidP="001E75D9">
            <w:pPr>
              <w:spacing w:after="0" w:line="240" w:lineRule="auto"/>
              <w:jc w:val="both"/>
              <w:rPr>
                <w:rFonts w:cstheme="minorHAnsi"/>
                <w:sz w:val="18"/>
                <w:szCs w:val="18"/>
              </w:rPr>
            </w:pPr>
          </w:p>
        </w:tc>
        <w:tc>
          <w:tcPr>
            <w:tcW w:w="4519" w:type="dxa"/>
          </w:tcPr>
          <w:p w14:paraId="3C692EB2" w14:textId="10B88D65" w:rsidR="00203756" w:rsidRPr="00E617DB" w:rsidRDefault="006530A8" w:rsidP="001E75D9">
            <w:pPr>
              <w:spacing w:after="0" w:line="240" w:lineRule="auto"/>
              <w:jc w:val="both"/>
              <w:rPr>
                <w:sz w:val="18"/>
                <w:szCs w:val="18"/>
              </w:rPr>
            </w:pPr>
            <w:r>
              <w:rPr>
                <w:sz w:val="18"/>
                <w:szCs w:val="18"/>
              </w:rPr>
              <w:t>32.2 Les universités et les centres de recherche adoptent des directives/politiques sur la recherche établissant :</w:t>
            </w:r>
          </w:p>
          <w:p w14:paraId="3AA15DCD" w14:textId="7A0F1723" w:rsidR="00E617DB" w:rsidRPr="00E617DB" w:rsidRDefault="00756106" w:rsidP="001E75D9">
            <w:pPr>
              <w:pStyle w:val="ListParagraph"/>
              <w:numPr>
                <w:ilvl w:val="0"/>
                <w:numId w:val="10"/>
              </w:numPr>
              <w:spacing w:after="0" w:line="240" w:lineRule="auto"/>
              <w:ind w:left="176" w:hanging="176"/>
              <w:jc w:val="both"/>
              <w:rPr>
                <w:rFonts w:cstheme="minorHAnsi"/>
                <w:sz w:val="18"/>
                <w:szCs w:val="18"/>
              </w:rPr>
            </w:pPr>
            <w:proofErr w:type="gramStart"/>
            <w:r>
              <w:rPr>
                <w:sz w:val="18"/>
                <w:szCs w:val="18"/>
              </w:rPr>
              <w:t>un</w:t>
            </w:r>
            <w:proofErr w:type="gramEnd"/>
            <w:r>
              <w:rPr>
                <w:sz w:val="18"/>
                <w:szCs w:val="18"/>
              </w:rPr>
              <w:t xml:space="preserve"> marqueur pour suivre les activités et le financement liés à l'inclusion des </w:t>
            </w:r>
            <w:r w:rsidR="007A4262">
              <w:rPr>
                <w:sz w:val="18"/>
                <w:szCs w:val="18"/>
              </w:rPr>
              <w:t>personnes handicapées</w:t>
            </w:r>
            <w:r>
              <w:rPr>
                <w:sz w:val="18"/>
                <w:szCs w:val="18"/>
              </w:rPr>
              <w:t xml:space="preserve"> ; </w:t>
            </w:r>
          </w:p>
          <w:p w14:paraId="3B950D6F" w14:textId="2FF78011" w:rsidR="00203756" w:rsidRPr="00E617DB" w:rsidRDefault="00E617DB" w:rsidP="001E75D9">
            <w:pPr>
              <w:pStyle w:val="ListParagraph"/>
              <w:numPr>
                <w:ilvl w:val="0"/>
                <w:numId w:val="10"/>
              </w:numPr>
              <w:spacing w:after="0" w:line="240" w:lineRule="auto"/>
              <w:ind w:left="176" w:hanging="176"/>
              <w:jc w:val="both"/>
              <w:rPr>
                <w:rFonts w:cstheme="minorHAnsi"/>
                <w:sz w:val="18"/>
                <w:szCs w:val="18"/>
              </w:rPr>
            </w:pPr>
            <w:r>
              <w:rPr>
                <w:sz w:val="18"/>
                <w:szCs w:val="18"/>
              </w:rPr>
              <w:t xml:space="preserve">une méthodologie participative incluant les </w:t>
            </w:r>
            <w:r w:rsidR="007A4262">
              <w:rPr>
                <w:sz w:val="18"/>
                <w:szCs w:val="18"/>
              </w:rPr>
              <w:t>personnes handicapées</w:t>
            </w:r>
            <w:r>
              <w:rPr>
                <w:sz w:val="18"/>
                <w:szCs w:val="18"/>
              </w:rPr>
              <w:t xml:space="preserve"> pour la définition des priorités de recherche, les méthodes, la conception, la mise en œuvre et l'évaluation des projets de recherche.</w:t>
            </w:r>
          </w:p>
        </w:tc>
      </w:tr>
      <w:tr w:rsidR="00B21D77" w:rsidRPr="00CA7793" w14:paraId="5F2E57B9" w14:textId="77777777" w:rsidTr="001E75D9">
        <w:trPr>
          <w:trHeight w:val="2908"/>
          <w:jc w:val="center"/>
        </w:trPr>
        <w:tc>
          <w:tcPr>
            <w:tcW w:w="1129" w:type="dxa"/>
          </w:tcPr>
          <w:p w14:paraId="5CBA07F1" w14:textId="77777777" w:rsidR="00B21D77" w:rsidRPr="0094011A" w:rsidRDefault="00B21D77" w:rsidP="001E75D9">
            <w:pPr>
              <w:pStyle w:val="ListParagraph"/>
              <w:spacing w:after="0" w:line="240" w:lineRule="auto"/>
              <w:ind w:left="0"/>
              <w:rPr>
                <w:rFonts w:cstheme="minorHAnsi"/>
                <w:b/>
                <w:sz w:val="18"/>
                <w:szCs w:val="18"/>
              </w:rPr>
            </w:pPr>
            <w:r>
              <w:rPr>
                <w:b/>
                <w:sz w:val="18"/>
                <w:szCs w:val="18"/>
              </w:rPr>
              <w:t>Processus</w:t>
            </w:r>
          </w:p>
        </w:tc>
        <w:tc>
          <w:tcPr>
            <w:tcW w:w="14442" w:type="dxa"/>
            <w:gridSpan w:val="4"/>
          </w:tcPr>
          <w:p w14:paraId="67CF9E43" w14:textId="44F8EACF" w:rsidR="00B21D77" w:rsidRPr="00CD4A14" w:rsidRDefault="0088106C" w:rsidP="001E75D9">
            <w:pPr>
              <w:spacing w:after="0" w:line="240" w:lineRule="auto"/>
              <w:rPr>
                <w:rFonts w:cstheme="minorHAnsi"/>
                <w:sz w:val="18"/>
                <w:szCs w:val="18"/>
              </w:rPr>
            </w:pPr>
            <w:r>
              <w:rPr>
                <w:sz w:val="18"/>
                <w:szCs w:val="18"/>
              </w:rPr>
              <w:t xml:space="preserve">32.3 Proportion d'accords de coopération internationale comprenant des marqueurs sur les droits des </w:t>
            </w:r>
            <w:r w:rsidR="007A4262">
              <w:rPr>
                <w:sz w:val="18"/>
                <w:szCs w:val="18"/>
              </w:rPr>
              <w:t>personnes handicapées</w:t>
            </w:r>
            <w:r>
              <w:rPr>
                <w:sz w:val="18"/>
                <w:szCs w:val="18"/>
              </w:rPr>
              <w:t>.</w:t>
            </w:r>
          </w:p>
          <w:p w14:paraId="681806BD" w14:textId="4D847F27" w:rsidR="00537330" w:rsidRPr="00CD4A14" w:rsidRDefault="00537330" w:rsidP="001E75D9">
            <w:pPr>
              <w:spacing w:after="0" w:line="240" w:lineRule="auto"/>
              <w:rPr>
                <w:rFonts w:cstheme="minorHAnsi"/>
                <w:sz w:val="18"/>
                <w:szCs w:val="18"/>
              </w:rPr>
            </w:pPr>
            <w:r>
              <w:rPr>
                <w:sz w:val="18"/>
                <w:szCs w:val="18"/>
              </w:rPr>
              <w:t>32.4 Le cas échéant, nombre d'objectifs et d'engagements signalés aux cadres de suivi mondiaux (par exemple, Sommet mondial sur le handicap 2018, Sommet humanitaire mondial 2016, etc.) et la proportion de ceux qui sont en cours et atteints.</w:t>
            </w:r>
          </w:p>
          <w:p w14:paraId="05F3A0B8" w14:textId="1C54F0DA" w:rsidR="00B21D77" w:rsidRDefault="00806BA9" w:rsidP="001E75D9">
            <w:pPr>
              <w:pStyle w:val="CommentText"/>
              <w:spacing w:after="0"/>
              <w:rPr>
                <w:rFonts w:cstheme="minorHAnsi"/>
                <w:sz w:val="18"/>
                <w:szCs w:val="18"/>
              </w:rPr>
            </w:pPr>
            <w:r>
              <w:rPr>
                <w:sz w:val="18"/>
                <w:szCs w:val="18"/>
              </w:rPr>
              <w:t>32,5 Pourcentage des bureaux extérieurs de l'agence de coopération d’État</w:t>
            </w:r>
            <w:r w:rsidR="006776EE">
              <w:rPr>
                <w:rStyle w:val="EndnoteReference"/>
                <w:rFonts w:cstheme="minorHAnsi"/>
                <w:sz w:val="18"/>
                <w:szCs w:val="18"/>
              </w:rPr>
              <w:endnoteReference w:id="4"/>
            </w:r>
            <w:r>
              <w:rPr>
                <w:sz w:val="18"/>
                <w:szCs w:val="18"/>
              </w:rPr>
              <w:t xml:space="preserve"> qui ont adopté une stratégie incluant ou ciblant les </w:t>
            </w:r>
            <w:r w:rsidR="007A4262">
              <w:rPr>
                <w:sz w:val="18"/>
                <w:szCs w:val="18"/>
              </w:rPr>
              <w:t>personnes handicapées</w:t>
            </w:r>
            <w:r>
              <w:rPr>
                <w:sz w:val="18"/>
                <w:szCs w:val="18"/>
              </w:rPr>
              <w:t>.</w:t>
            </w:r>
          </w:p>
          <w:p w14:paraId="58E1C33E" w14:textId="3B1CE6A8" w:rsidR="00537330" w:rsidRPr="00CD4A14" w:rsidRDefault="00806BA9" w:rsidP="001E75D9">
            <w:pPr>
              <w:spacing w:after="0" w:line="240" w:lineRule="auto"/>
              <w:rPr>
                <w:rFonts w:cstheme="minorHAnsi"/>
                <w:sz w:val="18"/>
                <w:szCs w:val="18"/>
              </w:rPr>
            </w:pPr>
            <w:r>
              <w:rPr>
                <w:sz w:val="18"/>
                <w:szCs w:val="18"/>
              </w:rPr>
              <w:t xml:space="preserve">32.6 Pourcentage des bureaux extérieurs de l'agence de coopération d'État 1) mettant en œuvre des accords en partenariat avec des organisations de </w:t>
            </w:r>
            <w:r w:rsidR="007A4262">
              <w:rPr>
                <w:sz w:val="18"/>
                <w:szCs w:val="18"/>
              </w:rPr>
              <w:t>personnes handicapées</w:t>
            </w:r>
            <w:r>
              <w:rPr>
                <w:sz w:val="18"/>
                <w:szCs w:val="18"/>
              </w:rPr>
              <w:t xml:space="preserve"> ou en bénéficiant ; et/ou 2) ayant adopté un protocole d'accord et/ou des accords de collaboration officiels avec des organisations de </w:t>
            </w:r>
            <w:r w:rsidR="007A4262">
              <w:rPr>
                <w:sz w:val="18"/>
                <w:szCs w:val="18"/>
              </w:rPr>
              <w:t>personnes handicapées</w:t>
            </w:r>
            <w:r>
              <w:rPr>
                <w:sz w:val="18"/>
                <w:szCs w:val="18"/>
              </w:rPr>
              <w:t>.</w:t>
            </w:r>
          </w:p>
          <w:p w14:paraId="557D9216" w14:textId="1A0094BD" w:rsidR="00F32EF3" w:rsidRPr="00CD4A14" w:rsidRDefault="00F32EF3" w:rsidP="001E75D9">
            <w:pPr>
              <w:spacing w:after="0" w:line="240" w:lineRule="auto"/>
              <w:rPr>
                <w:rFonts w:cstheme="minorHAnsi"/>
                <w:sz w:val="18"/>
                <w:szCs w:val="18"/>
              </w:rPr>
            </w:pPr>
            <w:r>
              <w:rPr>
                <w:sz w:val="18"/>
                <w:szCs w:val="18"/>
              </w:rPr>
              <w:t xml:space="preserve">32.7 Processus de consultation entrepris pour garantir la participation active des </w:t>
            </w:r>
            <w:r w:rsidR="007A4262">
              <w:rPr>
                <w:sz w:val="18"/>
                <w:szCs w:val="18"/>
              </w:rPr>
              <w:t>personnes handicapées</w:t>
            </w:r>
            <w:r>
              <w:rPr>
                <w:sz w:val="18"/>
                <w:szCs w:val="18"/>
              </w:rPr>
              <w:t xml:space="preserve">, </w:t>
            </w:r>
            <w:r>
              <w:rPr>
                <w:color w:val="444444"/>
                <w:sz w:val="18"/>
                <w:szCs w:val="18"/>
              </w:rPr>
              <w:t>y compris</w:t>
            </w:r>
            <w:r>
              <w:rPr>
                <w:sz w:val="18"/>
                <w:szCs w:val="18"/>
              </w:rPr>
              <w:t xml:space="preserve"> par l</w:t>
            </w:r>
            <w:r w:rsidR="007A4262">
              <w:rPr>
                <w:sz w:val="18"/>
                <w:szCs w:val="18"/>
              </w:rPr>
              <w:t>’intermédiaire des organisations qui les représentent</w:t>
            </w:r>
            <w:r>
              <w:rPr>
                <w:sz w:val="18"/>
                <w:szCs w:val="18"/>
              </w:rPr>
              <w:t>,</w:t>
            </w:r>
            <w:r w:rsidR="00AD73A8" w:rsidRPr="009E44F2">
              <w:rPr>
                <w:rStyle w:val="EndnoteReference"/>
                <w:rFonts w:cstheme="minorHAnsi"/>
                <w:sz w:val="18"/>
                <w:szCs w:val="18"/>
              </w:rPr>
              <w:endnoteReference w:id="5"/>
            </w:r>
            <w:r>
              <w:rPr>
                <w:sz w:val="18"/>
                <w:szCs w:val="18"/>
              </w:rPr>
              <w:t xml:space="preserve"> dans les pays d'accueil et les pays cibles, et le pourcentage d'accords conclus avec consultation préalable, ventilés par accords dans lesquels l'inclusion des </w:t>
            </w:r>
            <w:r w:rsidR="007A4262">
              <w:rPr>
                <w:sz w:val="18"/>
                <w:szCs w:val="18"/>
              </w:rPr>
              <w:t>personnes handicapées</w:t>
            </w:r>
            <w:r>
              <w:rPr>
                <w:sz w:val="18"/>
                <w:szCs w:val="18"/>
              </w:rPr>
              <w:t xml:space="preserve"> est : 1) l'objectif principal et est fondamental pour les résultats attendus ; 2) un objectif significatif et délibéré mais pas la raison principale de l'accord ; et 3) pas du tout ciblé.</w:t>
            </w:r>
            <w:r w:rsidR="008506B4" w:rsidRPr="009E44F2">
              <w:rPr>
                <w:rStyle w:val="EndnoteReference"/>
                <w:sz w:val="18"/>
                <w:szCs w:val="18"/>
              </w:rPr>
              <w:endnoteReference w:id="6"/>
            </w:r>
          </w:p>
          <w:p w14:paraId="3EE26370" w14:textId="2356CC3C" w:rsidR="000A24D3" w:rsidRPr="00CD4A14" w:rsidRDefault="00806BA9" w:rsidP="001E75D9">
            <w:pPr>
              <w:spacing w:after="0" w:line="240" w:lineRule="auto"/>
              <w:rPr>
                <w:rFonts w:cstheme="minorHAnsi"/>
                <w:sz w:val="18"/>
                <w:szCs w:val="18"/>
              </w:rPr>
            </w:pPr>
            <w:r>
              <w:rPr>
                <w:sz w:val="18"/>
                <w:szCs w:val="18"/>
              </w:rPr>
              <w:t xml:space="preserve">32.8 Pourcentage de personnel chargé de la conception, de la conclusion, de la mise en œuvre, du suivi et de l'évaluation des accords de coopération internationale formés aux droits des </w:t>
            </w:r>
            <w:r w:rsidR="007A4262">
              <w:rPr>
                <w:sz w:val="18"/>
                <w:szCs w:val="18"/>
              </w:rPr>
              <w:t>personnes handicapées</w:t>
            </w:r>
            <w:r>
              <w:rPr>
                <w:sz w:val="18"/>
                <w:szCs w:val="18"/>
              </w:rPr>
              <w:t>.</w:t>
            </w:r>
            <w:r w:rsidR="009E44F2">
              <w:rPr>
                <w:rStyle w:val="EndnoteReference"/>
                <w:rFonts w:cstheme="minorHAnsi"/>
                <w:sz w:val="18"/>
                <w:szCs w:val="18"/>
              </w:rPr>
              <w:endnoteReference w:id="7"/>
            </w:r>
          </w:p>
          <w:p w14:paraId="289E6250" w14:textId="53E5EEC4" w:rsidR="00106EAF" w:rsidRPr="00CD4A14" w:rsidRDefault="0088106C" w:rsidP="00F03BA6">
            <w:pPr>
              <w:spacing w:after="0" w:line="240" w:lineRule="auto"/>
              <w:jc w:val="both"/>
              <w:rPr>
                <w:rFonts w:cstheme="minorHAnsi"/>
                <w:sz w:val="18"/>
                <w:szCs w:val="18"/>
              </w:rPr>
            </w:pPr>
            <w:r>
              <w:rPr>
                <w:sz w:val="18"/>
                <w:szCs w:val="18"/>
              </w:rPr>
              <w:t xml:space="preserve">32.9 Proportion de plaintes reçues alléguant des effets négatifs sur les </w:t>
            </w:r>
            <w:r w:rsidR="007A4262">
              <w:rPr>
                <w:sz w:val="18"/>
                <w:szCs w:val="18"/>
              </w:rPr>
              <w:t>personnes handicapées</w:t>
            </w:r>
            <w:r>
              <w:rPr>
                <w:sz w:val="18"/>
                <w:szCs w:val="18"/>
              </w:rPr>
              <w:t xml:space="preserve"> liés aux activités des accords de coopération internationale qui ont fait l'objet d'une enquête et d'une décision ; proportion de celles jugées en faveur du plaignant ; et proportion de ces dernières qui ont été respectées par le gouvernement et/ou le détenteur d'obligations ; à chaque fois ventilée par type de mécanisme.</w:t>
            </w:r>
          </w:p>
        </w:tc>
      </w:tr>
      <w:tr w:rsidR="003473FA" w:rsidRPr="00CA7793" w14:paraId="35EA5CB9" w14:textId="77777777" w:rsidTr="001E75D9">
        <w:trPr>
          <w:trHeight w:val="1418"/>
          <w:jc w:val="center"/>
        </w:trPr>
        <w:tc>
          <w:tcPr>
            <w:tcW w:w="1129" w:type="dxa"/>
            <w:vMerge w:val="restart"/>
          </w:tcPr>
          <w:p w14:paraId="0FE84B0C" w14:textId="77777777" w:rsidR="003473FA" w:rsidRPr="0094011A" w:rsidRDefault="003473FA" w:rsidP="001E75D9">
            <w:pPr>
              <w:pStyle w:val="ListParagraph"/>
              <w:spacing w:after="0" w:line="240" w:lineRule="auto"/>
              <w:ind w:left="0"/>
              <w:rPr>
                <w:rFonts w:cstheme="minorHAnsi"/>
                <w:b/>
                <w:sz w:val="18"/>
                <w:szCs w:val="18"/>
              </w:rPr>
            </w:pPr>
            <w:r>
              <w:rPr>
                <w:b/>
                <w:sz w:val="18"/>
                <w:szCs w:val="18"/>
              </w:rPr>
              <w:t>Résultats</w:t>
            </w:r>
          </w:p>
        </w:tc>
        <w:tc>
          <w:tcPr>
            <w:tcW w:w="3544" w:type="dxa"/>
            <w:vMerge w:val="restart"/>
          </w:tcPr>
          <w:p w14:paraId="5D93C1FB" w14:textId="3705AE4B" w:rsidR="003473FA" w:rsidRPr="000F7E9B" w:rsidRDefault="00806BA9" w:rsidP="001E75D9">
            <w:pPr>
              <w:spacing w:after="0" w:line="240" w:lineRule="auto"/>
              <w:jc w:val="both"/>
              <w:rPr>
                <w:rFonts w:cstheme="minorHAnsi"/>
                <w:sz w:val="18"/>
                <w:szCs w:val="18"/>
              </w:rPr>
            </w:pPr>
            <w:r>
              <w:rPr>
                <w:sz w:val="18"/>
                <w:szCs w:val="18"/>
              </w:rPr>
              <w:t xml:space="preserve">32.10 Nombre et proportion d'accords de coopération internationale qui incluent des organisations représentatives de </w:t>
            </w:r>
            <w:r w:rsidR="007A4262">
              <w:rPr>
                <w:sz w:val="18"/>
                <w:szCs w:val="18"/>
              </w:rPr>
              <w:t>personnes handicapées</w:t>
            </w:r>
            <w:r>
              <w:rPr>
                <w:sz w:val="18"/>
                <w:szCs w:val="18"/>
              </w:rPr>
              <w:t xml:space="preserve"> en tant que partenaires.</w:t>
            </w:r>
          </w:p>
          <w:p w14:paraId="0885A3FC" w14:textId="6FFC4BF5" w:rsidR="003473FA" w:rsidRPr="00CD4A14" w:rsidRDefault="00806BA9" w:rsidP="001E75D9">
            <w:pPr>
              <w:spacing w:after="0" w:line="240" w:lineRule="auto"/>
              <w:jc w:val="both"/>
              <w:rPr>
                <w:rFonts w:cstheme="minorHAnsi"/>
                <w:sz w:val="18"/>
                <w:szCs w:val="18"/>
              </w:rPr>
            </w:pPr>
            <w:r>
              <w:rPr>
                <w:sz w:val="18"/>
                <w:szCs w:val="18"/>
              </w:rPr>
              <w:t xml:space="preserve">32.11 Nombre et proportion d'accords de coopération internationale dans lesquels l'inclusion des </w:t>
            </w:r>
            <w:r w:rsidR="007A4262">
              <w:rPr>
                <w:sz w:val="18"/>
                <w:szCs w:val="18"/>
              </w:rPr>
              <w:t>personnes handicapées</w:t>
            </w:r>
            <w:r>
              <w:rPr>
                <w:sz w:val="18"/>
                <w:szCs w:val="18"/>
              </w:rPr>
              <w:t xml:space="preserve"> est : 1) l'objectif principal et est fondamental pour les résultats attendus ; 2) un objectif significatif et délibéré mais pas la raison principale de l'accord ; et 3) pas du tout ciblé.</w:t>
            </w:r>
          </w:p>
        </w:tc>
        <w:tc>
          <w:tcPr>
            <w:tcW w:w="3260" w:type="dxa"/>
            <w:vMerge w:val="restart"/>
          </w:tcPr>
          <w:p w14:paraId="0CBBF1BA" w14:textId="3CFAF89B" w:rsidR="003473FA" w:rsidRPr="00CD4A14" w:rsidRDefault="003473FA" w:rsidP="001E75D9">
            <w:pPr>
              <w:spacing w:after="0" w:line="240" w:lineRule="auto"/>
              <w:jc w:val="both"/>
              <w:rPr>
                <w:sz w:val="18"/>
                <w:szCs w:val="18"/>
              </w:rPr>
            </w:pPr>
            <w:r>
              <w:rPr>
                <w:sz w:val="18"/>
                <w:szCs w:val="18"/>
              </w:rPr>
              <w:t xml:space="preserve">32.12 Nombre et proportion de </w:t>
            </w:r>
            <w:r w:rsidR="007A4262">
              <w:rPr>
                <w:sz w:val="18"/>
                <w:szCs w:val="18"/>
              </w:rPr>
              <w:t>personnes handicapées</w:t>
            </w:r>
            <w:r>
              <w:rPr>
                <w:sz w:val="18"/>
                <w:szCs w:val="18"/>
              </w:rPr>
              <w:t xml:space="preserve"> qui ont bénéficié d'une formation dans le cadre des accords de coopération internationale, ventilés par sexe, âge et handicap.</w:t>
            </w:r>
          </w:p>
          <w:p w14:paraId="740E4E4B" w14:textId="0B7D734A" w:rsidR="003473FA" w:rsidRPr="00CD4A14" w:rsidRDefault="00806BA9" w:rsidP="001E75D9">
            <w:pPr>
              <w:spacing w:after="0" w:line="240" w:lineRule="auto"/>
              <w:jc w:val="both"/>
              <w:rPr>
                <w:rFonts w:cstheme="minorHAnsi"/>
                <w:sz w:val="18"/>
                <w:szCs w:val="18"/>
              </w:rPr>
            </w:pPr>
            <w:r>
              <w:rPr>
                <w:sz w:val="18"/>
                <w:szCs w:val="18"/>
              </w:rPr>
              <w:t>32.13 Pourcentage de personnel des agences de coopération internationale, des gouvernements et des cadres de suivi (y compris tous les niveaux de gouvernement et dans tous les secteurs, bureau des statistiques, institutions nationales des droits de l'homme, etc.) qui ont reçu une formation dans le cadre d'accords de coopération internationale, ventilé par sexe, âge et handicap.</w:t>
            </w:r>
          </w:p>
        </w:tc>
        <w:tc>
          <w:tcPr>
            <w:tcW w:w="3119" w:type="dxa"/>
          </w:tcPr>
          <w:p w14:paraId="38E6F181" w14:textId="03201CDE" w:rsidR="003473FA" w:rsidRPr="009E44F2" w:rsidRDefault="003473FA" w:rsidP="001E75D9">
            <w:pPr>
              <w:spacing w:after="0" w:line="240" w:lineRule="auto"/>
              <w:jc w:val="both"/>
              <w:rPr>
                <w:rFonts w:cstheme="minorHAnsi"/>
                <w:sz w:val="18"/>
                <w:szCs w:val="18"/>
              </w:rPr>
            </w:pPr>
            <w:r>
              <w:rPr>
                <w:sz w:val="18"/>
                <w:szCs w:val="18"/>
              </w:rPr>
              <w:t xml:space="preserve">32.14 Proportion des investissements en USD dans les accords de coopération internationale, ventilée par accord lorsque l'inclusion des </w:t>
            </w:r>
            <w:r w:rsidR="007A4262">
              <w:rPr>
                <w:sz w:val="18"/>
                <w:szCs w:val="18"/>
              </w:rPr>
              <w:t>personnes handicapées</w:t>
            </w:r>
            <w:r>
              <w:rPr>
                <w:sz w:val="18"/>
                <w:szCs w:val="18"/>
              </w:rPr>
              <w:t xml:space="preserve"> est : 1) l'objectif principal et est fondamental pour les résultats attendus ; 2) un objectif significatif et délibéré mais pas la raison principale de l'accord ; et 3) pas du tout ciblé.</w:t>
            </w:r>
          </w:p>
        </w:tc>
        <w:tc>
          <w:tcPr>
            <w:tcW w:w="4519" w:type="dxa"/>
          </w:tcPr>
          <w:p w14:paraId="0ECBA7A0" w14:textId="020019DD" w:rsidR="003473FA" w:rsidRPr="009E44F2" w:rsidRDefault="00806BA9" w:rsidP="001E75D9">
            <w:pPr>
              <w:spacing w:after="0" w:line="240" w:lineRule="auto"/>
              <w:jc w:val="both"/>
              <w:rPr>
                <w:rFonts w:cstheme="minorHAnsi"/>
                <w:sz w:val="18"/>
                <w:szCs w:val="18"/>
              </w:rPr>
            </w:pPr>
            <w:r>
              <w:rPr>
                <w:sz w:val="18"/>
                <w:szCs w:val="18"/>
              </w:rPr>
              <w:t xml:space="preserve">32.15 Proportion des investissements en USD dans la recherche et l'accès aux connaissances scientifiques et techniques, ventilée par accord lorsque l'inclusion des </w:t>
            </w:r>
            <w:r w:rsidR="007A4262">
              <w:rPr>
                <w:sz w:val="18"/>
                <w:szCs w:val="18"/>
              </w:rPr>
              <w:t>personnes handicapées</w:t>
            </w:r>
            <w:r>
              <w:rPr>
                <w:sz w:val="18"/>
                <w:szCs w:val="18"/>
              </w:rPr>
              <w:t xml:space="preserve"> est : 1) l'objectif principal et est fondamental pour les résultats attendus ; 2) un objectif significatif et délibéré mais pas la raison principale de l'accord ; et 3) pas du tout ciblé.</w:t>
            </w:r>
          </w:p>
        </w:tc>
      </w:tr>
      <w:tr w:rsidR="003473FA" w:rsidRPr="00CA7793" w14:paraId="45039AC0" w14:textId="77777777" w:rsidTr="001E75D9">
        <w:trPr>
          <w:trHeight w:val="1039"/>
          <w:jc w:val="center"/>
        </w:trPr>
        <w:tc>
          <w:tcPr>
            <w:tcW w:w="1129" w:type="dxa"/>
            <w:vMerge/>
          </w:tcPr>
          <w:p w14:paraId="6AFFC18C" w14:textId="77777777" w:rsidR="003473FA" w:rsidRPr="0094011A" w:rsidRDefault="003473FA" w:rsidP="001E75D9">
            <w:pPr>
              <w:pStyle w:val="ListParagraph"/>
              <w:spacing w:after="0" w:line="240" w:lineRule="auto"/>
              <w:ind w:left="0"/>
              <w:rPr>
                <w:rFonts w:cstheme="minorHAnsi"/>
                <w:b/>
                <w:sz w:val="18"/>
                <w:szCs w:val="18"/>
              </w:rPr>
            </w:pPr>
          </w:p>
        </w:tc>
        <w:tc>
          <w:tcPr>
            <w:tcW w:w="3544" w:type="dxa"/>
            <w:vMerge/>
          </w:tcPr>
          <w:p w14:paraId="70B10387" w14:textId="77777777" w:rsidR="003473FA" w:rsidRPr="0094011A" w:rsidRDefault="003473FA" w:rsidP="001E75D9">
            <w:pPr>
              <w:spacing w:after="0" w:line="240" w:lineRule="auto"/>
              <w:jc w:val="both"/>
              <w:rPr>
                <w:rFonts w:cstheme="minorHAnsi"/>
                <w:sz w:val="18"/>
                <w:szCs w:val="18"/>
              </w:rPr>
            </w:pPr>
          </w:p>
        </w:tc>
        <w:tc>
          <w:tcPr>
            <w:tcW w:w="3260" w:type="dxa"/>
            <w:vMerge/>
          </w:tcPr>
          <w:p w14:paraId="51E152FE" w14:textId="77777777" w:rsidR="003473FA" w:rsidRPr="00EA3DBD" w:rsidRDefault="003473FA" w:rsidP="001E75D9">
            <w:pPr>
              <w:spacing w:after="0" w:line="240" w:lineRule="auto"/>
              <w:jc w:val="both"/>
              <w:rPr>
                <w:sz w:val="18"/>
                <w:szCs w:val="18"/>
              </w:rPr>
            </w:pPr>
          </w:p>
        </w:tc>
        <w:tc>
          <w:tcPr>
            <w:tcW w:w="7638" w:type="dxa"/>
            <w:gridSpan w:val="2"/>
          </w:tcPr>
          <w:p w14:paraId="603AA61D" w14:textId="58ECE304" w:rsidR="003473FA" w:rsidRPr="00CD4A14" w:rsidRDefault="00806BA9" w:rsidP="001E75D9">
            <w:pPr>
              <w:spacing w:after="0" w:line="240" w:lineRule="auto"/>
              <w:jc w:val="both"/>
              <w:rPr>
                <w:rFonts w:cstheme="minorHAnsi"/>
                <w:sz w:val="18"/>
                <w:szCs w:val="18"/>
              </w:rPr>
            </w:pPr>
            <w:r>
              <w:rPr>
                <w:sz w:val="18"/>
                <w:szCs w:val="18"/>
              </w:rPr>
              <w:t xml:space="preserve">32.16 Proportion d'accords de coopération internationale impliquant le transfert de technologie pour faciliter l'accès et le partage des technologies accessibles et d'assistance au profit des </w:t>
            </w:r>
            <w:r w:rsidR="007A4262">
              <w:rPr>
                <w:sz w:val="18"/>
                <w:szCs w:val="18"/>
              </w:rPr>
              <w:t>personnes handicapées</w:t>
            </w:r>
            <w:r>
              <w:rPr>
                <w:sz w:val="18"/>
                <w:szCs w:val="18"/>
              </w:rPr>
              <w:t>.</w:t>
            </w:r>
          </w:p>
        </w:tc>
      </w:tr>
    </w:tbl>
    <w:p w14:paraId="164DCD37" w14:textId="477D82F4" w:rsidR="00A025C2" w:rsidRDefault="00A025C2" w:rsidP="005045F6">
      <w:pPr>
        <w:spacing w:line="240" w:lineRule="auto"/>
        <w:jc w:val="center"/>
        <w:rPr>
          <w:b/>
          <w:sz w:val="18"/>
          <w:szCs w:val="18"/>
        </w:rPr>
      </w:pPr>
    </w:p>
    <w:p w14:paraId="35159FD6" w14:textId="19A19C60" w:rsidR="001E75D9" w:rsidRDefault="001E75D9" w:rsidP="005045F6">
      <w:pPr>
        <w:spacing w:line="240" w:lineRule="auto"/>
        <w:jc w:val="center"/>
        <w:rPr>
          <w:b/>
          <w:sz w:val="18"/>
          <w:szCs w:val="18"/>
        </w:rPr>
      </w:pPr>
    </w:p>
    <w:sectPr w:rsidR="001E75D9" w:rsidSect="0094011A">
      <w:pgSz w:w="15840" w:h="12240" w:orient="landscape"/>
      <w:pgMar w:top="113"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08832" w14:textId="77777777" w:rsidR="004D4A9C" w:rsidRDefault="004D4A9C" w:rsidP="003C09E4">
      <w:pPr>
        <w:spacing w:after="0" w:line="240" w:lineRule="auto"/>
      </w:pPr>
      <w:r>
        <w:separator/>
      </w:r>
    </w:p>
  </w:endnote>
  <w:endnote w:type="continuationSeparator" w:id="0">
    <w:p w14:paraId="081F4E3A" w14:textId="77777777" w:rsidR="004D4A9C" w:rsidRDefault="004D4A9C" w:rsidP="003C09E4">
      <w:pPr>
        <w:spacing w:after="0" w:line="240" w:lineRule="auto"/>
      </w:pPr>
      <w:r>
        <w:continuationSeparator/>
      </w:r>
    </w:p>
  </w:endnote>
  <w:endnote w:id="1">
    <w:p w14:paraId="2153EA0C" w14:textId="3F437D80" w:rsidR="00350DAF" w:rsidRPr="00350DAF" w:rsidRDefault="00350DAF" w:rsidP="00350DAF">
      <w:pPr>
        <w:pStyle w:val="EndnoteText"/>
        <w:jc w:val="both"/>
        <w:rPr>
          <w:sz w:val="18"/>
          <w:szCs w:val="18"/>
        </w:rPr>
      </w:pPr>
      <w:r>
        <w:rPr>
          <w:rStyle w:val="EndnoteReference"/>
        </w:rPr>
        <w:endnoteRef/>
      </w:r>
      <w:r>
        <w:t xml:space="preserve"> Les « </w:t>
      </w:r>
      <w:r>
        <w:rPr>
          <w:sz w:val="18"/>
          <w:szCs w:val="18"/>
        </w:rPr>
        <w:t>accords » englobent tous les projets, programmes, instruments financiers, modalités d'aide, protocoles et autres formes d'accord qui se rapportent à la mise en œuvre d'activités et d'actions par le biais de la coopération et du développement internationaux.</w:t>
      </w:r>
      <w:r w:rsidR="00B270DC">
        <w:rPr>
          <w:sz w:val="18"/>
          <w:szCs w:val="18"/>
        </w:rPr>
        <w:t xml:space="preserve"> </w:t>
      </w:r>
    </w:p>
  </w:endnote>
  <w:endnote w:id="2">
    <w:p w14:paraId="2080DE2B" w14:textId="38AD4DD5" w:rsidR="008B5838" w:rsidRPr="005E0A88" w:rsidRDefault="008B5838" w:rsidP="008B0CB1">
      <w:pPr>
        <w:pStyle w:val="EndnoteText"/>
        <w:jc w:val="both"/>
        <w:rPr>
          <w:rFonts w:ascii="Calibri" w:eastAsia="Times New Roman" w:hAnsi="Calibri" w:cs="Calibri"/>
          <w:color w:val="000000"/>
          <w:sz w:val="18"/>
          <w:szCs w:val="18"/>
        </w:rPr>
      </w:pPr>
      <w:r>
        <w:rPr>
          <w:rStyle w:val="EndnoteReference"/>
          <w:sz w:val="18"/>
          <w:szCs w:val="18"/>
        </w:rPr>
        <w:endnoteRef/>
      </w:r>
      <w:r>
        <w:t xml:space="preserve"> </w:t>
      </w:r>
      <w:r>
        <w:rPr>
          <w:sz w:val="18"/>
          <w:szCs w:val="18"/>
        </w:rPr>
        <w:t xml:space="preserve">Cela pourrait adhérer au marqueur de politique du CAD de l'OCDE sur l'inclusion et l'autonomisation des </w:t>
      </w:r>
      <w:r w:rsidR="007A4262">
        <w:rPr>
          <w:sz w:val="18"/>
          <w:szCs w:val="18"/>
        </w:rPr>
        <w:t>personnes handicapées</w:t>
      </w:r>
      <w:r>
        <w:rPr>
          <w:sz w:val="18"/>
          <w:szCs w:val="18"/>
        </w:rPr>
        <w:t xml:space="preserve"> dont l'introduction a été approuvée, ou être informé par celui-ci, ainsi que le manuel pour guider les rapports sur le marqueur du handicap (à paraître). Voir OCDE, Groupe de travail du CAD sur les statistiques du financement du développement,</w:t>
      </w:r>
      <w:r>
        <w:t xml:space="preserve"> </w:t>
      </w:r>
      <w:hyperlink r:id="rId1" w:history="1">
        <w:r>
          <w:rPr>
            <w:rStyle w:val="Hyperlink"/>
            <w:i/>
            <w:sz w:val="18"/>
            <w:szCs w:val="18"/>
          </w:rPr>
          <w:t xml:space="preserve">Manuel relatif au marqueur pour l'inclusion et l'autonomisation des </w:t>
        </w:r>
        <w:r w:rsidR="007A4262">
          <w:rPr>
            <w:rStyle w:val="Hyperlink"/>
            <w:i/>
            <w:sz w:val="18"/>
            <w:szCs w:val="18"/>
          </w:rPr>
          <w:t>personnes handicapée</w:t>
        </w:r>
      </w:hyperlink>
      <w:r w:rsidR="007A4262">
        <w:rPr>
          <w:rStyle w:val="Hyperlink"/>
          <w:i/>
          <w:sz w:val="18"/>
          <w:szCs w:val="18"/>
        </w:rPr>
        <w:t>s</w:t>
      </w:r>
      <w:r>
        <w:t xml:space="preserve"> </w:t>
      </w:r>
      <w:r>
        <w:rPr>
          <w:sz w:val="18"/>
          <w:szCs w:val="18"/>
        </w:rPr>
        <w:t xml:space="preserve">, DCD/DAC/STAT/RD(2019)1/RD1, page 2. </w:t>
      </w:r>
      <w:r>
        <w:rPr>
          <w:rFonts w:ascii="Calibri" w:hAnsi="Calibri"/>
          <w:color w:val="000000"/>
          <w:sz w:val="18"/>
          <w:szCs w:val="18"/>
        </w:rPr>
        <w:t>Les marqueurs devraient également permettre le suivi et l'analyse des activités et du financement à l'appui de l'égalité des sexes et des droits des femmes. Voir le</w:t>
      </w:r>
      <w:r>
        <w:t xml:space="preserve"> </w:t>
      </w:r>
      <w:hyperlink r:id="rId2" w:history="1">
        <w:r>
          <w:rPr>
            <w:rStyle w:val="Hyperlink"/>
          </w:rPr>
          <w:t>marqueur de politique de l'</w:t>
        </w:r>
        <w:r>
          <w:rPr>
            <w:rStyle w:val="Hyperlink"/>
            <w:rFonts w:ascii="Calibri" w:hAnsi="Calibri"/>
            <w:sz w:val="18"/>
            <w:szCs w:val="18"/>
          </w:rPr>
          <w:t>OCDE sur</w:t>
        </w:r>
        <w:r>
          <w:rPr>
            <w:rStyle w:val="Hyperlink"/>
          </w:rPr>
          <w:t xml:space="preserve"> l'égalité des sexes dans le CAD</w:t>
        </w:r>
      </w:hyperlink>
      <w:r>
        <w:t>.</w:t>
      </w:r>
    </w:p>
  </w:endnote>
  <w:endnote w:id="3">
    <w:p w14:paraId="280CA507" w14:textId="0405A195" w:rsidR="00876D44" w:rsidRPr="009E44F2" w:rsidRDefault="00876D44" w:rsidP="00350DAF">
      <w:pPr>
        <w:pStyle w:val="EndnoteText"/>
        <w:jc w:val="both"/>
        <w:rPr>
          <w:sz w:val="18"/>
          <w:szCs w:val="18"/>
        </w:rPr>
      </w:pPr>
      <w:r>
        <w:rPr>
          <w:rStyle w:val="EndnoteReference"/>
          <w:sz w:val="18"/>
          <w:szCs w:val="18"/>
        </w:rPr>
        <w:endnoteRef/>
      </w:r>
      <w:r>
        <w:t xml:space="preserve"> </w:t>
      </w:r>
      <w:r>
        <w:rPr>
          <w:sz w:val="18"/>
          <w:szCs w:val="18"/>
        </w:rPr>
        <w:t xml:space="preserve">Y compris un large éventail d'organisations représentatives de </w:t>
      </w:r>
      <w:r w:rsidR="007A4262">
        <w:rPr>
          <w:sz w:val="18"/>
          <w:szCs w:val="18"/>
        </w:rPr>
        <w:t>personnes handicapées</w:t>
      </w:r>
      <w:r>
        <w:rPr>
          <w:sz w:val="18"/>
          <w:szCs w:val="18"/>
        </w:rPr>
        <w:t>, y compris celles représentant les femmes et les filles handicap</w:t>
      </w:r>
      <w:r w:rsidR="007A4262">
        <w:rPr>
          <w:sz w:val="18"/>
          <w:szCs w:val="18"/>
        </w:rPr>
        <w:t>ées</w:t>
      </w:r>
      <w:r>
        <w:rPr>
          <w:sz w:val="18"/>
          <w:szCs w:val="18"/>
        </w:rPr>
        <w:t>, et en particulier les groupes les plus touchés par les activités.</w:t>
      </w:r>
    </w:p>
  </w:endnote>
  <w:endnote w:id="4">
    <w:p w14:paraId="79E94610" w14:textId="74DDE2E8" w:rsidR="006776EE" w:rsidRPr="006776EE" w:rsidRDefault="006776EE">
      <w:pPr>
        <w:pStyle w:val="EndnoteText"/>
      </w:pPr>
      <w:r>
        <w:rPr>
          <w:rStyle w:val="EndnoteReference"/>
          <w:sz w:val="18"/>
          <w:szCs w:val="18"/>
        </w:rPr>
        <w:endnoteRef/>
      </w:r>
      <w:r>
        <w:t xml:space="preserve"> </w:t>
      </w:r>
      <w:r>
        <w:rPr>
          <w:sz w:val="18"/>
          <w:szCs w:val="18"/>
        </w:rPr>
        <w:t>Comme indiqué dans la FAQ, le terme « État » doit être interprété comme partie à la Convention (voir l'article 44 de la CDPH), y compris l'Union européenne en tant qu'organisation d'intégration régionale.</w:t>
      </w:r>
    </w:p>
  </w:endnote>
  <w:endnote w:id="5">
    <w:p w14:paraId="67FA07A9" w14:textId="0D1D7AB7" w:rsidR="006A782B" w:rsidRPr="00DD35DD" w:rsidRDefault="00AD73A8" w:rsidP="006A782B">
      <w:pPr>
        <w:pStyle w:val="EndnoteText"/>
        <w:jc w:val="both"/>
        <w:rPr>
          <w:sz w:val="18"/>
          <w:szCs w:val="18"/>
        </w:rPr>
      </w:pPr>
      <w:r>
        <w:rPr>
          <w:rStyle w:val="EndnoteReference"/>
        </w:rPr>
        <w:endnoteRef/>
      </w:r>
      <w:r>
        <w:t xml:space="preserve"> </w:t>
      </w:r>
      <w:r>
        <w:rPr>
          <w:sz w:val="18"/>
          <w:szCs w:val="18"/>
        </w:rPr>
        <w:t xml:space="preserve">Cet indicateur nécessite de vérifier les activités concrètes entreprises par les autorités publiques pour </w:t>
      </w:r>
      <w:r w:rsidR="007A4262">
        <w:rPr>
          <w:sz w:val="18"/>
          <w:szCs w:val="18"/>
        </w:rPr>
        <w:t>faire participer</w:t>
      </w:r>
      <w:r>
        <w:rPr>
          <w:sz w:val="18"/>
          <w:szCs w:val="18"/>
        </w:rPr>
        <w:t xml:space="preserve"> les </w:t>
      </w:r>
      <w:r w:rsidR="007A4262">
        <w:rPr>
          <w:sz w:val="18"/>
          <w:szCs w:val="18"/>
        </w:rPr>
        <w:t>personnes handicapées</w:t>
      </w:r>
      <w:r>
        <w:rPr>
          <w:sz w:val="18"/>
          <w:szCs w:val="18"/>
        </w:rPr>
        <w:t xml:space="preserve"> dans les processus décisionnels liés aux questions qui les affectent directement ou indirectement conformément à l'article 4 (3) de la CDPH et à </w:t>
      </w:r>
      <w:hyperlink r:id="rId3" w:history="1">
        <w:r w:rsidRPr="00DD7A35">
          <w:rPr>
            <w:rStyle w:val="Hyperlink"/>
            <w:sz w:val="18"/>
            <w:szCs w:val="18"/>
          </w:rPr>
          <w:t>l'Observation générale no. 7</w:t>
        </w:r>
      </w:hyperlink>
      <w:bookmarkStart w:id="0" w:name="_GoBack"/>
      <w:bookmarkEnd w:id="0"/>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7E04C797" w14:textId="77777777" w:rsidR="006A782B" w:rsidRPr="00DD35DD" w:rsidRDefault="006A782B" w:rsidP="006A782B">
      <w:pPr>
        <w:pStyle w:val="EndnoteText"/>
        <w:numPr>
          <w:ilvl w:val="0"/>
          <w:numId w:val="16"/>
        </w:numPr>
        <w:ind w:left="714" w:hanging="357"/>
        <w:contextualSpacing/>
        <w:rPr>
          <w:sz w:val="18"/>
          <w:szCs w:val="18"/>
        </w:rPr>
      </w:pPr>
      <w:proofErr w:type="gramStart"/>
      <w:r>
        <w:rPr>
          <w:sz w:val="18"/>
          <w:szCs w:val="18"/>
        </w:rPr>
        <w:t>veiller</w:t>
      </w:r>
      <w:proofErr w:type="gramEnd"/>
      <w:r>
        <w:rPr>
          <w:sz w:val="18"/>
          <w:szCs w:val="18"/>
        </w:rPr>
        <w:t xml:space="preserve"> à ce que les processus de consultation soient transparents et accessibles ;</w:t>
      </w:r>
    </w:p>
    <w:p w14:paraId="1869ECF6" w14:textId="77777777" w:rsidR="006A782B" w:rsidRPr="00DD35DD" w:rsidRDefault="006A782B" w:rsidP="006A782B">
      <w:pPr>
        <w:pStyle w:val="EndnoteText"/>
        <w:numPr>
          <w:ilvl w:val="0"/>
          <w:numId w:val="16"/>
        </w:numPr>
        <w:ind w:left="714" w:hanging="357"/>
        <w:contextualSpacing/>
        <w:rPr>
          <w:sz w:val="18"/>
          <w:szCs w:val="18"/>
        </w:rPr>
      </w:pPr>
      <w:proofErr w:type="gramStart"/>
      <w:r>
        <w:rPr>
          <w:sz w:val="18"/>
          <w:szCs w:val="18"/>
        </w:rPr>
        <w:t>assurer</w:t>
      </w:r>
      <w:proofErr w:type="gramEnd"/>
      <w:r>
        <w:rPr>
          <w:sz w:val="18"/>
          <w:szCs w:val="18"/>
        </w:rPr>
        <w:t xml:space="preserve"> la fourniture d'informations appropriées et accessibles ;</w:t>
      </w:r>
    </w:p>
    <w:p w14:paraId="32B44BA5" w14:textId="5D4F4213" w:rsidR="006A782B" w:rsidRPr="00DD35DD" w:rsidRDefault="006A782B" w:rsidP="006A782B">
      <w:pPr>
        <w:pStyle w:val="EndnoteText"/>
        <w:numPr>
          <w:ilvl w:val="0"/>
          <w:numId w:val="16"/>
        </w:numPr>
        <w:ind w:left="714" w:hanging="357"/>
        <w:contextualSpacing/>
        <w:rPr>
          <w:sz w:val="18"/>
          <w:szCs w:val="18"/>
        </w:rPr>
      </w:pPr>
      <w:proofErr w:type="gramStart"/>
      <w:r>
        <w:rPr>
          <w:sz w:val="18"/>
          <w:szCs w:val="18"/>
        </w:rPr>
        <w:t>ne</w:t>
      </w:r>
      <w:proofErr w:type="gramEnd"/>
      <w:r>
        <w:rPr>
          <w:sz w:val="18"/>
          <w:szCs w:val="18"/>
        </w:rPr>
        <w:t xml:space="preserve"> pas retenir d'informations, conditionner ou empêcher les organisations de </w:t>
      </w:r>
      <w:r w:rsidR="007A4262">
        <w:rPr>
          <w:sz w:val="18"/>
          <w:szCs w:val="18"/>
        </w:rPr>
        <w:t>personnes handicapées</w:t>
      </w:r>
      <w:r>
        <w:rPr>
          <w:sz w:val="18"/>
          <w:szCs w:val="18"/>
        </w:rPr>
        <w:t xml:space="preserve"> d'exprimer librement leurs opinions ;</w:t>
      </w:r>
    </w:p>
    <w:p w14:paraId="49C6CE36" w14:textId="77777777" w:rsidR="006A782B" w:rsidRPr="00DD35DD" w:rsidRDefault="006A782B" w:rsidP="006A782B">
      <w:pPr>
        <w:pStyle w:val="EndnoteText"/>
        <w:numPr>
          <w:ilvl w:val="0"/>
          <w:numId w:val="16"/>
        </w:numPr>
        <w:ind w:left="714" w:hanging="357"/>
        <w:contextualSpacing/>
        <w:rPr>
          <w:sz w:val="18"/>
          <w:szCs w:val="18"/>
        </w:rPr>
      </w:pPr>
      <w:proofErr w:type="gramStart"/>
      <w:r>
        <w:rPr>
          <w:sz w:val="18"/>
          <w:szCs w:val="18"/>
        </w:rPr>
        <w:t>inclure</w:t>
      </w:r>
      <w:proofErr w:type="gramEnd"/>
      <w:r>
        <w:rPr>
          <w:sz w:val="18"/>
          <w:szCs w:val="18"/>
        </w:rPr>
        <w:t xml:space="preserve"> à la fois les organisations enregistrées et non enregistrées ;</w:t>
      </w:r>
    </w:p>
    <w:p w14:paraId="1192061E" w14:textId="44A6AC71" w:rsidR="006A782B" w:rsidRPr="006A782B" w:rsidRDefault="006A782B" w:rsidP="00BE3D21">
      <w:pPr>
        <w:pStyle w:val="EndnoteText"/>
        <w:numPr>
          <w:ilvl w:val="0"/>
          <w:numId w:val="16"/>
        </w:numPr>
        <w:ind w:left="714" w:hanging="357"/>
        <w:contextualSpacing/>
      </w:pPr>
      <w:proofErr w:type="gramStart"/>
      <w:r>
        <w:rPr>
          <w:sz w:val="18"/>
          <w:szCs w:val="18"/>
        </w:rPr>
        <w:t>assurer</w:t>
      </w:r>
      <w:proofErr w:type="gramEnd"/>
      <w:r>
        <w:rPr>
          <w:sz w:val="18"/>
          <w:szCs w:val="18"/>
        </w:rPr>
        <w:t xml:space="preserve"> une </w:t>
      </w:r>
      <w:r w:rsidR="007A4262">
        <w:rPr>
          <w:sz w:val="18"/>
          <w:szCs w:val="18"/>
        </w:rPr>
        <w:t xml:space="preserve">participation </w:t>
      </w:r>
      <w:r>
        <w:rPr>
          <w:sz w:val="18"/>
          <w:szCs w:val="18"/>
        </w:rPr>
        <w:t xml:space="preserve">précoce et continue ; </w:t>
      </w:r>
    </w:p>
    <w:p w14:paraId="2DA1A514" w14:textId="6F32F947" w:rsidR="00AD73A8" w:rsidRDefault="006A782B" w:rsidP="00BE3D21">
      <w:pPr>
        <w:pStyle w:val="EndnoteText"/>
        <w:numPr>
          <w:ilvl w:val="0"/>
          <w:numId w:val="16"/>
        </w:numPr>
        <w:ind w:left="714" w:hanging="357"/>
        <w:contextualSpacing/>
      </w:pPr>
      <w:proofErr w:type="gramStart"/>
      <w:r>
        <w:rPr>
          <w:sz w:val="18"/>
          <w:szCs w:val="18"/>
        </w:rPr>
        <w:t>couvrir</w:t>
      </w:r>
      <w:proofErr w:type="gramEnd"/>
      <w:r>
        <w:rPr>
          <w:sz w:val="18"/>
          <w:szCs w:val="18"/>
        </w:rPr>
        <w:t xml:space="preserve"> les dépenses connexes des participants.</w:t>
      </w:r>
    </w:p>
  </w:endnote>
  <w:endnote w:id="6">
    <w:p w14:paraId="38B7B07B" w14:textId="49324736" w:rsidR="008506B4" w:rsidRDefault="008506B4">
      <w:pPr>
        <w:pStyle w:val="EndnoteText"/>
      </w:pPr>
      <w:r>
        <w:rPr>
          <w:rStyle w:val="EndnoteReference"/>
        </w:rPr>
        <w:endnoteRef/>
      </w:r>
      <w:r>
        <w:t xml:space="preserve"> </w:t>
      </w:r>
      <w:r>
        <w:rPr>
          <w:sz w:val="18"/>
          <w:szCs w:val="18"/>
        </w:rPr>
        <w:t xml:space="preserve">Voir le manuel pour guider les rapports sur le marqueur de politique du CAD de l'OCDE sur l'inclusion et l'autonomisation des </w:t>
      </w:r>
      <w:r w:rsidR="007A4262">
        <w:rPr>
          <w:sz w:val="18"/>
          <w:szCs w:val="18"/>
        </w:rPr>
        <w:t>personnes handicapées</w:t>
      </w:r>
      <w:r>
        <w:rPr>
          <w:sz w:val="18"/>
          <w:szCs w:val="18"/>
        </w:rPr>
        <w:t xml:space="preserve"> (à paraître).</w:t>
      </w:r>
    </w:p>
  </w:endnote>
  <w:endnote w:id="7">
    <w:p w14:paraId="50B6ABB8" w14:textId="28E2CC7E" w:rsidR="007A4262" w:rsidRDefault="009E44F2">
      <w:pPr>
        <w:pStyle w:val="EndnoteText"/>
        <w:rPr>
          <w:sz w:val="18"/>
          <w:szCs w:val="18"/>
        </w:rPr>
      </w:pPr>
      <w:r>
        <w:rPr>
          <w:rStyle w:val="EndnoteReference"/>
        </w:rPr>
        <w:endnoteRef/>
      </w:r>
      <w:r>
        <w:t xml:space="preserve"> </w:t>
      </w:r>
      <w:r>
        <w:rPr>
          <w:sz w:val="18"/>
          <w:szCs w:val="18"/>
        </w:rPr>
        <w:t>La formation devrait comprendre au minimum : l'approche du handicap fondée sur les droits de l'homme, la non-discrimination et la fourniture d'aménagements raisonnables, la conception universelle, l'accessibilité (y compris les informations et communications accessibles), et l'obligation de consulter étroitement et d</w:t>
      </w:r>
      <w:r w:rsidR="007A4262">
        <w:rPr>
          <w:sz w:val="18"/>
          <w:szCs w:val="18"/>
        </w:rPr>
        <w:t>e faire</w:t>
      </w:r>
      <w:r>
        <w:rPr>
          <w:sz w:val="18"/>
          <w:szCs w:val="18"/>
        </w:rPr>
        <w:t xml:space="preserve"> activement</w:t>
      </w:r>
      <w:r w:rsidR="007A4262">
        <w:rPr>
          <w:sz w:val="18"/>
          <w:szCs w:val="18"/>
        </w:rPr>
        <w:t xml:space="preserve"> participer</w:t>
      </w:r>
    </w:p>
    <w:p w14:paraId="6E64BF1A" w14:textId="1FCBCA81" w:rsidR="009E44F2" w:rsidRPr="009E44F2" w:rsidRDefault="009E44F2">
      <w:pPr>
        <w:pStyle w:val="EndnoteText"/>
      </w:pPr>
      <w:r>
        <w:rPr>
          <w:sz w:val="18"/>
          <w:szCs w:val="18"/>
        </w:rPr>
        <w:t xml:space="preserve"> </w:t>
      </w:r>
      <w:proofErr w:type="gramStart"/>
      <w:r>
        <w:rPr>
          <w:sz w:val="18"/>
          <w:szCs w:val="18"/>
        </w:rPr>
        <w:t>les</w:t>
      </w:r>
      <w:proofErr w:type="gramEnd"/>
      <w:r>
        <w:rPr>
          <w:sz w:val="18"/>
          <w:szCs w:val="18"/>
        </w:rPr>
        <w:t xml:space="preserve"> </w:t>
      </w:r>
      <w:r w:rsidR="007A4262">
        <w:rPr>
          <w:sz w:val="18"/>
          <w:szCs w:val="18"/>
        </w:rPr>
        <w:t>personnes handicapées</w:t>
      </w:r>
      <w:r>
        <w:rPr>
          <w:sz w:val="18"/>
          <w:szCs w:val="18"/>
        </w:rPr>
        <w:t xml:space="preserve"> et leurs organisations représentatives.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08B52" w14:textId="77777777" w:rsidR="004D4A9C" w:rsidRDefault="004D4A9C" w:rsidP="003C09E4">
      <w:pPr>
        <w:spacing w:after="0" w:line="240" w:lineRule="auto"/>
      </w:pPr>
      <w:r>
        <w:separator/>
      </w:r>
    </w:p>
  </w:footnote>
  <w:footnote w:type="continuationSeparator" w:id="0">
    <w:p w14:paraId="76798EE4" w14:textId="77777777" w:rsidR="004D4A9C" w:rsidRDefault="004D4A9C" w:rsidP="003C0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25D9"/>
    <w:multiLevelType w:val="multilevel"/>
    <w:tmpl w:val="522270DC"/>
    <w:lvl w:ilvl="0">
      <w:start w:val="3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C07929"/>
    <w:multiLevelType w:val="hybridMultilevel"/>
    <w:tmpl w:val="3F503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61E75"/>
    <w:multiLevelType w:val="hybridMultilevel"/>
    <w:tmpl w:val="3F503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9F034D"/>
    <w:multiLevelType w:val="hybridMultilevel"/>
    <w:tmpl w:val="7D00069A"/>
    <w:lvl w:ilvl="0" w:tplc="FA4856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A792A18"/>
    <w:multiLevelType w:val="hybridMultilevel"/>
    <w:tmpl w:val="3F503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AF320B"/>
    <w:multiLevelType w:val="multilevel"/>
    <w:tmpl w:val="26DC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950F40"/>
    <w:multiLevelType w:val="hybridMultilevel"/>
    <w:tmpl w:val="65807996"/>
    <w:lvl w:ilvl="0" w:tplc="6624FBF4">
      <w:start w:val="7"/>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6E6256"/>
    <w:multiLevelType w:val="hybridMultilevel"/>
    <w:tmpl w:val="E508E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F367A2"/>
    <w:multiLevelType w:val="hybridMultilevel"/>
    <w:tmpl w:val="113A44A2"/>
    <w:lvl w:ilvl="0" w:tplc="F8822EA6">
      <w:start w:val="7"/>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1D7AC6"/>
    <w:multiLevelType w:val="multilevel"/>
    <w:tmpl w:val="8BDA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0663E5"/>
    <w:multiLevelType w:val="hybridMultilevel"/>
    <w:tmpl w:val="A996826E"/>
    <w:lvl w:ilvl="0" w:tplc="FA4856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8930F6"/>
    <w:multiLevelType w:val="hybridMultilevel"/>
    <w:tmpl w:val="3A100A9A"/>
    <w:lvl w:ilvl="0" w:tplc="65666EDC">
      <w:start w:val="16"/>
      <w:numFmt w:val="bullet"/>
      <w:lvlText w:val="-"/>
      <w:lvlJc w:val="left"/>
      <w:pPr>
        <w:ind w:left="720" w:hanging="360"/>
      </w:pPr>
      <w:rPr>
        <w:rFonts w:ascii="Calibri" w:eastAsiaTheme="minorHAnsi" w:hAnsi="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003F10"/>
    <w:multiLevelType w:val="multilevel"/>
    <w:tmpl w:val="187EFCA6"/>
    <w:lvl w:ilvl="0">
      <w:start w:val="3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ADE5DB0"/>
    <w:multiLevelType w:val="hybridMultilevel"/>
    <w:tmpl w:val="1C6CC8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BD6ED2"/>
    <w:multiLevelType w:val="hybridMultilevel"/>
    <w:tmpl w:val="ABB84E9A"/>
    <w:lvl w:ilvl="0" w:tplc="2104F640">
      <w:start w:val="7"/>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
  </w:num>
  <w:num w:numId="4">
    <w:abstractNumId w:val="5"/>
  </w:num>
  <w:num w:numId="5">
    <w:abstractNumId w:val="2"/>
  </w:num>
  <w:num w:numId="6">
    <w:abstractNumId w:val="8"/>
  </w:num>
  <w:num w:numId="7">
    <w:abstractNumId w:val="17"/>
  </w:num>
  <w:num w:numId="8">
    <w:abstractNumId w:val="9"/>
  </w:num>
  <w:num w:numId="9">
    <w:abstractNumId w:val="7"/>
  </w:num>
  <w:num w:numId="10">
    <w:abstractNumId w:val="12"/>
  </w:num>
  <w:num w:numId="11">
    <w:abstractNumId w:val="11"/>
  </w:num>
  <w:num w:numId="12">
    <w:abstractNumId w:val="3"/>
  </w:num>
  <w:num w:numId="13">
    <w:abstractNumId w:val="14"/>
  </w:num>
  <w:num w:numId="14">
    <w:abstractNumId w:val="0"/>
  </w:num>
  <w:num w:numId="15">
    <w:abstractNumId w:val="15"/>
  </w:num>
  <w:num w:numId="16">
    <w:abstractNumId w:val="16"/>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B1"/>
    <w:rsid w:val="000214DE"/>
    <w:rsid w:val="000303EE"/>
    <w:rsid w:val="00031AAE"/>
    <w:rsid w:val="00033354"/>
    <w:rsid w:val="00074466"/>
    <w:rsid w:val="000766E1"/>
    <w:rsid w:val="00082669"/>
    <w:rsid w:val="000A24D3"/>
    <w:rsid w:val="000A6A0F"/>
    <w:rsid w:val="000F3537"/>
    <w:rsid w:val="000F7E9B"/>
    <w:rsid w:val="00106EAF"/>
    <w:rsid w:val="001154E8"/>
    <w:rsid w:val="001164DA"/>
    <w:rsid w:val="00132CF7"/>
    <w:rsid w:val="00192F98"/>
    <w:rsid w:val="00194F3B"/>
    <w:rsid w:val="001E75D9"/>
    <w:rsid w:val="00203756"/>
    <w:rsid w:val="00234D28"/>
    <w:rsid w:val="002407AD"/>
    <w:rsid w:val="00264733"/>
    <w:rsid w:val="00294186"/>
    <w:rsid w:val="002967CE"/>
    <w:rsid w:val="002A128B"/>
    <w:rsid w:val="002A454C"/>
    <w:rsid w:val="002D2117"/>
    <w:rsid w:val="002D2F13"/>
    <w:rsid w:val="002E3EB5"/>
    <w:rsid w:val="00325325"/>
    <w:rsid w:val="00330F05"/>
    <w:rsid w:val="003473FA"/>
    <w:rsid w:val="00350DAF"/>
    <w:rsid w:val="003759C9"/>
    <w:rsid w:val="00386E4F"/>
    <w:rsid w:val="00396AA6"/>
    <w:rsid w:val="003B1FB1"/>
    <w:rsid w:val="003C09E4"/>
    <w:rsid w:val="003E2C1F"/>
    <w:rsid w:val="00455027"/>
    <w:rsid w:val="004B3925"/>
    <w:rsid w:val="004D4A9C"/>
    <w:rsid w:val="004E157F"/>
    <w:rsid w:val="004F31D7"/>
    <w:rsid w:val="005045F6"/>
    <w:rsid w:val="0053400E"/>
    <w:rsid w:val="00537330"/>
    <w:rsid w:val="00545CB4"/>
    <w:rsid w:val="00545D26"/>
    <w:rsid w:val="0057343B"/>
    <w:rsid w:val="005E00BD"/>
    <w:rsid w:val="005E0A88"/>
    <w:rsid w:val="00637E08"/>
    <w:rsid w:val="006530A8"/>
    <w:rsid w:val="006748A3"/>
    <w:rsid w:val="006776EE"/>
    <w:rsid w:val="006852E6"/>
    <w:rsid w:val="0069322B"/>
    <w:rsid w:val="006A782B"/>
    <w:rsid w:val="006B323B"/>
    <w:rsid w:val="006B5CDD"/>
    <w:rsid w:val="006D1B7D"/>
    <w:rsid w:val="007012B3"/>
    <w:rsid w:val="0072115F"/>
    <w:rsid w:val="0073399F"/>
    <w:rsid w:val="00756106"/>
    <w:rsid w:val="00757F66"/>
    <w:rsid w:val="00786018"/>
    <w:rsid w:val="007A4262"/>
    <w:rsid w:val="007B171A"/>
    <w:rsid w:val="007F68D9"/>
    <w:rsid w:val="00806BA9"/>
    <w:rsid w:val="00827DC0"/>
    <w:rsid w:val="00833CED"/>
    <w:rsid w:val="0083436E"/>
    <w:rsid w:val="008506B4"/>
    <w:rsid w:val="00876D44"/>
    <w:rsid w:val="0087791A"/>
    <w:rsid w:val="0088106C"/>
    <w:rsid w:val="008909A1"/>
    <w:rsid w:val="00894880"/>
    <w:rsid w:val="008B0CB1"/>
    <w:rsid w:val="008B5838"/>
    <w:rsid w:val="008F285F"/>
    <w:rsid w:val="00925CC4"/>
    <w:rsid w:val="009302FC"/>
    <w:rsid w:val="0094011A"/>
    <w:rsid w:val="0094106E"/>
    <w:rsid w:val="00996A8C"/>
    <w:rsid w:val="009C3CA9"/>
    <w:rsid w:val="009C7ECE"/>
    <w:rsid w:val="009E44F2"/>
    <w:rsid w:val="009F01D4"/>
    <w:rsid w:val="009F174D"/>
    <w:rsid w:val="009F5D44"/>
    <w:rsid w:val="009F6E73"/>
    <w:rsid w:val="00A025C2"/>
    <w:rsid w:val="00A54E5F"/>
    <w:rsid w:val="00A671A7"/>
    <w:rsid w:val="00A90601"/>
    <w:rsid w:val="00A92E73"/>
    <w:rsid w:val="00A94A11"/>
    <w:rsid w:val="00AA029D"/>
    <w:rsid w:val="00AA46E0"/>
    <w:rsid w:val="00AA55F2"/>
    <w:rsid w:val="00AB2251"/>
    <w:rsid w:val="00AD2B95"/>
    <w:rsid w:val="00AD73A8"/>
    <w:rsid w:val="00AE5F53"/>
    <w:rsid w:val="00B21D77"/>
    <w:rsid w:val="00B270DC"/>
    <w:rsid w:val="00B508DC"/>
    <w:rsid w:val="00B64931"/>
    <w:rsid w:val="00B939AD"/>
    <w:rsid w:val="00BA4EE6"/>
    <w:rsid w:val="00BB3256"/>
    <w:rsid w:val="00BC212B"/>
    <w:rsid w:val="00BD7804"/>
    <w:rsid w:val="00BE167D"/>
    <w:rsid w:val="00BF7F04"/>
    <w:rsid w:val="00C03146"/>
    <w:rsid w:val="00C039A9"/>
    <w:rsid w:val="00C15344"/>
    <w:rsid w:val="00C57960"/>
    <w:rsid w:val="00C60281"/>
    <w:rsid w:val="00C87DD1"/>
    <w:rsid w:val="00CA0E70"/>
    <w:rsid w:val="00CA7793"/>
    <w:rsid w:val="00CC46E7"/>
    <w:rsid w:val="00CC61DC"/>
    <w:rsid w:val="00CD30B0"/>
    <w:rsid w:val="00CD4A14"/>
    <w:rsid w:val="00CF0392"/>
    <w:rsid w:val="00D122B9"/>
    <w:rsid w:val="00D2370B"/>
    <w:rsid w:val="00D5063A"/>
    <w:rsid w:val="00D5273E"/>
    <w:rsid w:val="00D73603"/>
    <w:rsid w:val="00D816A4"/>
    <w:rsid w:val="00DB59B7"/>
    <w:rsid w:val="00DD4E39"/>
    <w:rsid w:val="00DD7A35"/>
    <w:rsid w:val="00E617DB"/>
    <w:rsid w:val="00E72B46"/>
    <w:rsid w:val="00E81934"/>
    <w:rsid w:val="00E97C99"/>
    <w:rsid w:val="00EA3DBD"/>
    <w:rsid w:val="00ED78A4"/>
    <w:rsid w:val="00F03BA6"/>
    <w:rsid w:val="00F1407F"/>
    <w:rsid w:val="00F32EF3"/>
    <w:rsid w:val="00F37E8A"/>
    <w:rsid w:val="00F5449B"/>
    <w:rsid w:val="00F63625"/>
    <w:rsid w:val="00F801AA"/>
    <w:rsid w:val="00FE5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302C"/>
  <w14:defaultImageDpi w14:val="32767"/>
  <w15:chartTrackingRefBased/>
  <w15:docId w15:val="{78408024-FE89-F346-9067-027EDDF5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F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FB1"/>
    <w:pPr>
      <w:ind w:left="720"/>
      <w:contextualSpacing/>
    </w:pPr>
  </w:style>
  <w:style w:type="table" w:styleId="TableGrid">
    <w:name w:val="Table Grid"/>
    <w:basedOn w:val="TableNormal"/>
    <w:uiPriority w:val="39"/>
    <w:rsid w:val="003B1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C09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09E4"/>
    <w:rPr>
      <w:sz w:val="20"/>
      <w:szCs w:val="20"/>
      <w:lang w:val="fr-FR"/>
    </w:rPr>
  </w:style>
  <w:style w:type="character" w:styleId="FootnoteReference">
    <w:name w:val="footnote reference"/>
    <w:basedOn w:val="DefaultParagraphFont"/>
    <w:uiPriority w:val="99"/>
    <w:semiHidden/>
    <w:unhideWhenUsed/>
    <w:rsid w:val="003C09E4"/>
    <w:rPr>
      <w:vertAlign w:val="superscript"/>
    </w:rPr>
  </w:style>
  <w:style w:type="paragraph" w:styleId="BalloonText">
    <w:name w:val="Balloon Text"/>
    <w:basedOn w:val="Normal"/>
    <w:link w:val="BalloonTextChar"/>
    <w:uiPriority w:val="99"/>
    <w:semiHidden/>
    <w:unhideWhenUsed/>
    <w:rsid w:val="003E2C1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2C1F"/>
    <w:rPr>
      <w:rFonts w:ascii="Times New Roman" w:hAnsi="Times New Roman" w:cs="Times New Roman"/>
      <w:sz w:val="18"/>
      <w:szCs w:val="18"/>
      <w:lang w:val="fr-FR"/>
    </w:rPr>
  </w:style>
  <w:style w:type="character" w:styleId="CommentReference">
    <w:name w:val="annotation reference"/>
    <w:basedOn w:val="DefaultParagraphFont"/>
    <w:uiPriority w:val="99"/>
    <w:semiHidden/>
    <w:unhideWhenUsed/>
    <w:rsid w:val="003E2C1F"/>
    <w:rPr>
      <w:sz w:val="16"/>
      <w:szCs w:val="16"/>
    </w:rPr>
  </w:style>
  <w:style w:type="paragraph" w:styleId="CommentText">
    <w:name w:val="annotation text"/>
    <w:basedOn w:val="Normal"/>
    <w:link w:val="CommentTextChar"/>
    <w:uiPriority w:val="99"/>
    <w:unhideWhenUsed/>
    <w:rsid w:val="003E2C1F"/>
    <w:pPr>
      <w:spacing w:line="240" w:lineRule="auto"/>
    </w:pPr>
    <w:rPr>
      <w:sz w:val="20"/>
      <w:szCs w:val="20"/>
    </w:rPr>
  </w:style>
  <w:style w:type="character" w:customStyle="1" w:styleId="CommentTextChar">
    <w:name w:val="Comment Text Char"/>
    <w:basedOn w:val="DefaultParagraphFont"/>
    <w:link w:val="CommentText"/>
    <w:uiPriority w:val="99"/>
    <w:rsid w:val="003E2C1F"/>
    <w:rPr>
      <w:sz w:val="20"/>
      <w:szCs w:val="20"/>
      <w:lang w:val="fr-FR"/>
    </w:rPr>
  </w:style>
  <w:style w:type="paragraph" w:styleId="CommentSubject">
    <w:name w:val="annotation subject"/>
    <w:basedOn w:val="CommentText"/>
    <w:next w:val="CommentText"/>
    <w:link w:val="CommentSubjectChar"/>
    <w:uiPriority w:val="99"/>
    <w:semiHidden/>
    <w:unhideWhenUsed/>
    <w:rsid w:val="003E2C1F"/>
    <w:rPr>
      <w:b/>
      <w:bCs/>
    </w:rPr>
  </w:style>
  <w:style w:type="character" w:customStyle="1" w:styleId="CommentSubjectChar">
    <w:name w:val="Comment Subject Char"/>
    <w:basedOn w:val="CommentTextChar"/>
    <w:link w:val="CommentSubject"/>
    <w:uiPriority w:val="99"/>
    <w:semiHidden/>
    <w:rsid w:val="003E2C1F"/>
    <w:rPr>
      <w:b/>
      <w:bCs/>
      <w:sz w:val="20"/>
      <w:szCs w:val="20"/>
      <w:lang w:val="fr-FR"/>
    </w:rPr>
  </w:style>
  <w:style w:type="paragraph" w:styleId="Revision">
    <w:name w:val="Revision"/>
    <w:hidden/>
    <w:uiPriority w:val="99"/>
    <w:semiHidden/>
    <w:rsid w:val="00D816A4"/>
    <w:rPr>
      <w:sz w:val="22"/>
      <w:szCs w:val="22"/>
    </w:rPr>
  </w:style>
  <w:style w:type="paragraph" w:styleId="EndnoteText">
    <w:name w:val="endnote text"/>
    <w:basedOn w:val="Normal"/>
    <w:link w:val="EndnoteTextChar"/>
    <w:uiPriority w:val="99"/>
    <w:unhideWhenUsed/>
    <w:rsid w:val="00CA7793"/>
    <w:pPr>
      <w:spacing w:after="0" w:line="240" w:lineRule="auto"/>
    </w:pPr>
    <w:rPr>
      <w:sz w:val="20"/>
      <w:szCs w:val="20"/>
    </w:rPr>
  </w:style>
  <w:style w:type="character" w:customStyle="1" w:styleId="EndnoteTextChar">
    <w:name w:val="Endnote Text Char"/>
    <w:basedOn w:val="DefaultParagraphFont"/>
    <w:link w:val="EndnoteText"/>
    <w:uiPriority w:val="99"/>
    <w:rsid w:val="00CA7793"/>
    <w:rPr>
      <w:sz w:val="20"/>
      <w:szCs w:val="20"/>
      <w:lang w:val="fr-FR"/>
    </w:rPr>
  </w:style>
  <w:style w:type="character" w:styleId="EndnoteReference">
    <w:name w:val="endnote reference"/>
    <w:basedOn w:val="DefaultParagraphFont"/>
    <w:uiPriority w:val="99"/>
    <w:unhideWhenUsed/>
    <w:rsid w:val="00CA7793"/>
    <w:rPr>
      <w:vertAlign w:val="superscript"/>
    </w:rPr>
  </w:style>
  <w:style w:type="character" w:styleId="Strong">
    <w:name w:val="Strong"/>
    <w:basedOn w:val="DefaultParagraphFont"/>
    <w:uiPriority w:val="22"/>
    <w:qFormat/>
    <w:rsid w:val="00ED78A4"/>
    <w:rPr>
      <w:b/>
      <w:bCs/>
    </w:rPr>
  </w:style>
  <w:style w:type="paragraph" w:styleId="NormalWeb">
    <w:name w:val="Normal (Web)"/>
    <w:basedOn w:val="Normal"/>
    <w:uiPriority w:val="99"/>
    <w:semiHidden/>
    <w:unhideWhenUsed/>
    <w:rsid w:val="00ED78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E5B27"/>
    <w:rPr>
      <w:color w:val="0563C1" w:themeColor="hyperlink"/>
      <w:u w:val="single"/>
    </w:rPr>
  </w:style>
  <w:style w:type="character" w:styleId="FollowedHyperlink">
    <w:name w:val="FollowedHyperlink"/>
    <w:basedOn w:val="DefaultParagraphFont"/>
    <w:uiPriority w:val="99"/>
    <w:semiHidden/>
    <w:unhideWhenUsed/>
    <w:rsid w:val="009E44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43583">
      <w:bodyDiv w:val="1"/>
      <w:marLeft w:val="0"/>
      <w:marRight w:val="0"/>
      <w:marTop w:val="0"/>
      <w:marBottom w:val="0"/>
      <w:divBdr>
        <w:top w:val="none" w:sz="0" w:space="0" w:color="auto"/>
        <w:left w:val="none" w:sz="0" w:space="0" w:color="auto"/>
        <w:bottom w:val="none" w:sz="0" w:space="0" w:color="auto"/>
        <w:right w:val="none" w:sz="0" w:space="0" w:color="auto"/>
      </w:divBdr>
    </w:div>
    <w:div w:id="1644038677">
      <w:bodyDiv w:val="1"/>
      <w:marLeft w:val="0"/>
      <w:marRight w:val="0"/>
      <w:marTop w:val="0"/>
      <w:marBottom w:val="0"/>
      <w:divBdr>
        <w:top w:val="none" w:sz="0" w:space="0" w:color="auto"/>
        <w:left w:val="none" w:sz="0" w:space="0" w:color="auto"/>
        <w:bottom w:val="none" w:sz="0" w:space="0" w:color="auto"/>
        <w:right w:val="none" w:sz="0" w:space="0" w:color="auto"/>
      </w:divBdr>
    </w:div>
    <w:div w:id="1692603216">
      <w:bodyDiv w:val="1"/>
      <w:marLeft w:val="0"/>
      <w:marRight w:val="0"/>
      <w:marTop w:val="0"/>
      <w:marBottom w:val="0"/>
      <w:divBdr>
        <w:top w:val="none" w:sz="0" w:space="0" w:color="auto"/>
        <w:left w:val="none" w:sz="0" w:space="0" w:color="auto"/>
        <w:bottom w:val="none" w:sz="0" w:space="0" w:color="auto"/>
        <w:right w:val="none" w:sz="0" w:space="0" w:color="auto"/>
      </w:divBdr>
      <w:divsChild>
        <w:div w:id="1866676999">
          <w:marLeft w:val="0"/>
          <w:marRight w:val="0"/>
          <w:marTop w:val="0"/>
          <w:marBottom w:val="0"/>
          <w:divBdr>
            <w:top w:val="none" w:sz="0" w:space="0" w:color="auto"/>
            <w:left w:val="none" w:sz="0" w:space="0" w:color="auto"/>
            <w:bottom w:val="none" w:sz="0" w:space="0" w:color="auto"/>
            <w:right w:val="none" w:sz="0" w:space="0" w:color="auto"/>
          </w:divBdr>
        </w:div>
        <w:div w:id="620385372">
          <w:marLeft w:val="0"/>
          <w:marRight w:val="0"/>
          <w:marTop w:val="0"/>
          <w:marBottom w:val="0"/>
          <w:divBdr>
            <w:top w:val="none" w:sz="0" w:space="0" w:color="auto"/>
            <w:left w:val="none" w:sz="0" w:space="0" w:color="auto"/>
            <w:bottom w:val="none" w:sz="0" w:space="0" w:color="auto"/>
            <w:right w:val="none" w:sz="0" w:space="0" w:color="auto"/>
          </w:divBdr>
        </w:div>
      </w:divsChild>
    </w:div>
    <w:div w:id="20695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www.oecd.org/dac/gender-development/dac-gender-equality-marker.htm" TargetMode="External"/><Relationship Id="rId1" Type="http://schemas.openxmlformats.org/officeDocument/2006/relationships/hyperlink" Target="http://www.oecd.org/officialdocuments/publicdisplaydocumentpdf/?cote=DCD/DAC/STAT/RD(2019)1/RD1&amp;doc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3F68D-A0E7-47AC-BF40-CD7B8169994D}"/>
</file>

<file path=customXml/itemProps2.xml><?xml version="1.0" encoding="utf-8"?>
<ds:datastoreItem xmlns:ds="http://schemas.openxmlformats.org/officeDocument/2006/customXml" ds:itemID="{421F6D5E-11CE-41BF-A5AC-E08B69A53570}">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3.xml><?xml version="1.0" encoding="utf-8"?>
<ds:datastoreItem xmlns:ds="http://schemas.openxmlformats.org/officeDocument/2006/customXml" ds:itemID="{42A93CC7-F001-44F9-A05C-A249DF01C940}">
  <ds:schemaRefs>
    <ds:schemaRef ds:uri="http://schemas.microsoft.com/sharepoint/v3/contenttype/forms"/>
  </ds:schemaRefs>
</ds:datastoreItem>
</file>

<file path=customXml/itemProps4.xml><?xml version="1.0" encoding="utf-8"?>
<ds:datastoreItem xmlns:ds="http://schemas.openxmlformats.org/officeDocument/2006/customXml" ds:itemID="{6208DB92-9AC7-4190-8136-8D3EE5F5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2</cp:revision>
  <dcterms:created xsi:type="dcterms:W3CDTF">2020-08-24T16:11:00Z</dcterms:created>
  <dcterms:modified xsi:type="dcterms:W3CDTF">2020-08-24T16:11:00Z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