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Spec="center" w:tblpY="-42"/>
        <w:tblW w:w="15262" w:type="dxa"/>
        <w:tblLayout w:type="fixed"/>
        <w:tblLook w:val="04A0" w:firstRow="1" w:lastRow="0" w:firstColumn="1" w:lastColumn="0" w:noHBand="0" w:noVBand="1"/>
      </w:tblPr>
      <w:tblGrid>
        <w:gridCol w:w="1274"/>
        <w:gridCol w:w="4958"/>
        <w:gridCol w:w="4685"/>
        <w:gridCol w:w="4345"/>
      </w:tblGrid>
      <w:tr w:rsidR="00AD3349" w:rsidRPr="00203E7D" w14:paraId="67C66155" w14:textId="77777777" w:rsidTr="00D40BFA">
        <w:tc>
          <w:tcPr>
            <w:tcW w:w="15262" w:type="dxa"/>
            <w:gridSpan w:val="4"/>
            <w:shd w:val="clear" w:color="auto" w:fill="BFBFBF" w:themeFill="background1" w:themeFillShade="BF"/>
          </w:tcPr>
          <w:p w14:paraId="501F9C92" w14:textId="539DF80A" w:rsidR="0065051C" w:rsidRPr="00B22BD0" w:rsidRDefault="007F3FE6" w:rsidP="009B4ED3">
            <w:pPr>
              <w:jc w:val="center"/>
              <w:rPr>
                <w:rFonts w:cstheme="minorHAnsi"/>
                <w:b/>
                <w:sz w:val="20"/>
                <w:szCs w:val="20"/>
              </w:rPr>
            </w:pPr>
            <w:r>
              <w:rPr>
                <w:b/>
                <w:sz w:val="20"/>
                <w:szCs w:val="20"/>
              </w:rPr>
              <w:t>Article 5 - Liste d'indicateurs illustratifs sur l'égalité en matière de non-discrimination</w:t>
            </w:r>
          </w:p>
        </w:tc>
      </w:tr>
      <w:tr w:rsidR="00AD3349" w:rsidRPr="00203E7D" w14:paraId="1113D4A1" w14:textId="77777777" w:rsidTr="00D40BFA">
        <w:tc>
          <w:tcPr>
            <w:tcW w:w="15262" w:type="dxa"/>
            <w:gridSpan w:val="4"/>
            <w:shd w:val="clear" w:color="auto" w:fill="auto"/>
          </w:tcPr>
          <w:p w14:paraId="4090E0FB" w14:textId="7EADF855" w:rsidR="0065051C" w:rsidRPr="00B22BD0" w:rsidRDefault="007F3FE6" w:rsidP="006655EC">
            <w:pPr>
              <w:jc w:val="center"/>
              <w:rPr>
                <w:b/>
                <w:sz w:val="20"/>
                <w:szCs w:val="20"/>
              </w:rPr>
            </w:pPr>
            <w:r>
              <w:rPr>
                <w:b/>
                <w:sz w:val="20"/>
                <w:szCs w:val="20"/>
              </w:rPr>
              <w:t>Droit à l'égalité et à la non-discrimination*</w:t>
            </w:r>
          </w:p>
        </w:tc>
      </w:tr>
      <w:tr w:rsidR="00A710D7" w:rsidRPr="00203E7D" w14:paraId="10FDE2E4" w14:textId="77777777" w:rsidTr="00B42511">
        <w:tc>
          <w:tcPr>
            <w:tcW w:w="1274" w:type="dxa"/>
            <w:shd w:val="clear" w:color="auto" w:fill="auto"/>
          </w:tcPr>
          <w:p w14:paraId="40D0D6FD" w14:textId="77777777" w:rsidR="0065051C" w:rsidRPr="00B22BD0" w:rsidRDefault="0065051C" w:rsidP="009B4ED3">
            <w:pPr>
              <w:jc w:val="center"/>
              <w:rPr>
                <w:b/>
                <w:sz w:val="20"/>
                <w:szCs w:val="20"/>
              </w:rPr>
            </w:pPr>
            <w:r>
              <w:rPr>
                <w:b/>
                <w:sz w:val="20"/>
                <w:szCs w:val="20"/>
              </w:rPr>
              <w:t>Attributs/</w:t>
            </w:r>
          </w:p>
          <w:p w14:paraId="26D49216" w14:textId="77777777" w:rsidR="0065051C" w:rsidRPr="00B22BD0" w:rsidRDefault="0065051C" w:rsidP="009B4ED3">
            <w:pPr>
              <w:jc w:val="center"/>
              <w:rPr>
                <w:b/>
                <w:sz w:val="20"/>
                <w:szCs w:val="20"/>
              </w:rPr>
            </w:pPr>
            <w:r>
              <w:rPr>
                <w:b/>
                <w:sz w:val="20"/>
                <w:szCs w:val="20"/>
              </w:rPr>
              <w:t>Indicateurs</w:t>
            </w:r>
          </w:p>
        </w:tc>
        <w:tc>
          <w:tcPr>
            <w:tcW w:w="4958" w:type="dxa"/>
            <w:shd w:val="clear" w:color="auto" w:fill="auto"/>
          </w:tcPr>
          <w:p w14:paraId="43F5183B" w14:textId="48B59E92" w:rsidR="0065051C" w:rsidRPr="00D44C26" w:rsidRDefault="00D44C26" w:rsidP="009B4ED3">
            <w:pPr>
              <w:jc w:val="center"/>
              <w:rPr>
                <w:b/>
                <w:sz w:val="20"/>
                <w:szCs w:val="20"/>
              </w:rPr>
            </w:pPr>
            <w:r>
              <w:rPr>
                <w:b/>
                <w:sz w:val="20"/>
                <w:szCs w:val="20"/>
              </w:rPr>
              <w:t>Égalité et protection contre la discrimination (fondée sur le handicap et autres)</w:t>
            </w:r>
          </w:p>
        </w:tc>
        <w:tc>
          <w:tcPr>
            <w:tcW w:w="4685" w:type="dxa"/>
            <w:shd w:val="clear" w:color="auto" w:fill="auto"/>
          </w:tcPr>
          <w:p w14:paraId="2CAF58CA" w14:textId="5F98BFB9" w:rsidR="0065051C" w:rsidRPr="00B22BD0" w:rsidRDefault="00F33074" w:rsidP="009B4ED3">
            <w:pPr>
              <w:jc w:val="center"/>
              <w:rPr>
                <w:b/>
                <w:sz w:val="20"/>
                <w:szCs w:val="20"/>
              </w:rPr>
            </w:pPr>
            <w:r>
              <w:rPr>
                <w:b/>
                <w:sz w:val="20"/>
                <w:szCs w:val="20"/>
              </w:rPr>
              <w:t>Fournir</w:t>
            </w:r>
            <w:r w:rsidR="00D44C26">
              <w:rPr>
                <w:b/>
                <w:sz w:val="20"/>
                <w:szCs w:val="20"/>
              </w:rPr>
              <w:t xml:space="preserve"> d'aménagements raisonnables</w:t>
            </w:r>
          </w:p>
        </w:tc>
        <w:tc>
          <w:tcPr>
            <w:tcW w:w="4345" w:type="dxa"/>
            <w:shd w:val="clear" w:color="auto" w:fill="auto"/>
          </w:tcPr>
          <w:p w14:paraId="5DEE108D" w14:textId="67109CD2" w:rsidR="0065051C" w:rsidRPr="00B22BD0" w:rsidRDefault="00D44C26" w:rsidP="009B4ED3">
            <w:pPr>
              <w:jc w:val="center"/>
              <w:rPr>
                <w:b/>
                <w:sz w:val="20"/>
                <w:szCs w:val="20"/>
              </w:rPr>
            </w:pPr>
            <w:r>
              <w:rPr>
                <w:b/>
                <w:sz w:val="20"/>
                <w:szCs w:val="20"/>
              </w:rPr>
              <w:t>Mesures spécifiques pour atteindre l'égalité de facto</w:t>
            </w:r>
          </w:p>
        </w:tc>
      </w:tr>
      <w:tr w:rsidR="00337F57" w:rsidRPr="00203E7D" w14:paraId="4ECE9922" w14:textId="77777777" w:rsidTr="00D40BFA">
        <w:trPr>
          <w:trHeight w:val="699"/>
        </w:trPr>
        <w:tc>
          <w:tcPr>
            <w:tcW w:w="1274" w:type="dxa"/>
            <w:vMerge w:val="restart"/>
            <w:shd w:val="clear" w:color="auto" w:fill="auto"/>
          </w:tcPr>
          <w:p w14:paraId="76F60D5B" w14:textId="77777777" w:rsidR="00337F57" w:rsidRPr="00B22BD0" w:rsidRDefault="00337F57" w:rsidP="009B4ED3">
            <w:pPr>
              <w:pStyle w:val="ListParagraph"/>
              <w:ind w:left="0"/>
              <w:rPr>
                <w:rFonts w:cstheme="minorHAnsi"/>
                <w:b/>
                <w:sz w:val="20"/>
                <w:szCs w:val="20"/>
              </w:rPr>
            </w:pPr>
            <w:r>
              <w:rPr>
                <w:b/>
                <w:sz w:val="20"/>
                <w:szCs w:val="20"/>
              </w:rPr>
              <w:t>Structure</w:t>
            </w:r>
          </w:p>
        </w:tc>
        <w:tc>
          <w:tcPr>
            <w:tcW w:w="13988" w:type="dxa"/>
            <w:gridSpan w:val="3"/>
            <w:shd w:val="clear" w:color="auto" w:fill="auto"/>
          </w:tcPr>
          <w:p w14:paraId="7605E775" w14:textId="733319A1" w:rsidR="009B4ED3" w:rsidRPr="007839DB" w:rsidRDefault="00337F57" w:rsidP="00933B61">
            <w:pPr>
              <w:jc w:val="both"/>
              <w:rPr>
                <w:rFonts w:cstheme="minorHAnsi"/>
                <w:sz w:val="18"/>
                <w:szCs w:val="18"/>
              </w:rPr>
            </w:pPr>
            <w:r>
              <w:rPr>
                <w:sz w:val="18"/>
                <w:szCs w:val="18"/>
              </w:rPr>
              <w:t xml:space="preserve">5.1 Adoption de dispositions constitutionnelles nationales et promulgation d'une législation reconnaissant le droit à l'égalité et à la non-discrimination des </w:t>
            </w:r>
            <w:r w:rsidR="0043208C">
              <w:rPr>
                <w:sz w:val="18"/>
                <w:szCs w:val="18"/>
              </w:rPr>
              <w:t>personnes handicapées</w:t>
            </w:r>
            <w:r>
              <w:rPr>
                <w:sz w:val="18"/>
                <w:szCs w:val="18"/>
              </w:rPr>
              <w:t>, y compris le droit de bénéficier d'aménagements raisonnables et l'obligation d'adopter des mesures spécifiques pour atteindre l'égalité de fait.</w:t>
            </w:r>
            <w:r w:rsidR="0040795E" w:rsidRPr="007839DB">
              <w:rPr>
                <w:rStyle w:val="EndnoteReference"/>
                <w:rFonts w:cstheme="minorHAnsi"/>
                <w:sz w:val="18"/>
                <w:szCs w:val="18"/>
              </w:rPr>
              <w:endnoteReference w:id="1"/>
            </w:r>
          </w:p>
          <w:p w14:paraId="659D39D7" w14:textId="72040C35" w:rsidR="00FE772E" w:rsidRPr="007839DB" w:rsidRDefault="0029020D" w:rsidP="0070754A">
            <w:pPr>
              <w:jc w:val="both"/>
              <w:rPr>
                <w:rFonts w:cstheme="minorHAnsi"/>
                <w:sz w:val="18"/>
                <w:szCs w:val="18"/>
              </w:rPr>
            </w:pPr>
            <w:r>
              <w:rPr>
                <w:sz w:val="18"/>
                <w:szCs w:val="18"/>
              </w:rPr>
              <w:t xml:space="preserve">5.2 Adoption d'une stratégie et/ou d'un plan national pour l'égalité de toutes les </w:t>
            </w:r>
            <w:r w:rsidR="0043208C">
              <w:rPr>
                <w:sz w:val="18"/>
                <w:szCs w:val="18"/>
              </w:rPr>
              <w:t>personnes handicapées</w:t>
            </w:r>
            <w:r>
              <w:rPr>
                <w:sz w:val="18"/>
                <w:szCs w:val="18"/>
              </w:rPr>
              <w:t>, en particulier des groupes les plus exposés à la discrimination.</w:t>
            </w:r>
            <w:r w:rsidR="0041244E" w:rsidRPr="007839DB">
              <w:rPr>
                <w:rStyle w:val="EndnoteReference"/>
                <w:rFonts w:cstheme="minorHAnsi"/>
                <w:sz w:val="18"/>
                <w:szCs w:val="18"/>
              </w:rPr>
              <w:endnoteReference w:id="2"/>
            </w:r>
          </w:p>
          <w:p w14:paraId="03476551" w14:textId="21549DF3" w:rsidR="00DE08D5" w:rsidRPr="007839DB" w:rsidRDefault="0029020D" w:rsidP="0070754A">
            <w:pPr>
              <w:jc w:val="both"/>
              <w:rPr>
                <w:rFonts w:cstheme="minorHAnsi"/>
                <w:sz w:val="18"/>
                <w:szCs w:val="18"/>
              </w:rPr>
            </w:pPr>
            <w:r>
              <w:rPr>
                <w:sz w:val="18"/>
                <w:szCs w:val="18"/>
              </w:rPr>
              <w:t>5.3 Obligation légale ou statutaire de collecter et de publier des données ventilées par handicap dans tous les secteurs (santé, emploi, éducation, violence, accès à la justice, participation politique, entre autres), y compris le taux d'inscription, le taux d'emploi, l'accès aux services de santé, les victimes de violence, plaintes pour discrimination déposées, etc.)</w:t>
            </w:r>
            <w:r w:rsidR="006655EC" w:rsidRPr="007839DB">
              <w:rPr>
                <w:rStyle w:val="EndnoteReference"/>
                <w:rFonts w:cstheme="minorHAnsi"/>
                <w:sz w:val="18"/>
                <w:szCs w:val="18"/>
              </w:rPr>
              <w:endnoteReference w:id="3"/>
            </w:r>
          </w:p>
          <w:p w14:paraId="3AD9C104" w14:textId="01C607A2" w:rsidR="00DE08D5" w:rsidRPr="007839DB" w:rsidRDefault="0029020D" w:rsidP="00A17EFE">
            <w:pPr>
              <w:jc w:val="both"/>
              <w:rPr>
                <w:rFonts w:cstheme="minorHAnsi"/>
                <w:sz w:val="18"/>
                <w:szCs w:val="18"/>
              </w:rPr>
            </w:pPr>
            <w:r>
              <w:rPr>
                <w:sz w:val="18"/>
                <w:szCs w:val="18"/>
              </w:rPr>
              <w:t xml:space="preserve">5.4 Obligation légale d'établir un marqueur sur toutes les dépenses publiques pour promouvoir et protéger les droits des </w:t>
            </w:r>
            <w:r w:rsidR="0043208C">
              <w:rPr>
                <w:sz w:val="18"/>
                <w:szCs w:val="18"/>
              </w:rPr>
              <w:t>personnes handicapées</w:t>
            </w:r>
            <w:r>
              <w:rPr>
                <w:sz w:val="18"/>
                <w:szCs w:val="18"/>
              </w:rPr>
              <w:t>.</w:t>
            </w:r>
          </w:p>
        </w:tc>
      </w:tr>
      <w:tr w:rsidR="00A710D7" w:rsidRPr="00203E7D" w14:paraId="482CC67A" w14:textId="77777777" w:rsidTr="00B42511">
        <w:trPr>
          <w:trHeight w:val="726"/>
        </w:trPr>
        <w:tc>
          <w:tcPr>
            <w:tcW w:w="1274" w:type="dxa"/>
            <w:vMerge/>
            <w:shd w:val="clear" w:color="auto" w:fill="auto"/>
          </w:tcPr>
          <w:p w14:paraId="5FF086B5" w14:textId="77777777" w:rsidR="00337F57" w:rsidRPr="00B22BD0" w:rsidRDefault="00337F57" w:rsidP="009B4ED3">
            <w:pPr>
              <w:pStyle w:val="ListParagraph"/>
              <w:ind w:left="0"/>
              <w:rPr>
                <w:rFonts w:cstheme="minorHAnsi"/>
                <w:b/>
                <w:sz w:val="20"/>
                <w:szCs w:val="20"/>
              </w:rPr>
            </w:pPr>
          </w:p>
        </w:tc>
        <w:tc>
          <w:tcPr>
            <w:tcW w:w="4958" w:type="dxa"/>
            <w:shd w:val="clear" w:color="auto" w:fill="auto"/>
          </w:tcPr>
          <w:p w14:paraId="0E58526A" w14:textId="0F3BD176" w:rsidR="00337F57" w:rsidRPr="007839DB" w:rsidRDefault="0029020D" w:rsidP="00147415">
            <w:pPr>
              <w:jc w:val="both"/>
              <w:rPr>
                <w:rFonts w:cstheme="minorHAnsi"/>
                <w:sz w:val="18"/>
                <w:szCs w:val="18"/>
              </w:rPr>
            </w:pPr>
            <w:r>
              <w:rPr>
                <w:color w:val="000000"/>
                <w:sz w:val="18"/>
                <w:szCs w:val="18"/>
              </w:rPr>
              <w:t>5.5 Législation thématique pertinente</w:t>
            </w:r>
            <w:r w:rsidR="003B4783" w:rsidRPr="007839DB">
              <w:rPr>
                <w:rStyle w:val="EndnoteReference"/>
                <w:rFonts w:cstheme="minorHAnsi"/>
                <w:color w:val="000000"/>
                <w:sz w:val="18"/>
                <w:szCs w:val="18"/>
              </w:rPr>
              <w:endnoteReference w:id="4"/>
            </w:r>
            <w:r>
              <w:rPr>
                <w:color w:val="000000"/>
                <w:sz w:val="18"/>
                <w:szCs w:val="18"/>
              </w:rPr>
              <w:t xml:space="preserve"> adoptée explicitement interdisant la discrimination fondée sur le handicap et prévoyant des recours juridiques pour toutes les formes de discrimination.</w:t>
            </w:r>
          </w:p>
        </w:tc>
        <w:tc>
          <w:tcPr>
            <w:tcW w:w="4685" w:type="dxa"/>
            <w:shd w:val="clear" w:color="auto" w:fill="auto"/>
          </w:tcPr>
          <w:p w14:paraId="6D5E770F" w14:textId="4689CAD6" w:rsidR="00337F57" w:rsidRPr="007839DB" w:rsidRDefault="00944490" w:rsidP="006655EC">
            <w:pPr>
              <w:jc w:val="both"/>
              <w:rPr>
                <w:rFonts w:cstheme="minorHAnsi"/>
                <w:sz w:val="18"/>
                <w:szCs w:val="18"/>
              </w:rPr>
            </w:pPr>
            <w:r>
              <w:rPr>
                <w:sz w:val="18"/>
                <w:szCs w:val="18"/>
              </w:rPr>
              <w:t xml:space="preserve">5.6 Thème/objectif spécifique dans la stratégie/le plan national pour l'égalité de toutes les </w:t>
            </w:r>
            <w:r w:rsidR="0043208C">
              <w:rPr>
                <w:sz w:val="18"/>
                <w:szCs w:val="18"/>
              </w:rPr>
              <w:t>personnes handicapées</w:t>
            </w:r>
            <w:r>
              <w:rPr>
                <w:sz w:val="18"/>
                <w:szCs w:val="18"/>
              </w:rPr>
              <w:t>, qui garantit la disponibilité de conseils techniques,</w:t>
            </w:r>
            <w:r w:rsidR="00E25AE7" w:rsidRPr="007839DB">
              <w:rPr>
                <w:rStyle w:val="EndnoteReference"/>
                <w:rFonts w:cstheme="minorHAnsi"/>
                <w:sz w:val="18"/>
                <w:szCs w:val="18"/>
              </w:rPr>
              <w:endnoteReference w:id="5"/>
            </w:r>
            <w:r>
              <w:rPr>
                <w:sz w:val="18"/>
                <w:szCs w:val="18"/>
              </w:rPr>
              <w:t xml:space="preserve"> d’incitations financières et de ressources budgétaires pour la fourniture d'aménagements raisonnables par les acteurs publics et privés.</w:t>
            </w:r>
          </w:p>
        </w:tc>
        <w:tc>
          <w:tcPr>
            <w:tcW w:w="4345" w:type="dxa"/>
            <w:shd w:val="clear" w:color="auto" w:fill="auto"/>
          </w:tcPr>
          <w:p w14:paraId="296CA619" w14:textId="75B9B50B" w:rsidR="00337F57" w:rsidRPr="007839DB" w:rsidRDefault="00D471A7" w:rsidP="006655EC">
            <w:pPr>
              <w:jc w:val="both"/>
              <w:rPr>
                <w:rFonts w:cstheme="minorHAnsi"/>
                <w:sz w:val="18"/>
                <w:szCs w:val="18"/>
              </w:rPr>
            </w:pPr>
            <w:r>
              <w:rPr>
                <w:sz w:val="18"/>
                <w:szCs w:val="18"/>
              </w:rPr>
              <w:t>5.7 Mesures spécifiques pour atteindre l'égalité de facto, y compris des mesures d'action positive</w:t>
            </w:r>
            <w:r w:rsidR="00C07C6E" w:rsidRPr="007839DB">
              <w:rPr>
                <w:rStyle w:val="EndnoteReference"/>
                <w:rFonts w:cstheme="minorHAnsi"/>
                <w:sz w:val="18"/>
                <w:szCs w:val="18"/>
              </w:rPr>
              <w:endnoteReference w:id="6"/>
            </w:r>
            <w:r>
              <w:rPr>
                <w:sz w:val="18"/>
                <w:szCs w:val="18"/>
              </w:rPr>
              <w:t xml:space="preserve"> adoptées dans la ou les législations et/ou les plans politiques, en particulier pour les groupes les plus exposés au risque de discrimination parmi les </w:t>
            </w:r>
            <w:r w:rsidR="0043208C">
              <w:rPr>
                <w:sz w:val="18"/>
                <w:szCs w:val="18"/>
              </w:rPr>
              <w:t>personnes handicapées</w:t>
            </w:r>
            <w:r>
              <w:rPr>
                <w:sz w:val="18"/>
                <w:szCs w:val="18"/>
              </w:rPr>
              <w:t>, y compris l'existence/la nomination de mécanismes de surveillance et d'application.</w:t>
            </w:r>
          </w:p>
        </w:tc>
      </w:tr>
      <w:tr w:rsidR="00A710D7" w:rsidRPr="00203E7D" w14:paraId="47D1B907" w14:textId="77777777" w:rsidTr="00B42511">
        <w:trPr>
          <w:trHeight w:val="579"/>
        </w:trPr>
        <w:tc>
          <w:tcPr>
            <w:tcW w:w="1274" w:type="dxa"/>
            <w:vMerge w:val="restart"/>
          </w:tcPr>
          <w:p w14:paraId="01AB7567" w14:textId="77777777" w:rsidR="00D40BFA" w:rsidRPr="00B22BD0" w:rsidRDefault="00D40BFA" w:rsidP="009B4ED3">
            <w:pPr>
              <w:rPr>
                <w:rFonts w:cstheme="minorHAnsi"/>
                <w:b/>
                <w:sz w:val="20"/>
                <w:szCs w:val="20"/>
              </w:rPr>
            </w:pPr>
            <w:r>
              <w:rPr>
                <w:b/>
                <w:sz w:val="20"/>
                <w:szCs w:val="20"/>
              </w:rPr>
              <w:t>Processus</w:t>
            </w:r>
          </w:p>
          <w:p w14:paraId="29C3A1CC" w14:textId="77777777" w:rsidR="00D40BFA" w:rsidRPr="00203E7D" w:rsidRDefault="00D40BFA" w:rsidP="009B4ED3">
            <w:pPr>
              <w:rPr>
                <w:rFonts w:cstheme="minorHAnsi"/>
                <w:sz w:val="20"/>
                <w:szCs w:val="20"/>
              </w:rPr>
            </w:pPr>
          </w:p>
        </w:tc>
        <w:tc>
          <w:tcPr>
            <w:tcW w:w="9643" w:type="dxa"/>
            <w:gridSpan w:val="2"/>
          </w:tcPr>
          <w:p w14:paraId="77E309B0" w14:textId="236B8E95" w:rsidR="00D40BFA" w:rsidRPr="00D40BFA" w:rsidRDefault="0029020D" w:rsidP="00B42511">
            <w:pPr>
              <w:pStyle w:val="CommentText"/>
              <w:spacing w:after="0"/>
              <w:jc w:val="both"/>
              <w:rPr>
                <w:rFonts w:cstheme="minorHAnsi"/>
                <w:color w:val="000000"/>
                <w:sz w:val="18"/>
                <w:szCs w:val="18"/>
              </w:rPr>
            </w:pPr>
            <w:r>
              <w:rPr>
                <w:sz w:val="18"/>
                <w:szCs w:val="18"/>
              </w:rPr>
              <w:t>5.8 Nombre et</w:t>
            </w:r>
            <w:r>
              <w:t xml:space="preserve"> proportion </w:t>
            </w:r>
            <w:r>
              <w:rPr>
                <w:sz w:val="18"/>
                <w:szCs w:val="18"/>
              </w:rPr>
              <w:t>de membres du personnel du secteur public qui conçoivent, mettent en œuvre et/ou fournissent des services au public formés à l'égalité et à la non-discrimination en vertu de la Convention, y compris à l'obligation de fournir des aménagements raisonnables, ventilés par secteur, agence et situation géographique.</w:t>
            </w:r>
            <w:r>
              <w:rPr>
                <w:color w:val="000000"/>
                <w:sz w:val="18"/>
                <w:szCs w:val="18"/>
              </w:rPr>
              <w:t xml:space="preserve"> </w:t>
            </w:r>
          </w:p>
        </w:tc>
        <w:tc>
          <w:tcPr>
            <w:tcW w:w="4345" w:type="dxa"/>
            <w:vMerge w:val="restart"/>
          </w:tcPr>
          <w:p w14:paraId="31A73F08" w14:textId="2D6744B6" w:rsidR="00D40BFA" w:rsidRPr="007839DB" w:rsidRDefault="00D40BFA" w:rsidP="0070754A">
            <w:pPr>
              <w:jc w:val="both"/>
              <w:rPr>
                <w:rFonts w:cstheme="minorHAnsi"/>
                <w:sz w:val="18"/>
                <w:szCs w:val="18"/>
              </w:rPr>
            </w:pPr>
            <w:r>
              <w:rPr>
                <w:sz w:val="18"/>
                <w:szCs w:val="18"/>
              </w:rPr>
              <w:t xml:space="preserve">5.11 Nombre de </w:t>
            </w:r>
            <w:r w:rsidR="0043208C">
              <w:rPr>
                <w:sz w:val="18"/>
                <w:szCs w:val="18"/>
              </w:rPr>
              <w:t>personnes handicapées</w:t>
            </w:r>
            <w:r>
              <w:rPr>
                <w:sz w:val="18"/>
                <w:szCs w:val="18"/>
              </w:rPr>
              <w:t xml:space="preserve"> bénéficiant de mesures spécifiques, en particulier de mesures d'action positive, ventilées par mesure, sexe, âge, handicap, situation géographique et, le cas échéant, par secteur (public ou privé).</w:t>
            </w:r>
            <w:r w:rsidRPr="007839DB">
              <w:rPr>
                <w:rStyle w:val="EndnoteReference"/>
                <w:rFonts w:cstheme="minorHAnsi"/>
                <w:sz w:val="18"/>
                <w:szCs w:val="18"/>
              </w:rPr>
              <w:endnoteReference w:id="7"/>
            </w:r>
            <w:r>
              <w:rPr>
                <w:sz w:val="18"/>
                <w:szCs w:val="18"/>
              </w:rPr>
              <w:t xml:space="preserve"> </w:t>
            </w:r>
          </w:p>
          <w:p w14:paraId="6AE0E467" w14:textId="002F44C3" w:rsidR="00D40BFA" w:rsidRPr="007839DB" w:rsidRDefault="0029020D" w:rsidP="0070754A">
            <w:pPr>
              <w:jc w:val="both"/>
              <w:rPr>
                <w:rFonts w:cstheme="minorHAnsi"/>
                <w:sz w:val="18"/>
                <w:szCs w:val="18"/>
              </w:rPr>
            </w:pPr>
            <w:r>
              <w:rPr>
                <w:sz w:val="18"/>
                <w:szCs w:val="18"/>
              </w:rPr>
              <w:t>5.12 Budget alloué à la mise en œuvre et au suivi de mesures spécifiques, y compris des mesures d'action positive.</w:t>
            </w:r>
          </w:p>
          <w:p w14:paraId="5BF7ADC1" w14:textId="710E8AD7" w:rsidR="00D40BFA" w:rsidRPr="007839DB" w:rsidRDefault="00D40BFA" w:rsidP="0070754A">
            <w:pPr>
              <w:jc w:val="both"/>
              <w:rPr>
                <w:rFonts w:cstheme="minorHAnsi"/>
                <w:sz w:val="18"/>
                <w:szCs w:val="18"/>
              </w:rPr>
            </w:pPr>
          </w:p>
        </w:tc>
      </w:tr>
      <w:tr w:rsidR="00A710D7" w:rsidRPr="00203E7D" w14:paraId="655DE7E1" w14:textId="77777777" w:rsidTr="00B42511">
        <w:trPr>
          <w:trHeight w:val="966"/>
        </w:trPr>
        <w:tc>
          <w:tcPr>
            <w:tcW w:w="1274" w:type="dxa"/>
            <w:vMerge/>
          </w:tcPr>
          <w:p w14:paraId="56557B21" w14:textId="77777777" w:rsidR="00D40BFA" w:rsidRPr="00B22BD0" w:rsidRDefault="00D40BFA" w:rsidP="009B4ED3">
            <w:pPr>
              <w:rPr>
                <w:rFonts w:cstheme="minorHAnsi"/>
                <w:b/>
                <w:sz w:val="20"/>
                <w:szCs w:val="20"/>
              </w:rPr>
            </w:pPr>
          </w:p>
        </w:tc>
        <w:tc>
          <w:tcPr>
            <w:tcW w:w="4958" w:type="dxa"/>
          </w:tcPr>
          <w:p w14:paraId="28618ED6" w14:textId="77777777" w:rsidR="00D40BFA" w:rsidRDefault="00D40BFA" w:rsidP="00973D37">
            <w:pPr>
              <w:jc w:val="both"/>
              <w:rPr>
                <w:rFonts w:cstheme="minorHAnsi"/>
                <w:sz w:val="18"/>
                <w:szCs w:val="18"/>
              </w:rPr>
            </w:pPr>
          </w:p>
        </w:tc>
        <w:tc>
          <w:tcPr>
            <w:tcW w:w="4685" w:type="dxa"/>
          </w:tcPr>
          <w:p w14:paraId="6BB52F73" w14:textId="703F7A0F" w:rsidR="00D40BFA" w:rsidRPr="007839DB" w:rsidRDefault="0029020D" w:rsidP="00D40BFA">
            <w:pPr>
              <w:jc w:val="both"/>
              <w:rPr>
                <w:rFonts w:cstheme="minorHAnsi"/>
                <w:color w:val="000000"/>
                <w:sz w:val="18"/>
                <w:szCs w:val="18"/>
              </w:rPr>
            </w:pPr>
            <w:r>
              <w:rPr>
                <w:color w:val="000000"/>
                <w:sz w:val="18"/>
                <w:szCs w:val="18"/>
              </w:rPr>
              <w:t>5.9 Budget alloué à la fourniture d'aménagements raisonnables dans le secteur public (par exemple dans les fonds centralisés d'aménagement raisonnable)</w:t>
            </w:r>
          </w:p>
          <w:p w14:paraId="41B16628" w14:textId="323CCDCC" w:rsidR="00D40BFA" w:rsidRPr="007839DB" w:rsidRDefault="00D40BFA" w:rsidP="00236193">
            <w:pPr>
              <w:jc w:val="both"/>
              <w:rPr>
                <w:rFonts w:cstheme="minorHAnsi"/>
                <w:color w:val="000000"/>
                <w:sz w:val="18"/>
                <w:szCs w:val="18"/>
              </w:rPr>
            </w:pPr>
            <w:r>
              <w:rPr>
                <w:color w:val="000000"/>
                <w:sz w:val="18"/>
                <w:szCs w:val="18"/>
              </w:rPr>
              <w:t>5.10</w:t>
            </w:r>
            <w:r>
              <w:rPr>
                <w:sz w:val="18"/>
                <w:szCs w:val="18"/>
              </w:rPr>
              <w:t xml:space="preserve"> Nombre de personnes formées dans le cadre de </w:t>
            </w:r>
            <w:r>
              <w:rPr>
                <w:color w:val="000000"/>
                <w:sz w:val="18"/>
                <w:szCs w:val="18"/>
              </w:rPr>
              <w:t>programmes</w:t>
            </w:r>
            <w:r>
              <w:rPr>
                <w:sz w:val="18"/>
                <w:szCs w:val="18"/>
              </w:rPr>
              <w:t xml:space="preserve"> gérés par l'État </w:t>
            </w:r>
            <w:r>
              <w:rPr>
                <w:color w:val="000000"/>
                <w:sz w:val="18"/>
                <w:szCs w:val="18"/>
              </w:rPr>
              <w:t>destinés aux acteurs privés (employeurs, prestataires de services, etc.) sur l'obligation de fournir des aménagements raisonnables et les procédures connexes.</w:t>
            </w:r>
          </w:p>
        </w:tc>
        <w:tc>
          <w:tcPr>
            <w:tcW w:w="4345" w:type="dxa"/>
            <w:vMerge/>
          </w:tcPr>
          <w:p w14:paraId="4DA8F222" w14:textId="77777777" w:rsidR="00D40BFA" w:rsidRPr="007839DB" w:rsidRDefault="00D40BFA" w:rsidP="0070754A">
            <w:pPr>
              <w:jc w:val="both"/>
              <w:rPr>
                <w:rFonts w:cstheme="minorHAnsi"/>
                <w:sz w:val="18"/>
                <w:szCs w:val="18"/>
              </w:rPr>
            </w:pPr>
          </w:p>
        </w:tc>
      </w:tr>
      <w:tr w:rsidR="00D40BFA" w:rsidRPr="00203E7D" w14:paraId="7A8528BB" w14:textId="77777777" w:rsidTr="00A94FF2">
        <w:trPr>
          <w:trHeight w:val="1393"/>
        </w:trPr>
        <w:tc>
          <w:tcPr>
            <w:tcW w:w="1274" w:type="dxa"/>
            <w:vMerge/>
          </w:tcPr>
          <w:p w14:paraId="19E348D6" w14:textId="77777777" w:rsidR="00D40BFA" w:rsidRPr="00203E7D" w:rsidRDefault="00D40BFA" w:rsidP="009B4ED3">
            <w:pPr>
              <w:rPr>
                <w:rFonts w:cstheme="minorHAnsi"/>
                <w:b/>
                <w:sz w:val="20"/>
                <w:szCs w:val="20"/>
              </w:rPr>
            </w:pPr>
          </w:p>
        </w:tc>
        <w:tc>
          <w:tcPr>
            <w:tcW w:w="13988" w:type="dxa"/>
            <w:gridSpan w:val="3"/>
          </w:tcPr>
          <w:p w14:paraId="07C2F535" w14:textId="0A6289CE" w:rsidR="00D40BFA" w:rsidRPr="003C1676" w:rsidRDefault="0029020D" w:rsidP="007E1F84">
            <w:pPr>
              <w:jc w:val="both"/>
              <w:rPr>
                <w:rFonts w:cstheme="minorHAnsi"/>
                <w:sz w:val="18"/>
                <w:szCs w:val="18"/>
              </w:rPr>
            </w:pPr>
            <w:r>
              <w:rPr>
                <w:sz w:val="18"/>
                <w:szCs w:val="18"/>
              </w:rPr>
              <w:t xml:space="preserve">5.13 Campagnes et activités de sensibilisation pour la diffusion d'informations destinées au grand public, y compris aux </w:t>
            </w:r>
            <w:r w:rsidR="0043208C">
              <w:rPr>
                <w:sz w:val="18"/>
                <w:szCs w:val="18"/>
              </w:rPr>
              <w:t>personnes handicapées</w:t>
            </w:r>
            <w:r>
              <w:rPr>
                <w:sz w:val="18"/>
                <w:szCs w:val="18"/>
              </w:rPr>
              <w:t xml:space="preserve"> et à leurs familles, sur la compréhension de l'interdiction de la discrimination fondée sur le handicap, les cadres de lutte contre la discrimination, l'obligation de fournir des aménagements raisonnables et les mesures spécifiques visant à atteindre l’égalité de fait.</w:t>
            </w:r>
          </w:p>
          <w:p w14:paraId="5EF8B6AB" w14:textId="422647AC" w:rsidR="00D40BFA" w:rsidRDefault="0029020D" w:rsidP="007B3928">
            <w:pPr>
              <w:rPr>
                <w:rFonts w:ascii="Times New Roman" w:hAnsi="Times New Roman" w:cs="Times New Roman"/>
              </w:rPr>
            </w:pPr>
            <w:r>
              <w:rPr>
                <w:sz w:val="18"/>
                <w:szCs w:val="18"/>
              </w:rPr>
              <w:t xml:space="preserve">5.14 Processus de consultation entrepris pour assurer la participation active des </w:t>
            </w:r>
            <w:r w:rsidR="0043208C">
              <w:rPr>
                <w:sz w:val="18"/>
                <w:szCs w:val="18"/>
              </w:rPr>
              <w:t>personnes handicapées</w:t>
            </w:r>
            <w:r>
              <w:rPr>
                <w:sz w:val="18"/>
                <w:szCs w:val="18"/>
              </w:rPr>
              <w:t xml:space="preserve">, </w:t>
            </w:r>
            <w:r>
              <w:rPr>
                <w:color w:val="444444"/>
                <w:sz w:val="18"/>
                <w:szCs w:val="18"/>
              </w:rPr>
              <w:t>y compris</w:t>
            </w:r>
            <w:r w:rsidR="0043208C">
              <w:rPr>
                <w:sz w:val="18"/>
                <w:szCs w:val="18"/>
              </w:rPr>
              <w:t xml:space="preserve"> par l’intermédiaire des</w:t>
            </w:r>
            <w:r>
              <w:rPr>
                <w:sz w:val="18"/>
                <w:szCs w:val="18"/>
              </w:rPr>
              <w:t xml:space="preserve"> organisations </w:t>
            </w:r>
            <w:r w:rsidR="0043208C">
              <w:rPr>
                <w:sz w:val="18"/>
                <w:szCs w:val="18"/>
              </w:rPr>
              <w:t xml:space="preserve">qui les </w:t>
            </w:r>
            <w:r>
              <w:rPr>
                <w:sz w:val="18"/>
                <w:szCs w:val="18"/>
              </w:rPr>
              <w:t>représent</w:t>
            </w:r>
            <w:r w:rsidR="0043208C">
              <w:rPr>
                <w:sz w:val="18"/>
                <w:szCs w:val="18"/>
              </w:rPr>
              <w:t>ent</w:t>
            </w:r>
            <w:r>
              <w:rPr>
                <w:sz w:val="18"/>
                <w:szCs w:val="18"/>
              </w:rPr>
              <w:t xml:space="preserve">, à la conception, à la mise en œuvre et au suivi des lois, règlements, politiques et programmes concernant l'égalité et la non-discrimination des droits des </w:t>
            </w:r>
            <w:r w:rsidR="0043208C">
              <w:rPr>
                <w:sz w:val="18"/>
                <w:szCs w:val="18"/>
              </w:rPr>
              <w:t>personnes handicapées</w:t>
            </w:r>
            <w:r>
              <w:rPr>
                <w:sz w:val="18"/>
                <w:szCs w:val="18"/>
              </w:rPr>
              <w:t>.</w:t>
            </w:r>
            <w:r w:rsidR="00D40BFA">
              <w:rPr>
                <w:rStyle w:val="EndnoteReference"/>
                <w:rFonts w:cstheme="minorHAnsi"/>
                <w:sz w:val="18"/>
                <w:szCs w:val="18"/>
              </w:rPr>
              <w:endnoteReference w:id="8"/>
            </w:r>
            <w:r>
              <w:rPr>
                <w:rFonts w:ascii="Times New Roman" w:hAnsi="Times New Roman"/>
              </w:rPr>
              <w:t xml:space="preserve"> </w:t>
            </w:r>
          </w:p>
          <w:p w14:paraId="3F6E0366" w14:textId="65C1C777" w:rsidR="00D40BFA" w:rsidRPr="003C1676" w:rsidRDefault="0029020D" w:rsidP="00D420AC">
            <w:pPr>
              <w:jc w:val="both"/>
              <w:rPr>
                <w:rFonts w:cstheme="minorHAnsi"/>
                <w:sz w:val="18"/>
                <w:szCs w:val="18"/>
              </w:rPr>
            </w:pPr>
            <w:r>
              <w:rPr>
                <w:sz w:val="18"/>
                <w:szCs w:val="18"/>
              </w:rPr>
              <w:t xml:space="preserve">5.15 Proportion de plaintes reçues alléguant une discrimination fondée sur le handicap et/ou d'autres motifs à l'encontre de </w:t>
            </w:r>
            <w:r w:rsidR="0043208C">
              <w:rPr>
                <w:sz w:val="18"/>
                <w:szCs w:val="18"/>
              </w:rPr>
              <w:t>personnes handicapées</w:t>
            </w:r>
            <w:r>
              <w:rPr>
                <w:sz w:val="18"/>
                <w:szCs w:val="18"/>
              </w:rPr>
              <w:t xml:space="preserve"> qui ont fait l'objet d'une enquête et d'une </w:t>
            </w:r>
            <w:r w:rsidR="00464317">
              <w:rPr>
                <w:sz w:val="18"/>
                <w:szCs w:val="18"/>
              </w:rPr>
              <w:t>décision ;</w:t>
            </w:r>
            <w:r>
              <w:rPr>
                <w:sz w:val="18"/>
                <w:szCs w:val="18"/>
              </w:rPr>
              <w:t xml:space="preserve"> proportion de celles jugées en faveur du plaignant ; et la proportion de ces dernières qui ont été respectées par le gouvernement et/ou le détenteur d'obligations ; à chaque fois ventilée par type de mécanisme.</w:t>
            </w:r>
            <w:r w:rsidR="00D40BFA" w:rsidRPr="003C1676">
              <w:rPr>
                <w:rStyle w:val="EndnoteReference"/>
                <w:rFonts w:cstheme="minorHAnsi"/>
                <w:sz w:val="18"/>
                <w:szCs w:val="18"/>
              </w:rPr>
              <w:endnoteReference w:id="9"/>
            </w:r>
            <w:r>
              <w:rPr>
                <w:sz w:val="18"/>
                <w:szCs w:val="18"/>
              </w:rPr>
              <w:t xml:space="preserve"> </w:t>
            </w:r>
          </w:p>
        </w:tc>
      </w:tr>
      <w:tr w:rsidR="00A710D7" w:rsidRPr="00203E7D" w14:paraId="4B91F32E" w14:textId="77777777" w:rsidTr="00B42511">
        <w:trPr>
          <w:trHeight w:val="855"/>
        </w:trPr>
        <w:tc>
          <w:tcPr>
            <w:tcW w:w="1274" w:type="dxa"/>
            <w:vMerge w:val="restart"/>
          </w:tcPr>
          <w:p w14:paraId="73C4FE8D" w14:textId="77777777" w:rsidR="00381C57" w:rsidRPr="00203E7D" w:rsidRDefault="00381C57" w:rsidP="009B4ED3">
            <w:pPr>
              <w:rPr>
                <w:rFonts w:cstheme="minorHAnsi"/>
                <w:b/>
                <w:sz w:val="20"/>
                <w:szCs w:val="20"/>
              </w:rPr>
            </w:pPr>
            <w:r>
              <w:rPr>
                <w:b/>
                <w:sz w:val="20"/>
                <w:szCs w:val="20"/>
              </w:rPr>
              <w:t>Résultats</w:t>
            </w:r>
          </w:p>
        </w:tc>
        <w:tc>
          <w:tcPr>
            <w:tcW w:w="4958" w:type="dxa"/>
          </w:tcPr>
          <w:p w14:paraId="06287E4D" w14:textId="1E1AC891" w:rsidR="00381C57" w:rsidRPr="003C1676" w:rsidRDefault="0029020D" w:rsidP="00022D09">
            <w:pPr>
              <w:jc w:val="both"/>
              <w:rPr>
                <w:sz w:val="18"/>
                <w:szCs w:val="18"/>
              </w:rPr>
            </w:pPr>
            <w:r>
              <w:rPr>
                <w:color w:val="000000"/>
                <w:sz w:val="18"/>
                <w:szCs w:val="18"/>
              </w:rPr>
              <w:t xml:space="preserve">5.16 </w:t>
            </w:r>
            <w:r w:rsidR="00022D09" w:rsidRPr="00022D09">
              <w:rPr>
                <w:color w:val="000000"/>
                <w:sz w:val="18"/>
                <w:szCs w:val="18"/>
              </w:rPr>
              <w:t>Proportion de la population ayant déclaré avoir personnellement fait l’objet de discrimination ou de harcèlement au cours des 12 mois précédents pour des motifs interdits par le droit international des droits de l’homme</w:t>
            </w:r>
            <w:r>
              <w:rPr>
                <w:color w:val="000000"/>
                <w:sz w:val="18"/>
                <w:szCs w:val="18"/>
              </w:rPr>
              <w:t xml:space="preserve"> (indicateurs ODD 10.3.1/</w:t>
            </w:r>
            <w:proofErr w:type="gramStart"/>
            <w:r>
              <w:rPr>
                <w:color w:val="000000"/>
                <w:sz w:val="18"/>
                <w:szCs w:val="18"/>
              </w:rPr>
              <w:t>16.b.</w:t>
            </w:r>
            <w:proofErr w:type="gramEnd"/>
            <w:r>
              <w:rPr>
                <w:color w:val="000000"/>
                <w:sz w:val="18"/>
                <w:szCs w:val="18"/>
              </w:rPr>
              <w:t>1), ventilée par sexe, âge et handicap.</w:t>
            </w:r>
            <w:r w:rsidR="00022D09">
              <w:t xml:space="preserve"> </w:t>
            </w:r>
          </w:p>
        </w:tc>
        <w:tc>
          <w:tcPr>
            <w:tcW w:w="4685" w:type="dxa"/>
          </w:tcPr>
          <w:p w14:paraId="5A81F24A" w14:textId="3CAB2CAB" w:rsidR="00381C57" w:rsidRPr="003C1676" w:rsidRDefault="0029020D" w:rsidP="0082707B">
            <w:pPr>
              <w:jc w:val="both"/>
              <w:rPr>
                <w:rFonts w:cs="TimesNewRomanPSMT"/>
                <w:sz w:val="18"/>
                <w:szCs w:val="18"/>
              </w:rPr>
            </w:pPr>
            <w:r>
              <w:rPr>
                <w:sz w:val="18"/>
                <w:szCs w:val="18"/>
              </w:rPr>
              <w:t>5.17 Nombre et proportion de demandes d'aménagements raisonnables accordées dans le secteur public, ventilées par sexe, âge et handicap.</w:t>
            </w:r>
            <w:r w:rsidR="007E13FC">
              <w:rPr>
                <w:sz w:val="18"/>
                <w:szCs w:val="18"/>
              </w:rPr>
              <w:t xml:space="preserve"> </w:t>
            </w:r>
          </w:p>
        </w:tc>
        <w:tc>
          <w:tcPr>
            <w:tcW w:w="4345" w:type="dxa"/>
          </w:tcPr>
          <w:p w14:paraId="2A9259F6" w14:textId="5C9974F3" w:rsidR="00381C57" w:rsidRPr="007E13FC" w:rsidRDefault="00381C57" w:rsidP="009B4ED3">
            <w:pPr>
              <w:rPr>
                <w:rFonts w:ascii="TimesNewRomanPSMT" w:hAnsi="TimesNewRomanPSMT" w:cs="TimesNewRomanPSMT"/>
                <w:sz w:val="18"/>
                <w:szCs w:val="18"/>
              </w:rPr>
            </w:pPr>
          </w:p>
        </w:tc>
      </w:tr>
      <w:tr w:rsidR="00381C57" w:rsidRPr="00203E7D" w14:paraId="485E5718" w14:textId="77777777" w:rsidTr="00D40BFA">
        <w:trPr>
          <w:trHeight w:val="410"/>
        </w:trPr>
        <w:tc>
          <w:tcPr>
            <w:tcW w:w="1274" w:type="dxa"/>
            <w:vMerge/>
          </w:tcPr>
          <w:p w14:paraId="2966B3CC" w14:textId="77777777" w:rsidR="00381C57" w:rsidRPr="00203E7D" w:rsidRDefault="00381C57" w:rsidP="009B4ED3">
            <w:pPr>
              <w:rPr>
                <w:rFonts w:cstheme="minorHAnsi"/>
                <w:b/>
                <w:sz w:val="20"/>
                <w:szCs w:val="20"/>
              </w:rPr>
            </w:pPr>
          </w:p>
        </w:tc>
        <w:tc>
          <w:tcPr>
            <w:tcW w:w="13988" w:type="dxa"/>
            <w:gridSpan w:val="3"/>
          </w:tcPr>
          <w:p w14:paraId="5ED3D8EB" w14:textId="4341AABB" w:rsidR="0082707B" w:rsidRPr="007839DB" w:rsidRDefault="00497617" w:rsidP="00A94FF2">
            <w:pPr>
              <w:autoSpaceDE w:val="0"/>
              <w:autoSpaceDN w:val="0"/>
              <w:adjustRightInd w:val="0"/>
              <w:jc w:val="both"/>
              <w:rPr>
                <w:rFonts w:cstheme="minorHAnsi"/>
                <w:sz w:val="18"/>
                <w:szCs w:val="18"/>
              </w:rPr>
            </w:pPr>
            <w:r>
              <w:rPr>
                <w:sz w:val="18"/>
                <w:szCs w:val="18"/>
              </w:rPr>
              <w:t xml:space="preserve">5.18 </w:t>
            </w:r>
            <w:r w:rsidR="00022D09" w:rsidRPr="00022D09">
              <w:rPr>
                <w:sz w:val="18"/>
                <w:szCs w:val="18"/>
              </w:rPr>
              <w:t>Proportion de la population vivant au-dessous</w:t>
            </w:r>
            <w:r w:rsidR="00022D09">
              <w:rPr>
                <w:sz w:val="18"/>
                <w:szCs w:val="18"/>
              </w:rPr>
              <w:t xml:space="preserve"> </w:t>
            </w:r>
            <w:r w:rsidR="00022D09" w:rsidRPr="00022D09">
              <w:rPr>
                <w:sz w:val="18"/>
                <w:szCs w:val="18"/>
              </w:rPr>
              <w:t>du seuil de pauvreté fixé au niveau international, par sexe, âge, situation dans l’emploi et lieu de résidence (zone urbaine/zone rurale)</w:t>
            </w:r>
            <w:r>
              <w:rPr>
                <w:sz w:val="18"/>
                <w:szCs w:val="18"/>
              </w:rPr>
              <w:t xml:space="preserve"> (indicateur ODD 1.1.1) et handicap.</w:t>
            </w:r>
          </w:p>
          <w:p w14:paraId="437D6042" w14:textId="12DC734F" w:rsidR="007D42AE" w:rsidRDefault="00497617" w:rsidP="00A94FF2">
            <w:pPr>
              <w:jc w:val="both"/>
              <w:rPr>
                <w:rFonts w:cstheme="minorHAnsi"/>
                <w:color w:val="000000"/>
                <w:sz w:val="18"/>
                <w:szCs w:val="18"/>
              </w:rPr>
            </w:pPr>
            <w:r>
              <w:rPr>
                <w:color w:val="000000"/>
                <w:sz w:val="18"/>
                <w:szCs w:val="18"/>
              </w:rPr>
              <w:t>5.19 P</w:t>
            </w:r>
            <w:r w:rsidR="00022D09" w:rsidRPr="00022D09">
              <w:rPr>
                <w:color w:val="000000"/>
                <w:sz w:val="18"/>
                <w:szCs w:val="18"/>
              </w:rPr>
              <w:t>roportion de la population vivant au-dessous</w:t>
            </w:r>
            <w:r w:rsidR="00022D09">
              <w:rPr>
                <w:color w:val="000000"/>
                <w:sz w:val="18"/>
                <w:szCs w:val="18"/>
              </w:rPr>
              <w:t xml:space="preserve"> </w:t>
            </w:r>
            <w:r w:rsidR="00022D09" w:rsidRPr="00022D09">
              <w:rPr>
                <w:color w:val="000000"/>
                <w:sz w:val="18"/>
                <w:szCs w:val="18"/>
              </w:rPr>
              <w:t xml:space="preserve">du seuil national de pauvreté, par sexe et âge </w:t>
            </w:r>
            <w:r>
              <w:rPr>
                <w:color w:val="000000"/>
                <w:sz w:val="18"/>
                <w:szCs w:val="18"/>
              </w:rPr>
              <w:t>(indicateur ODD 1.2.1) et handicap</w:t>
            </w:r>
          </w:p>
          <w:p w14:paraId="0038DE43" w14:textId="1D9A0562" w:rsidR="00381C57" w:rsidRPr="007839DB" w:rsidRDefault="00497617" w:rsidP="00A94FF2">
            <w:pPr>
              <w:jc w:val="both"/>
              <w:rPr>
                <w:rFonts w:cstheme="minorHAnsi"/>
                <w:color w:val="000000"/>
                <w:sz w:val="18"/>
                <w:szCs w:val="18"/>
              </w:rPr>
            </w:pPr>
            <w:r>
              <w:rPr>
                <w:color w:val="000000"/>
                <w:sz w:val="18"/>
                <w:szCs w:val="18"/>
              </w:rPr>
              <w:t xml:space="preserve">5.20 </w:t>
            </w:r>
            <w:r w:rsidR="00022D09">
              <w:rPr>
                <w:color w:val="000000"/>
                <w:sz w:val="18"/>
                <w:szCs w:val="18"/>
              </w:rPr>
              <w:t>Pr</w:t>
            </w:r>
            <w:r w:rsidR="00022D09" w:rsidRPr="00022D09">
              <w:rPr>
                <w:color w:val="000000"/>
                <w:sz w:val="18"/>
                <w:szCs w:val="18"/>
              </w:rPr>
              <w:t xml:space="preserve">oportion de la population vivant dans des ménages ayant accès aux services de base </w:t>
            </w:r>
            <w:r>
              <w:rPr>
                <w:color w:val="000000"/>
                <w:sz w:val="18"/>
                <w:szCs w:val="18"/>
              </w:rPr>
              <w:t>(indicateur ODD 1.4.1) ventilée par sexe, âge et handicap</w:t>
            </w:r>
          </w:p>
          <w:p w14:paraId="0534F24E" w14:textId="1803C69C" w:rsidR="00E858A9" w:rsidRPr="007839DB" w:rsidRDefault="00497617" w:rsidP="00A94FF2">
            <w:pPr>
              <w:autoSpaceDE w:val="0"/>
              <w:autoSpaceDN w:val="0"/>
              <w:adjustRightInd w:val="0"/>
              <w:jc w:val="both"/>
              <w:rPr>
                <w:rFonts w:cstheme="minorHAnsi"/>
                <w:color w:val="000000"/>
                <w:sz w:val="18"/>
                <w:szCs w:val="18"/>
              </w:rPr>
            </w:pPr>
            <w:r>
              <w:rPr>
                <w:sz w:val="18"/>
                <w:szCs w:val="18"/>
              </w:rPr>
              <w:t xml:space="preserve">5.21 </w:t>
            </w:r>
            <w:r w:rsidR="00022D09" w:rsidRPr="00022D09">
              <w:rPr>
                <w:sz w:val="18"/>
                <w:szCs w:val="18"/>
              </w:rPr>
              <w:t>Proportion de la population adulte totale qui</w:t>
            </w:r>
            <w:r w:rsidR="00022D09">
              <w:rPr>
                <w:sz w:val="18"/>
                <w:szCs w:val="18"/>
              </w:rPr>
              <w:t xml:space="preserve"> </w:t>
            </w:r>
            <w:r w:rsidR="00022D09" w:rsidRPr="00022D09">
              <w:rPr>
                <w:sz w:val="18"/>
                <w:szCs w:val="18"/>
              </w:rPr>
              <w:t xml:space="preserve">dispose de la sécurité des droits fonciers et de documents légalement authentifiés et qui considère que ses droits sur la terre sont sûrs, par sexe et par type d’occupation </w:t>
            </w:r>
            <w:r>
              <w:rPr>
                <w:color w:val="000000"/>
                <w:sz w:val="18"/>
                <w:szCs w:val="18"/>
              </w:rPr>
              <w:t>(indicateur ODD 1.4.2) et handicap</w:t>
            </w:r>
          </w:p>
          <w:p w14:paraId="13854405" w14:textId="77222305" w:rsidR="00381C57" w:rsidRPr="007839DB" w:rsidRDefault="00497617" w:rsidP="00A94FF2">
            <w:pPr>
              <w:autoSpaceDE w:val="0"/>
              <w:autoSpaceDN w:val="0"/>
              <w:adjustRightInd w:val="0"/>
              <w:jc w:val="both"/>
              <w:rPr>
                <w:rFonts w:cstheme="minorHAnsi"/>
                <w:sz w:val="18"/>
                <w:szCs w:val="18"/>
              </w:rPr>
            </w:pPr>
            <w:r>
              <w:rPr>
                <w:sz w:val="18"/>
                <w:szCs w:val="18"/>
              </w:rPr>
              <w:t xml:space="preserve">5.22 </w:t>
            </w:r>
            <w:r w:rsidR="00022D09" w:rsidRPr="00022D09">
              <w:rPr>
                <w:sz w:val="18"/>
                <w:szCs w:val="18"/>
              </w:rPr>
              <w:t xml:space="preserve">Rémunération horaire moyenne des salariés hommes et femmes, par profession, âge et situation au regard du handicap </w:t>
            </w:r>
            <w:r>
              <w:rPr>
                <w:color w:val="000000"/>
                <w:sz w:val="18"/>
                <w:szCs w:val="18"/>
              </w:rPr>
              <w:t>(indicateur ODD 8.5.1)</w:t>
            </w:r>
          </w:p>
          <w:p w14:paraId="5AB9256F" w14:textId="5176C15F" w:rsidR="00E858A9" w:rsidRPr="007839DB" w:rsidRDefault="00497617" w:rsidP="00A94FF2">
            <w:pPr>
              <w:autoSpaceDE w:val="0"/>
              <w:autoSpaceDN w:val="0"/>
              <w:adjustRightInd w:val="0"/>
              <w:jc w:val="both"/>
              <w:rPr>
                <w:rFonts w:cstheme="minorHAnsi"/>
                <w:sz w:val="18"/>
                <w:szCs w:val="18"/>
              </w:rPr>
            </w:pPr>
            <w:r>
              <w:rPr>
                <w:sz w:val="18"/>
                <w:szCs w:val="18"/>
              </w:rPr>
              <w:t xml:space="preserve">5.23 </w:t>
            </w:r>
            <w:r w:rsidR="00022D09" w:rsidRPr="00022D09">
              <w:rPr>
                <w:sz w:val="18"/>
                <w:szCs w:val="18"/>
              </w:rPr>
              <w:t xml:space="preserve">Taux de chômage, par sexe, âge et situation au regard du handicap </w:t>
            </w:r>
            <w:r>
              <w:rPr>
                <w:sz w:val="18"/>
                <w:szCs w:val="18"/>
              </w:rPr>
              <w:t>(ODD 8.5.2)</w:t>
            </w:r>
          </w:p>
          <w:p w14:paraId="508DFE07" w14:textId="7955DBA7" w:rsidR="0040795E" w:rsidRPr="007839DB" w:rsidRDefault="00497617" w:rsidP="00A94FF2">
            <w:pPr>
              <w:jc w:val="both"/>
              <w:rPr>
                <w:rFonts w:cstheme="minorHAnsi"/>
                <w:color w:val="000000"/>
                <w:sz w:val="18"/>
                <w:szCs w:val="18"/>
              </w:rPr>
            </w:pPr>
            <w:r>
              <w:rPr>
                <w:sz w:val="18"/>
                <w:szCs w:val="18"/>
              </w:rPr>
              <w:t xml:space="preserve">5.24 </w:t>
            </w:r>
            <w:r w:rsidR="00022D09" w:rsidRPr="00022D09">
              <w:rPr>
                <w:sz w:val="18"/>
                <w:szCs w:val="18"/>
              </w:rPr>
              <w:t>Proportion de personnes vivant avec moins de</w:t>
            </w:r>
            <w:r w:rsidR="00022D09">
              <w:rPr>
                <w:sz w:val="18"/>
                <w:szCs w:val="18"/>
              </w:rPr>
              <w:t xml:space="preserve"> </w:t>
            </w:r>
            <w:r w:rsidR="00022D09" w:rsidRPr="00022D09">
              <w:rPr>
                <w:sz w:val="18"/>
                <w:szCs w:val="18"/>
              </w:rPr>
              <w:t xml:space="preserve">la moitié du revenu médian, par sexe, âge et situation au regard du handicap </w:t>
            </w:r>
            <w:r>
              <w:rPr>
                <w:color w:val="000000"/>
                <w:sz w:val="18"/>
                <w:szCs w:val="18"/>
              </w:rPr>
              <w:t>(indicateur</w:t>
            </w:r>
            <w:r>
              <w:rPr>
                <w:sz w:val="18"/>
                <w:szCs w:val="18"/>
              </w:rPr>
              <w:t xml:space="preserve"> ODD 10.2.1</w:t>
            </w:r>
            <w:r>
              <w:rPr>
                <w:color w:val="000000"/>
                <w:sz w:val="18"/>
                <w:szCs w:val="18"/>
              </w:rPr>
              <w:t>)</w:t>
            </w:r>
          </w:p>
          <w:p w14:paraId="71405303" w14:textId="29CE3C26" w:rsidR="00381C57" w:rsidRPr="007839DB" w:rsidRDefault="00925812" w:rsidP="00A94FF2">
            <w:pPr>
              <w:jc w:val="both"/>
              <w:rPr>
                <w:rFonts w:cstheme="minorHAnsi"/>
                <w:color w:val="000000"/>
                <w:sz w:val="18"/>
                <w:szCs w:val="18"/>
              </w:rPr>
            </w:pPr>
            <w:r>
              <w:rPr>
                <w:color w:val="000000"/>
                <w:sz w:val="18"/>
                <w:szCs w:val="18"/>
              </w:rPr>
              <w:lastRenderedPageBreak/>
              <w:t xml:space="preserve">5.25 </w:t>
            </w:r>
            <w:r w:rsidR="00FB1FDF" w:rsidRPr="00FB1FDF">
              <w:rPr>
                <w:color w:val="000000"/>
                <w:sz w:val="18"/>
                <w:szCs w:val="18"/>
              </w:rPr>
              <w:t xml:space="preserve">Couverture des services de santé essentiels (définie comme la couverture moyenne des services essentiels mesurée à partir des interventions de référence concernant notamment la santé procréative, maternelle, néonatale et infantile, les maladies infectieuses, les maladies non transmissibles, la capacité d’accueil et l’accessibilité des services pour la population en général et les plus défavorisés en particulier) </w:t>
            </w:r>
            <w:r>
              <w:rPr>
                <w:color w:val="000000"/>
                <w:sz w:val="18"/>
                <w:szCs w:val="18"/>
              </w:rPr>
              <w:t>(indicateur ODD 3.8.1), ventilée par sexe, âge et handicap.</w:t>
            </w:r>
          </w:p>
          <w:p w14:paraId="640C5679" w14:textId="12D6E618" w:rsidR="00FE1B7B" w:rsidRPr="007839DB" w:rsidRDefault="0040795E" w:rsidP="00A94FF2">
            <w:pPr>
              <w:autoSpaceDE w:val="0"/>
              <w:autoSpaceDN w:val="0"/>
              <w:adjustRightInd w:val="0"/>
              <w:jc w:val="both"/>
              <w:rPr>
                <w:rFonts w:cstheme="minorHAnsi"/>
                <w:sz w:val="18"/>
                <w:szCs w:val="18"/>
              </w:rPr>
            </w:pPr>
            <w:r>
              <w:rPr>
                <w:sz w:val="18"/>
                <w:szCs w:val="18"/>
              </w:rPr>
              <w:t xml:space="preserve">5.26 </w:t>
            </w:r>
            <w:r w:rsidR="00FB1FDF" w:rsidRPr="00FB1FDF">
              <w:rPr>
                <w:sz w:val="18"/>
                <w:szCs w:val="18"/>
              </w:rPr>
              <w:t xml:space="preserve">Répartition des postes (par sexe, âge, situation au regard du handicap et groupe de population) dans les institutions publiques (organes législatifs, services publics et organes judiciaires aux niveaux local et national), par rapport à la répartition nationale </w:t>
            </w:r>
            <w:r>
              <w:rPr>
                <w:sz w:val="18"/>
                <w:szCs w:val="18"/>
              </w:rPr>
              <w:t>(ODD 16.7.1)</w:t>
            </w:r>
          </w:p>
        </w:tc>
      </w:tr>
    </w:tbl>
    <w:p w14:paraId="78AF1730" w14:textId="77777777" w:rsidR="00DE431B" w:rsidRPr="00203E7D" w:rsidRDefault="00DE431B" w:rsidP="009B4ED3">
      <w:pPr>
        <w:rPr>
          <w:rFonts w:cstheme="minorHAnsi"/>
          <w:sz w:val="20"/>
          <w:szCs w:val="20"/>
        </w:rPr>
      </w:pPr>
    </w:p>
    <w:p w14:paraId="2EED5937" w14:textId="79612CF3" w:rsidR="006655EC" w:rsidRPr="00676D45" w:rsidRDefault="006655EC" w:rsidP="00A94FF2">
      <w:pPr>
        <w:jc w:val="both"/>
        <w:rPr>
          <w:rFonts w:cstheme="minorHAnsi"/>
          <w:b/>
          <w:sz w:val="20"/>
          <w:szCs w:val="20"/>
        </w:rPr>
      </w:pPr>
      <w:r>
        <w:rPr>
          <w:b/>
          <w:sz w:val="22"/>
          <w:szCs w:val="22"/>
        </w:rPr>
        <w:t>*</w:t>
      </w:r>
      <w:r>
        <w:t xml:space="preserve"> </w:t>
      </w:r>
      <w:r>
        <w:rPr>
          <w:sz w:val="18"/>
          <w:szCs w:val="18"/>
        </w:rPr>
        <w:t>L'article 5 de la CDPH couvre tous les droits de la Convention et est donc intimement lié à chacun. Tandis que la CDPH établit un droit autonome à l'égalité et à la non-discrimination, les violations de la discrimination seront le plus souvent liées à un autre article de la Convention. Par exemple, restreindre le droit des aveugles à ouvrir un compte bancaire constitue une violation à la fois de l'article 12 et de l'article 5 de la CDPH.</w:t>
      </w:r>
    </w:p>
    <w:sectPr w:rsidR="006655EC" w:rsidRPr="00676D45" w:rsidSect="00DF23B4">
      <w:footnotePr>
        <w:pos w:val="beneathText"/>
      </w:footnotePr>
      <w:pgSz w:w="15840" w:h="12240" w:orient="landscape" w:code="1"/>
      <w:pgMar w:top="284" w:right="284" w:bottom="284"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4C906" w14:textId="77777777" w:rsidR="00EC2952" w:rsidRDefault="00EC2952" w:rsidP="00CA591E"/>
  </w:endnote>
  <w:endnote w:type="continuationSeparator" w:id="0">
    <w:p w14:paraId="667AA3FB" w14:textId="77777777" w:rsidR="00EC2952" w:rsidRDefault="00EC2952" w:rsidP="00CA591E">
      <w:r>
        <w:continuationSeparator/>
      </w:r>
    </w:p>
  </w:endnote>
  <w:endnote w:id="1">
    <w:p w14:paraId="5ED24247" w14:textId="05E8D4FC" w:rsidR="00055E30" w:rsidRPr="00676D45" w:rsidRDefault="00055E30" w:rsidP="009B4ED3">
      <w:pPr>
        <w:rPr>
          <w:rFonts w:cstheme="minorHAnsi"/>
          <w:sz w:val="18"/>
          <w:szCs w:val="18"/>
        </w:rPr>
      </w:pPr>
      <w:r>
        <w:rPr>
          <w:rStyle w:val="EndnoteReference"/>
          <w:sz w:val="18"/>
          <w:szCs w:val="18"/>
        </w:rPr>
        <w:endnoteRef/>
      </w:r>
      <w:r>
        <w:t xml:space="preserve"> </w:t>
      </w:r>
      <w:r>
        <w:rPr>
          <w:sz w:val="18"/>
          <w:szCs w:val="18"/>
        </w:rPr>
        <w:t>La législation doit contenir au moins les éléments suivants :</w:t>
      </w:r>
    </w:p>
    <w:p w14:paraId="434590A8" w14:textId="0130E5ED" w:rsidR="00055E30" w:rsidRPr="00676D45" w:rsidRDefault="00055E30" w:rsidP="00925812">
      <w:pPr>
        <w:pStyle w:val="ListParagraph"/>
        <w:numPr>
          <w:ilvl w:val="0"/>
          <w:numId w:val="16"/>
        </w:numPr>
        <w:ind w:left="284" w:hanging="284"/>
        <w:rPr>
          <w:rFonts w:cstheme="minorHAnsi"/>
          <w:sz w:val="18"/>
          <w:szCs w:val="18"/>
        </w:rPr>
      </w:pPr>
      <w:r>
        <w:rPr>
          <w:sz w:val="18"/>
          <w:szCs w:val="18"/>
        </w:rPr>
        <w:t>La définition de la discrimination fondée sur le handicap est conforme à l'article 2 de la Convention ;</w:t>
      </w:r>
    </w:p>
    <w:p w14:paraId="517A507A" w14:textId="7375C9A2" w:rsidR="00055E30" w:rsidRPr="00676D45" w:rsidRDefault="00D4434E" w:rsidP="00925812">
      <w:pPr>
        <w:pStyle w:val="ListParagraph"/>
        <w:numPr>
          <w:ilvl w:val="0"/>
          <w:numId w:val="16"/>
        </w:numPr>
        <w:ind w:left="284" w:hanging="284"/>
        <w:rPr>
          <w:rFonts w:cstheme="minorHAnsi"/>
          <w:sz w:val="18"/>
          <w:szCs w:val="18"/>
        </w:rPr>
      </w:pPr>
      <w:r>
        <w:rPr>
          <w:sz w:val="18"/>
          <w:szCs w:val="18"/>
        </w:rPr>
        <w:t xml:space="preserve">L’interdiction de la discrimination à l'égard des </w:t>
      </w:r>
      <w:r w:rsidR="0043208C">
        <w:rPr>
          <w:sz w:val="18"/>
          <w:szCs w:val="18"/>
        </w:rPr>
        <w:t>personnes handicapées</w:t>
      </w:r>
      <w:r>
        <w:rPr>
          <w:sz w:val="18"/>
          <w:szCs w:val="18"/>
        </w:rPr>
        <w:t xml:space="preserve"> sur la base de tous les motifs de discrimination interdits, y compris le handicap réel ou </w:t>
      </w:r>
      <w:r w:rsidR="0043208C">
        <w:rPr>
          <w:sz w:val="18"/>
          <w:szCs w:val="18"/>
        </w:rPr>
        <w:t>supposé</w:t>
      </w:r>
      <w:r>
        <w:rPr>
          <w:sz w:val="18"/>
          <w:szCs w:val="18"/>
        </w:rPr>
        <w:t> ;</w:t>
      </w:r>
    </w:p>
    <w:p w14:paraId="5ECB6854" w14:textId="59787FC5" w:rsidR="00055E30" w:rsidRPr="00676D45" w:rsidRDefault="00055E30" w:rsidP="00925812">
      <w:pPr>
        <w:pStyle w:val="ListParagraph"/>
        <w:numPr>
          <w:ilvl w:val="0"/>
          <w:numId w:val="16"/>
        </w:numPr>
        <w:ind w:left="284" w:hanging="284"/>
        <w:rPr>
          <w:rFonts w:cstheme="minorHAnsi"/>
          <w:sz w:val="18"/>
          <w:szCs w:val="18"/>
        </w:rPr>
      </w:pPr>
      <w:r>
        <w:rPr>
          <w:sz w:val="18"/>
          <w:szCs w:val="18"/>
        </w:rPr>
        <w:t xml:space="preserve">La définition de la discrimination fondée sur le handicap comprend la discrimination directe/indirecte, le harcèlement, la discrimination par association, la discrimination multiple/intersectorielle et le refus d'aménagement raisonnable, qui est défini conformément à la Convention ; </w:t>
      </w:r>
    </w:p>
    <w:p w14:paraId="3C6E3C8D" w14:textId="3DB6D663" w:rsidR="00055E30" w:rsidRPr="00676D45" w:rsidRDefault="00055E30" w:rsidP="00925812">
      <w:pPr>
        <w:pStyle w:val="ListParagraph"/>
        <w:numPr>
          <w:ilvl w:val="0"/>
          <w:numId w:val="16"/>
        </w:numPr>
        <w:ind w:left="284" w:hanging="284"/>
        <w:rPr>
          <w:rFonts w:cstheme="minorHAnsi"/>
          <w:sz w:val="18"/>
          <w:szCs w:val="18"/>
        </w:rPr>
      </w:pPr>
      <w:r>
        <w:rPr>
          <w:sz w:val="18"/>
          <w:szCs w:val="18"/>
        </w:rPr>
        <w:t>La discrimination fondée sur le handicap est interdite dans tous les secteurs et dans tous les domaines de la vie, y compris l'emploi, l'éducation, les soins de santé, l'accès aux biens et services, l'accès à la justice, la participation politique, etc. ;</w:t>
      </w:r>
    </w:p>
    <w:p w14:paraId="0AF15018" w14:textId="2C023B06" w:rsidR="00055E30" w:rsidRPr="00676D45" w:rsidRDefault="00D4434E" w:rsidP="00925812">
      <w:pPr>
        <w:pStyle w:val="ListParagraph"/>
        <w:numPr>
          <w:ilvl w:val="0"/>
          <w:numId w:val="16"/>
        </w:numPr>
        <w:ind w:left="284" w:hanging="284"/>
        <w:rPr>
          <w:rFonts w:cstheme="minorHAnsi"/>
          <w:sz w:val="18"/>
          <w:szCs w:val="18"/>
        </w:rPr>
      </w:pPr>
      <w:r>
        <w:rPr>
          <w:sz w:val="18"/>
          <w:szCs w:val="18"/>
        </w:rPr>
        <w:t>L'obligation de fournir des aménagements raisonnables est reconnue dans tous les secteurs et dans tous les domaines de la vie.</w:t>
      </w:r>
    </w:p>
    <w:p w14:paraId="6C15C57C" w14:textId="654BD1F6" w:rsidR="00055E30" w:rsidRPr="00676D45" w:rsidRDefault="00055E30" w:rsidP="00925812">
      <w:pPr>
        <w:pStyle w:val="ListParagraph"/>
        <w:numPr>
          <w:ilvl w:val="0"/>
          <w:numId w:val="16"/>
        </w:numPr>
        <w:ind w:left="284" w:hanging="284"/>
        <w:rPr>
          <w:rFonts w:cstheme="minorHAnsi"/>
          <w:sz w:val="18"/>
          <w:szCs w:val="18"/>
        </w:rPr>
      </w:pPr>
      <w:r>
        <w:rPr>
          <w:sz w:val="18"/>
          <w:szCs w:val="18"/>
        </w:rPr>
        <w:t>La fourniture de mécanismes</w:t>
      </w:r>
      <w:r w:rsidR="0043208C">
        <w:rPr>
          <w:sz w:val="18"/>
          <w:szCs w:val="18"/>
        </w:rPr>
        <w:t xml:space="preserve"> de financement pour assurer l’apport </w:t>
      </w:r>
      <w:r>
        <w:rPr>
          <w:sz w:val="18"/>
          <w:szCs w:val="18"/>
        </w:rPr>
        <w:t xml:space="preserve">d'aménagements raisonnables ; </w:t>
      </w:r>
    </w:p>
    <w:p w14:paraId="1A462534" w14:textId="06952A3E" w:rsidR="00055E30" w:rsidRPr="00676D45" w:rsidRDefault="007A36BD" w:rsidP="00925812">
      <w:pPr>
        <w:pStyle w:val="ListParagraph"/>
        <w:numPr>
          <w:ilvl w:val="0"/>
          <w:numId w:val="16"/>
        </w:numPr>
        <w:ind w:left="284" w:hanging="284"/>
        <w:rPr>
          <w:rFonts w:cstheme="minorHAnsi"/>
          <w:sz w:val="18"/>
          <w:szCs w:val="18"/>
        </w:rPr>
      </w:pPr>
      <w:r>
        <w:rPr>
          <w:sz w:val="18"/>
          <w:szCs w:val="18"/>
        </w:rPr>
        <w:t xml:space="preserve">La nomination d'un mécanisme national chargé de lutter contre la discrimination fondée sur le handicap ; </w:t>
      </w:r>
    </w:p>
    <w:p w14:paraId="429CFD99" w14:textId="54DE68B1" w:rsidR="00E97CC4" w:rsidRPr="00676D45" w:rsidRDefault="00055E30" w:rsidP="00925812">
      <w:pPr>
        <w:pStyle w:val="ListParagraph"/>
        <w:numPr>
          <w:ilvl w:val="0"/>
          <w:numId w:val="16"/>
        </w:numPr>
        <w:ind w:left="284" w:hanging="284"/>
        <w:rPr>
          <w:rFonts w:cstheme="minorHAnsi"/>
          <w:sz w:val="18"/>
          <w:szCs w:val="18"/>
        </w:rPr>
      </w:pPr>
      <w:r>
        <w:rPr>
          <w:sz w:val="18"/>
          <w:szCs w:val="18"/>
        </w:rPr>
        <w:t>La disponibilité de recours efficaces contre les violations de la législation anti-discrimination et des sanctions dissuasives associées ;</w:t>
      </w:r>
    </w:p>
    <w:p w14:paraId="100DF8D0" w14:textId="00EF937A" w:rsidR="00055E30" w:rsidRPr="00676D45" w:rsidRDefault="00E97CC4" w:rsidP="00925812">
      <w:pPr>
        <w:pStyle w:val="ListParagraph"/>
        <w:numPr>
          <w:ilvl w:val="0"/>
          <w:numId w:val="16"/>
        </w:numPr>
        <w:ind w:left="284" w:hanging="284"/>
        <w:rPr>
          <w:rFonts w:cstheme="minorHAnsi"/>
          <w:sz w:val="18"/>
          <w:szCs w:val="18"/>
        </w:rPr>
      </w:pPr>
      <w:r>
        <w:rPr>
          <w:sz w:val="18"/>
          <w:szCs w:val="18"/>
        </w:rPr>
        <w:t>La large reconnaissance du statut juridique, y compris les victimes individuelles, les groupes et les associations qui luttent contre les pratiques discriminatoires ; et</w:t>
      </w:r>
      <w:r w:rsidR="007E13FC">
        <w:rPr>
          <w:sz w:val="18"/>
          <w:szCs w:val="18"/>
        </w:rPr>
        <w:t xml:space="preserve"> </w:t>
      </w:r>
    </w:p>
    <w:p w14:paraId="6ABEDA2D" w14:textId="44015342" w:rsidR="00055E30" w:rsidRPr="007E7FCA" w:rsidRDefault="00055E30" w:rsidP="00925812">
      <w:pPr>
        <w:pStyle w:val="ListParagraph"/>
        <w:numPr>
          <w:ilvl w:val="0"/>
          <w:numId w:val="16"/>
        </w:numPr>
        <w:ind w:left="284" w:hanging="284"/>
        <w:rPr>
          <w:rFonts w:cstheme="minorHAnsi"/>
          <w:sz w:val="18"/>
          <w:szCs w:val="18"/>
        </w:rPr>
      </w:pPr>
      <w:r>
        <w:rPr>
          <w:sz w:val="18"/>
          <w:szCs w:val="18"/>
        </w:rPr>
        <w:t xml:space="preserve">L'obligation de l'État d'adopter des mesures spécifiques, y compris des mesures d'action positive, pour atteindre l'égalité de facto des </w:t>
      </w:r>
      <w:r w:rsidR="0043208C">
        <w:rPr>
          <w:sz w:val="18"/>
          <w:szCs w:val="18"/>
        </w:rPr>
        <w:t>personnes handicapées</w:t>
      </w:r>
      <w:r>
        <w:rPr>
          <w:sz w:val="18"/>
          <w:szCs w:val="18"/>
        </w:rPr>
        <w:t>.</w:t>
      </w:r>
    </w:p>
  </w:endnote>
  <w:endnote w:id="2">
    <w:p w14:paraId="1FBB6B4B" w14:textId="1CB008CC" w:rsidR="0041244E" w:rsidRPr="00676D45" w:rsidRDefault="0041244E">
      <w:pPr>
        <w:pStyle w:val="EndnoteText"/>
        <w:rPr>
          <w:sz w:val="18"/>
          <w:szCs w:val="18"/>
        </w:rPr>
      </w:pPr>
      <w:r>
        <w:rPr>
          <w:rStyle w:val="EndnoteReference"/>
          <w:sz w:val="18"/>
          <w:szCs w:val="18"/>
        </w:rPr>
        <w:endnoteRef/>
      </w:r>
      <w:r>
        <w:t xml:space="preserve"> </w:t>
      </w:r>
      <w:r>
        <w:rPr>
          <w:sz w:val="18"/>
          <w:szCs w:val="18"/>
        </w:rPr>
        <w:t xml:space="preserve">Par exemple, les femmes et les filles, les enfants, les personnes âgées, les personnes sourdes-aveugles, les </w:t>
      </w:r>
      <w:r w:rsidR="0043208C">
        <w:rPr>
          <w:sz w:val="18"/>
          <w:szCs w:val="18"/>
        </w:rPr>
        <w:t>personnes handicapées</w:t>
      </w:r>
      <w:r>
        <w:rPr>
          <w:sz w:val="18"/>
          <w:szCs w:val="18"/>
        </w:rPr>
        <w:t xml:space="preserve"> </w:t>
      </w:r>
      <w:r w:rsidR="0043208C">
        <w:rPr>
          <w:sz w:val="18"/>
          <w:szCs w:val="18"/>
        </w:rPr>
        <w:t>intellectuelles</w:t>
      </w:r>
      <w:r>
        <w:rPr>
          <w:sz w:val="18"/>
          <w:szCs w:val="18"/>
        </w:rPr>
        <w:t xml:space="preserve">, les </w:t>
      </w:r>
      <w:r w:rsidR="0043208C">
        <w:rPr>
          <w:sz w:val="18"/>
          <w:szCs w:val="18"/>
        </w:rPr>
        <w:t>personnes handicapées</w:t>
      </w:r>
      <w:r>
        <w:rPr>
          <w:sz w:val="18"/>
          <w:szCs w:val="18"/>
        </w:rPr>
        <w:t xml:space="preserve"> psyc</w:t>
      </w:r>
      <w:r w:rsidR="0043208C">
        <w:rPr>
          <w:sz w:val="18"/>
          <w:szCs w:val="18"/>
        </w:rPr>
        <w:t xml:space="preserve">hosociales, les personnes LGBTI </w:t>
      </w:r>
      <w:r>
        <w:rPr>
          <w:sz w:val="18"/>
          <w:szCs w:val="18"/>
        </w:rPr>
        <w:t>handicap</w:t>
      </w:r>
      <w:r w:rsidR="0043208C">
        <w:rPr>
          <w:sz w:val="18"/>
          <w:szCs w:val="18"/>
        </w:rPr>
        <w:t>ées</w:t>
      </w:r>
      <w:r>
        <w:rPr>
          <w:sz w:val="18"/>
          <w:szCs w:val="18"/>
        </w:rPr>
        <w:t xml:space="preserve">, les </w:t>
      </w:r>
      <w:r w:rsidR="0043208C">
        <w:rPr>
          <w:sz w:val="18"/>
          <w:szCs w:val="18"/>
        </w:rPr>
        <w:t>personnes handicapées</w:t>
      </w:r>
      <w:r>
        <w:rPr>
          <w:sz w:val="18"/>
          <w:szCs w:val="18"/>
        </w:rPr>
        <w:t xml:space="preserve"> appartenant à des groupes socioéconomiques défavorisés, les migrants, les</w:t>
      </w:r>
      <w:r w:rsidR="0043208C">
        <w:rPr>
          <w:sz w:val="18"/>
          <w:szCs w:val="18"/>
        </w:rPr>
        <w:t xml:space="preserve"> personnes</w:t>
      </w:r>
      <w:r>
        <w:rPr>
          <w:sz w:val="18"/>
          <w:szCs w:val="18"/>
        </w:rPr>
        <w:t xml:space="preserve"> autochtones, les personnes albin</w:t>
      </w:r>
      <w:r w:rsidR="0043208C">
        <w:rPr>
          <w:sz w:val="18"/>
          <w:szCs w:val="18"/>
        </w:rPr>
        <w:t>os</w:t>
      </w:r>
      <w:r>
        <w:rPr>
          <w:sz w:val="18"/>
          <w:szCs w:val="18"/>
        </w:rPr>
        <w:t>, les personnes autis</w:t>
      </w:r>
      <w:r w:rsidR="0043208C">
        <w:rPr>
          <w:sz w:val="18"/>
          <w:szCs w:val="18"/>
        </w:rPr>
        <w:t>tes,</w:t>
      </w:r>
      <w:r>
        <w:rPr>
          <w:sz w:val="18"/>
          <w:szCs w:val="18"/>
        </w:rPr>
        <w:t xml:space="preserve"> les personnes appartenant à une minorité, les personnes vivant dans des zones rurales et isolées et les </w:t>
      </w:r>
      <w:r w:rsidR="0043208C">
        <w:rPr>
          <w:sz w:val="18"/>
          <w:szCs w:val="18"/>
        </w:rPr>
        <w:t>personnes handicapées</w:t>
      </w:r>
      <w:r>
        <w:rPr>
          <w:sz w:val="18"/>
          <w:szCs w:val="18"/>
        </w:rPr>
        <w:t xml:space="preserve"> déplacées, entre autres.</w:t>
      </w:r>
    </w:p>
  </w:endnote>
  <w:endnote w:id="3">
    <w:p w14:paraId="1810B53A" w14:textId="62D21CD5" w:rsidR="006655EC" w:rsidRPr="00676D45" w:rsidRDefault="006655EC" w:rsidP="006655EC">
      <w:pPr>
        <w:pStyle w:val="EndnoteText"/>
        <w:rPr>
          <w:sz w:val="18"/>
          <w:szCs w:val="18"/>
        </w:rPr>
      </w:pPr>
      <w:r>
        <w:rPr>
          <w:rStyle w:val="EndnoteReference"/>
          <w:sz w:val="18"/>
          <w:szCs w:val="18"/>
        </w:rPr>
        <w:endnoteRef/>
      </w:r>
      <w:r>
        <w:t xml:space="preserve"> </w:t>
      </w:r>
      <w:r>
        <w:rPr>
          <w:sz w:val="18"/>
          <w:szCs w:val="18"/>
        </w:rPr>
        <w:t>La publication des données doit respecter le droit à la vie privée des individus et les normes de protection des données. Voir HCDH,</w:t>
      </w:r>
      <w:r>
        <w:t xml:space="preserve"> </w:t>
      </w:r>
      <w:hyperlink r:id="rId1" w:history="1">
        <w:r>
          <w:rPr>
            <w:rStyle w:val="Hyperlink"/>
            <w:sz w:val="18"/>
            <w:szCs w:val="18"/>
          </w:rPr>
          <w:t>Une approche des données fondée sur les droits de l'homme</w:t>
        </w:r>
      </w:hyperlink>
      <w:r>
        <w:t xml:space="preserve"> </w:t>
      </w:r>
      <w:r>
        <w:rPr>
          <w:sz w:val="18"/>
          <w:szCs w:val="18"/>
        </w:rPr>
        <w:t>(2018).</w:t>
      </w:r>
    </w:p>
  </w:endnote>
  <w:endnote w:id="4">
    <w:p w14:paraId="59F12608" w14:textId="16079ECA" w:rsidR="00055E30" w:rsidRPr="00676D45" w:rsidRDefault="00055E30">
      <w:pPr>
        <w:pStyle w:val="EndnoteText"/>
        <w:rPr>
          <w:sz w:val="18"/>
          <w:szCs w:val="18"/>
        </w:rPr>
      </w:pPr>
      <w:r>
        <w:rPr>
          <w:rStyle w:val="EndnoteReference"/>
          <w:sz w:val="18"/>
          <w:szCs w:val="18"/>
        </w:rPr>
        <w:endnoteRef/>
      </w:r>
      <w:r>
        <w:rPr>
          <w:sz w:val="18"/>
          <w:szCs w:val="18"/>
        </w:rPr>
        <w:t>« La législation thématique pertinente adoptée » fait référence aux cadres juridiques régissant l'exercice des droits, qu'ils soient spécifiques au handicap ou traditionnels (par exemple, le code du travail, la loi sur l'éducation, la loi sur la protection sociale, la loi sur les médias, etc.)</w:t>
      </w:r>
    </w:p>
  </w:endnote>
  <w:endnote w:id="5">
    <w:p w14:paraId="65C8005E" w14:textId="3B15A0B8" w:rsidR="00055E30" w:rsidRPr="00676D45" w:rsidRDefault="00055E30">
      <w:pPr>
        <w:pStyle w:val="EndnoteText"/>
        <w:rPr>
          <w:sz w:val="18"/>
          <w:szCs w:val="18"/>
        </w:rPr>
      </w:pPr>
      <w:r>
        <w:rPr>
          <w:rStyle w:val="EndnoteReference"/>
          <w:sz w:val="18"/>
          <w:szCs w:val="18"/>
        </w:rPr>
        <w:endnoteRef/>
      </w:r>
      <w:r>
        <w:t xml:space="preserve"> </w:t>
      </w:r>
      <w:r>
        <w:rPr>
          <w:sz w:val="18"/>
          <w:szCs w:val="18"/>
        </w:rPr>
        <w:t>Par exemple, des orientations sur l'aménagement raisonnable pourraient contribuer à assurer une meilleure connaissance de celui-ci et de sa disposition plus large, d'autant plus que l'obligation de fournir un aménagement raisonnable est souvent mal comprise et confondue avec les mesures d'accessibilité. Pour une distinction claire, voir Comité CDPH,</w:t>
      </w:r>
      <w:r>
        <w:t xml:space="preserve"> </w:t>
      </w:r>
      <w:hyperlink r:id="rId2" w:history="1">
        <w:r>
          <w:rPr>
            <w:rStyle w:val="Hyperlink"/>
            <w:sz w:val="18"/>
            <w:szCs w:val="18"/>
          </w:rPr>
          <w:t>Observation générale no. 2</w:t>
        </w:r>
      </w:hyperlink>
      <w:r>
        <w:rPr>
          <w:sz w:val="18"/>
          <w:szCs w:val="18"/>
        </w:rPr>
        <w:t>, par. 25 et 26, et</w:t>
      </w:r>
      <w:r>
        <w:t xml:space="preserve"> </w:t>
      </w:r>
      <w:hyperlink r:id="rId3" w:history="1">
        <w:r>
          <w:rPr>
            <w:rStyle w:val="Hyperlink"/>
            <w:sz w:val="18"/>
            <w:szCs w:val="18"/>
          </w:rPr>
          <w:t>Ob</w:t>
        </w:r>
        <w:r>
          <w:rPr>
            <w:rStyle w:val="Hyperlink"/>
            <w:sz w:val="18"/>
            <w:szCs w:val="18"/>
          </w:rPr>
          <w:t>s</w:t>
        </w:r>
        <w:r>
          <w:rPr>
            <w:rStyle w:val="Hyperlink"/>
            <w:sz w:val="18"/>
            <w:szCs w:val="18"/>
          </w:rPr>
          <w:t>erv</w:t>
        </w:r>
        <w:r>
          <w:rPr>
            <w:rStyle w:val="Hyperlink"/>
            <w:sz w:val="18"/>
            <w:szCs w:val="18"/>
          </w:rPr>
          <w:t>a</w:t>
        </w:r>
        <w:r>
          <w:rPr>
            <w:rStyle w:val="Hyperlink"/>
            <w:sz w:val="18"/>
            <w:szCs w:val="18"/>
          </w:rPr>
          <w:t>tion générale no. 6</w:t>
        </w:r>
      </w:hyperlink>
      <w:r>
        <w:rPr>
          <w:sz w:val="18"/>
          <w:szCs w:val="18"/>
        </w:rPr>
        <w:t>, par. 26. Par exemple, des directives sur l'aménagement raisonnable au niveau national ont été élaborées au Pérou</w:t>
      </w:r>
      <w:r>
        <w:t xml:space="preserve"> </w:t>
      </w:r>
      <w:hyperlink r:id="rId4" w:history="1">
        <w:r>
          <w:rPr>
            <w:rStyle w:val="Hyperlink"/>
            <w:sz w:val="18"/>
            <w:szCs w:val="18"/>
          </w:rPr>
          <w:t>https://www.gob.pe/institucion/mtpe/normas-legales/282560-171-2019-tr</w:t>
        </w:r>
      </w:hyperlink>
      <w:r>
        <w:rPr>
          <w:sz w:val="18"/>
          <w:szCs w:val="18"/>
        </w:rPr>
        <w:t>; en Nouvelle-Zélande</w:t>
      </w:r>
      <w:r>
        <w:t xml:space="preserve"> </w:t>
      </w:r>
      <w:hyperlink r:id="rId5" w:history="1">
        <w:r>
          <w:rPr>
            <w:rStyle w:val="Hyperlink"/>
            <w:sz w:val="18"/>
            <w:szCs w:val="18"/>
          </w:rPr>
          <w:t>https://www.hrc.co.nz/files/7814/4848/7923/imm_reasonable_accommodation_guide.pdf</w:t>
        </w:r>
      </w:hyperlink>
      <w:r>
        <w:rPr>
          <w:sz w:val="18"/>
          <w:szCs w:val="18"/>
        </w:rPr>
        <w:t>, entre autres.</w:t>
      </w:r>
    </w:p>
  </w:endnote>
  <w:endnote w:id="6">
    <w:p w14:paraId="36D60687" w14:textId="77777777" w:rsidR="00C07C6E" w:rsidRPr="00676D45" w:rsidRDefault="00C07C6E" w:rsidP="00C07C6E">
      <w:pPr>
        <w:pStyle w:val="EndnoteText"/>
        <w:rPr>
          <w:sz w:val="18"/>
          <w:szCs w:val="18"/>
        </w:rPr>
      </w:pPr>
      <w:r>
        <w:rPr>
          <w:rStyle w:val="EndnoteReference"/>
          <w:sz w:val="18"/>
          <w:szCs w:val="18"/>
        </w:rPr>
        <w:endnoteRef/>
      </w:r>
      <w:r>
        <w:rPr>
          <w:sz w:val="18"/>
          <w:szCs w:val="18"/>
        </w:rPr>
        <w:t>Des exemples typiques de mesures spécifiques, y compris des actions positives, pour parvenir à l'égalité de facto, sont :</w:t>
      </w:r>
    </w:p>
    <w:p w14:paraId="4BC544E8" w14:textId="32A08C69" w:rsidR="00C07C6E" w:rsidRPr="00676D45" w:rsidRDefault="00C07C6E" w:rsidP="00925812">
      <w:pPr>
        <w:pStyle w:val="EndnoteText"/>
        <w:numPr>
          <w:ilvl w:val="0"/>
          <w:numId w:val="14"/>
        </w:numPr>
        <w:ind w:left="284" w:hanging="284"/>
        <w:rPr>
          <w:sz w:val="18"/>
          <w:szCs w:val="18"/>
        </w:rPr>
      </w:pPr>
      <w:r>
        <w:rPr>
          <w:sz w:val="18"/>
          <w:szCs w:val="18"/>
        </w:rPr>
        <w:t xml:space="preserve">Des quotas d'emploi obligeant les employeurs publics et privés à embaucher une certaine proportion de </w:t>
      </w:r>
      <w:r w:rsidR="0043208C">
        <w:rPr>
          <w:sz w:val="18"/>
          <w:szCs w:val="18"/>
        </w:rPr>
        <w:t>personnes handicapées</w:t>
      </w:r>
      <w:r>
        <w:rPr>
          <w:sz w:val="18"/>
          <w:szCs w:val="18"/>
        </w:rPr>
        <w:t xml:space="preserve"> en fonction du nombre total d'employés (par exemple 1 sur 20, 5 %) ;</w:t>
      </w:r>
    </w:p>
    <w:p w14:paraId="69F14648" w14:textId="69CCD3E1" w:rsidR="00C07C6E" w:rsidRPr="00676D45" w:rsidRDefault="00C07C6E" w:rsidP="00925812">
      <w:pPr>
        <w:pStyle w:val="EndnoteText"/>
        <w:numPr>
          <w:ilvl w:val="0"/>
          <w:numId w:val="14"/>
        </w:numPr>
        <w:ind w:left="284" w:hanging="284"/>
        <w:rPr>
          <w:sz w:val="18"/>
          <w:szCs w:val="18"/>
        </w:rPr>
      </w:pPr>
      <w:r>
        <w:rPr>
          <w:sz w:val="18"/>
          <w:szCs w:val="18"/>
        </w:rPr>
        <w:t xml:space="preserve">Des quotas sur les listes électorales ou des sièges réservés au Parlement pour promouvoir la représentativité et renforcer la participation politique des </w:t>
      </w:r>
      <w:r w:rsidR="0043208C">
        <w:rPr>
          <w:sz w:val="18"/>
          <w:szCs w:val="18"/>
        </w:rPr>
        <w:t>personnes handicapées</w:t>
      </w:r>
      <w:r>
        <w:rPr>
          <w:sz w:val="18"/>
          <w:szCs w:val="18"/>
        </w:rPr>
        <w:t xml:space="preserve"> ; </w:t>
      </w:r>
    </w:p>
    <w:p w14:paraId="6822155D" w14:textId="21C69FB0" w:rsidR="00C07C6E" w:rsidRPr="00676D45" w:rsidRDefault="00C07C6E" w:rsidP="00925812">
      <w:pPr>
        <w:pStyle w:val="EndnoteText"/>
        <w:numPr>
          <w:ilvl w:val="0"/>
          <w:numId w:val="14"/>
        </w:numPr>
        <w:ind w:left="284" w:hanging="284"/>
        <w:rPr>
          <w:sz w:val="18"/>
          <w:szCs w:val="18"/>
        </w:rPr>
      </w:pPr>
      <w:r>
        <w:rPr>
          <w:sz w:val="18"/>
          <w:szCs w:val="18"/>
        </w:rPr>
        <w:t>Des exonérations fiscales pour l'importation de produits spécifiques pour la mobilité (voitures adaptées, appareils et accessoires fonctionnels, etc.) ;</w:t>
      </w:r>
    </w:p>
    <w:p w14:paraId="7E9A8F7C" w14:textId="68492F3A" w:rsidR="00C07C6E" w:rsidRPr="00676D45" w:rsidRDefault="00C07C6E" w:rsidP="00925812">
      <w:pPr>
        <w:pStyle w:val="EndnoteText"/>
        <w:numPr>
          <w:ilvl w:val="0"/>
          <w:numId w:val="14"/>
        </w:numPr>
        <w:ind w:left="284" w:hanging="284"/>
        <w:rPr>
          <w:sz w:val="18"/>
          <w:szCs w:val="18"/>
        </w:rPr>
      </w:pPr>
      <w:r>
        <w:rPr>
          <w:sz w:val="18"/>
          <w:szCs w:val="18"/>
        </w:rPr>
        <w:t xml:space="preserve">Des prestations de protection sociale accordées aux </w:t>
      </w:r>
      <w:r w:rsidR="0043208C">
        <w:rPr>
          <w:sz w:val="18"/>
          <w:szCs w:val="18"/>
        </w:rPr>
        <w:t>personnes handicapées</w:t>
      </w:r>
      <w:r>
        <w:rPr>
          <w:sz w:val="18"/>
          <w:szCs w:val="18"/>
        </w:rPr>
        <w:t xml:space="preserve">, soit pour assurer la sécurité du revenu (programmes de réduction de la pauvreté ciblant les </w:t>
      </w:r>
      <w:r w:rsidR="0043208C">
        <w:rPr>
          <w:sz w:val="18"/>
          <w:szCs w:val="18"/>
        </w:rPr>
        <w:t>personnes handicapées</w:t>
      </w:r>
      <w:r>
        <w:rPr>
          <w:sz w:val="18"/>
          <w:szCs w:val="18"/>
        </w:rPr>
        <w:t>), soit pour couvrir les coûts liés au handicap (programmes de protection sociale pour atténuer et couvrir les coûts supplémentaires directs ou indirects des dépenses liées au handicap).</w:t>
      </w:r>
    </w:p>
  </w:endnote>
  <w:endnote w:id="7">
    <w:p w14:paraId="75779595" w14:textId="2F820590" w:rsidR="00D40BFA" w:rsidRPr="00676D45" w:rsidRDefault="00D40BFA" w:rsidP="00C07C6E">
      <w:pPr>
        <w:pStyle w:val="EndnoteText"/>
        <w:jc w:val="both"/>
        <w:rPr>
          <w:sz w:val="18"/>
          <w:szCs w:val="18"/>
        </w:rPr>
      </w:pPr>
      <w:r>
        <w:rPr>
          <w:rStyle w:val="EndnoteReference"/>
          <w:sz w:val="18"/>
          <w:szCs w:val="18"/>
        </w:rPr>
        <w:endnoteRef/>
      </w:r>
      <w:r>
        <w:t xml:space="preserve"> </w:t>
      </w:r>
      <w:r>
        <w:rPr>
          <w:sz w:val="18"/>
          <w:szCs w:val="18"/>
        </w:rPr>
        <w:t xml:space="preserve">Les mesures d'action positive devraient être conçues pour garantir que leur impact puisse être contrôlé afin de rendre compte des bénéficiaires, en particulier, afin de refléter les identités multiples et croisées des bénéficiaires lorsque cela est pertinent pour le contexte. Par exemple, une augmentation du taux d'admission des </w:t>
      </w:r>
      <w:r w:rsidR="0043208C">
        <w:rPr>
          <w:sz w:val="18"/>
          <w:szCs w:val="18"/>
        </w:rPr>
        <w:t>personnes handicapées</w:t>
      </w:r>
      <w:r>
        <w:rPr>
          <w:sz w:val="18"/>
          <w:szCs w:val="18"/>
        </w:rPr>
        <w:t xml:space="preserve"> dans les universités peut être l'effet d'une mesure d'action positive (par exemple quota ou admission préférentielle) et/ou l'augmentation du nombre de candidats handicap</w:t>
      </w:r>
      <w:r w:rsidR="0043208C">
        <w:rPr>
          <w:sz w:val="18"/>
          <w:szCs w:val="18"/>
        </w:rPr>
        <w:t>és</w:t>
      </w:r>
      <w:r>
        <w:rPr>
          <w:sz w:val="18"/>
          <w:szCs w:val="18"/>
        </w:rPr>
        <w:t xml:space="preserve"> éligibles.</w:t>
      </w:r>
    </w:p>
  </w:endnote>
  <w:endnote w:id="8">
    <w:p w14:paraId="000784A5" w14:textId="2B9AC044" w:rsidR="007E7FCA" w:rsidRPr="00DD35DD" w:rsidRDefault="00D40BFA" w:rsidP="007E7FCA">
      <w:pPr>
        <w:pStyle w:val="EndnoteText"/>
        <w:jc w:val="both"/>
        <w:rPr>
          <w:sz w:val="18"/>
          <w:szCs w:val="18"/>
        </w:rPr>
      </w:pPr>
      <w:r>
        <w:rPr>
          <w:rStyle w:val="EndnoteReference"/>
          <w:sz w:val="18"/>
          <w:szCs w:val="18"/>
        </w:rPr>
        <w:endnoteRef/>
      </w:r>
      <w:r>
        <w:t xml:space="preserve"> </w:t>
      </w:r>
      <w:r>
        <w:rPr>
          <w:sz w:val="18"/>
          <w:szCs w:val="18"/>
        </w:rPr>
        <w:t xml:space="preserve">Cet indicateur nécessite de vérifier les activités concrètes entreprises par les autorités publiques pour </w:t>
      </w:r>
      <w:r w:rsidR="0043208C">
        <w:rPr>
          <w:sz w:val="18"/>
          <w:szCs w:val="18"/>
        </w:rPr>
        <w:t>faire participer</w:t>
      </w:r>
      <w:r>
        <w:rPr>
          <w:sz w:val="18"/>
          <w:szCs w:val="18"/>
        </w:rPr>
        <w:t xml:space="preserve"> les </w:t>
      </w:r>
      <w:r w:rsidR="0043208C">
        <w:rPr>
          <w:sz w:val="18"/>
          <w:szCs w:val="18"/>
        </w:rPr>
        <w:t>personnes handicapées</w:t>
      </w:r>
      <w:r>
        <w:rPr>
          <w:sz w:val="18"/>
          <w:szCs w:val="18"/>
        </w:rPr>
        <w:t xml:space="preserve"> dans les processus décisionnels liés aux questions qui les affectent directement ou indirectement conformément à l'article 4.3 de la CDPH et </w:t>
      </w:r>
      <w:hyperlink r:id="rId6" w:history="1">
        <w:r w:rsidRPr="004718FA">
          <w:rPr>
            <w:rStyle w:val="Hyperlink"/>
            <w:sz w:val="18"/>
            <w:szCs w:val="18"/>
          </w:rPr>
          <w:t>à l'Observation générale no. 7</w:t>
        </w:r>
      </w:hyperlink>
      <w:bookmarkStart w:id="0" w:name="_GoBack"/>
      <w:bookmarkEnd w:id="0"/>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3B786696" w14:textId="77777777" w:rsidR="007E7FCA" w:rsidRPr="00DD35DD" w:rsidRDefault="007E7FCA" w:rsidP="00925812">
      <w:pPr>
        <w:pStyle w:val="EndnoteText"/>
        <w:numPr>
          <w:ilvl w:val="0"/>
          <w:numId w:val="3"/>
        </w:numPr>
        <w:ind w:left="284" w:hanging="284"/>
        <w:contextualSpacing/>
        <w:rPr>
          <w:sz w:val="18"/>
          <w:szCs w:val="18"/>
        </w:rPr>
      </w:pPr>
      <w:proofErr w:type="gramStart"/>
      <w:r>
        <w:rPr>
          <w:sz w:val="18"/>
          <w:szCs w:val="18"/>
        </w:rPr>
        <w:t>veiller</w:t>
      </w:r>
      <w:proofErr w:type="gramEnd"/>
      <w:r>
        <w:rPr>
          <w:sz w:val="18"/>
          <w:szCs w:val="18"/>
        </w:rPr>
        <w:t xml:space="preserve"> à ce que les processus de consultation soient transparents et accessibles ;</w:t>
      </w:r>
    </w:p>
    <w:p w14:paraId="15046EA0" w14:textId="77777777" w:rsidR="007E7FCA" w:rsidRPr="00DD35DD" w:rsidRDefault="007E7FCA" w:rsidP="00925812">
      <w:pPr>
        <w:pStyle w:val="EndnoteText"/>
        <w:numPr>
          <w:ilvl w:val="0"/>
          <w:numId w:val="3"/>
        </w:numPr>
        <w:ind w:left="284" w:hanging="284"/>
        <w:contextualSpacing/>
        <w:rPr>
          <w:sz w:val="18"/>
          <w:szCs w:val="18"/>
        </w:rPr>
      </w:pPr>
      <w:proofErr w:type="gramStart"/>
      <w:r>
        <w:rPr>
          <w:sz w:val="18"/>
          <w:szCs w:val="18"/>
        </w:rPr>
        <w:t>assurer</w:t>
      </w:r>
      <w:proofErr w:type="gramEnd"/>
      <w:r>
        <w:rPr>
          <w:sz w:val="18"/>
          <w:szCs w:val="18"/>
        </w:rPr>
        <w:t xml:space="preserve"> la fourniture d'informations appropriées et accessibles ;</w:t>
      </w:r>
    </w:p>
    <w:p w14:paraId="6614A0FA" w14:textId="2EB24705" w:rsidR="007E7FCA" w:rsidRPr="00DD35DD" w:rsidRDefault="007E7FCA" w:rsidP="00925812">
      <w:pPr>
        <w:pStyle w:val="EndnoteText"/>
        <w:numPr>
          <w:ilvl w:val="0"/>
          <w:numId w:val="3"/>
        </w:numPr>
        <w:ind w:left="284" w:hanging="284"/>
        <w:contextualSpacing/>
        <w:rPr>
          <w:sz w:val="18"/>
          <w:szCs w:val="18"/>
        </w:rPr>
      </w:pPr>
      <w:proofErr w:type="gramStart"/>
      <w:r>
        <w:rPr>
          <w:sz w:val="18"/>
          <w:szCs w:val="18"/>
        </w:rPr>
        <w:t>ne</w:t>
      </w:r>
      <w:proofErr w:type="gramEnd"/>
      <w:r>
        <w:rPr>
          <w:sz w:val="18"/>
          <w:szCs w:val="18"/>
        </w:rPr>
        <w:t xml:space="preserve"> pas retenir d'informations, conditionner ou empêcher les organisations de </w:t>
      </w:r>
      <w:r w:rsidR="0043208C">
        <w:rPr>
          <w:sz w:val="18"/>
          <w:szCs w:val="18"/>
        </w:rPr>
        <w:t>personnes handicapées</w:t>
      </w:r>
      <w:r>
        <w:rPr>
          <w:sz w:val="18"/>
          <w:szCs w:val="18"/>
        </w:rPr>
        <w:t xml:space="preserve"> d'exprimer librement leurs opinions ;</w:t>
      </w:r>
    </w:p>
    <w:p w14:paraId="40708125" w14:textId="77777777" w:rsidR="007E7FCA" w:rsidRPr="00DD35DD" w:rsidRDefault="007E7FCA" w:rsidP="00925812">
      <w:pPr>
        <w:pStyle w:val="EndnoteText"/>
        <w:numPr>
          <w:ilvl w:val="0"/>
          <w:numId w:val="3"/>
        </w:numPr>
        <w:ind w:left="284" w:hanging="284"/>
        <w:contextualSpacing/>
        <w:rPr>
          <w:sz w:val="18"/>
          <w:szCs w:val="18"/>
        </w:rPr>
      </w:pPr>
      <w:proofErr w:type="gramStart"/>
      <w:r>
        <w:rPr>
          <w:sz w:val="18"/>
          <w:szCs w:val="18"/>
        </w:rPr>
        <w:t>inclure</w:t>
      </w:r>
      <w:proofErr w:type="gramEnd"/>
      <w:r>
        <w:rPr>
          <w:sz w:val="18"/>
          <w:szCs w:val="18"/>
        </w:rPr>
        <w:t xml:space="preserve"> à la fois les organisations enregistrées et non enregistrées ;</w:t>
      </w:r>
    </w:p>
    <w:p w14:paraId="2BC47E64" w14:textId="0A739000" w:rsidR="007E7FCA" w:rsidRDefault="007E7FCA" w:rsidP="00925812">
      <w:pPr>
        <w:pStyle w:val="EndnoteText"/>
        <w:numPr>
          <w:ilvl w:val="0"/>
          <w:numId w:val="3"/>
        </w:numPr>
        <w:ind w:left="284" w:hanging="284"/>
        <w:contextualSpacing/>
        <w:rPr>
          <w:sz w:val="18"/>
          <w:szCs w:val="18"/>
        </w:rPr>
      </w:pPr>
      <w:proofErr w:type="gramStart"/>
      <w:r>
        <w:rPr>
          <w:sz w:val="18"/>
          <w:szCs w:val="18"/>
        </w:rPr>
        <w:t>assurer</w:t>
      </w:r>
      <w:proofErr w:type="gramEnd"/>
      <w:r>
        <w:rPr>
          <w:sz w:val="18"/>
          <w:szCs w:val="18"/>
        </w:rPr>
        <w:t xml:space="preserve"> une </w:t>
      </w:r>
      <w:r w:rsidR="0043208C">
        <w:rPr>
          <w:sz w:val="18"/>
          <w:szCs w:val="18"/>
        </w:rPr>
        <w:t>participation</w:t>
      </w:r>
      <w:r>
        <w:rPr>
          <w:sz w:val="18"/>
          <w:szCs w:val="18"/>
        </w:rPr>
        <w:t xml:space="preserve"> précoce et continue ;</w:t>
      </w:r>
    </w:p>
    <w:p w14:paraId="17C449A1" w14:textId="766C173D" w:rsidR="00D40BFA" w:rsidRPr="007E7FCA" w:rsidRDefault="007E7FCA" w:rsidP="00925812">
      <w:pPr>
        <w:pStyle w:val="EndnoteText"/>
        <w:numPr>
          <w:ilvl w:val="0"/>
          <w:numId w:val="3"/>
        </w:numPr>
        <w:ind w:left="284" w:hanging="284"/>
        <w:contextualSpacing/>
        <w:rPr>
          <w:sz w:val="18"/>
          <w:szCs w:val="18"/>
        </w:rPr>
      </w:pPr>
      <w:proofErr w:type="gramStart"/>
      <w:r>
        <w:rPr>
          <w:sz w:val="18"/>
          <w:szCs w:val="18"/>
        </w:rPr>
        <w:t>couvrir</w:t>
      </w:r>
      <w:proofErr w:type="gramEnd"/>
      <w:r>
        <w:rPr>
          <w:sz w:val="18"/>
          <w:szCs w:val="18"/>
        </w:rPr>
        <w:t xml:space="preserve"> les dépenses connexes des participants.</w:t>
      </w:r>
    </w:p>
  </w:endnote>
  <w:endnote w:id="9">
    <w:p w14:paraId="1622FE2C" w14:textId="77777777" w:rsidR="00925812" w:rsidRDefault="00D40BFA" w:rsidP="00925812">
      <w:pPr>
        <w:ind w:left="284" w:hanging="284"/>
        <w:rPr>
          <w:rFonts w:cstheme="minorHAnsi"/>
          <w:sz w:val="18"/>
          <w:szCs w:val="18"/>
        </w:rPr>
      </w:pPr>
      <w:r>
        <w:rPr>
          <w:rStyle w:val="EndnoteReference"/>
          <w:sz w:val="18"/>
          <w:szCs w:val="18"/>
        </w:rPr>
        <w:endnoteRef/>
      </w:r>
      <w:r>
        <w:t xml:space="preserve"> </w:t>
      </w:r>
      <w:r>
        <w:rPr>
          <w:sz w:val="18"/>
          <w:szCs w:val="18"/>
        </w:rPr>
        <w:t xml:space="preserve">Ces informations doivent être ventilées par : </w:t>
      </w:r>
    </w:p>
    <w:p w14:paraId="6A631333" w14:textId="7ACB6850" w:rsidR="00D40BFA" w:rsidRPr="00925812" w:rsidRDefault="00464317" w:rsidP="00925812">
      <w:pPr>
        <w:pStyle w:val="ListParagraph"/>
        <w:numPr>
          <w:ilvl w:val="0"/>
          <w:numId w:val="15"/>
        </w:numPr>
        <w:ind w:left="284" w:hanging="284"/>
        <w:rPr>
          <w:rFonts w:cstheme="minorHAnsi"/>
          <w:sz w:val="18"/>
          <w:szCs w:val="18"/>
        </w:rPr>
      </w:pPr>
      <w:r>
        <w:rPr>
          <w:sz w:val="18"/>
          <w:szCs w:val="18"/>
        </w:rPr>
        <w:t>S</w:t>
      </w:r>
      <w:r w:rsidR="00D40BFA">
        <w:rPr>
          <w:sz w:val="18"/>
          <w:szCs w:val="18"/>
        </w:rPr>
        <w:t xml:space="preserve">exe, âge, handicap, origine ethnique, origine autochtone, minorité, langue, nationalité, statut de migrant, statut de réfugié, statut de demandeur d'asile, statut d'apatride, statut socioéconomique, situation géographique ou lieu de résidence (zone urbaine/rurale), religion, situation matrimoniale et familiale, orientation sexuelle, identité de genre du/des plaignant(s) ; </w:t>
      </w:r>
    </w:p>
    <w:p w14:paraId="75E47A32" w14:textId="725ECE1D" w:rsidR="00D40BFA" w:rsidRPr="00925812" w:rsidRDefault="00D40BFA" w:rsidP="00925812">
      <w:pPr>
        <w:pStyle w:val="ListParagraph"/>
        <w:numPr>
          <w:ilvl w:val="0"/>
          <w:numId w:val="15"/>
        </w:numPr>
        <w:ind w:left="284" w:hanging="284"/>
        <w:rPr>
          <w:rFonts w:cstheme="minorHAnsi"/>
          <w:sz w:val="18"/>
          <w:szCs w:val="18"/>
        </w:rPr>
      </w:pPr>
      <w:r>
        <w:rPr>
          <w:sz w:val="18"/>
          <w:szCs w:val="18"/>
        </w:rPr>
        <w:t xml:space="preserve">Mécanisme (par exemple, cours/tribunaux, institution nationale des droits de l'homme, médiateur pour les droits de l'homme ou autres mécanismes) ; </w:t>
      </w:r>
    </w:p>
    <w:p w14:paraId="5930B4DE" w14:textId="7DFFE90C" w:rsidR="00D40BFA" w:rsidRPr="00925812" w:rsidRDefault="00D40BFA" w:rsidP="00925812">
      <w:pPr>
        <w:pStyle w:val="ListParagraph"/>
        <w:numPr>
          <w:ilvl w:val="0"/>
          <w:numId w:val="15"/>
        </w:numPr>
        <w:ind w:left="284" w:hanging="284"/>
        <w:rPr>
          <w:rFonts w:cstheme="minorHAnsi"/>
          <w:sz w:val="18"/>
          <w:szCs w:val="18"/>
        </w:rPr>
      </w:pPr>
      <w:r>
        <w:rPr>
          <w:sz w:val="18"/>
          <w:szCs w:val="18"/>
        </w:rPr>
        <w:t>Motif(s) de discrimination.</w:t>
      </w:r>
    </w:p>
    <w:p w14:paraId="3C978749" w14:textId="22E2A5F8" w:rsidR="00D40BFA" w:rsidRPr="00925812" w:rsidRDefault="00D40BFA" w:rsidP="00925812">
      <w:pPr>
        <w:pStyle w:val="ListParagraph"/>
        <w:numPr>
          <w:ilvl w:val="0"/>
          <w:numId w:val="15"/>
        </w:numPr>
        <w:ind w:left="284" w:hanging="284"/>
        <w:rPr>
          <w:rFonts w:cstheme="minorHAnsi"/>
          <w:sz w:val="18"/>
          <w:szCs w:val="18"/>
        </w:rPr>
      </w:pPr>
      <w:r>
        <w:rPr>
          <w:sz w:val="18"/>
          <w:szCs w:val="18"/>
        </w:rPr>
        <w:t>Répondant (personnes ou acteurs privés ou organismes publics)</w:t>
      </w:r>
    </w:p>
    <w:p w14:paraId="1C2DBECF" w14:textId="5BCF6CEB" w:rsidR="00D40BFA" w:rsidRPr="00925812" w:rsidRDefault="00D40BFA" w:rsidP="00925812">
      <w:pPr>
        <w:pStyle w:val="ListParagraph"/>
        <w:numPr>
          <w:ilvl w:val="0"/>
          <w:numId w:val="15"/>
        </w:numPr>
        <w:ind w:left="284" w:hanging="284"/>
        <w:rPr>
          <w:rFonts w:cstheme="minorHAnsi"/>
          <w:sz w:val="18"/>
          <w:szCs w:val="18"/>
        </w:rPr>
      </w:pPr>
      <w:r>
        <w:rPr>
          <w:sz w:val="18"/>
          <w:szCs w:val="18"/>
        </w:rPr>
        <w:t>Type de discrimination alléguée (directe, indirecte, etc., identifiant notamment les cas de refus allégué d'aménagement raisonnable et de non-respect de mesures spécifiques).</w:t>
      </w:r>
    </w:p>
    <w:p w14:paraId="21FDC306" w14:textId="10D1B4F7" w:rsidR="00D40BFA" w:rsidRPr="00925812" w:rsidRDefault="00D40BFA" w:rsidP="00925812">
      <w:pPr>
        <w:pStyle w:val="ListParagraph"/>
        <w:numPr>
          <w:ilvl w:val="0"/>
          <w:numId w:val="15"/>
        </w:numPr>
        <w:ind w:left="284" w:hanging="284"/>
        <w:rPr>
          <w:rFonts w:cstheme="minorHAnsi"/>
          <w:sz w:val="18"/>
          <w:szCs w:val="18"/>
        </w:rPr>
      </w:pPr>
      <w:r>
        <w:rPr>
          <w:sz w:val="18"/>
          <w:szCs w:val="18"/>
        </w:rPr>
        <w:t>Résultat de la plainte (par exemple, maintenue, rejetée, etc.)</w:t>
      </w:r>
    </w:p>
    <w:p w14:paraId="62EA9C6B" w14:textId="0845B9D7" w:rsidR="00D40BFA" w:rsidRPr="000C3BEB" w:rsidRDefault="00D40BFA" w:rsidP="00925812">
      <w:pPr>
        <w:pStyle w:val="EndnoteText"/>
        <w:numPr>
          <w:ilvl w:val="0"/>
          <w:numId w:val="15"/>
        </w:numPr>
        <w:ind w:left="284" w:hanging="284"/>
      </w:pPr>
      <w:r>
        <w:rPr>
          <w:sz w:val="18"/>
          <w:szCs w:val="18"/>
        </w:rPr>
        <w:t xml:space="preserve">Conformité ou non du gouvernement (par exemple, </w:t>
      </w:r>
      <w:r>
        <w:rPr>
          <w:color w:val="000000"/>
          <w:sz w:val="18"/>
          <w:szCs w:val="18"/>
        </w:rPr>
        <w:t>indemnisation pour discrimination fondée sur le handicap et montant moyen de cette indemnisation)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B5048" w14:textId="77777777" w:rsidR="00EC2952" w:rsidRDefault="00EC2952" w:rsidP="00CA591E">
      <w:r>
        <w:separator/>
      </w:r>
    </w:p>
  </w:footnote>
  <w:footnote w:type="continuationSeparator" w:id="0">
    <w:p w14:paraId="2359FDEE" w14:textId="77777777" w:rsidR="00EC2952" w:rsidRDefault="00EC2952"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1BD5"/>
    <w:multiLevelType w:val="hybridMultilevel"/>
    <w:tmpl w:val="6ED2CB08"/>
    <w:lvl w:ilvl="0" w:tplc="9FF6203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EB4BA4"/>
    <w:multiLevelType w:val="hybridMultilevel"/>
    <w:tmpl w:val="9C12D892"/>
    <w:lvl w:ilvl="0" w:tplc="D988EB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192247"/>
    <w:multiLevelType w:val="hybridMultilevel"/>
    <w:tmpl w:val="8DE4D6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07E0EB1"/>
    <w:multiLevelType w:val="hybridMultilevel"/>
    <w:tmpl w:val="B9CEA39C"/>
    <w:lvl w:ilvl="0" w:tplc="E09C8312">
      <w:numFmt w:val="bullet"/>
      <w:lvlText w:val="-"/>
      <w:lvlJc w:val="left"/>
      <w:pPr>
        <w:ind w:left="1080" w:hanging="360"/>
      </w:pPr>
      <w:rPr>
        <w:rFonts w:ascii="Calibri" w:eastAsiaTheme="minorHAnsi" w:hAnsi="Calibri" w:cstheme="minorHAnsi" w:hint="default"/>
        <w:b w:val="0"/>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066C51"/>
    <w:multiLevelType w:val="hybridMultilevel"/>
    <w:tmpl w:val="7A102806"/>
    <w:lvl w:ilvl="0" w:tplc="E09C8312">
      <w:numFmt w:val="bullet"/>
      <w:lvlText w:val="-"/>
      <w:lvlJc w:val="left"/>
      <w:pPr>
        <w:ind w:left="720" w:hanging="360"/>
      </w:pPr>
      <w:rPr>
        <w:rFonts w:ascii="Calibri" w:eastAsiaTheme="minorHAnsi" w:hAnsi="Calibri" w:cstheme="minorHAns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8B2CF7"/>
    <w:multiLevelType w:val="hybridMultilevel"/>
    <w:tmpl w:val="994A2E6E"/>
    <w:lvl w:ilvl="0" w:tplc="E09C8312">
      <w:numFmt w:val="bullet"/>
      <w:lvlText w:val="-"/>
      <w:lvlJc w:val="left"/>
      <w:pPr>
        <w:ind w:left="720" w:hanging="360"/>
      </w:pPr>
      <w:rPr>
        <w:rFonts w:ascii="Calibri" w:eastAsiaTheme="minorHAnsi" w:hAnsi="Calibri" w:cstheme="minorHAns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E23A17"/>
    <w:multiLevelType w:val="hybridMultilevel"/>
    <w:tmpl w:val="AF32C7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2"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DD853D9"/>
    <w:multiLevelType w:val="hybridMultilevel"/>
    <w:tmpl w:val="F3E2E8B0"/>
    <w:lvl w:ilvl="0" w:tplc="7FF68BA0">
      <w:start w:val="5"/>
      <w:numFmt w:val="bullet"/>
      <w:lvlText w:val="-"/>
      <w:lvlJc w:val="left"/>
      <w:pPr>
        <w:ind w:left="720" w:hanging="360"/>
      </w:pPr>
      <w:rPr>
        <w:rFonts w:ascii="Calibri" w:eastAsiaTheme="minorHAnsi" w:hAnsi="Calibri"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5"/>
  </w:num>
  <w:num w:numId="5">
    <w:abstractNumId w:val="8"/>
  </w:num>
  <w:num w:numId="6">
    <w:abstractNumId w:val="14"/>
  </w:num>
  <w:num w:numId="7">
    <w:abstractNumId w:val="12"/>
  </w:num>
  <w:num w:numId="8">
    <w:abstractNumId w:val="1"/>
  </w:num>
  <w:num w:numId="9">
    <w:abstractNumId w:val="3"/>
  </w:num>
  <w:num w:numId="10">
    <w:abstractNumId w:val="0"/>
  </w:num>
  <w:num w:numId="11">
    <w:abstractNumId w:val="13"/>
  </w:num>
  <w:num w:numId="12">
    <w:abstractNumId w:val="9"/>
  </w:num>
  <w:num w:numId="13">
    <w:abstractNumId w:val="10"/>
  </w:num>
  <w:num w:numId="14">
    <w:abstractNumId w:val="7"/>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20"/>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5B"/>
    <w:rsid w:val="00004411"/>
    <w:rsid w:val="000134AA"/>
    <w:rsid w:val="00021F48"/>
    <w:rsid w:val="00022D09"/>
    <w:rsid w:val="00026CE2"/>
    <w:rsid w:val="000324BC"/>
    <w:rsid w:val="00045ABF"/>
    <w:rsid w:val="00050711"/>
    <w:rsid w:val="00051892"/>
    <w:rsid w:val="0005219A"/>
    <w:rsid w:val="00055E30"/>
    <w:rsid w:val="00057593"/>
    <w:rsid w:val="0006092E"/>
    <w:rsid w:val="00063173"/>
    <w:rsid w:val="00080038"/>
    <w:rsid w:val="000816A5"/>
    <w:rsid w:val="000A1BA4"/>
    <w:rsid w:val="000A25BC"/>
    <w:rsid w:val="000A76BA"/>
    <w:rsid w:val="000B3868"/>
    <w:rsid w:val="000B73AE"/>
    <w:rsid w:val="000C3BEB"/>
    <w:rsid w:val="000D29F3"/>
    <w:rsid w:val="000F5A03"/>
    <w:rsid w:val="00101BAD"/>
    <w:rsid w:val="001030AE"/>
    <w:rsid w:val="001143E6"/>
    <w:rsid w:val="00121ED4"/>
    <w:rsid w:val="00147415"/>
    <w:rsid w:val="001523A8"/>
    <w:rsid w:val="00167016"/>
    <w:rsid w:val="00167E3A"/>
    <w:rsid w:val="0017378D"/>
    <w:rsid w:val="0017443D"/>
    <w:rsid w:val="001769E5"/>
    <w:rsid w:val="00195062"/>
    <w:rsid w:val="001D2ECD"/>
    <w:rsid w:val="001E0E1B"/>
    <w:rsid w:val="001E7EA3"/>
    <w:rsid w:val="002002EE"/>
    <w:rsid w:val="0020067B"/>
    <w:rsid w:val="00203E7D"/>
    <w:rsid w:val="00220523"/>
    <w:rsid w:val="00236193"/>
    <w:rsid w:val="00240F47"/>
    <w:rsid w:val="00253AB3"/>
    <w:rsid w:val="002561D3"/>
    <w:rsid w:val="0025716B"/>
    <w:rsid w:val="00260EB1"/>
    <w:rsid w:val="0026161E"/>
    <w:rsid w:val="00261968"/>
    <w:rsid w:val="00264909"/>
    <w:rsid w:val="002671D8"/>
    <w:rsid w:val="002773AC"/>
    <w:rsid w:val="002836A9"/>
    <w:rsid w:val="0029020D"/>
    <w:rsid w:val="002910EC"/>
    <w:rsid w:val="002C3801"/>
    <w:rsid w:val="002D3D29"/>
    <w:rsid w:val="002E00F6"/>
    <w:rsid w:val="002F347C"/>
    <w:rsid w:val="002F45D6"/>
    <w:rsid w:val="00307F27"/>
    <w:rsid w:val="0031198F"/>
    <w:rsid w:val="003301F5"/>
    <w:rsid w:val="00335FE8"/>
    <w:rsid w:val="00337F57"/>
    <w:rsid w:val="00346DAD"/>
    <w:rsid w:val="003603EE"/>
    <w:rsid w:val="003718CF"/>
    <w:rsid w:val="003759C9"/>
    <w:rsid w:val="00381C57"/>
    <w:rsid w:val="003A32E0"/>
    <w:rsid w:val="003A712F"/>
    <w:rsid w:val="003B4783"/>
    <w:rsid w:val="003B65E7"/>
    <w:rsid w:val="003C1676"/>
    <w:rsid w:val="003D0783"/>
    <w:rsid w:val="003D69F9"/>
    <w:rsid w:val="003E7407"/>
    <w:rsid w:val="003F656B"/>
    <w:rsid w:val="00400AE2"/>
    <w:rsid w:val="004068CF"/>
    <w:rsid w:val="0040795E"/>
    <w:rsid w:val="0041244E"/>
    <w:rsid w:val="004149FE"/>
    <w:rsid w:val="00417F03"/>
    <w:rsid w:val="0043208C"/>
    <w:rsid w:val="00437411"/>
    <w:rsid w:val="00461CF2"/>
    <w:rsid w:val="00464317"/>
    <w:rsid w:val="004718FA"/>
    <w:rsid w:val="00497617"/>
    <w:rsid w:val="0049767B"/>
    <w:rsid w:val="004A22A0"/>
    <w:rsid w:val="004A42A4"/>
    <w:rsid w:val="004B188A"/>
    <w:rsid w:val="004C1729"/>
    <w:rsid w:val="004C3801"/>
    <w:rsid w:val="004C5925"/>
    <w:rsid w:val="004D361B"/>
    <w:rsid w:val="004F7BED"/>
    <w:rsid w:val="00500CEF"/>
    <w:rsid w:val="0051360A"/>
    <w:rsid w:val="00517FD7"/>
    <w:rsid w:val="005227D5"/>
    <w:rsid w:val="00522CF2"/>
    <w:rsid w:val="0052572B"/>
    <w:rsid w:val="0055352D"/>
    <w:rsid w:val="00561FC4"/>
    <w:rsid w:val="005676AC"/>
    <w:rsid w:val="00573F9C"/>
    <w:rsid w:val="00590934"/>
    <w:rsid w:val="005970C3"/>
    <w:rsid w:val="005A7999"/>
    <w:rsid w:val="005B0200"/>
    <w:rsid w:val="005B1D71"/>
    <w:rsid w:val="005B3669"/>
    <w:rsid w:val="005D6FA1"/>
    <w:rsid w:val="005E46C3"/>
    <w:rsid w:val="005F266C"/>
    <w:rsid w:val="006362B7"/>
    <w:rsid w:val="0065051C"/>
    <w:rsid w:val="006655EC"/>
    <w:rsid w:val="00671974"/>
    <w:rsid w:val="00672036"/>
    <w:rsid w:val="00676D45"/>
    <w:rsid w:val="0068399E"/>
    <w:rsid w:val="00685CF4"/>
    <w:rsid w:val="0069173D"/>
    <w:rsid w:val="00696FC9"/>
    <w:rsid w:val="006B3FE4"/>
    <w:rsid w:val="006B5CDD"/>
    <w:rsid w:val="006C5832"/>
    <w:rsid w:val="006C7A2A"/>
    <w:rsid w:val="006D0074"/>
    <w:rsid w:val="006E2B02"/>
    <w:rsid w:val="006F7AAC"/>
    <w:rsid w:val="0070160D"/>
    <w:rsid w:val="00702448"/>
    <w:rsid w:val="00705361"/>
    <w:rsid w:val="007070D2"/>
    <w:rsid w:val="0070754A"/>
    <w:rsid w:val="0072068D"/>
    <w:rsid w:val="00725023"/>
    <w:rsid w:val="00725B34"/>
    <w:rsid w:val="00736A44"/>
    <w:rsid w:val="007457D0"/>
    <w:rsid w:val="00746423"/>
    <w:rsid w:val="007472F1"/>
    <w:rsid w:val="00756095"/>
    <w:rsid w:val="00773555"/>
    <w:rsid w:val="007839DB"/>
    <w:rsid w:val="0078701D"/>
    <w:rsid w:val="00792C5D"/>
    <w:rsid w:val="007932E8"/>
    <w:rsid w:val="007A2394"/>
    <w:rsid w:val="007A36BD"/>
    <w:rsid w:val="007B3928"/>
    <w:rsid w:val="007C2DCA"/>
    <w:rsid w:val="007D42AE"/>
    <w:rsid w:val="007E13FC"/>
    <w:rsid w:val="007E1F84"/>
    <w:rsid w:val="007E7FCA"/>
    <w:rsid w:val="007F3FE6"/>
    <w:rsid w:val="0080206A"/>
    <w:rsid w:val="00813049"/>
    <w:rsid w:val="00813862"/>
    <w:rsid w:val="00823FA2"/>
    <w:rsid w:val="0082707B"/>
    <w:rsid w:val="00841566"/>
    <w:rsid w:val="00884F8C"/>
    <w:rsid w:val="008858A7"/>
    <w:rsid w:val="0089365A"/>
    <w:rsid w:val="00893A92"/>
    <w:rsid w:val="008D2892"/>
    <w:rsid w:val="008E15CB"/>
    <w:rsid w:val="009159FD"/>
    <w:rsid w:val="0092368C"/>
    <w:rsid w:val="00925812"/>
    <w:rsid w:val="00933B61"/>
    <w:rsid w:val="00944490"/>
    <w:rsid w:val="0094490F"/>
    <w:rsid w:val="00952099"/>
    <w:rsid w:val="00964A5B"/>
    <w:rsid w:val="0096663D"/>
    <w:rsid w:val="00971AE3"/>
    <w:rsid w:val="00973D37"/>
    <w:rsid w:val="00985A10"/>
    <w:rsid w:val="009A4374"/>
    <w:rsid w:val="009A6799"/>
    <w:rsid w:val="009B0C95"/>
    <w:rsid w:val="009B4ED3"/>
    <w:rsid w:val="009B5E1B"/>
    <w:rsid w:val="009B7B1A"/>
    <w:rsid w:val="009D6367"/>
    <w:rsid w:val="009E1074"/>
    <w:rsid w:val="009E5F93"/>
    <w:rsid w:val="009F64D4"/>
    <w:rsid w:val="009F6E73"/>
    <w:rsid w:val="009F7D61"/>
    <w:rsid w:val="00A17EFE"/>
    <w:rsid w:val="00A212E2"/>
    <w:rsid w:val="00A42C44"/>
    <w:rsid w:val="00A453C1"/>
    <w:rsid w:val="00A63D3D"/>
    <w:rsid w:val="00A71012"/>
    <w:rsid w:val="00A710D7"/>
    <w:rsid w:val="00A72FE5"/>
    <w:rsid w:val="00A948CC"/>
    <w:rsid w:val="00A94FF2"/>
    <w:rsid w:val="00AC03AB"/>
    <w:rsid w:val="00AD3349"/>
    <w:rsid w:val="00AE00B9"/>
    <w:rsid w:val="00B03486"/>
    <w:rsid w:val="00B06255"/>
    <w:rsid w:val="00B16115"/>
    <w:rsid w:val="00B4198C"/>
    <w:rsid w:val="00B42511"/>
    <w:rsid w:val="00B512ED"/>
    <w:rsid w:val="00B84B35"/>
    <w:rsid w:val="00B918C1"/>
    <w:rsid w:val="00BA22F4"/>
    <w:rsid w:val="00BA4198"/>
    <w:rsid w:val="00BB4CB4"/>
    <w:rsid w:val="00BC022E"/>
    <w:rsid w:val="00BC0719"/>
    <w:rsid w:val="00BC333F"/>
    <w:rsid w:val="00BD1374"/>
    <w:rsid w:val="00C00627"/>
    <w:rsid w:val="00C07C6E"/>
    <w:rsid w:val="00C2142F"/>
    <w:rsid w:val="00C24776"/>
    <w:rsid w:val="00C27CAA"/>
    <w:rsid w:val="00C35A4C"/>
    <w:rsid w:val="00C51F20"/>
    <w:rsid w:val="00C541CC"/>
    <w:rsid w:val="00C54DF1"/>
    <w:rsid w:val="00C92A6B"/>
    <w:rsid w:val="00C951F3"/>
    <w:rsid w:val="00CA0ACC"/>
    <w:rsid w:val="00CA591E"/>
    <w:rsid w:val="00CB2640"/>
    <w:rsid w:val="00CD67B3"/>
    <w:rsid w:val="00CF20D7"/>
    <w:rsid w:val="00D01F95"/>
    <w:rsid w:val="00D13F5B"/>
    <w:rsid w:val="00D167E3"/>
    <w:rsid w:val="00D256F2"/>
    <w:rsid w:val="00D3097F"/>
    <w:rsid w:val="00D36B79"/>
    <w:rsid w:val="00D40BFA"/>
    <w:rsid w:val="00D420AC"/>
    <w:rsid w:val="00D4434E"/>
    <w:rsid w:val="00D44A97"/>
    <w:rsid w:val="00D44C26"/>
    <w:rsid w:val="00D471A7"/>
    <w:rsid w:val="00D57CE6"/>
    <w:rsid w:val="00D911DD"/>
    <w:rsid w:val="00D96D06"/>
    <w:rsid w:val="00DB1A9C"/>
    <w:rsid w:val="00DB31A9"/>
    <w:rsid w:val="00DB3880"/>
    <w:rsid w:val="00DD2A83"/>
    <w:rsid w:val="00DE08D5"/>
    <w:rsid w:val="00DE431B"/>
    <w:rsid w:val="00DE4B64"/>
    <w:rsid w:val="00DF23B4"/>
    <w:rsid w:val="00E032FC"/>
    <w:rsid w:val="00E04BBF"/>
    <w:rsid w:val="00E1628A"/>
    <w:rsid w:val="00E232CB"/>
    <w:rsid w:val="00E24F17"/>
    <w:rsid w:val="00E25AE7"/>
    <w:rsid w:val="00E27296"/>
    <w:rsid w:val="00E27806"/>
    <w:rsid w:val="00E31AF2"/>
    <w:rsid w:val="00E32612"/>
    <w:rsid w:val="00E473C3"/>
    <w:rsid w:val="00E608B7"/>
    <w:rsid w:val="00E64E57"/>
    <w:rsid w:val="00E858A9"/>
    <w:rsid w:val="00E867D6"/>
    <w:rsid w:val="00E87CE4"/>
    <w:rsid w:val="00E96C21"/>
    <w:rsid w:val="00E97300"/>
    <w:rsid w:val="00E97CC4"/>
    <w:rsid w:val="00EA1EF9"/>
    <w:rsid w:val="00EC0D4A"/>
    <w:rsid w:val="00EC2952"/>
    <w:rsid w:val="00EC536E"/>
    <w:rsid w:val="00EC6A2C"/>
    <w:rsid w:val="00ED2C1C"/>
    <w:rsid w:val="00ED42B0"/>
    <w:rsid w:val="00ED717C"/>
    <w:rsid w:val="00EE4AB0"/>
    <w:rsid w:val="00EE5CFE"/>
    <w:rsid w:val="00EF1A7A"/>
    <w:rsid w:val="00EF4247"/>
    <w:rsid w:val="00F01C22"/>
    <w:rsid w:val="00F05557"/>
    <w:rsid w:val="00F33074"/>
    <w:rsid w:val="00F63625"/>
    <w:rsid w:val="00F63CBD"/>
    <w:rsid w:val="00F674FB"/>
    <w:rsid w:val="00F70E8A"/>
    <w:rsid w:val="00F77E96"/>
    <w:rsid w:val="00F8105A"/>
    <w:rsid w:val="00F852F1"/>
    <w:rsid w:val="00F9314A"/>
    <w:rsid w:val="00F97690"/>
    <w:rsid w:val="00FA639E"/>
    <w:rsid w:val="00FA70B1"/>
    <w:rsid w:val="00FB1FDF"/>
    <w:rsid w:val="00FB33D1"/>
    <w:rsid w:val="00FE1B7B"/>
    <w:rsid w:val="00FE41A9"/>
    <w:rsid w:val="00FE772E"/>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semiHidden/>
    <w:unhideWhenUsed/>
    <w:rsid w:val="00CA591E"/>
    <w:rPr>
      <w:sz w:val="20"/>
      <w:szCs w:val="20"/>
    </w:rPr>
  </w:style>
  <w:style w:type="character" w:customStyle="1" w:styleId="FootnoteTextChar">
    <w:name w:val="Footnote Text Char"/>
    <w:basedOn w:val="DefaultParagraphFont"/>
    <w:link w:val="FootnoteText"/>
    <w:uiPriority w:val="99"/>
    <w:semiHidden/>
    <w:rsid w:val="00CA591E"/>
    <w:rPr>
      <w:sz w:val="20"/>
      <w:szCs w:val="20"/>
    </w:rPr>
  </w:style>
  <w:style w:type="character" w:styleId="FootnoteReference">
    <w:name w:val="footnote reference"/>
    <w:aliases w:val="Fn Ref,Footnote Refernece,callout,Footnotes refss,Appel note de bas de p.,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unhideWhenUsed/>
    <w:rsid w:val="00DE431B"/>
    <w:pPr>
      <w:spacing w:after="200"/>
    </w:pPr>
    <w:rPr>
      <w:sz w:val="20"/>
      <w:szCs w:val="20"/>
    </w:rPr>
  </w:style>
  <w:style w:type="character" w:customStyle="1" w:styleId="CommentTextChar">
    <w:name w:val="Comment Text Char"/>
    <w:basedOn w:val="DefaultParagraphFont"/>
    <w:link w:val="CommentText"/>
    <w:uiPriority w:val="99"/>
    <w:rsid w:val="00DE431B"/>
    <w:rPr>
      <w:sz w:val="20"/>
      <w:szCs w:val="20"/>
      <w:lang w:val="fr-FR"/>
    </w:rPr>
  </w:style>
  <w:style w:type="paragraph" w:styleId="CommentSubject">
    <w:name w:val="annotation subject"/>
    <w:basedOn w:val="CommentText"/>
    <w:next w:val="CommentText"/>
    <w:link w:val="CommentSubjectChar"/>
    <w:uiPriority w:val="99"/>
    <w:semiHidden/>
    <w:unhideWhenUsed/>
    <w:rsid w:val="00964A5B"/>
    <w:pPr>
      <w:spacing w:after="0"/>
    </w:pPr>
    <w:rPr>
      <w:b/>
      <w:bCs/>
    </w:rPr>
  </w:style>
  <w:style w:type="character" w:customStyle="1" w:styleId="CommentSubjectChar">
    <w:name w:val="Comment Subject Char"/>
    <w:basedOn w:val="CommentTextChar"/>
    <w:link w:val="CommentSubject"/>
    <w:uiPriority w:val="99"/>
    <w:semiHidden/>
    <w:rsid w:val="00964A5B"/>
    <w:rPr>
      <w:b/>
      <w:bCs/>
      <w:sz w:val="20"/>
      <w:szCs w:val="20"/>
      <w:lang w:val="fr-FR"/>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character" w:customStyle="1" w:styleId="apple-converted-space">
    <w:name w:val="apple-converted-space"/>
    <w:basedOn w:val="DefaultParagraphFont"/>
    <w:rsid w:val="00D44C26"/>
  </w:style>
  <w:style w:type="paragraph" w:styleId="Header">
    <w:name w:val="header"/>
    <w:basedOn w:val="Normal"/>
    <w:link w:val="HeaderChar"/>
    <w:uiPriority w:val="99"/>
    <w:unhideWhenUsed/>
    <w:rsid w:val="00DE08D5"/>
    <w:pPr>
      <w:tabs>
        <w:tab w:val="center" w:pos="4513"/>
        <w:tab w:val="right" w:pos="9026"/>
      </w:tabs>
    </w:pPr>
  </w:style>
  <w:style w:type="character" w:customStyle="1" w:styleId="HeaderChar">
    <w:name w:val="Header Char"/>
    <w:basedOn w:val="DefaultParagraphFont"/>
    <w:link w:val="Header"/>
    <w:uiPriority w:val="99"/>
    <w:rsid w:val="00DE08D5"/>
  </w:style>
  <w:style w:type="paragraph" w:styleId="Footer">
    <w:name w:val="footer"/>
    <w:basedOn w:val="Normal"/>
    <w:link w:val="FooterChar"/>
    <w:uiPriority w:val="99"/>
    <w:unhideWhenUsed/>
    <w:rsid w:val="00DE08D5"/>
    <w:pPr>
      <w:tabs>
        <w:tab w:val="center" w:pos="4513"/>
        <w:tab w:val="right" w:pos="9026"/>
      </w:tabs>
    </w:pPr>
  </w:style>
  <w:style w:type="character" w:customStyle="1" w:styleId="FooterChar">
    <w:name w:val="Footer Char"/>
    <w:basedOn w:val="DefaultParagraphFont"/>
    <w:link w:val="Footer"/>
    <w:uiPriority w:val="99"/>
    <w:rsid w:val="00DE08D5"/>
  </w:style>
  <w:style w:type="character" w:styleId="FollowedHyperlink">
    <w:name w:val="FollowedHyperlink"/>
    <w:basedOn w:val="DefaultParagraphFont"/>
    <w:uiPriority w:val="99"/>
    <w:semiHidden/>
    <w:unhideWhenUsed/>
    <w:rsid w:val="007870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6285">
      <w:bodyDiv w:val="1"/>
      <w:marLeft w:val="0"/>
      <w:marRight w:val="0"/>
      <w:marTop w:val="0"/>
      <w:marBottom w:val="0"/>
      <w:divBdr>
        <w:top w:val="none" w:sz="0" w:space="0" w:color="auto"/>
        <w:left w:val="none" w:sz="0" w:space="0" w:color="auto"/>
        <w:bottom w:val="none" w:sz="0" w:space="0" w:color="auto"/>
        <w:right w:val="none" w:sz="0" w:space="0" w:color="auto"/>
      </w:divBdr>
      <w:divsChild>
        <w:div w:id="276373261">
          <w:marLeft w:val="0"/>
          <w:marRight w:val="0"/>
          <w:marTop w:val="0"/>
          <w:marBottom w:val="0"/>
          <w:divBdr>
            <w:top w:val="none" w:sz="0" w:space="0" w:color="auto"/>
            <w:left w:val="none" w:sz="0" w:space="0" w:color="auto"/>
            <w:bottom w:val="none" w:sz="0" w:space="0" w:color="auto"/>
            <w:right w:val="none" w:sz="0" w:space="0" w:color="auto"/>
          </w:divBdr>
        </w:div>
        <w:div w:id="1408117204">
          <w:marLeft w:val="0"/>
          <w:marRight w:val="0"/>
          <w:marTop w:val="0"/>
          <w:marBottom w:val="0"/>
          <w:divBdr>
            <w:top w:val="none" w:sz="0" w:space="0" w:color="auto"/>
            <w:left w:val="none" w:sz="0" w:space="0" w:color="auto"/>
            <w:bottom w:val="none" w:sz="0" w:space="0" w:color="auto"/>
            <w:right w:val="none" w:sz="0" w:space="0" w:color="auto"/>
          </w:divBdr>
        </w:div>
        <w:div w:id="756485248">
          <w:marLeft w:val="0"/>
          <w:marRight w:val="0"/>
          <w:marTop w:val="0"/>
          <w:marBottom w:val="0"/>
          <w:divBdr>
            <w:top w:val="none" w:sz="0" w:space="0" w:color="auto"/>
            <w:left w:val="none" w:sz="0" w:space="0" w:color="auto"/>
            <w:bottom w:val="none" w:sz="0" w:space="0" w:color="auto"/>
            <w:right w:val="none" w:sz="0" w:space="0" w:color="auto"/>
          </w:divBdr>
        </w:div>
        <w:div w:id="587038332">
          <w:marLeft w:val="0"/>
          <w:marRight w:val="0"/>
          <w:marTop w:val="0"/>
          <w:marBottom w:val="0"/>
          <w:divBdr>
            <w:top w:val="none" w:sz="0" w:space="0" w:color="auto"/>
            <w:left w:val="none" w:sz="0" w:space="0" w:color="auto"/>
            <w:bottom w:val="none" w:sz="0" w:space="0" w:color="auto"/>
            <w:right w:val="none" w:sz="0" w:space="0" w:color="auto"/>
          </w:divBdr>
        </w:div>
        <w:div w:id="2027977795">
          <w:marLeft w:val="0"/>
          <w:marRight w:val="0"/>
          <w:marTop w:val="0"/>
          <w:marBottom w:val="0"/>
          <w:divBdr>
            <w:top w:val="none" w:sz="0" w:space="0" w:color="auto"/>
            <w:left w:val="none" w:sz="0" w:space="0" w:color="auto"/>
            <w:bottom w:val="none" w:sz="0" w:space="0" w:color="auto"/>
            <w:right w:val="none" w:sz="0" w:space="0" w:color="auto"/>
          </w:divBdr>
        </w:div>
        <w:div w:id="1017198269">
          <w:marLeft w:val="0"/>
          <w:marRight w:val="0"/>
          <w:marTop w:val="0"/>
          <w:marBottom w:val="0"/>
          <w:divBdr>
            <w:top w:val="none" w:sz="0" w:space="0" w:color="auto"/>
            <w:left w:val="none" w:sz="0" w:space="0" w:color="auto"/>
            <w:bottom w:val="none" w:sz="0" w:space="0" w:color="auto"/>
            <w:right w:val="none" w:sz="0" w:space="0" w:color="auto"/>
          </w:divBdr>
        </w:div>
        <w:div w:id="68501107">
          <w:marLeft w:val="0"/>
          <w:marRight w:val="0"/>
          <w:marTop w:val="0"/>
          <w:marBottom w:val="0"/>
          <w:divBdr>
            <w:top w:val="none" w:sz="0" w:space="0" w:color="auto"/>
            <w:left w:val="none" w:sz="0" w:space="0" w:color="auto"/>
            <w:bottom w:val="none" w:sz="0" w:space="0" w:color="auto"/>
            <w:right w:val="none" w:sz="0" w:space="0" w:color="auto"/>
          </w:divBdr>
        </w:div>
        <w:div w:id="1664964404">
          <w:marLeft w:val="0"/>
          <w:marRight w:val="0"/>
          <w:marTop w:val="0"/>
          <w:marBottom w:val="0"/>
          <w:divBdr>
            <w:top w:val="none" w:sz="0" w:space="0" w:color="auto"/>
            <w:left w:val="none" w:sz="0" w:space="0" w:color="auto"/>
            <w:bottom w:val="none" w:sz="0" w:space="0" w:color="auto"/>
            <w:right w:val="none" w:sz="0" w:space="0" w:color="auto"/>
          </w:divBdr>
        </w:div>
        <w:div w:id="430976126">
          <w:marLeft w:val="0"/>
          <w:marRight w:val="0"/>
          <w:marTop w:val="0"/>
          <w:marBottom w:val="0"/>
          <w:divBdr>
            <w:top w:val="none" w:sz="0" w:space="0" w:color="auto"/>
            <w:left w:val="none" w:sz="0" w:space="0" w:color="auto"/>
            <w:bottom w:val="none" w:sz="0" w:space="0" w:color="auto"/>
            <w:right w:val="none" w:sz="0" w:space="0" w:color="auto"/>
          </w:divBdr>
        </w:div>
        <w:div w:id="1882355157">
          <w:marLeft w:val="0"/>
          <w:marRight w:val="0"/>
          <w:marTop w:val="0"/>
          <w:marBottom w:val="0"/>
          <w:divBdr>
            <w:top w:val="none" w:sz="0" w:space="0" w:color="auto"/>
            <w:left w:val="none" w:sz="0" w:space="0" w:color="auto"/>
            <w:bottom w:val="none" w:sz="0" w:space="0" w:color="auto"/>
            <w:right w:val="none" w:sz="0" w:space="0" w:color="auto"/>
          </w:divBdr>
        </w:div>
        <w:div w:id="577786872">
          <w:marLeft w:val="0"/>
          <w:marRight w:val="0"/>
          <w:marTop w:val="0"/>
          <w:marBottom w:val="0"/>
          <w:divBdr>
            <w:top w:val="none" w:sz="0" w:space="0" w:color="auto"/>
            <w:left w:val="none" w:sz="0" w:space="0" w:color="auto"/>
            <w:bottom w:val="none" w:sz="0" w:space="0" w:color="auto"/>
            <w:right w:val="none" w:sz="0" w:space="0" w:color="auto"/>
          </w:divBdr>
        </w:div>
        <w:div w:id="1866673032">
          <w:marLeft w:val="0"/>
          <w:marRight w:val="0"/>
          <w:marTop w:val="0"/>
          <w:marBottom w:val="0"/>
          <w:divBdr>
            <w:top w:val="none" w:sz="0" w:space="0" w:color="auto"/>
            <w:left w:val="none" w:sz="0" w:space="0" w:color="auto"/>
            <w:bottom w:val="none" w:sz="0" w:space="0" w:color="auto"/>
            <w:right w:val="none" w:sz="0" w:space="0" w:color="auto"/>
          </w:divBdr>
        </w:div>
        <w:div w:id="520320626">
          <w:marLeft w:val="0"/>
          <w:marRight w:val="0"/>
          <w:marTop w:val="0"/>
          <w:marBottom w:val="0"/>
          <w:divBdr>
            <w:top w:val="none" w:sz="0" w:space="0" w:color="auto"/>
            <w:left w:val="none" w:sz="0" w:space="0" w:color="auto"/>
            <w:bottom w:val="none" w:sz="0" w:space="0" w:color="auto"/>
            <w:right w:val="none" w:sz="0" w:space="0" w:color="auto"/>
          </w:divBdr>
        </w:div>
      </w:divsChild>
    </w:div>
    <w:div w:id="288781035">
      <w:bodyDiv w:val="1"/>
      <w:marLeft w:val="0"/>
      <w:marRight w:val="0"/>
      <w:marTop w:val="0"/>
      <w:marBottom w:val="0"/>
      <w:divBdr>
        <w:top w:val="none" w:sz="0" w:space="0" w:color="auto"/>
        <w:left w:val="none" w:sz="0" w:space="0" w:color="auto"/>
        <w:bottom w:val="none" w:sz="0" w:space="0" w:color="auto"/>
        <w:right w:val="none" w:sz="0" w:space="0" w:color="auto"/>
      </w:divBdr>
    </w:div>
    <w:div w:id="503934004">
      <w:bodyDiv w:val="1"/>
      <w:marLeft w:val="0"/>
      <w:marRight w:val="0"/>
      <w:marTop w:val="0"/>
      <w:marBottom w:val="0"/>
      <w:divBdr>
        <w:top w:val="none" w:sz="0" w:space="0" w:color="auto"/>
        <w:left w:val="none" w:sz="0" w:space="0" w:color="auto"/>
        <w:bottom w:val="none" w:sz="0" w:space="0" w:color="auto"/>
        <w:right w:val="none" w:sz="0" w:space="0" w:color="auto"/>
      </w:divBdr>
      <w:divsChild>
        <w:div w:id="1825391503">
          <w:marLeft w:val="0"/>
          <w:marRight w:val="0"/>
          <w:marTop w:val="0"/>
          <w:marBottom w:val="0"/>
          <w:divBdr>
            <w:top w:val="none" w:sz="0" w:space="0" w:color="auto"/>
            <w:left w:val="none" w:sz="0" w:space="0" w:color="auto"/>
            <w:bottom w:val="none" w:sz="0" w:space="0" w:color="auto"/>
            <w:right w:val="none" w:sz="0" w:space="0" w:color="auto"/>
          </w:divBdr>
        </w:div>
        <w:div w:id="1818062849">
          <w:marLeft w:val="0"/>
          <w:marRight w:val="0"/>
          <w:marTop w:val="0"/>
          <w:marBottom w:val="0"/>
          <w:divBdr>
            <w:top w:val="none" w:sz="0" w:space="0" w:color="auto"/>
            <w:left w:val="none" w:sz="0" w:space="0" w:color="auto"/>
            <w:bottom w:val="none" w:sz="0" w:space="0" w:color="auto"/>
            <w:right w:val="none" w:sz="0" w:space="0" w:color="auto"/>
          </w:divBdr>
        </w:div>
        <w:div w:id="67698872">
          <w:marLeft w:val="0"/>
          <w:marRight w:val="0"/>
          <w:marTop w:val="0"/>
          <w:marBottom w:val="0"/>
          <w:divBdr>
            <w:top w:val="none" w:sz="0" w:space="0" w:color="auto"/>
            <w:left w:val="none" w:sz="0" w:space="0" w:color="auto"/>
            <w:bottom w:val="none" w:sz="0" w:space="0" w:color="auto"/>
            <w:right w:val="none" w:sz="0" w:space="0" w:color="auto"/>
          </w:divBdr>
        </w:div>
        <w:div w:id="574171353">
          <w:marLeft w:val="0"/>
          <w:marRight w:val="0"/>
          <w:marTop w:val="0"/>
          <w:marBottom w:val="0"/>
          <w:divBdr>
            <w:top w:val="none" w:sz="0" w:space="0" w:color="auto"/>
            <w:left w:val="none" w:sz="0" w:space="0" w:color="auto"/>
            <w:bottom w:val="none" w:sz="0" w:space="0" w:color="auto"/>
            <w:right w:val="none" w:sz="0" w:space="0" w:color="auto"/>
          </w:divBdr>
        </w:div>
        <w:div w:id="774133745">
          <w:marLeft w:val="0"/>
          <w:marRight w:val="0"/>
          <w:marTop w:val="0"/>
          <w:marBottom w:val="0"/>
          <w:divBdr>
            <w:top w:val="none" w:sz="0" w:space="0" w:color="auto"/>
            <w:left w:val="none" w:sz="0" w:space="0" w:color="auto"/>
            <w:bottom w:val="none" w:sz="0" w:space="0" w:color="auto"/>
            <w:right w:val="none" w:sz="0" w:space="0" w:color="auto"/>
          </w:divBdr>
        </w:div>
        <w:div w:id="1553538332">
          <w:marLeft w:val="0"/>
          <w:marRight w:val="0"/>
          <w:marTop w:val="0"/>
          <w:marBottom w:val="0"/>
          <w:divBdr>
            <w:top w:val="none" w:sz="0" w:space="0" w:color="auto"/>
            <w:left w:val="none" w:sz="0" w:space="0" w:color="auto"/>
            <w:bottom w:val="none" w:sz="0" w:space="0" w:color="auto"/>
            <w:right w:val="none" w:sz="0" w:space="0" w:color="auto"/>
          </w:divBdr>
        </w:div>
        <w:div w:id="971596028">
          <w:marLeft w:val="0"/>
          <w:marRight w:val="0"/>
          <w:marTop w:val="0"/>
          <w:marBottom w:val="0"/>
          <w:divBdr>
            <w:top w:val="none" w:sz="0" w:space="0" w:color="auto"/>
            <w:left w:val="none" w:sz="0" w:space="0" w:color="auto"/>
            <w:bottom w:val="none" w:sz="0" w:space="0" w:color="auto"/>
            <w:right w:val="none" w:sz="0" w:space="0" w:color="auto"/>
          </w:divBdr>
        </w:div>
        <w:div w:id="988559541">
          <w:marLeft w:val="0"/>
          <w:marRight w:val="0"/>
          <w:marTop w:val="0"/>
          <w:marBottom w:val="0"/>
          <w:divBdr>
            <w:top w:val="none" w:sz="0" w:space="0" w:color="auto"/>
            <w:left w:val="none" w:sz="0" w:space="0" w:color="auto"/>
            <w:bottom w:val="none" w:sz="0" w:space="0" w:color="auto"/>
            <w:right w:val="none" w:sz="0" w:space="0" w:color="auto"/>
          </w:divBdr>
        </w:div>
        <w:div w:id="2114394271">
          <w:marLeft w:val="0"/>
          <w:marRight w:val="0"/>
          <w:marTop w:val="0"/>
          <w:marBottom w:val="0"/>
          <w:divBdr>
            <w:top w:val="none" w:sz="0" w:space="0" w:color="auto"/>
            <w:left w:val="none" w:sz="0" w:space="0" w:color="auto"/>
            <w:bottom w:val="none" w:sz="0" w:space="0" w:color="auto"/>
            <w:right w:val="none" w:sz="0" w:space="0" w:color="auto"/>
          </w:divBdr>
        </w:div>
        <w:div w:id="487786989">
          <w:marLeft w:val="0"/>
          <w:marRight w:val="0"/>
          <w:marTop w:val="0"/>
          <w:marBottom w:val="0"/>
          <w:divBdr>
            <w:top w:val="none" w:sz="0" w:space="0" w:color="auto"/>
            <w:left w:val="none" w:sz="0" w:space="0" w:color="auto"/>
            <w:bottom w:val="none" w:sz="0" w:space="0" w:color="auto"/>
            <w:right w:val="none" w:sz="0" w:space="0" w:color="auto"/>
          </w:divBdr>
        </w:div>
        <w:div w:id="1638682911">
          <w:marLeft w:val="0"/>
          <w:marRight w:val="0"/>
          <w:marTop w:val="0"/>
          <w:marBottom w:val="0"/>
          <w:divBdr>
            <w:top w:val="none" w:sz="0" w:space="0" w:color="auto"/>
            <w:left w:val="none" w:sz="0" w:space="0" w:color="auto"/>
            <w:bottom w:val="none" w:sz="0" w:space="0" w:color="auto"/>
            <w:right w:val="none" w:sz="0" w:space="0" w:color="auto"/>
          </w:divBdr>
        </w:div>
        <w:div w:id="997030660">
          <w:marLeft w:val="0"/>
          <w:marRight w:val="0"/>
          <w:marTop w:val="0"/>
          <w:marBottom w:val="0"/>
          <w:divBdr>
            <w:top w:val="none" w:sz="0" w:space="0" w:color="auto"/>
            <w:left w:val="none" w:sz="0" w:space="0" w:color="auto"/>
            <w:bottom w:val="none" w:sz="0" w:space="0" w:color="auto"/>
            <w:right w:val="none" w:sz="0" w:space="0" w:color="auto"/>
          </w:divBdr>
        </w:div>
        <w:div w:id="75640305">
          <w:marLeft w:val="0"/>
          <w:marRight w:val="0"/>
          <w:marTop w:val="0"/>
          <w:marBottom w:val="0"/>
          <w:divBdr>
            <w:top w:val="none" w:sz="0" w:space="0" w:color="auto"/>
            <w:left w:val="none" w:sz="0" w:space="0" w:color="auto"/>
            <w:bottom w:val="none" w:sz="0" w:space="0" w:color="auto"/>
            <w:right w:val="none" w:sz="0" w:space="0" w:color="auto"/>
          </w:divBdr>
        </w:div>
      </w:divsChild>
    </w:div>
    <w:div w:id="1609391265">
      <w:bodyDiv w:val="1"/>
      <w:marLeft w:val="0"/>
      <w:marRight w:val="0"/>
      <w:marTop w:val="0"/>
      <w:marBottom w:val="0"/>
      <w:divBdr>
        <w:top w:val="none" w:sz="0" w:space="0" w:color="auto"/>
        <w:left w:val="none" w:sz="0" w:space="0" w:color="auto"/>
        <w:bottom w:val="none" w:sz="0" w:space="0" w:color="auto"/>
        <w:right w:val="none" w:sz="0" w:space="0" w:color="auto"/>
      </w:divBdr>
    </w:div>
    <w:div w:id="1869293169">
      <w:bodyDiv w:val="1"/>
      <w:marLeft w:val="0"/>
      <w:marRight w:val="0"/>
      <w:marTop w:val="0"/>
      <w:marBottom w:val="0"/>
      <w:divBdr>
        <w:top w:val="none" w:sz="0" w:space="0" w:color="auto"/>
        <w:left w:val="none" w:sz="0" w:space="0" w:color="auto"/>
        <w:bottom w:val="none" w:sz="0" w:space="0" w:color="auto"/>
        <w:right w:val="none" w:sz="0" w:space="0" w:color="auto"/>
      </w:divBdr>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docstore.ohchr.org/SelfServices/FilesHandler.ashx?enc=6QkG1d%2fPPRiCAqhKb7yhsnbHatvuFkZ%2bt93Y3D%2baa2qtJucAYDOCLUtyUf%2brfiOZEwOabCmoV99OyjLW1Fv3DpfpRc0bi7R%2bnPnjWloQuPVGo5lZxbmaWl9xdlzwmC5g" TargetMode="External"/><Relationship Id="rId2" Type="http://schemas.openxmlformats.org/officeDocument/2006/relationships/hyperlink" Target="http://daccess-ods.un.org/access.nsf/Get?Open&amp;DS=CRPD/C/GC/2&amp;Lang=F" TargetMode="External"/><Relationship Id="rId1" Type="http://schemas.openxmlformats.org/officeDocument/2006/relationships/hyperlink" Target="https://www.ohchr.org/Documents/Issues/HRIndicators/GuidanceNoteonApproachtoData_fr.pdf" TargetMode="External"/><Relationship Id="rId6" Type="http://schemas.openxmlformats.org/officeDocument/2006/relationships/hyperlink" Target="https://tbinternet.ohchr.org/_layouts/treatybodyexternal/Download.aspx?symbolno=CRPD/C/GC/7&amp;Lang=fr" TargetMode="External"/><Relationship Id="rId5" Type="http://schemas.openxmlformats.org/officeDocument/2006/relationships/hyperlink" Target="https://www.hrc.co.nz/files/7814/4848/7923/imm_reasonable_accommodation_guide.pdf" TargetMode="External"/><Relationship Id="rId4" Type="http://schemas.openxmlformats.org/officeDocument/2006/relationships/hyperlink" Target="https://www.gob.pe/institucion/mtpe/normas-legales/282560-171-2019-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487F1-030C-4717-8AAC-0F597C15B84D}">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2.xml><?xml version="1.0" encoding="utf-8"?>
<ds:datastoreItem xmlns:ds="http://schemas.openxmlformats.org/officeDocument/2006/customXml" ds:itemID="{68EDC648-8E01-469E-814F-8F2E8D396D98}">
  <ds:schemaRefs>
    <ds:schemaRef ds:uri="http://schemas.microsoft.com/sharepoint/v3/contenttype/forms"/>
  </ds:schemaRefs>
</ds:datastoreItem>
</file>

<file path=customXml/itemProps3.xml><?xml version="1.0" encoding="utf-8"?>
<ds:datastoreItem xmlns:ds="http://schemas.openxmlformats.org/officeDocument/2006/customXml" ds:itemID="{26298F9B-82F5-445A-81DA-E08A8D3F5C62}"/>
</file>

<file path=customXml/itemProps4.xml><?xml version="1.0" encoding="utf-8"?>
<ds:datastoreItem xmlns:ds="http://schemas.openxmlformats.org/officeDocument/2006/customXml" ds:itemID="{8D5E3942-B46C-4DCE-B484-FFF631780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4</cp:revision>
  <cp:lastPrinted>2018-11-12T09:21:00Z</cp:lastPrinted>
  <dcterms:created xsi:type="dcterms:W3CDTF">2020-08-24T12:02:00Z</dcterms:created>
  <dcterms:modified xsi:type="dcterms:W3CDTF">2020-08-24T12:04:00Z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