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center" w:tblpY="-42"/>
        <w:tblW w:w="15029" w:type="dxa"/>
        <w:tblLook w:val="04A0" w:firstRow="1" w:lastRow="0" w:firstColumn="1" w:lastColumn="0" w:noHBand="0" w:noVBand="1"/>
      </w:tblPr>
      <w:tblGrid>
        <w:gridCol w:w="1578"/>
        <w:gridCol w:w="3946"/>
        <w:gridCol w:w="5244"/>
        <w:gridCol w:w="4261"/>
      </w:tblGrid>
      <w:tr w:rsidR="00AD3349" w:rsidRPr="00203E7D" w14:paraId="67C66155" w14:textId="77777777" w:rsidTr="00DF23B4">
        <w:tc>
          <w:tcPr>
            <w:tcW w:w="15029" w:type="dxa"/>
            <w:gridSpan w:val="4"/>
            <w:shd w:val="clear" w:color="auto" w:fill="BFBFBF" w:themeFill="background1" w:themeFillShade="BF"/>
          </w:tcPr>
          <w:p w14:paraId="501F9C92" w14:textId="60F3D74B" w:rsidR="0065051C" w:rsidRPr="00B22BD0" w:rsidRDefault="007F3FE6" w:rsidP="009B4ED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Artículo 5 - Lista de indicadores </w:t>
            </w:r>
            <w:r w:rsidR="009929A3">
              <w:rPr>
                <w:b/>
                <w:sz w:val="20"/>
                <w:szCs w:val="20"/>
              </w:rPr>
              <w:t>sobre</w:t>
            </w:r>
            <w:r>
              <w:rPr>
                <w:b/>
                <w:sz w:val="20"/>
                <w:szCs w:val="20"/>
              </w:rPr>
              <w:t xml:space="preserve"> igualdad </w:t>
            </w:r>
            <w:r w:rsidR="009929A3"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</w:rPr>
              <w:t xml:space="preserve"> no discriminación</w:t>
            </w:r>
          </w:p>
        </w:tc>
      </w:tr>
      <w:tr w:rsidR="00AD3349" w:rsidRPr="00203E7D" w14:paraId="1113D4A1" w14:textId="77777777" w:rsidTr="00DF23B4">
        <w:tc>
          <w:tcPr>
            <w:tcW w:w="15029" w:type="dxa"/>
            <w:gridSpan w:val="4"/>
            <w:shd w:val="clear" w:color="auto" w:fill="auto"/>
          </w:tcPr>
          <w:p w14:paraId="4090E0FB" w14:textId="6E43B728" w:rsidR="0065051C" w:rsidRPr="00550281" w:rsidRDefault="007F3FE6" w:rsidP="009B4ED3">
            <w:pPr>
              <w:jc w:val="center"/>
              <w:rPr>
                <w:b/>
                <w:sz w:val="20"/>
                <w:szCs w:val="20"/>
              </w:rPr>
            </w:pPr>
            <w:r w:rsidRPr="00550281">
              <w:rPr>
                <w:b/>
                <w:sz w:val="20"/>
                <w:szCs w:val="20"/>
              </w:rPr>
              <w:t>Derecho a la igualdad y a la no discriminación</w:t>
            </w:r>
            <w:r w:rsidR="00D256F2" w:rsidRPr="00550281">
              <w:rPr>
                <w:rStyle w:val="EndnoteReference"/>
                <w:b/>
                <w:sz w:val="20"/>
                <w:szCs w:val="20"/>
              </w:rPr>
              <w:endnoteReference w:id="1"/>
            </w:r>
          </w:p>
        </w:tc>
      </w:tr>
      <w:tr w:rsidR="00337F57" w:rsidRPr="00203E7D" w14:paraId="10FDE2E4" w14:textId="77777777" w:rsidTr="003C1676">
        <w:tc>
          <w:tcPr>
            <w:tcW w:w="1578" w:type="dxa"/>
            <w:shd w:val="clear" w:color="auto" w:fill="auto"/>
          </w:tcPr>
          <w:p w14:paraId="40D0D6FD" w14:textId="77777777" w:rsidR="0065051C" w:rsidRPr="00B22BD0" w:rsidRDefault="0065051C" w:rsidP="009B4E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Atributos/</w:t>
            </w:r>
          </w:p>
          <w:p w14:paraId="26D49216" w14:textId="77777777" w:rsidR="0065051C" w:rsidRPr="00B22BD0" w:rsidRDefault="0065051C" w:rsidP="009B4E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Indicadores</w:t>
            </w:r>
          </w:p>
        </w:tc>
        <w:tc>
          <w:tcPr>
            <w:tcW w:w="3946" w:type="dxa"/>
            <w:shd w:val="clear" w:color="auto" w:fill="auto"/>
          </w:tcPr>
          <w:p w14:paraId="43F5183B" w14:textId="53AF6641" w:rsidR="0065051C" w:rsidRPr="00550281" w:rsidRDefault="00D44C26" w:rsidP="009B4ED3">
            <w:pPr>
              <w:jc w:val="center"/>
              <w:rPr>
                <w:b/>
                <w:sz w:val="20"/>
                <w:szCs w:val="20"/>
              </w:rPr>
            </w:pPr>
            <w:r w:rsidRPr="00550281">
              <w:rPr>
                <w:b/>
                <w:sz w:val="20"/>
                <w:szCs w:val="20"/>
              </w:rPr>
              <w:t>Igualdad y protección contra la discrim</w:t>
            </w:r>
            <w:r w:rsidR="002428AE" w:rsidRPr="00550281">
              <w:rPr>
                <w:b/>
                <w:sz w:val="20"/>
                <w:szCs w:val="20"/>
              </w:rPr>
              <w:t>inación (por discapacidad y otro</w:t>
            </w:r>
            <w:r w:rsidRPr="00550281">
              <w:rPr>
                <w:b/>
                <w:sz w:val="20"/>
                <w:szCs w:val="20"/>
              </w:rPr>
              <w:t>s</w:t>
            </w:r>
            <w:r w:rsidR="002428AE" w:rsidRPr="00550281">
              <w:rPr>
                <w:b/>
                <w:sz w:val="20"/>
                <w:szCs w:val="20"/>
              </w:rPr>
              <w:t xml:space="preserve"> motivos</w:t>
            </w:r>
            <w:r w:rsidRPr="0055028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244" w:type="dxa"/>
            <w:shd w:val="clear" w:color="auto" w:fill="auto"/>
          </w:tcPr>
          <w:p w14:paraId="2CAF58CA" w14:textId="1D833667" w:rsidR="0065051C" w:rsidRPr="00550281" w:rsidRDefault="00D44C26" w:rsidP="009B4ED3">
            <w:pPr>
              <w:jc w:val="center"/>
              <w:rPr>
                <w:b/>
                <w:sz w:val="20"/>
                <w:szCs w:val="20"/>
              </w:rPr>
            </w:pPr>
            <w:r w:rsidRPr="00550281">
              <w:rPr>
                <w:b/>
                <w:sz w:val="20"/>
                <w:szCs w:val="20"/>
              </w:rPr>
              <w:t>Provisión de ajustes razonables</w:t>
            </w:r>
          </w:p>
        </w:tc>
        <w:tc>
          <w:tcPr>
            <w:tcW w:w="4261" w:type="dxa"/>
            <w:shd w:val="clear" w:color="auto" w:fill="auto"/>
          </w:tcPr>
          <w:p w14:paraId="5DEE108D" w14:textId="67109CD2" w:rsidR="0065051C" w:rsidRPr="00B22BD0" w:rsidRDefault="00D44C26" w:rsidP="009B4E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Medidas específicas para lograr la igualdad de hecho</w:t>
            </w:r>
          </w:p>
        </w:tc>
      </w:tr>
      <w:tr w:rsidR="00337F57" w:rsidRPr="00203E7D" w14:paraId="4ECE9922" w14:textId="77777777" w:rsidTr="00DF23B4">
        <w:trPr>
          <w:trHeight w:val="699"/>
        </w:trPr>
        <w:tc>
          <w:tcPr>
            <w:tcW w:w="1578" w:type="dxa"/>
            <w:vMerge w:val="restart"/>
            <w:shd w:val="clear" w:color="auto" w:fill="auto"/>
          </w:tcPr>
          <w:p w14:paraId="76F60D5B" w14:textId="77777777" w:rsidR="00337F57" w:rsidRPr="00B22BD0" w:rsidRDefault="00337F57" w:rsidP="009B4ED3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Estructura</w:t>
            </w:r>
          </w:p>
        </w:tc>
        <w:tc>
          <w:tcPr>
            <w:tcW w:w="13451" w:type="dxa"/>
            <w:gridSpan w:val="3"/>
            <w:shd w:val="clear" w:color="auto" w:fill="auto"/>
          </w:tcPr>
          <w:p w14:paraId="41046532" w14:textId="152CBEDF" w:rsidR="00337F57" w:rsidRPr="00550281" w:rsidRDefault="00337F57" w:rsidP="0070754A">
            <w:pPr>
              <w:jc w:val="both"/>
              <w:rPr>
                <w:rFonts w:cstheme="minorHAnsi"/>
                <w:sz w:val="18"/>
                <w:szCs w:val="18"/>
              </w:rPr>
            </w:pPr>
            <w:r w:rsidRPr="00550281">
              <w:rPr>
                <w:sz w:val="18"/>
                <w:szCs w:val="18"/>
              </w:rPr>
              <w:t>5.1 Disposiciones constitucionales nacionales aprobadas y/o leyes promulgadas en las que se reconoce el derecho a la igualdad y la no discriminación de las personas con discapacidad, incluido el derecho</w:t>
            </w:r>
            <w:r w:rsidR="006148F1" w:rsidRPr="00550281">
              <w:rPr>
                <w:sz w:val="18"/>
                <w:szCs w:val="18"/>
              </w:rPr>
              <w:t xml:space="preserve"> a</w:t>
            </w:r>
            <w:r w:rsidRPr="00550281">
              <w:rPr>
                <w:sz w:val="18"/>
                <w:szCs w:val="18"/>
              </w:rPr>
              <w:t xml:space="preserve"> </w:t>
            </w:r>
            <w:r w:rsidR="009929A3" w:rsidRPr="00550281">
              <w:rPr>
                <w:sz w:val="18"/>
                <w:szCs w:val="18"/>
              </w:rPr>
              <w:t>acceder a los</w:t>
            </w:r>
            <w:r w:rsidR="006148F1" w:rsidRPr="00550281">
              <w:rPr>
                <w:sz w:val="18"/>
                <w:szCs w:val="18"/>
              </w:rPr>
              <w:t xml:space="preserve"> </w:t>
            </w:r>
            <w:r w:rsidRPr="00550281">
              <w:rPr>
                <w:sz w:val="18"/>
                <w:szCs w:val="18"/>
              </w:rPr>
              <w:t>ajustes razonables y el deber de adoptar medidas específicas para lograr la igualdad de hecho.</w:t>
            </w:r>
            <w:r w:rsidR="0040795E" w:rsidRPr="00550281">
              <w:rPr>
                <w:rStyle w:val="EndnoteReference"/>
                <w:rFonts w:cstheme="minorHAnsi"/>
                <w:sz w:val="18"/>
                <w:szCs w:val="18"/>
              </w:rPr>
              <w:endnoteReference w:id="2"/>
            </w:r>
          </w:p>
          <w:p w14:paraId="659D39D7" w14:textId="266441C1" w:rsidR="00FE772E" w:rsidRPr="00550281" w:rsidRDefault="009B4ED3" w:rsidP="0070754A">
            <w:pPr>
              <w:jc w:val="both"/>
              <w:rPr>
                <w:rFonts w:cstheme="minorHAnsi"/>
                <w:sz w:val="18"/>
                <w:szCs w:val="18"/>
              </w:rPr>
            </w:pPr>
            <w:r w:rsidRPr="00550281">
              <w:rPr>
                <w:sz w:val="18"/>
                <w:szCs w:val="18"/>
              </w:rPr>
              <w:t xml:space="preserve">5.2 Adopción de una estrategia y/o plan nacional </w:t>
            </w:r>
            <w:r w:rsidR="009929A3" w:rsidRPr="00550281">
              <w:rPr>
                <w:sz w:val="18"/>
                <w:szCs w:val="18"/>
              </w:rPr>
              <w:t>para lograr la</w:t>
            </w:r>
            <w:r w:rsidRPr="00550281">
              <w:rPr>
                <w:sz w:val="18"/>
                <w:szCs w:val="18"/>
              </w:rPr>
              <w:t xml:space="preserve"> igualdad de todas las personas con discapacidad, y en particular de los grupos </w:t>
            </w:r>
            <w:r w:rsidR="009929A3" w:rsidRPr="00550281">
              <w:rPr>
                <w:sz w:val="18"/>
                <w:szCs w:val="18"/>
              </w:rPr>
              <w:t xml:space="preserve">más vulnerables a la </w:t>
            </w:r>
            <w:r w:rsidR="002428AE" w:rsidRPr="00550281">
              <w:rPr>
                <w:sz w:val="18"/>
                <w:szCs w:val="18"/>
              </w:rPr>
              <w:t>discriminación</w:t>
            </w:r>
            <w:r w:rsidRPr="00550281">
              <w:rPr>
                <w:sz w:val="18"/>
                <w:szCs w:val="18"/>
              </w:rPr>
              <w:t>.</w:t>
            </w:r>
            <w:r w:rsidR="0041244E" w:rsidRPr="00550281">
              <w:rPr>
                <w:rStyle w:val="EndnoteReference"/>
                <w:rFonts w:cstheme="minorHAnsi"/>
                <w:sz w:val="18"/>
                <w:szCs w:val="18"/>
              </w:rPr>
              <w:endnoteReference w:id="3"/>
            </w:r>
          </w:p>
          <w:p w14:paraId="03476551" w14:textId="40C993A3" w:rsidR="00DE08D5" w:rsidRPr="00550281" w:rsidRDefault="002428AE" w:rsidP="0070754A">
            <w:pPr>
              <w:jc w:val="both"/>
              <w:rPr>
                <w:rFonts w:cstheme="minorHAnsi"/>
                <w:sz w:val="18"/>
                <w:szCs w:val="18"/>
              </w:rPr>
            </w:pPr>
            <w:r w:rsidRPr="00550281">
              <w:rPr>
                <w:sz w:val="18"/>
                <w:szCs w:val="18"/>
              </w:rPr>
              <w:t>5.3</w:t>
            </w:r>
            <w:r w:rsidR="00DE08D5" w:rsidRPr="00550281">
              <w:rPr>
                <w:sz w:val="18"/>
                <w:szCs w:val="18"/>
              </w:rPr>
              <w:t xml:space="preserve"> Obligación legal o </w:t>
            </w:r>
            <w:r w:rsidR="00D82F60" w:rsidRPr="00550281">
              <w:rPr>
                <w:sz w:val="18"/>
                <w:szCs w:val="18"/>
              </w:rPr>
              <w:t xml:space="preserve">reglamentaria </w:t>
            </w:r>
            <w:r w:rsidR="00DE08D5" w:rsidRPr="00550281">
              <w:rPr>
                <w:sz w:val="18"/>
                <w:szCs w:val="18"/>
              </w:rPr>
              <w:t xml:space="preserve">de recopilar y publicar datos </w:t>
            </w:r>
            <w:r w:rsidR="00E95833" w:rsidRPr="00550281">
              <w:rPr>
                <w:sz w:val="18"/>
                <w:szCs w:val="18"/>
              </w:rPr>
              <w:t xml:space="preserve">desagregados </w:t>
            </w:r>
            <w:r w:rsidR="00DE08D5" w:rsidRPr="00550281">
              <w:rPr>
                <w:sz w:val="18"/>
                <w:szCs w:val="18"/>
              </w:rPr>
              <w:t>por discapacidad en todos los sectores (</w:t>
            </w:r>
            <w:r w:rsidR="00D82F60" w:rsidRPr="00550281">
              <w:rPr>
                <w:sz w:val="18"/>
                <w:szCs w:val="18"/>
              </w:rPr>
              <w:t>ej.</w:t>
            </w:r>
            <w:r w:rsidR="00DE08D5" w:rsidRPr="00550281">
              <w:rPr>
                <w:sz w:val="18"/>
                <w:szCs w:val="18"/>
              </w:rPr>
              <w:t xml:space="preserve">, </w:t>
            </w:r>
            <w:r w:rsidR="00E95833" w:rsidRPr="00550281">
              <w:rPr>
                <w:sz w:val="18"/>
                <w:szCs w:val="18"/>
              </w:rPr>
              <w:t>salud</w:t>
            </w:r>
            <w:r w:rsidR="00DE08D5" w:rsidRPr="00550281">
              <w:rPr>
                <w:sz w:val="18"/>
                <w:szCs w:val="18"/>
              </w:rPr>
              <w:t xml:space="preserve">, empleo, educación, violencia, acceso a la justicia, participación política, entre otros), incluyendo, por ejemplo, </w:t>
            </w:r>
            <w:r w:rsidR="00E95833" w:rsidRPr="00550281">
              <w:rPr>
                <w:sz w:val="18"/>
                <w:szCs w:val="18"/>
              </w:rPr>
              <w:t>tasa de matrícula escolar</w:t>
            </w:r>
            <w:r w:rsidR="00DE08D5" w:rsidRPr="00550281">
              <w:rPr>
                <w:sz w:val="18"/>
                <w:szCs w:val="18"/>
              </w:rPr>
              <w:t xml:space="preserve">, tasa de empleo, acceso a los servicios de salud, víctimas de la violencia, denuncias </w:t>
            </w:r>
            <w:r w:rsidR="00E95833" w:rsidRPr="00550281">
              <w:rPr>
                <w:sz w:val="18"/>
                <w:szCs w:val="18"/>
              </w:rPr>
              <w:t xml:space="preserve">sobre </w:t>
            </w:r>
            <w:r w:rsidR="00DE08D5" w:rsidRPr="00550281">
              <w:rPr>
                <w:sz w:val="18"/>
                <w:szCs w:val="18"/>
              </w:rPr>
              <w:t>discriminación, etc.).</w:t>
            </w:r>
            <w:r w:rsidR="00C34EF8" w:rsidRPr="00550281">
              <w:rPr>
                <w:rStyle w:val="EndnoteReference"/>
                <w:rFonts w:cstheme="minorHAnsi"/>
                <w:sz w:val="18"/>
                <w:szCs w:val="18"/>
              </w:rPr>
              <w:endnoteReference w:id="4"/>
            </w:r>
          </w:p>
          <w:p w14:paraId="3AD9C104" w14:textId="32850D3A" w:rsidR="00DE08D5" w:rsidRPr="00550281" w:rsidRDefault="002428AE" w:rsidP="00A17EFE">
            <w:pPr>
              <w:jc w:val="both"/>
              <w:rPr>
                <w:rFonts w:cstheme="minorHAnsi"/>
                <w:sz w:val="18"/>
                <w:szCs w:val="18"/>
              </w:rPr>
            </w:pPr>
            <w:r w:rsidRPr="00550281">
              <w:rPr>
                <w:sz w:val="18"/>
                <w:szCs w:val="18"/>
              </w:rPr>
              <w:t>5.4</w:t>
            </w:r>
            <w:r w:rsidR="00DE08D5" w:rsidRPr="00550281">
              <w:rPr>
                <w:sz w:val="18"/>
                <w:szCs w:val="18"/>
              </w:rPr>
              <w:t xml:space="preserve"> Obligación legal de establecer un marcador de todo el gasto público para promover y proteger los derechos de las personas con discapacidad.</w:t>
            </w:r>
          </w:p>
        </w:tc>
      </w:tr>
      <w:tr w:rsidR="00337F57" w:rsidRPr="00203E7D" w14:paraId="482CC67A" w14:textId="77777777" w:rsidTr="003C1676">
        <w:trPr>
          <w:trHeight w:val="726"/>
        </w:trPr>
        <w:tc>
          <w:tcPr>
            <w:tcW w:w="1578" w:type="dxa"/>
            <w:vMerge/>
            <w:shd w:val="clear" w:color="auto" w:fill="auto"/>
          </w:tcPr>
          <w:p w14:paraId="5FF086B5" w14:textId="77777777" w:rsidR="00337F57" w:rsidRPr="00B22BD0" w:rsidRDefault="00337F57" w:rsidP="009B4ED3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</w:tcPr>
          <w:p w14:paraId="0E58526A" w14:textId="1AAAA45F" w:rsidR="00337F57" w:rsidRPr="00550281" w:rsidRDefault="002428AE" w:rsidP="00147415">
            <w:pPr>
              <w:jc w:val="both"/>
              <w:rPr>
                <w:rFonts w:cstheme="minorHAnsi"/>
                <w:sz w:val="18"/>
                <w:szCs w:val="18"/>
              </w:rPr>
            </w:pPr>
            <w:r w:rsidRPr="00550281">
              <w:rPr>
                <w:color w:val="000000"/>
                <w:sz w:val="18"/>
                <w:szCs w:val="18"/>
              </w:rPr>
              <w:t>5.5</w:t>
            </w:r>
            <w:r w:rsidR="00DE08D5" w:rsidRPr="00550281">
              <w:rPr>
                <w:color w:val="000000"/>
                <w:sz w:val="18"/>
                <w:szCs w:val="18"/>
              </w:rPr>
              <w:t xml:space="preserve"> </w:t>
            </w:r>
            <w:r w:rsidR="00F67C11" w:rsidRPr="00550281">
              <w:rPr>
                <w:color w:val="000000"/>
                <w:sz w:val="18"/>
                <w:szCs w:val="18"/>
              </w:rPr>
              <w:t>Legislación específica</w:t>
            </w:r>
            <w:r w:rsidR="003B4783" w:rsidRPr="00550281">
              <w:rPr>
                <w:rStyle w:val="EndnoteReference"/>
                <w:rFonts w:cstheme="minorHAnsi"/>
                <w:color w:val="000000"/>
                <w:sz w:val="18"/>
                <w:szCs w:val="18"/>
              </w:rPr>
              <w:endnoteReference w:id="5"/>
            </w:r>
            <w:r w:rsidR="00DE08D5" w:rsidRPr="00550281">
              <w:rPr>
                <w:color w:val="000000"/>
                <w:sz w:val="18"/>
                <w:szCs w:val="18"/>
              </w:rPr>
              <w:t xml:space="preserve"> </w:t>
            </w:r>
            <w:r w:rsidR="00F67C11" w:rsidRPr="00550281">
              <w:rPr>
                <w:color w:val="000000"/>
                <w:sz w:val="18"/>
                <w:szCs w:val="18"/>
              </w:rPr>
              <w:t>expedida explícitamente con la finalidad de prohibir</w:t>
            </w:r>
            <w:r w:rsidR="00DE08D5" w:rsidRPr="00550281">
              <w:rPr>
                <w:color w:val="000000"/>
                <w:sz w:val="18"/>
                <w:szCs w:val="18"/>
              </w:rPr>
              <w:t xml:space="preserve"> la discriminación por motivos de discapacidad y </w:t>
            </w:r>
            <w:r w:rsidR="00F67C11" w:rsidRPr="00550281">
              <w:rPr>
                <w:color w:val="000000"/>
                <w:sz w:val="18"/>
                <w:szCs w:val="18"/>
              </w:rPr>
              <w:t xml:space="preserve">de proveer recursos legales ante </w:t>
            </w:r>
            <w:r w:rsidR="00DE08D5" w:rsidRPr="00550281">
              <w:rPr>
                <w:color w:val="000000"/>
                <w:sz w:val="18"/>
                <w:szCs w:val="18"/>
              </w:rPr>
              <w:t>todas las formas de discriminación.</w:t>
            </w:r>
          </w:p>
        </w:tc>
        <w:tc>
          <w:tcPr>
            <w:tcW w:w="5244" w:type="dxa"/>
            <w:shd w:val="clear" w:color="auto" w:fill="auto"/>
          </w:tcPr>
          <w:p w14:paraId="6D5E770F" w14:textId="3D64317A" w:rsidR="00337F57" w:rsidRPr="00550281" w:rsidRDefault="002428AE" w:rsidP="00C67CF8">
            <w:pPr>
              <w:jc w:val="both"/>
              <w:rPr>
                <w:rFonts w:cstheme="minorHAnsi"/>
                <w:sz w:val="18"/>
                <w:szCs w:val="18"/>
              </w:rPr>
            </w:pPr>
            <w:r w:rsidRPr="00550281">
              <w:rPr>
                <w:sz w:val="18"/>
                <w:szCs w:val="18"/>
              </w:rPr>
              <w:t>5.6</w:t>
            </w:r>
            <w:r w:rsidR="00944490" w:rsidRPr="00550281">
              <w:rPr>
                <w:sz w:val="18"/>
                <w:szCs w:val="18"/>
              </w:rPr>
              <w:t xml:space="preserve"> Tema/objetivo específico dentro de la estrategia y/o el plan nacional para la igualdad de todas las personas con discapacidad </w:t>
            </w:r>
            <w:r w:rsidRPr="00550281">
              <w:rPr>
                <w:sz w:val="18"/>
                <w:szCs w:val="18"/>
              </w:rPr>
              <w:t>para</w:t>
            </w:r>
            <w:r w:rsidR="00944490" w:rsidRPr="00550281">
              <w:rPr>
                <w:sz w:val="18"/>
                <w:szCs w:val="18"/>
              </w:rPr>
              <w:t xml:space="preserve"> garantizar la disponibilidad de orientación técnica,</w:t>
            </w:r>
            <w:r w:rsidR="00E25AE7" w:rsidRPr="00550281">
              <w:rPr>
                <w:rStyle w:val="EndnoteReference"/>
                <w:rFonts w:cstheme="minorHAnsi"/>
                <w:sz w:val="18"/>
                <w:szCs w:val="18"/>
              </w:rPr>
              <w:endnoteReference w:id="6"/>
            </w:r>
            <w:r w:rsidR="00944490" w:rsidRPr="00550281">
              <w:rPr>
                <w:sz w:val="18"/>
                <w:szCs w:val="18"/>
              </w:rPr>
              <w:t xml:space="preserve"> incentivos </w:t>
            </w:r>
            <w:r w:rsidR="00C67CF8" w:rsidRPr="00550281">
              <w:rPr>
                <w:sz w:val="18"/>
                <w:szCs w:val="18"/>
              </w:rPr>
              <w:t>económicos</w:t>
            </w:r>
            <w:r w:rsidR="00944490" w:rsidRPr="00550281">
              <w:rPr>
                <w:sz w:val="18"/>
                <w:szCs w:val="18"/>
              </w:rPr>
              <w:t xml:space="preserve"> y recursos presupuestarios para la </w:t>
            </w:r>
            <w:r w:rsidR="00F67C11" w:rsidRPr="00550281">
              <w:rPr>
                <w:sz w:val="18"/>
                <w:szCs w:val="18"/>
              </w:rPr>
              <w:t xml:space="preserve">provisión </w:t>
            </w:r>
            <w:r w:rsidR="00944490" w:rsidRPr="00550281">
              <w:rPr>
                <w:sz w:val="18"/>
                <w:szCs w:val="18"/>
              </w:rPr>
              <w:t xml:space="preserve">de ajustes razonables por parte de los </w:t>
            </w:r>
            <w:r w:rsidR="00F67C11" w:rsidRPr="00550281">
              <w:rPr>
                <w:sz w:val="18"/>
                <w:szCs w:val="18"/>
              </w:rPr>
              <w:t xml:space="preserve">actores </w:t>
            </w:r>
            <w:r w:rsidR="00944490" w:rsidRPr="00550281">
              <w:rPr>
                <w:sz w:val="18"/>
                <w:szCs w:val="18"/>
              </w:rPr>
              <w:t>públicos y privados.</w:t>
            </w:r>
          </w:p>
        </w:tc>
        <w:tc>
          <w:tcPr>
            <w:tcW w:w="4261" w:type="dxa"/>
            <w:shd w:val="clear" w:color="auto" w:fill="auto"/>
          </w:tcPr>
          <w:p w14:paraId="296CA619" w14:textId="674239B6" w:rsidR="00337F57" w:rsidRPr="007839DB" w:rsidRDefault="00D471A7" w:rsidP="00D82F60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2428A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Medidas específicas para lograr la igualdad de hecho, incluyendo medidas de acción afirmativa,</w:t>
            </w:r>
            <w:r w:rsidR="00C07C6E" w:rsidRPr="007839DB">
              <w:rPr>
                <w:rStyle w:val="EndnoteReference"/>
                <w:rFonts w:cstheme="minorHAnsi"/>
                <w:sz w:val="18"/>
                <w:szCs w:val="18"/>
              </w:rPr>
              <w:endnoteReference w:id="7"/>
            </w:r>
            <w:r>
              <w:rPr>
                <w:sz w:val="18"/>
                <w:szCs w:val="18"/>
              </w:rPr>
              <w:t xml:space="preserve"> adoptadas </w:t>
            </w:r>
            <w:r w:rsidR="00F67C11">
              <w:rPr>
                <w:sz w:val="18"/>
                <w:szCs w:val="18"/>
              </w:rPr>
              <w:t>legalmente</w:t>
            </w:r>
            <w:r>
              <w:rPr>
                <w:sz w:val="18"/>
                <w:szCs w:val="18"/>
              </w:rPr>
              <w:t xml:space="preserve"> y/o </w:t>
            </w:r>
            <w:r w:rsidR="00F67C11">
              <w:rPr>
                <w:sz w:val="18"/>
                <w:szCs w:val="18"/>
              </w:rPr>
              <w:t xml:space="preserve">en </w:t>
            </w:r>
            <w:r>
              <w:rPr>
                <w:sz w:val="18"/>
                <w:szCs w:val="18"/>
              </w:rPr>
              <w:t>planes de políticas</w:t>
            </w:r>
            <w:r w:rsidR="00F67C11">
              <w:rPr>
                <w:sz w:val="18"/>
                <w:szCs w:val="18"/>
              </w:rPr>
              <w:t xml:space="preserve"> públicas</w:t>
            </w:r>
            <w:r>
              <w:rPr>
                <w:sz w:val="18"/>
                <w:szCs w:val="18"/>
              </w:rPr>
              <w:t xml:space="preserve">, en particular para los grupos </w:t>
            </w:r>
            <w:r w:rsidR="002428AE">
              <w:rPr>
                <w:sz w:val="18"/>
                <w:szCs w:val="18"/>
              </w:rPr>
              <w:t xml:space="preserve">con </w:t>
            </w:r>
            <w:r>
              <w:rPr>
                <w:sz w:val="18"/>
                <w:szCs w:val="18"/>
              </w:rPr>
              <w:t xml:space="preserve">más </w:t>
            </w:r>
            <w:r w:rsidR="002428AE">
              <w:rPr>
                <w:sz w:val="18"/>
                <w:szCs w:val="18"/>
              </w:rPr>
              <w:t xml:space="preserve">riesgo de discriminación </w:t>
            </w:r>
            <w:r>
              <w:rPr>
                <w:sz w:val="18"/>
                <w:szCs w:val="18"/>
              </w:rPr>
              <w:t xml:space="preserve">entre las personas con discapacidad, incluida la existencia o designación de mecanismos de </w:t>
            </w:r>
            <w:r w:rsidR="00D82F60">
              <w:rPr>
                <w:sz w:val="18"/>
                <w:szCs w:val="18"/>
              </w:rPr>
              <w:t xml:space="preserve">monitoreo </w:t>
            </w:r>
            <w:r w:rsidR="00F67C11">
              <w:rPr>
                <w:sz w:val="18"/>
                <w:szCs w:val="18"/>
              </w:rPr>
              <w:t>y de cumplimiento</w:t>
            </w:r>
            <w:r w:rsidR="00D82F60">
              <w:rPr>
                <w:sz w:val="18"/>
                <w:szCs w:val="18"/>
              </w:rPr>
              <w:t>.</w:t>
            </w:r>
          </w:p>
        </w:tc>
      </w:tr>
      <w:tr w:rsidR="002428AE" w:rsidRPr="00203E7D" w14:paraId="51F37F1A" w14:textId="77777777" w:rsidTr="00A553C5">
        <w:trPr>
          <w:trHeight w:val="726"/>
        </w:trPr>
        <w:tc>
          <w:tcPr>
            <w:tcW w:w="1578" w:type="dxa"/>
            <w:vMerge w:val="restart"/>
            <w:shd w:val="clear" w:color="auto" w:fill="auto"/>
          </w:tcPr>
          <w:p w14:paraId="0838A04C" w14:textId="77777777" w:rsidR="002428AE" w:rsidRPr="00B22BD0" w:rsidRDefault="002428AE" w:rsidP="009B4ED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Proceso</w:t>
            </w:r>
          </w:p>
          <w:p w14:paraId="1B185495" w14:textId="77777777" w:rsidR="002428AE" w:rsidRPr="00B22BD0" w:rsidRDefault="002428AE" w:rsidP="0067129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190" w:type="dxa"/>
            <w:gridSpan w:val="2"/>
            <w:shd w:val="clear" w:color="auto" w:fill="auto"/>
          </w:tcPr>
          <w:p w14:paraId="14C2EB6E" w14:textId="0608EABB" w:rsidR="002428AE" w:rsidRDefault="002428AE" w:rsidP="00A376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5.8 Número y proporción de personal </w:t>
            </w:r>
            <w:r w:rsidR="00331715">
              <w:rPr>
                <w:sz w:val="18"/>
                <w:szCs w:val="18"/>
              </w:rPr>
              <w:t xml:space="preserve">del sector </w:t>
            </w:r>
            <w:r>
              <w:rPr>
                <w:sz w:val="18"/>
                <w:szCs w:val="18"/>
              </w:rPr>
              <w:t xml:space="preserve">público que diseña, implementa y/o proporciona servicios al público, </w:t>
            </w:r>
            <w:r w:rsidR="00331715">
              <w:rPr>
                <w:sz w:val="18"/>
                <w:szCs w:val="18"/>
              </w:rPr>
              <w:t xml:space="preserve">y que cuenten con </w:t>
            </w:r>
            <w:r w:rsidR="00C67CF8">
              <w:rPr>
                <w:sz w:val="18"/>
                <w:szCs w:val="18"/>
              </w:rPr>
              <w:t xml:space="preserve">capacitación </w:t>
            </w:r>
            <w:r>
              <w:rPr>
                <w:sz w:val="18"/>
                <w:szCs w:val="18"/>
              </w:rPr>
              <w:t xml:space="preserve">en materia de igualdad y no discriminación de acuerdo con la Convención, incluyendo </w:t>
            </w:r>
            <w:r w:rsidR="00331715">
              <w:rPr>
                <w:sz w:val="18"/>
                <w:szCs w:val="18"/>
              </w:rPr>
              <w:t>la obligación</w:t>
            </w:r>
            <w:r>
              <w:rPr>
                <w:sz w:val="18"/>
                <w:szCs w:val="18"/>
              </w:rPr>
              <w:t xml:space="preserve"> de proporcionar ajustes razonables, </w:t>
            </w:r>
            <w:r w:rsidR="00331715">
              <w:rPr>
                <w:sz w:val="18"/>
                <w:szCs w:val="18"/>
              </w:rPr>
              <w:t xml:space="preserve">desagregado </w:t>
            </w:r>
            <w:r>
              <w:rPr>
                <w:sz w:val="18"/>
                <w:szCs w:val="18"/>
              </w:rPr>
              <w:t>por sector, agencia y ubicación geográfica.</w:t>
            </w:r>
          </w:p>
        </w:tc>
        <w:tc>
          <w:tcPr>
            <w:tcW w:w="4261" w:type="dxa"/>
            <w:vMerge w:val="restart"/>
            <w:shd w:val="clear" w:color="auto" w:fill="auto"/>
          </w:tcPr>
          <w:p w14:paraId="519C6195" w14:textId="516BD4A1" w:rsidR="002428AE" w:rsidRPr="007839DB" w:rsidRDefault="002428AE" w:rsidP="0070754A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5.11 Número de personas con discapacidad </w:t>
            </w:r>
            <w:r w:rsidR="00F66779">
              <w:rPr>
                <w:sz w:val="18"/>
                <w:szCs w:val="18"/>
              </w:rPr>
              <w:t>beneficiari</w:t>
            </w:r>
            <w:r w:rsidR="00331715">
              <w:rPr>
                <w:sz w:val="18"/>
                <w:szCs w:val="18"/>
              </w:rPr>
              <w:t>a</w:t>
            </w:r>
            <w:r w:rsidR="00F66779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de medidas específicas</w:t>
            </w:r>
            <w:r w:rsidR="00331715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en particular medidas de acción afirmativa</w:t>
            </w:r>
            <w:r w:rsidR="0033171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="00331715">
              <w:rPr>
                <w:sz w:val="18"/>
                <w:szCs w:val="18"/>
              </w:rPr>
              <w:t xml:space="preserve">desagregadas </w:t>
            </w:r>
            <w:r>
              <w:rPr>
                <w:sz w:val="18"/>
                <w:szCs w:val="18"/>
              </w:rPr>
              <w:t xml:space="preserve">por medida, edad, sexo, discapacidad, situación geográfica y, </w:t>
            </w:r>
            <w:r w:rsidR="00331715">
              <w:rPr>
                <w:sz w:val="18"/>
                <w:szCs w:val="18"/>
              </w:rPr>
              <w:t>de ser el</w:t>
            </w:r>
            <w:r>
              <w:rPr>
                <w:sz w:val="18"/>
                <w:szCs w:val="18"/>
              </w:rPr>
              <w:t xml:space="preserve"> caso, por sector (público o privado).</w:t>
            </w:r>
            <w:r w:rsidRPr="007839DB">
              <w:rPr>
                <w:rStyle w:val="EndnoteReference"/>
                <w:rFonts w:cstheme="minorHAnsi"/>
                <w:sz w:val="18"/>
                <w:szCs w:val="18"/>
              </w:rPr>
              <w:endnoteReference w:id="8"/>
            </w:r>
            <w:r>
              <w:rPr>
                <w:sz w:val="18"/>
                <w:szCs w:val="18"/>
              </w:rPr>
              <w:t xml:space="preserve"> </w:t>
            </w:r>
          </w:p>
          <w:p w14:paraId="14CE85E6" w14:textId="30C8FC15" w:rsidR="002428AE" w:rsidRPr="002428AE" w:rsidRDefault="002428AE" w:rsidP="00A376F5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5.12 Presupuesto asignado para </w:t>
            </w:r>
            <w:r w:rsidR="00F66779">
              <w:rPr>
                <w:sz w:val="18"/>
                <w:szCs w:val="18"/>
              </w:rPr>
              <w:t>la implementación y el monitoreo</w:t>
            </w:r>
            <w:r>
              <w:rPr>
                <w:sz w:val="18"/>
                <w:szCs w:val="18"/>
              </w:rPr>
              <w:t xml:space="preserve"> de medidas específicas, incluidas las medidas de acción afirmativa.</w:t>
            </w:r>
          </w:p>
        </w:tc>
      </w:tr>
      <w:tr w:rsidR="002428AE" w:rsidRPr="00203E7D" w14:paraId="47D1B907" w14:textId="77777777" w:rsidTr="002428AE">
        <w:trPr>
          <w:trHeight w:val="1420"/>
        </w:trPr>
        <w:tc>
          <w:tcPr>
            <w:tcW w:w="1578" w:type="dxa"/>
            <w:vMerge/>
          </w:tcPr>
          <w:p w14:paraId="29C3A1CC" w14:textId="77777777" w:rsidR="002428AE" w:rsidRPr="00203E7D" w:rsidRDefault="002428AE" w:rsidP="009B4ED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46" w:type="dxa"/>
          </w:tcPr>
          <w:p w14:paraId="5122DD7C" w14:textId="2CE87391" w:rsidR="002428AE" w:rsidRPr="007839DB" w:rsidRDefault="002428AE" w:rsidP="002428AE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44" w:type="dxa"/>
          </w:tcPr>
          <w:p w14:paraId="1F446F62" w14:textId="7D166D28" w:rsidR="002428AE" w:rsidRPr="007839DB" w:rsidRDefault="002428AE" w:rsidP="004F7BED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5.9 Presupuesto asignado para ajustes razonables en el sector público (por ejemplo, en fondos </w:t>
            </w:r>
            <w:r w:rsidR="00331715">
              <w:rPr>
                <w:color w:val="000000"/>
                <w:sz w:val="18"/>
                <w:szCs w:val="18"/>
              </w:rPr>
              <w:t>centrados en</w:t>
            </w:r>
            <w:r>
              <w:rPr>
                <w:color w:val="000000"/>
                <w:sz w:val="18"/>
                <w:szCs w:val="18"/>
              </w:rPr>
              <w:t xml:space="preserve"> ajustes razonables)</w:t>
            </w:r>
            <w:r w:rsidR="00C67CF8">
              <w:rPr>
                <w:color w:val="000000"/>
                <w:sz w:val="18"/>
                <w:szCs w:val="18"/>
              </w:rPr>
              <w:t>.</w:t>
            </w:r>
          </w:p>
          <w:p w14:paraId="77E309B0" w14:textId="2B10D78D" w:rsidR="002428AE" w:rsidRPr="007839DB" w:rsidRDefault="002428AE" w:rsidP="00A376F5">
            <w:pPr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5.10 Número de personas </w:t>
            </w:r>
            <w:r w:rsidR="00C67CF8">
              <w:rPr>
                <w:sz w:val="18"/>
                <w:szCs w:val="18"/>
              </w:rPr>
              <w:t xml:space="preserve">capacitadas </w:t>
            </w:r>
            <w:r>
              <w:rPr>
                <w:sz w:val="18"/>
                <w:szCs w:val="18"/>
              </w:rPr>
              <w:t xml:space="preserve">en el marco de programas estatales dirigidos </w:t>
            </w:r>
            <w:r w:rsidR="00331715">
              <w:rPr>
                <w:sz w:val="18"/>
                <w:szCs w:val="18"/>
              </w:rPr>
              <w:t xml:space="preserve">al sector </w:t>
            </w:r>
            <w:r>
              <w:rPr>
                <w:sz w:val="18"/>
                <w:szCs w:val="18"/>
              </w:rPr>
              <w:t xml:space="preserve">privado (empresas, proveedores de servicios, etc.) sobre </w:t>
            </w:r>
            <w:r w:rsidR="00331715">
              <w:rPr>
                <w:sz w:val="18"/>
                <w:szCs w:val="18"/>
              </w:rPr>
              <w:t>la obligación de proveer ajustes razonables</w:t>
            </w:r>
            <w:r>
              <w:rPr>
                <w:sz w:val="18"/>
                <w:szCs w:val="18"/>
              </w:rPr>
              <w:t xml:space="preserve"> y los procedimientos</w:t>
            </w:r>
            <w:r w:rsidR="00331715">
              <w:rPr>
                <w:sz w:val="18"/>
                <w:szCs w:val="18"/>
              </w:rPr>
              <w:t xml:space="preserve"> para esto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261" w:type="dxa"/>
            <w:vMerge/>
          </w:tcPr>
          <w:p w14:paraId="5BF7ADC1" w14:textId="710E8AD7" w:rsidR="002428AE" w:rsidRPr="007839DB" w:rsidRDefault="002428AE" w:rsidP="0070754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2428AE" w:rsidRPr="00203E7D" w14:paraId="7A8528BB" w14:textId="77777777" w:rsidTr="003C1676">
        <w:trPr>
          <w:trHeight w:val="1552"/>
        </w:trPr>
        <w:tc>
          <w:tcPr>
            <w:tcW w:w="1578" w:type="dxa"/>
            <w:vMerge/>
          </w:tcPr>
          <w:p w14:paraId="19E348D6" w14:textId="77777777" w:rsidR="002428AE" w:rsidRPr="00203E7D" w:rsidRDefault="002428AE" w:rsidP="009B4ED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51" w:type="dxa"/>
            <w:gridSpan w:val="3"/>
          </w:tcPr>
          <w:p w14:paraId="07C2F535" w14:textId="49C544AF" w:rsidR="002428AE" w:rsidRPr="003C1676" w:rsidRDefault="002428AE" w:rsidP="007E1F84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5.13 Campañas </w:t>
            </w:r>
            <w:r w:rsidR="00F66779">
              <w:rPr>
                <w:sz w:val="18"/>
                <w:szCs w:val="18"/>
              </w:rPr>
              <w:t xml:space="preserve">y actividades </w:t>
            </w:r>
            <w:r>
              <w:rPr>
                <w:sz w:val="18"/>
                <w:szCs w:val="18"/>
              </w:rPr>
              <w:t xml:space="preserve">de </w:t>
            </w:r>
            <w:r w:rsidR="001318C3">
              <w:rPr>
                <w:sz w:val="18"/>
                <w:szCs w:val="18"/>
              </w:rPr>
              <w:t xml:space="preserve">concienciación </w:t>
            </w:r>
            <w:r w:rsidR="00F66779">
              <w:rPr>
                <w:sz w:val="18"/>
                <w:szCs w:val="18"/>
              </w:rPr>
              <w:t xml:space="preserve">para la </w:t>
            </w:r>
            <w:r>
              <w:rPr>
                <w:sz w:val="18"/>
                <w:szCs w:val="18"/>
              </w:rPr>
              <w:t xml:space="preserve">difusión de información </w:t>
            </w:r>
            <w:r w:rsidR="00331715">
              <w:rPr>
                <w:sz w:val="18"/>
                <w:szCs w:val="18"/>
              </w:rPr>
              <w:t>al público en general</w:t>
            </w:r>
            <w:r>
              <w:rPr>
                <w:sz w:val="18"/>
                <w:szCs w:val="18"/>
              </w:rPr>
              <w:t xml:space="preserve">, </w:t>
            </w:r>
            <w:r w:rsidR="00331715">
              <w:rPr>
                <w:sz w:val="18"/>
                <w:szCs w:val="18"/>
              </w:rPr>
              <w:t>incluyendo</w:t>
            </w:r>
            <w:r>
              <w:rPr>
                <w:sz w:val="18"/>
                <w:szCs w:val="18"/>
              </w:rPr>
              <w:t xml:space="preserve"> a las personas con discapacidad y sus familias, </w:t>
            </w:r>
            <w:r w:rsidR="00331715">
              <w:rPr>
                <w:sz w:val="18"/>
                <w:szCs w:val="18"/>
              </w:rPr>
              <w:t>acerca del alcance</w:t>
            </w:r>
            <w:r>
              <w:rPr>
                <w:sz w:val="18"/>
                <w:szCs w:val="18"/>
              </w:rPr>
              <w:t xml:space="preserve"> de la </w:t>
            </w:r>
            <w:r w:rsidR="00C67CF8">
              <w:rPr>
                <w:sz w:val="18"/>
                <w:szCs w:val="18"/>
              </w:rPr>
              <w:t xml:space="preserve">prohibición de </w:t>
            </w:r>
            <w:r w:rsidR="00331715">
              <w:rPr>
                <w:sz w:val="18"/>
                <w:szCs w:val="18"/>
              </w:rPr>
              <w:t>discriminar</w:t>
            </w:r>
            <w:r>
              <w:rPr>
                <w:sz w:val="18"/>
                <w:szCs w:val="18"/>
              </w:rPr>
              <w:t xml:space="preserve"> por motivos de discapacidad, </w:t>
            </w:r>
            <w:r w:rsidR="00D569E5">
              <w:rPr>
                <w:sz w:val="18"/>
                <w:szCs w:val="18"/>
              </w:rPr>
              <w:t>el marco</w:t>
            </w:r>
            <w:r>
              <w:rPr>
                <w:sz w:val="18"/>
                <w:szCs w:val="18"/>
              </w:rPr>
              <w:t xml:space="preserve"> contra la discriminación, la obligación de </w:t>
            </w:r>
            <w:r w:rsidR="00D569E5">
              <w:rPr>
                <w:sz w:val="18"/>
                <w:szCs w:val="18"/>
              </w:rPr>
              <w:t xml:space="preserve">proveer </w:t>
            </w:r>
            <w:r>
              <w:rPr>
                <w:sz w:val="18"/>
                <w:szCs w:val="18"/>
              </w:rPr>
              <w:t xml:space="preserve">ajustes razonables y las medidas específicas para lograr </w:t>
            </w:r>
            <w:r w:rsidR="00D569E5">
              <w:rPr>
                <w:sz w:val="18"/>
                <w:szCs w:val="18"/>
              </w:rPr>
              <w:t xml:space="preserve">una </w:t>
            </w:r>
            <w:r>
              <w:rPr>
                <w:sz w:val="18"/>
                <w:szCs w:val="18"/>
              </w:rPr>
              <w:t xml:space="preserve">igualdad </w:t>
            </w:r>
            <w:r w:rsidR="00D569E5">
              <w:rPr>
                <w:sz w:val="18"/>
                <w:szCs w:val="18"/>
              </w:rPr>
              <w:t>real</w:t>
            </w:r>
            <w:r>
              <w:rPr>
                <w:sz w:val="18"/>
                <w:szCs w:val="18"/>
              </w:rPr>
              <w:t>.</w:t>
            </w:r>
          </w:p>
          <w:p w14:paraId="5EF8B6AB" w14:textId="13111E55" w:rsidR="002428AE" w:rsidRDefault="002428AE" w:rsidP="007B3928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5.14 </w:t>
            </w:r>
            <w:r w:rsidR="00D569E5">
              <w:rPr>
                <w:sz w:val="18"/>
                <w:szCs w:val="18"/>
              </w:rPr>
              <w:t>Realización de p</w:t>
            </w:r>
            <w:r>
              <w:rPr>
                <w:sz w:val="18"/>
                <w:szCs w:val="18"/>
              </w:rPr>
              <w:t xml:space="preserve">rocesos de consulta </w:t>
            </w:r>
            <w:r w:rsidR="00D569E5">
              <w:rPr>
                <w:sz w:val="18"/>
                <w:szCs w:val="18"/>
              </w:rPr>
              <w:t>que aseguren</w:t>
            </w:r>
            <w:r>
              <w:rPr>
                <w:sz w:val="18"/>
                <w:szCs w:val="18"/>
              </w:rPr>
              <w:t xml:space="preserve"> la participación activa de las personas con discapacidad, </w:t>
            </w:r>
            <w:r w:rsidR="00D569E5">
              <w:rPr>
                <w:sz w:val="18"/>
                <w:szCs w:val="18"/>
              </w:rPr>
              <w:t xml:space="preserve">incluyendo </w:t>
            </w:r>
            <w:r w:rsidR="001318C3">
              <w:rPr>
                <w:sz w:val="18"/>
                <w:szCs w:val="18"/>
              </w:rPr>
              <w:t>las organizaciones que las representan</w:t>
            </w:r>
            <w:r>
              <w:rPr>
                <w:sz w:val="18"/>
                <w:szCs w:val="18"/>
              </w:rPr>
              <w:t xml:space="preserve">, en el diseño, aplicación y </w:t>
            </w:r>
            <w:r w:rsidR="002E31FA">
              <w:rPr>
                <w:sz w:val="18"/>
                <w:szCs w:val="18"/>
              </w:rPr>
              <w:t xml:space="preserve">monitoreo </w:t>
            </w:r>
            <w:r>
              <w:rPr>
                <w:sz w:val="18"/>
                <w:szCs w:val="18"/>
              </w:rPr>
              <w:t>de leyes, reglamentos, políticas y programas relacionados con la igualdad y la no discriminación de los derechos de las personas con discapacidad.</w:t>
            </w:r>
            <w:r>
              <w:rPr>
                <w:rStyle w:val="EndnoteReference"/>
                <w:rFonts w:cstheme="minorHAnsi"/>
                <w:sz w:val="18"/>
                <w:szCs w:val="18"/>
              </w:rPr>
              <w:endnoteReference w:id="9"/>
            </w:r>
            <w:r>
              <w:rPr>
                <w:rFonts w:ascii="Times New Roman" w:hAnsi="Times New Roman"/>
              </w:rPr>
              <w:t xml:space="preserve"> </w:t>
            </w:r>
          </w:p>
          <w:p w14:paraId="32BA66F5" w14:textId="58B02144" w:rsidR="002428AE" w:rsidRPr="003C1676" w:rsidRDefault="002428AE" w:rsidP="007839DB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  <w:r w:rsidR="00E31E5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="00C67CF8">
              <w:rPr>
                <w:sz w:val="18"/>
                <w:szCs w:val="18"/>
              </w:rPr>
              <w:t xml:space="preserve">Proporción </w:t>
            </w:r>
            <w:r>
              <w:rPr>
                <w:sz w:val="18"/>
                <w:szCs w:val="18"/>
              </w:rPr>
              <w:t xml:space="preserve">de denuncias </w:t>
            </w:r>
            <w:r w:rsidR="00C67CF8">
              <w:rPr>
                <w:sz w:val="18"/>
                <w:szCs w:val="18"/>
              </w:rPr>
              <w:t xml:space="preserve">recibidas que </w:t>
            </w:r>
            <w:r w:rsidR="00D569E5">
              <w:rPr>
                <w:sz w:val="18"/>
                <w:szCs w:val="18"/>
              </w:rPr>
              <w:t>aleguen</w:t>
            </w:r>
            <w:r w:rsidR="00C67C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discriminación por motivos de discapacidad u otros motivos contra personas con discapacidad,</w:t>
            </w:r>
            <w:r w:rsidR="00C67CF8">
              <w:rPr>
                <w:sz w:val="18"/>
                <w:szCs w:val="18"/>
              </w:rPr>
              <w:t xml:space="preserve"> que han sido</w:t>
            </w:r>
            <w:r>
              <w:rPr>
                <w:sz w:val="18"/>
                <w:szCs w:val="18"/>
              </w:rPr>
              <w:t xml:space="preserve"> investigadas y resueltas</w:t>
            </w:r>
            <w:r w:rsidR="00C67CF8">
              <w:rPr>
                <w:sz w:val="18"/>
                <w:szCs w:val="18"/>
              </w:rPr>
              <w:t xml:space="preserve">; proporción de </w:t>
            </w:r>
            <w:r w:rsidR="00D569E5">
              <w:rPr>
                <w:sz w:val="18"/>
                <w:szCs w:val="18"/>
              </w:rPr>
              <w:t>denuncias</w:t>
            </w:r>
            <w:r w:rsidR="00C67CF8">
              <w:rPr>
                <w:sz w:val="18"/>
                <w:szCs w:val="18"/>
              </w:rPr>
              <w:t xml:space="preserve"> resueltas</w:t>
            </w:r>
            <w:r>
              <w:rPr>
                <w:sz w:val="18"/>
                <w:szCs w:val="18"/>
              </w:rPr>
              <w:t xml:space="preserve"> a favor del denunciante</w:t>
            </w:r>
            <w:r w:rsidR="002E31FA">
              <w:rPr>
                <w:sz w:val="18"/>
                <w:szCs w:val="18"/>
              </w:rPr>
              <w:t>,</w:t>
            </w:r>
            <w:r w:rsidR="00C67CF8">
              <w:rPr>
                <w:sz w:val="18"/>
                <w:szCs w:val="18"/>
              </w:rPr>
              <w:t xml:space="preserve"> y</w:t>
            </w:r>
            <w:r>
              <w:rPr>
                <w:sz w:val="18"/>
                <w:szCs w:val="18"/>
              </w:rPr>
              <w:t xml:space="preserve"> proporción de </w:t>
            </w:r>
            <w:r w:rsidR="00C67CF8">
              <w:rPr>
                <w:sz w:val="18"/>
                <w:szCs w:val="18"/>
              </w:rPr>
              <w:t xml:space="preserve">estas últimas que han sido </w:t>
            </w:r>
            <w:r>
              <w:rPr>
                <w:sz w:val="18"/>
                <w:szCs w:val="18"/>
              </w:rPr>
              <w:t>cumplidas por el gobierno o el responsable</w:t>
            </w:r>
            <w:r w:rsidR="00C67CF8">
              <w:rPr>
                <w:sz w:val="18"/>
                <w:szCs w:val="18"/>
              </w:rPr>
              <w:t xml:space="preserve">; todas ellas </w:t>
            </w:r>
            <w:r w:rsidR="00D569E5">
              <w:rPr>
                <w:sz w:val="18"/>
                <w:szCs w:val="18"/>
              </w:rPr>
              <w:t>desagregadas</w:t>
            </w:r>
            <w:r w:rsidR="00C67CF8">
              <w:rPr>
                <w:sz w:val="18"/>
                <w:szCs w:val="18"/>
              </w:rPr>
              <w:t xml:space="preserve"> por tipo de mecanismo</w:t>
            </w:r>
            <w:r>
              <w:rPr>
                <w:sz w:val="18"/>
                <w:szCs w:val="18"/>
              </w:rPr>
              <w:t>.</w:t>
            </w:r>
            <w:r w:rsidRPr="003C1676">
              <w:rPr>
                <w:rStyle w:val="EndnoteReference"/>
                <w:rFonts w:cstheme="minorHAnsi"/>
                <w:sz w:val="18"/>
                <w:szCs w:val="18"/>
              </w:rPr>
              <w:endnoteReference w:id="10"/>
            </w:r>
          </w:p>
          <w:p w14:paraId="3F6E0366" w14:textId="2C13D5B7" w:rsidR="002428AE" w:rsidRPr="003C1676" w:rsidRDefault="002428AE" w:rsidP="006D0074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381C57" w:rsidRPr="00203E7D" w14:paraId="4B91F32E" w14:textId="77777777" w:rsidTr="003C1676">
        <w:trPr>
          <w:trHeight w:val="855"/>
        </w:trPr>
        <w:tc>
          <w:tcPr>
            <w:tcW w:w="1578" w:type="dxa"/>
            <w:vMerge w:val="restart"/>
          </w:tcPr>
          <w:p w14:paraId="73C4FE8D" w14:textId="77777777" w:rsidR="00381C57" w:rsidRPr="00203E7D" w:rsidRDefault="00381C57" w:rsidP="009B4ED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Resultado</w:t>
            </w:r>
          </w:p>
        </w:tc>
        <w:tc>
          <w:tcPr>
            <w:tcW w:w="3946" w:type="dxa"/>
          </w:tcPr>
          <w:p w14:paraId="06287E4D" w14:textId="77F90ECF" w:rsidR="00381C57" w:rsidRPr="003C1676" w:rsidRDefault="003C1676" w:rsidP="002428AE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5.1</w:t>
            </w:r>
            <w:r w:rsidR="002428AE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 xml:space="preserve"> Proporción de población que declara haberse sentido personalmente discriminada o acosada en los últimos 12 meses por un motivo de discriminación prohibido por el derecho internacional de los derechos humanos (</w:t>
            </w:r>
            <w:r w:rsidR="002428AE">
              <w:rPr>
                <w:color w:val="000000"/>
                <w:sz w:val="18"/>
                <w:szCs w:val="18"/>
              </w:rPr>
              <w:t xml:space="preserve">indicador </w:t>
            </w:r>
            <w:r>
              <w:rPr>
                <w:color w:val="000000"/>
                <w:sz w:val="18"/>
                <w:szCs w:val="18"/>
              </w:rPr>
              <w:t>10.3.1</w:t>
            </w:r>
            <w:r w:rsidR="002428AE">
              <w:rPr>
                <w:color w:val="000000"/>
                <w:sz w:val="18"/>
                <w:szCs w:val="18"/>
              </w:rPr>
              <w:t xml:space="preserve"> o 16.b.1 de los ODS</w:t>
            </w:r>
            <w:r>
              <w:rPr>
                <w:color w:val="000000"/>
                <w:sz w:val="18"/>
                <w:szCs w:val="18"/>
              </w:rPr>
              <w:t>)</w:t>
            </w:r>
            <w:r w:rsidR="002428AE">
              <w:rPr>
                <w:color w:val="000000"/>
                <w:sz w:val="18"/>
                <w:szCs w:val="18"/>
              </w:rPr>
              <w:t>, desglosado por edad, sexo y discapacidad.</w:t>
            </w:r>
          </w:p>
        </w:tc>
        <w:tc>
          <w:tcPr>
            <w:tcW w:w="5244" w:type="dxa"/>
          </w:tcPr>
          <w:p w14:paraId="5A81F24A" w14:textId="04AD0D11" w:rsidR="00381C57" w:rsidRPr="003C1676" w:rsidRDefault="003C1676" w:rsidP="002428AE">
            <w:pPr>
              <w:jc w:val="both"/>
              <w:rPr>
                <w:rFonts w:cs="TimesNewRomanPSMT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428AE">
              <w:rPr>
                <w:sz w:val="18"/>
                <w:szCs w:val="18"/>
              </w:rPr>
              <w:t>.17</w:t>
            </w:r>
            <w:r>
              <w:rPr>
                <w:sz w:val="18"/>
                <w:szCs w:val="18"/>
              </w:rPr>
              <w:t xml:space="preserve"> Número y proporción de solicitudes de ajustes razonables concedidas</w:t>
            </w:r>
            <w:r w:rsidR="002428AE">
              <w:rPr>
                <w:sz w:val="18"/>
                <w:szCs w:val="18"/>
              </w:rPr>
              <w:t xml:space="preserve"> en el sector público</w:t>
            </w:r>
            <w:r>
              <w:rPr>
                <w:sz w:val="18"/>
                <w:szCs w:val="18"/>
              </w:rPr>
              <w:t>, desglosa</w:t>
            </w:r>
            <w:r w:rsidR="002428AE">
              <w:rPr>
                <w:sz w:val="18"/>
                <w:szCs w:val="18"/>
              </w:rPr>
              <w:t>das por edad, sexo y discapacidad</w:t>
            </w:r>
            <w:r>
              <w:rPr>
                <w:sz w:val="18"/>
                <w:szCs w:val="18"/>
              </w:rPr>
              <w:t xml:space="preserve">.  </w:t>
            </w:r>
          </w:p>
        </w:tc>
        <w:tc>
          <w:tcPr>
            <w:tcW w:w="4261" w:type="dxa"/>
          </w:tcPr>
          <w:p w14:paraId="2A9259F6" w14:textId="5C9974F3" w:rsidR="00381C57" w:rsidRPr="002428AE" w:rsidRDefault="00381C57" w:rsidP="009B4ED3">
            <w:pPr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</w:tr>
      <w:tr w:rsidR="00381C57" w:rsidRPr="00203E7D" w14:paraId="485E5718" w14:textId="77777777" w:rsidTr="007839DB">
        <w:trPr>
          <w:trHeight w:val="410"/>
        </w:trPr>
        <w:tc>
          <w:tcPr>
            <w:tcW w:w="1578" w:type="dxa"/>
            <w:vMerge/>
          </w:tcPr>
          <w:p w14:paraId="2966B3CC" w14:textId="77777777" w:rsidR="00381C57" w:rsidRPr="00203E7D" w:rsidRDefault="00381C57" w:rsidP="009B4ED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451" w:type="dxa"/>
            <w:gridSpan w:val="3"/>
          </w:tcPr>
          <w:p w14:paraId="1F33E1A4" w14:textId="6CBD91AC" w:rsidR="00381C57" w:rsidRPr="007839DB" w:rsidRDefault="002428AE" w:rsidP="009B4ED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5.18</w:t>
            </w:r>
            <w:r w:rsidR="00497617">
              <w:rPr>
                <w:sz w:val="18"/>
                <w:szCs w:val="18"/>
              </w:rPr>
              <w:t xml:space="preserve"> </w:t>
            </w:r>
            <w:r w:rsidR="001318C3">
              <w:rPr>
                <w:sz w:val="18"/>
                <w:szCs w:val="18"/>
              </w:rPr>
              <w:t>Proporción</w:t>
            </w:r>
            <w:r w:rsidR="001318C3" w:rsidRPr="001318C3" w:rsidDel="001318C3">
              <w:rPr>
                <w:sz w:val="18"/>
                <w:szCs w:val="18"/>
              </w:rPr>
              <w:t xml:space="preserve"> </w:t>
            </w:r>
            <w:r w:rsidR="00497617">
              <w:rPr>
                <w:sz w:val="18"/>
                <w:szCs w:val="18"/>
              </w:rPr>
              <w:t>de población por debajo del umbral internacional de pobreza, por sexo, edad, situación laboral, ubicación geográfica (urbana/rural) y discapacidad (ODS 1.1.1)</w:t>
            </w:r>
          </w:p>
          <w:p w14:paraId="7A8F2B1C" w14:textId="647161B0" w:rsidR="00381C57" w:rsidRPr="007839DB" w:rsidRDefault="002428AE" w:rsidP="009B4ED3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5.19</w:t>
            </w:r>
            <w:r w:rsidR="00497617">
              <w:rPr>
                <w:color w:val="000000"/>
                <w:sz w:val="18"/>
                <w:szCs w:val="18"/>
              </w:rPr>
              <w:t xml:space="preserve"> </w:t>
            </w:r>
            <w:r w:rsidR="001318C3">
              <w:rPr>
                <w:sz w:val="18"/>
                <w:szCs w:val="18"/>
              </w:rPr>
              <w:t>Proporción</w:t>
            </w:r>
            <w:r w:rsidR="001318C3" w:rsidDel="001318C3">
              <w:rPr>
                <w:color w:val="000000"/>
                <w:sz w:val="18"/>
                <w:szCs w:val="18"/>
              </w:rPr>
              <w:t xml:space="preserve"> </w:t>
            </w:r>
            <w:r w:rsidR="00497617">
              <w:rPr>
                <w:color w:val="000000"/>
                <w:sz w:val="18"/>
                <w:szCs w:val="18"/>
              </w:rPr>
              <w:t>de población por debajo del umbral nacional de pobreza, por sexo, edad y discapacidad (ODS 1.2.1)</w:t>
            </w:r>
          </w:p>
          <w:p w14:paraId="0038DE43" w14:textId="6495DDF8" w:rsidR="00381C57" w:rsidRPr="002428AE" w:rsidRDefault="002428AE" w:rsidP="002428A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5.20</w:t>
            </w:r>
            <w:r w:rsidR="00497617">
              <w:rPr>
                <w:color w:val="000000"/>
                <w:sz w:val="18"/>
                <w:szCs w:val="18"/>
              </w:rPr>
              <w:t xml:space="preserve"> </w:t>
            </w:r>
            <w:r w:rsidR="001318C3">
              <w:rPr>
                <w:sz w:val="18"/>
                <w:szCs w:val="18"/>
              </w:rPr>
              <w:t>Proporción</w:t>
            </w:r>
            <w:r w:rsidR="001318C3" w:rsidDel="001318C3">
              <w:rPr>
                <w:color w:val="000000"/>
                <w:sz w:val="18"/>
                <w:szCs w:val="18"/>
              </w:rPr>
              <w:t xml:space="preserve"> </w:t>
            </w:r>
            <w:r w:rsidR="00497617">
              <w:rPr>
                <w:color w:val="000000"/>
                <w:sz w:val="18"/>
                <w:szCs w:val="18"/>
              </w:rPr>
              <w:t xml:space="preserve">de población que vive en hogares con acceso a servicios básicos, </w:t>
            </w:r>
            <w:r w:rsidR="00D569E5">
              <w:rPr>
                <w:color w:val="000000"/>
                <w:sz w:val="18"/>
                <w:szCs w:val="18"/>
              </w:rPr>
              <w:t>desagregada</w:t>
            </w:r>
            <w:r w:rsidR="00D569E5" w:rsidRPr="00170E66">
              <w:rPr>
                <w:color w:val="000000"/>
                <w:sz w:val="18"/>
                <w:szCs w:val="18"/>
              </w:rPr>
              <w:t xml:space="preserve"> </w:t>
            </w:r>
            <w:r w:rsidR="00497617" w:rsidRPr="008F3604">
              <w:rPr>
                <w:color w:val="000000"/>
                <w:sz w:val="18"/>
                <w:szCs w:val="18"/>
              </w:rPr>
              <w:t xml:space="preserve">por </w:t>
            </w:r>
            <w:r w:rsidR="00C67CF8">
              <w:rPr>
                <w:color w:val="000000"/>
                <w:sz w:val="18"/>
                <w:szCs w:val="18"/>
              </w:rPr>
              <w:t xml:space="preserve">sexo, edad y </w:t>
            </w:r>
            <w:r w:rsidR="00497617" w:rsidRPr="008F3604">
              <w:rPr>
                <w:color w:val="000000"/>
                <w:sz w:val="18"/>
                <w:szCs w:val="18"/>
              </w:rPr>
              <w:t>discapacidad</w:t>
            </w:r>
            <w:r w:rsidR="00497617">
              <w:rPr>
                <w:color w:val="000000"/>
                <w:sz w:val="18"/>
                <w:szCs w:val="18"/>
              </w:rPr>
              <w:t xml:space="preserve"> (ODS 1.4.1)</w:t>
            </w:r>
          </w:p>
          <w:p w14:paraId="14F2C8D9" w14:textId="5C229B49" w:rsidR="002428AE" w:rsidRDefault="002428AE" w:rsidP="00CD5C4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5.21 </w:t>
            </w:r>
            <w:r w:rsidR="00CD5C44" w:rsidRPr="00CD5C44">
              <w:rPr>
                <w:sz w:val="18"/>
                <w:szCs w:val="18"/>
              </w:rPr>
              <w:t>Proporción del total de la población adulta con derechos seguros de tenencia de la tierra que posee</w:t>
            </w:r>
            <w:r w:rsidR="00CD5C44">
              <w:rPr>
                <w:sz w:val="18"/>
                <w:szCs w:val="18"/>
              </w:rPr>
              <w:t xml:space="preserve"> </w:t>
            </w:r>
            <w:r w:rsidR="00CD5C44" w:rsidRPr="00CD5C44">
              <w:rPr>
                <w:sz w:val="18"/>
                <w:szCs w:val="18"/>
              </w:rPr>
              <w:t>documentación reconocida legalmente al respecto y considera seguros sus derechos, desglosada por sexo y tipo de tenencia</w:t>
            </w:r>
            <w:r w:rsidR="002C678D">
              <w:rPr>
                <w:sz w:val="18"/>
                <w:szCs w:val="18"/>
              </w:rPr>
              <w:t xml:space="preserve"> </w:t>
            </w:r>
            <w:r w:rsidR="00C67CF8">
              <w:rPr>
                <w:sz w:val="18"/>
                <w:szCs w:val="18"/>
              </w:rPr>
              <w:t>(ODS 1.4.2) y discapacidad</w:t>
            </w:r>
          </w:p>
          <w:p w14:paraId="0534F24E" w14:textId="3C902BDE" w:rsidR="00E858A9" w:rsidRPr="007839DB" w:rsidRDefault="002428AE" w:rsidP="002428A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  <w:r w:rsidR="00C67CF8">
              <w:rPr>
                <w:sz w:val="18"/>
                <w:szCs w:val="18"/>
              </w:rPr>
              <w:t xml:space="preserve"> Salarios </w:t>
            </w:r>
            <w:r w:rsidR="00D569E5">
              <w:rPr>
                <w:sz w:val="18"/>
                <w:szCs w:val="18"/>
              </w:rPr>
              <w:t>promedio</w:t>
            </w:r>
            <w:r w:rsidR="00C67CF8">
              <w:rPr>
                <w:sz w:val="18"/>
                <w:szCs w:val="18"/>
              </w:rPr>
              <w:t xml:space="preserve"> por hora de empleados mujeres y hombres, por ocupación, edad y personas con discapacidad</w:t>
            </w:r>
            <w:r w:rsidR="00C67CF8">
              <w:rPr>
                <w:color w:val="000000"/>
                <w:sz w:val="18"/>
                <w:szCs w:val="18"/>
              </w:rPr>
              <w:t xml:space="preserve"> (ODS 8.5.1)</w:t>
            </w:r>
          </w:p>
          <w:p w14:paraId="13854405" w14:textId="1115A3EB" w:rsidR="00381C57" w:rsidRPr="007839DB" w:rsidRDefault="008F3604" w:rsidP="009B4ED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5.23 Tasa</w:t>
            </w:r>
            <w:r w:rsidR="002428AE">
              <w:rPr>
                <w:sz w:val="18"/>
                <w:szCs w:val="18"/>
              </w:rPr>
              <w:t xml:space="preserve"> de </w:t>
            </w:r>
            <w:r w:rsidR="00170E66">
              <w:rPr>
                <w:sz w:val="18"/>
                <w:szCs w:val="18"/>
              </w:rPr>
              <w:t xml:space="preserve">desempleo </w:t>
            </w:r>
            <w:r w:rsidR="002428AE">
              <w:rPr>
                <w:sz w:val="18"/>
                <w:szCs w:val="18"/>
              </w:rPr>
              <w:t>por sexo, edad y discapacidad (ODS 8.5.2)</w:t>
            </w:r>
          </w:p>
          <w:p w14:paraId="5AB9256F" w14:textId="463BE2AA" w:rsidR="00E858A9" w:rsidRPr="007839DB" w:rsidRDefault="002428AE" w:rsidP="009B4ED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5.24</w:t>
            </w:r>
            <w:r w:rsidR="00497617">
              <w:rPr>
                <w:sz w:val="18"/>
                <w:szCs w:val="18"/>
              </w:rPr>
              <w:t xml:space="preserve"> </w:t>
            </w:r>
            <w:r w:rsidR="001318C3" w:rsidRPr="001318C3">
              <w:rPr>
                <w:sz w:val="18"/>
                <w:szCs w:val="18"/>
              </w:rPr>
              <w:t>Proporción</w:t>
            </w:r>
            <w:r w:rsidR="001318C3" w:rsidRPr="001318C3" w:rsidDel="001318C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de personas que viven </w:t>
            </w:r>
            <w:r w:rsidR="00550281">
              <w:rPr>
                <w:sz w:val="18"/>
                <w:szCs w:val="18"/>
              </w:rPr>
              <w:t>con menos del</w:t>
            </w:r>
            <w:r>
              <w:rPr>
                <w:sz w:val="18"/>
                <w:szCs w:val="18"/>
              </w:rPr>
              <w:t xml:space="preserve"> 50 por ciento de los ingresos medios, por edad, sexo y discapacidad</w:t>
            </w:r>
            <w:r>
              <w:rPr>
                <w:color w:val="000000"/>
                <w:sz w:val="18"/>
                <w:szCs w:val="18"/>
              </w:rPr>
              <w:t xml:space="preserve"> (ODS </w:t>
            </w:r>
            <w:r>
              <w:rPr>
                <w:sz w:val="18"/>
                <w:szCs w:val="18"/>
              </w:rPr>
              <w:t>10.2.1</w:t>
            </w:r>
            <w:r>
              <w:rPr>
                <w:color w:val="000000"/>
                <w:sz w:val="18"/>
                <w:szCs w:val="18"/>
              </w:rPr>
              <w:t>)</w:t>
            </w:r>
          </w:p>
          <w:p w14:paraId="71405303" w14:textId="6AFB1DF3" w:rsidR="00381C57" w:rsidRPr="007839DB" w:rsidRDefault="002428AE" w:rsidP="00A948C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5.25</w:t>
            </w:r>
            <w:r w:rsidR="00497617"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Cobertura de los servicios esenciales de salud (definida como la cobertura </w:t>
            </w:r>
            <w:r w:rsidR="00550281">
              <w:rPr>
                <w:color w:val="000000"/>
                <w:sz w:val="18"/>
                <w:szCs w:val="18"/>
              </w:rPr>
              <w:t xml:space="preserve">promedio </w:t>
            </w:r>
            <w:r>
              <w:rPr>
                <w:color w:val="000000"/>
                <w:sz w:val="18"/>
                <w:szCs w:val="18"/>
              </w:rPr>
              <w:t>de los servicios esenciales basada en intervenciones de seguimiento que incluyen la salud reproductiva, materna, neonatal e infantil, las enfermedades infecciosas, las enfermedades no transmisibles y la capacidad y el acceso a los servicios, entre la población general y la más desfavorecida) (ODS 3.8.1), desglosada por edad, sexo y discapacidad.</w:t>
            </w:r>
          </w:p>
          <w:p w14:paraId="640C5679" w14:textId="762B286E" w:rsidR="00FE1B7B" w:rsidRPr="007839DB" w:rsidRDefault="002428AE" w:rsidP="003B4783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5.26</w:t>
            </w:r>
            <w:r w:rsidR="0040795E">
              <w:rPr>
                <w:sz w:val="18"/>
                <w:szCs w:val="18"/>
              </w:rPr>
              <w:t xml:space="preserve"> </w:t>
            </w:r>
            <w:r w:rsidR="001318C3">
              <w:t xml:space="preserve"> </w:t>
            </w:r>
            <w:r w:rsidR="001318C3" w:rsidRPr="001318C3">
              <w:rPr>
                <w:sz w:val="18"/>
                <w:szCs w:val="18"/>
              </w:rPr>
              <w:t>Proporción</w:t>
            </w:r>
            <w:r w:rsidR="001318C3" w:rsidRPr="001318C3" w:rsidDel="001318C3">
              <w:rPr>
                <w:sz w:val="18"/>
                <w:szCs w:val="18"/>
              </w:rPr>
              <w:t xml:space="preserve"> </w:t>
            </w:r>
            <w:r w:rsidR="0040795E">
              <w:rPr>
                <w:sz w:val="18"/>
                <w:szCs w:val="18"/>
              </w:rPr>
              <w:t>de puestos (por sexo, edad, discapacidad y grupos de población) en instituciones públicas (nacionales y locales, servicio público y judicial) en comparación con la</w:t>
            </w:r>
            <w:r w:rsidR="00550281">
              <w:rPr>
                <w:sz w:val="18"/>
                <w:szCs w:val="18"/>
              </w:rPr>
              <w:t xml:space="preserve"> </w:t>
            </w:r>
            <w:r w:rsidR="0040795E">
              <w:rPr>
                <w:sz w:val="18"/>
                <w:szCs w:val="18"/>
              </w:rPr>
              <w:t>distribuci</w:t>
            </w:r>
            <w:r w:rsidR="00550281">
              <w:rPr>
                <w:sz w:val="18"/>
                <w:szCs w:val="18"/>
              </w:rPr>
              <w:t>ón</w:t>
            </w:r>
            <w:r w:rsidR="0040795E">
              <w:rPr>
                <w:sz w:val="18"/>
                <w:szCs w:val="18"/>
              </w:rPr>
              <w:t xml:space="preserve"> nacional (ODS 16.7.1)</w:t>
            </w:r>
          </w:p>
        </w:tc>
      </w:tr>
    </w:tbl>
    <w:p w14:paraId="78AF1730" w14:textId="77777777" w:rsidR="00DE431B" w:rsidRPr="00203E7D" w:rsidRDefault="00DE431B" w:rsidP="009B4ED3">
      <w:pPr>
        <w:rPr>
          <w:rFonts w:cstheme="minorHAnsi"/>
          <w:sz w:val="20"/>
          <w:szCs w:val="20"/>
        </w:rPr>
      </w:pPr>
    </w:p>
    <w:p w14:paraId="6771C93E" w14:textId="3E441402" w:rsidR="00DE431B" w:rsidRPr="00676D45" w:rsidRDefault="0065051C" w:rsidP="00D96D52">
      <w:pPr>
        <w:jc w:val="center"/>
        <w:rPr>
          <w:rFonts w:cstheme="minorHAnsi"/>
          <w:b/>
          <w:sz w:val="20"/>
          <w:szCs w:val="20"/>
        </w:rPr>
      </w:pPr>
      <w:r>
        <w:rPr>
          <w:b/>
          <w:sz w:val="22"/>
          <w:szCs w:val="22"/>
        </w:rPr>
        <w:t>ANEXO</w:t>
      </w:r>
    </w:p>
    <w:sectPr w:rsidR="00DE431B" w:rsidRPr="00676D45" w:rsidSect="00DF23B4">
      <w:footnotePr>
        <w:pos w:val="beneathText"/>
      </w:footnotePr>
      <w:pgSz w:w="15840" w:h="12240" w:orient="landscape" w:code="1"/>
      <w:pgMar w:top="284" w:right="284" w:bottom="284" w:left="28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CE7AA" w14:textId="77777777" w:rsidR="00705850" w:rsidRDefault="00705850" w:rsidP="00CA591E"/>
  </w:endnote>
  <w:endnote w:type="continuationSeparator" w:id="0">
    <w:p w14:paraId="5EEE0F57" w14:textId="77777777" w:rsidR="00705850" w:rsidRDefault="00705850" w:rsidP="00CA591E">
      <w:r>
        <w:continuationSeparator/>
      </w:r>
    </w:p>
  </w:endnote>
  <w:endnote w:id="1">
    <w:p w14:paraId="0F48961D" w14:textId="53A17319" w:rsidR="00055E30" w:rsidRPr="00676D45" w:rsidRDefault="00055E30" w:rsidP="00DF23B4">
      <w:pPr>
        <w:pStyle w:val="EndnoteText"/>
        <w:jc w:val="both"/>
        <w:rPr>
          <w:sz w:val="18"/>
          <w:szCs w:val="18"/>
        </w:rPr>
      </w:pPr>
      <w:r w:rsidRPr="00676D45"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El artículo 5 de la CDPD </w:t>
      </w:r>
      <w:r w:rsidR="006148F1">
        <w:rPr>
          <w:sz w:val="18"/>
          <w:szCs w:val="18"/>
        </w:rPr>
        <w:t xml:space="preserve">es transversal a </w:t>
      </w:r>
      <w:r>
        <w:rPr>
          <w:sz w:val="18"/>
          <w:szCs w:val="18"/>
        </w:rPr>
        <w:t>todos los derechos de la Convención y, por lo tanto, está íntimamente ligad</w:t>
      </w:r>
      <w:r w:rsidR="006148F1">
        <w:rPr>
          <w:sz w:val="18"/>
          <w:szCs w:val="18"/>
        </w:rPr>
        <w:t>o</w:t>
      </w:r>
      <w:r>
        <w:rPr>
          <w:sz w:val="18"/>
          <w:szCs w:val="18"/>
        </w:rPr>
        <w:t xml:space="preserve"> a cada uno de ellos. Si bien la CDPD establece un derecho autónomo a la igualdad y la no discriminación, las violaciones por discriminación suelen estar relacionadas con otro artículo de la Convención. Por ejemplo, restringir el derecho de las personas ciegas a abrir una cuenta bancaria constituye una violación tanto del artículo 12 como del artículo 5 de la CDPD.</w:t>
      </w:r>
    </w:p>
  </w:endnote>
  <w:endnote w:id="2">
    <w:p w14:paraId="5ED24247" w14:textId="05E8D4FC" w:rsidR="00055E30" w:rsidRPr="00676D45" w:rsidRDefault="00055E30" w:rsidP="009B4ED3">
      <w:pPr>
        <w:rPr>
          <w:rFonts w:cstheme="minorHAnsi"/>
          <w:sz w:val="18"/>
          <w:szCs w:val="18"/>
        </w:rPr>
      </w:pPr>
      <w:r w:rsidRPr="00676D45"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La legislación debe contener al menos los siguientes elementos:</w:t>
      </w:r>
    </w:p>
    <w:p w14:paraId="434590A8" w14:textId="1903574E" w:rsidR="00055E30" w:rsidRPr="00676D45" w:rsidRDefault="00055E30" w:rsidP="009B4ED3">
      <w:pPr>
        <w:pStyle w:val="ListParagraph"/>
        <w:numPr>
          <w:ilvl w:val="0"/>
          <w:numId w:val="10"/>
        </w:numPr>
        <w:ind w:left="0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- </w:t>
      </w:r>
      <w:r w:rsidR="00A376F5">
        <w:rPr>
          <w:sz w:val="18"/>
          <w:szCs w:val="18"/>
        </w:rPr>
        <w:t>D</w:t>
      </w:r>
      <w:r>
        <w:rPr>
          <w:sz w:val="18"/>
          <w:szCs w:val="18"/>
        </w:rPr>
        <w:t xml:space="preserve">efinición de </w:t>
      </w:r>
      <w:r w:rsidR="00A376F5">
        <w:rPr>
          <w:sz w:val="18"/>
          <w:szCs w:val="18"/>
        </w:rPr>
        <w:t xml:space="preserve">discriminación por motivos de </w:t>
      </w:r>
      <w:r>
        <w:rPr>
          <w:sz w:val="18"/>
          <w:szCs w:val="18"/>
        </w:rPr>
        <w:t xml:space="preserve">discapacidad </w:t>
      </w:r>
      <w:r w:rsidR="00A376F5">
        <w:rPr>
          <w:sz w:val="18"/>
          <w:szCs w:val="18"/>
        </w:rPr>
        <w:t>de acuerdo con el</w:t>
      </w:r>
      <w:r>
        <w:rPr>
          <w:sz w:val="18"/>
          <w:szCs w:val="18"/>
        </w:rPr>
        <w:t xml:space="preserve"> artículo 2 de la Convención;</w:t>
      </w:r>
    </w:p>
    <w:p w14:paraId="517A507A" w14:textId="19CFF27B" w:rsidR="00055E30" w:rsidRPr="00676D45" w:rsidRDefault="00D4434E" w:rsidP="009B4ED3">
      <w:pPr>
        <w:pStyle w:val="ListParagraph"/>
        <w:numPr>
          <w:ilvl w:val="0"/>
          <w:numId w:val="10"/>
        </w:numPr>
        <w:ind w:left="0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- </w:t>
      </w:r>
      <w:r w:rsidR="00A376F5">
        <w:rPr>
          <w:sz w:val="18"/>
          <w:szCs w:val="18"/>
        </w:rPr>
        <w:t>P</w:t>
      </w:r>
      <w:r>
        <w:rPr>
          <w:sz w:val="18"/>
          <w:szCs w:val="18"/>
        </w:rPr>
        <w:t>rohibición de la discriminación contra las personas con discapacidad sobre la base de todos los motivos de discriminación prohibidos, incluyendo tanto la discapacidad real como la percibida;</w:t>
      </w:r>
    </w:p>
    <w:p w14:paraId="5ECB6854" w14:textId="6A40BFA0" w:rsidR="00055E30" w:rsidRPr="00676D45" w:rsidRDefault="00055E30" w:rsidP="009B4ED3">
      <w:pPr>
        <w:pStyle w:val="ListParagraph"/>
        <w:numPr>
          <w:ilvl w:val="0"/>
          <w:numId w:val="10"/>
        </w:numPr>
        <w:ind w:left="0"/>
        <w:rPr>
          <w:rFonts w:cstheme="minorHAnsi"/>
          <w:sz w:val="18"/>
          <w:szCs w:val="18"/>
        </w:rPr>
      </w:pPr>
      <w:r>
        <w:rPr>
          <w:sz w:val="18"/>
          <w:szCs w:val="18"/>
        </w:rPr>
        <w:t>- La definición de discriminación por motivos de discapacidad incluye la discriminación directa/indirecta, el acoso, la discriminación por asociación, la discriminación múltiple/</w:t>
      </w:r>
      <w:proofErr w:type="spellStart"/>
      <w:r>
        <w:rPr>
          <w:sz w:val="18"/>
          <w:szCs w:val="18"/>
        </w:rPr>
        <w:t>interseccional</w:t>
      </w:r>
      <w:proofErr w:type="spellEnd"/>
      <w:r>
        <w:rPr>
          <w:sz w:val="18"/>
          <w:szCs w:val="18"/>
        </w:rPr>
        <w:t xml:space="preserve"> y la denegación de ajustes razonables, definid</w:t>
      </w:r>
      <w:r w:rsidR="006148F1">
        <w:rPr>
          <w:sz w:val="18"/>
          <w:szCs w:val="18"/>
        </w:rPr>
        <w:t>o</w:t>
      </w:r>
      <w:r>
        <w:rPr>
          <w:sz w:val="18"/>
          <w:szCs w:val="18"/>
        </w:rPr>
        <w:t xml:space="preserve">s de conformidad con la Convención; </w:t>
      </w:r>
    </w:p>
    <w:p w14:paraId="3C6E3C8D" w14:textId="4F682A5A" w:rsidR="00055E30" w:rsidRPr="00676D45" w:rsidRDefault="00055E30" w:rsidP="009B4ED3">
      <w:pPr>
        <w:pStyle w:val="ListParagraph"/>
        <w:numPr>
          <w:ilvl w:val="0"/>
          <w:numId w:val="10"/>
        </w:numPr>
        <w:ind w:left="0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- </w:t>
      </w:r>
      <w:r w:rsidR="001318C3">
        <w:rPr>
          <w:sz w:val="18"/>
          <w:szCs w:val="18"/>
        </w:rPr>
        <w:t>Que l</w:t>
      </w:r>
      <w:r>
        <w:rPr>
          <w:sz w:val="18"/>
          <w:szCs w:val="18"/>
        </w:rPr>
        <w:t xml:space="preserve">a discriminación por motivos de discapacidad </w:t>
      </w:r>
      <w:r w:rsidR="001318C3">
        <w:rPr>
          <w:sz w:val="18"/>
          <w:szCs w:val="18"/>
        </w:rPr>
        <w:t xml:space="preserve">esté </w:t>
      </w:r>
      <w:r>
        <w:rPr>
          <w:sz w:val="18"/>
          <w:szCs w:val="18"/>
        </w:rPr>
        <w:t>prohibida en todos los sectores y en todos los ámbitos de la vida, incluidos el empleo, la educación, la asistencia sanitaria, el acceso a bienes y servicios,</w:t>
      </w:r>
      <w:r w:rsidR="00A376F5">
        <w:rPr>
          <w:sz w:val="18"/>
          <w:szCs w:val="18"/>
        </w:rPr>
        <w:t xml:space="preserve"> el acceso a la justicia, la participación política,</w:t>
      </w:r>
      <w:r>
        <w:rPr>
          <w:sz w:val="18"/>
          <w:szCs w:val="18"/>
        </w:rPr>
        <w:t xml:space="preserve"> etc.;</w:t>
      </w:r>
    </w:p>
    <w:p w14:paraId="0AF15018" w14:textId="2CE1F2AD" w:rsidR="00055E30" w:rsidRPr="00676D45" w:rsidRDefault="00D4434E" w:rsidP="009B4ED3">
      <w:pPr>
        <w:pStyle w:val="ListParagraph"/>
        <w:numPr>
          <w:ilvl w:val="0"/>
          <w:numId w:val="10"/>
        </w:numPr>
        <w:ind w:left="0"/>
        <w:rPr>
          <w:rFonts w:cstheme="minorHAnsi"/>
          <w:sz w:val="18"/>
          <w:szCs w:val="18"/>
        </w:rPr>
      </w:pPr>
      <w:r>
        <w:rPr>
          <w:sz w:val="18"/>
          <w:szCs w:val="18"/>
        </w:rPr>
        <w:t>- La obligación de realizar ajustes razonables se reconoce en todos los sectores y en todos los ámbitos de la vida.</w:t>
      </w:r>
    </w:p>
    <w:p w14:paraId="6C15C57C" w14:textId="61230CED" w:rsidR="00055E30" w:rsidRPr="00676D45" w:rsidRDefault="00055E30" w:rsidP="009B4ED3">
      <w:pPr>
        <w:pStyle w:val="ListParagraph"/>
        <w:numPr>
          <w:ilvl w:val="0"/>
          <w:numId w:val="10"/>
        </w:numPr>
        <w:ind w:left="0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- La disposición de mecanismos de financiación para garantizar la realización de ajustes razonables; </w:t>
      </w:r>
    </w:p>
    <w:p w14:paraId="1A462534" w14:textId="59961EF7" w:rsidR="00055E30" w:rsidRPr="00676D45" w:rsidRDefault="00055E30" w:rsidP="009B4ED3">
      <w:pPr>
        <w:pStyle w:val="ListParagraph"/>
        <w:numPr>
          <w:ilvl w:val="0"/>
          <w:numId w:val="10"/>
        </w:numPr>
        <w:ind w:left="0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- </w:t>
      </w:r>
      <w:r w:rsidR="00A376F5">
        <w:rPr>
          <w:sz w:val="18"/>
          <w:szCs w:val="18"/>
        </w:rPr>
        <w:t>La designación</w:t>
      </w:r>
      <w:r>
        <w:rPr>
          <w:sz w:val="18"/>
          <w:szCs w:val="18"/>
        </w:rPr>
        <w:t xml:space="preserve"> de un mecanismo nacional encargado de hacer frente a la discriminación por motivos de discapacidad; </w:t>
      </w:r>
    </w:p>
    <w:p w14:paraId="429CFD99" w14:textId="77777777" w:rsidR="00E97CC4" w:rsidRPr="00676D45" w:rsidRDefault="00055E30" w:rsidP="009B4ED3">
      <w:pPr>
        <w:pStyle w:val="ListParagraph"/>
        <w:numPr>
          <w:ilvl w:val="0"/>
          <w:numId w:val="10"/>
        </w:numPr>
        <w:ind w:left="0"/>
        <w:rPr>
          <w:rFonts w:cstheme="minorHAnsi"/>
          <w:sz w:val="18"/>
          <w:szCs w:val="18"/>
        </w:rPr>
      </w:pPr>
      <w:r>
        <w:rPr>
          <w:sz w:val="18"/>
          <w:szCs w:val="18"/>
        </w:rPr>
        <w:t>- Disponibilidad de recursos efectivos y sanciones disuasorias contra el incumplimiento de la legislación contra la discriminación;</w:t>
      </w:r>
    </w:p>
    <w:p w14:paraId="100DF8D0" w14:textId="510452FD" w:rsidR="00055E30" w:rsidRPr="00676D45" w:rsidRDefault="00E97CC4" w:rsidP="009B4ED3">
      <w:pPr>
        <w:pStyle w:val="ListParagraph"/>
        <w:numPr>
          <w:ilvl w:val="0"/>
          <w:numId w:val="10"/>
        </w:numPr>
        <w:ind w:left="0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- Amplio reconocimiento de la </w:t>
      </w:r>
      <w:r w:rsidR="006148F1">
        <w:rPr>
          <w:sz w:val="18"/>
          <w:szCs w:val="18"/>
        </w:rPr>
        <w:t>legitimación activa para iniciar acciones legales</w:t>
      </w:r>
      <w:r>
        <w:rPr>
          <w:sz w:val="18"/>
          <w:szCs w:val="18"/>
        </w:rPr>
        <w:t xml:space="preserve">, tanto para víctimas individuales, grupos y asociaciones que trabajan en la lucha contra las prácticas discriminatorias;  </w:t>
      </w:r>
    </w:p>
    <w:p w14:paraId="6ABEDA2D" w14:textId="079F06F7" w:rsidR="00055E30" w:rsidRPr="00676D45" w:rsidRDefault="00055E30" w:rsidP="00147415">
      <w:pPr>
        <w:pStyle w:val="ListParagraph"/>
        <w:numPr>
          <w:ilvl w:val="0"/>
          <w:numId w:val="10"/>
        </w:numPr>
        <w:ind w:left="0"/>
        <w:rPr>
          <w:rFonts w:cstheme="minorHAnsi"/>
          <w:sz w:val="18"/>
          <w:szCs w:val="18"/>
        </w:rPr>
      </w:pPr>
      <w:r>
        <w:rPr>
          <w:sz w:val="18"/>
          <w:szCs w:val="18"/>
        </w:rPr>
        <w:t>- El deber del Estado de adoptar medidas específicas, incluyendo medidas de acción afirmativa, para lograr la igualdad de hecho de las personas con discapacidad.</w:t>
      </w:r>
    </w:p>
  </w:endnote>
  <w:endnote w:id="3">
    <w:p w14:paraId="1FBB6B4B" w14:textId="7D39234B" w:rsidR="0041244E" w:rsidRPr="00676D45" w:rsidRDefault="0041244E">
      <w:pPr>
        <w:pStyle w:val="EndnoteText"/>
        <w:rPr>
          <w:sz w:val="18"/>
          <w:szCs w:val="18"/>
        </w:rPr>
      </w:pPr>
      <w:r w:rsidRPr="00676D45"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Por ejemplo, las mujeres y las niñas, los niños, las personas de edad, las personas sordo</w:t>
      </w:r>
      <w:r w:rsidR="008F3604">
        <w:rPr>
          <w:sz w:val="18"/>
          <w:szCs w:val="18"/>
        </w:rPr>
        <w:t>-</w:t>
      </w:r>
      <w:r>
        <w:rPr>
          <w:sz w:val="18"/>
          <w:szCs w:val="18"/>
        </w:rPr>
        <w:t xml:space="preserve">ciegas, las personas con discapacidad intelectual, </w:t>
      </w:r>
      <w:r w:rsidR="00A376F5">
        <w:rPr>
          <w:sz w:val="18"/>
          <w:szCs w:val="18"/>
        </w:rPr>
        <w:t xml:space="preserve">las personas con discapacidad psicosocial, las personas LGTBI con discapacidad, las personas con discapacidad que pertenecen a grupos socioeconómicos desfavorecidos, </w:t>
      </w:r>
      <w:r>
        <w:rPr>
          <w:sz w:val="18"/>
          <w:szCs w:val="18"/>
        </w:rPr>
        <w:t>los migrantes, los indígenas</w:t>
      </w:r>
      <w:r w:rsidR="00A376F5">
        <w:rPr>
          <w:sz w:val="18"/>
          <w:szCs w:val="18"/>
        </w:rPr>
        <w:t>, las personas con albinismo, las personas con autismo, las personas que pertenecen a una minoría</w:t>
      </w:r>
      <w:r>
        <w:rPr>
          <w:sz w:val="18"/>
          <w:szCs w:val="18"/>
        </w:rPr>
        <w:t xml:space="preserve"> y las personas que viven en zonas remotas y rurales, entre otros.</w:t>
      </w:r>
    </w:p>
  </w:endnote>
  <w:endnote w:id="4">
    <w:p w14:paraId="355B0570" w14:textId="6606C152" w:rsidR="00C34EF8" w:rsidRPr="00676D45" w:rsidRDefault="00C34EF8" w:rsidP="00C34EF8">
      <w:pPr>
        <w:pStyle w:val="EndnoteText"/>
        <w:rPr>
          <w:sz w:val="18"/>
          <w:szCs w:val="18"/>
        </w:rPr>
      </w:pPr>
      <w:r w:rsidRPr="00676D45"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La publicación de los datos debe respetar el derecho a la intimidad de las personas y la normativa de protección de datos. </w:t>
      </w:r>
      <w:r>
        <w:t xml:space="preserve">Véase ACNUDH, </w:t>
      </w:r>
      <w:hyperlink r:id="rId1" w:history="1">
        <w:r w:rsidR="00762283" w:rsidRPr="00762283">
          <w:rPr>
            <w:rStyle w:val="Hyperlink"/>
          </w:rPr>
          <w:t>Enfoque  de datos  basado  en  los  derechos  humanos</w:t>
        </w:r>
      </w:hyperlink>
      <w:bookmarkStart w:id="0" w:name="_GoBack"/>
      <w:bookmarkEnd w:id="0"/>
      <w:r w:rsidR="00762283" w:rsidRPr="00762283">
        <w:t xml:space="preserve"> </w:t>
      </w:r>
      <w:r>
        <w:t>(2018).</w:t>
      </w:r>
    </w:p>
  </w:endnote>
  <w:endnote w:id="5">
    <w:p w14:paraId="59F12608" w14:textId="2DF08309" w:rsidR="00055E30" w:rsidRPr="00676D45" w:rsidRDefault="00055E30">
      <w:pPr>
        <w:pStyle w:val="EndnoteText"/>
        <w:rPr>
          <w:sz w:val="18"/>
          <w:szCs w:val="18"/>
        </w:rPr>
      </w:pPr>
      <w:r w:rsidRPr="00676D45"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>"Leyes específicas relevantes promulgadas" alude a los marcos jurídicos que regulan el ejercicio de los derechos, ya sean específicos</w:t>
      </w:r>
      <w:r w:rsidR="00D82F60">
        <w:rPr>
          <w:sz w:val="18"/>
          <w:szCs w:val="18"/>
        </w:rPr>
        <w:t xml:space="preserve"> sobre personas con discapacidad</w:t>
      </w:r>
      <w:r>
        <w:rPr>
          <w:sz w:val="18"/>
          <w:szCs w:val="18"/>
        </w:rPr>
        <w:t xml:space="preserve"> o generales (por ejemplo, el código laboral, la ley de educación, la ley de protección social, la ley de medios de comunicación, etc.).</w:t>
      </w:r>
    </w:p>
  </w:endnote>
  <w:endnote w:id="6">
    <w:p w14:paraId="65C8005E" w14:textId="4920F464" w:rsidR="00055E30" w:rsidRPr="00676D45" w:rsidRDefault="00055E30">
      <w:pPr>
        <w:pStyle w:val="EndnoteText"/>
        <w:rPr>
          <w:sz w:val="18"/>
          <w:szCs w:val="18"/>
        </w:rPr>
      </w:pPr>
      <w:r w:rsidRPr="00676D45"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Por ejemplo, </w:t>
      </w:r>
      <w:r w:rsidR="00A376F5">
        <w:rPr>
          <w:sz w:val="18"/>
          <w:szCs w:val="18"/>
        </w:rPr>
        <w:t xml:space="preserve">la orientación sobre ajustes razonables podría contribuir a asegurar un mayor conocimiento y provisión de los mismos, particularmente dado que </w:t>
      </w:r>
      <w:r>
        <w:rPr>
          <w:sz w:val="18"/>
          <w:szCs w:val="18"/>
        </w:rPr>
        <w:t>la obligación de realizar ajustes razonables suele confundirse con la</w:t>
      </w:r>
      <w:r w:rsidR="00A376F5">
        <w:rPr>
          <w:sz w:val="18"/>
          <w:szCs w:val="18"/>
        </w:rPr>
        <w:t>s medidas de</w:t>
      </w:r>
      <w:r>
        <w:rPr>
          <w:sz w:val="18"/>
          <w:szCs w:val="18"/>
        </w:rPr>
        <w:t xml:space="preserve"> accesibilidad. </w:t>
      </w:r>
      <w:r w:rsidRPr="00550281">
        <w:rPr>
          <w:sz w:val="18"/>
          <w:szCs w:val="18"/>
        </w:rPr>
        <w:t xml:space="preserve">Para una distinción clara, véase la </w:t>
      </w:r>
      <w:hyperlink r:id="rId2" w:history="1">
        <w:r w:rsidRPr="00A376F5">
          <w:rPr>
            <w:rStyle w:val="Hyperlink"/>
            <w:sz w:val="18"/>
            <w:szCs w:val="18"/>
          </w:rPr>
          <w:t>Observación general Nº 2</w:t>
        </w:r>
      </w:hyperlink>
      <w:r w:rsidRPr="00550281">
        <w:rPr>
          <w:sz w:val="18"/>
          <w:szCs w:val="18"/>
        </w:rPr>
        <w:t xml:space="preserve"> del Comité de la CDPD, párr.</w:t>
      </w:r>
      <w:r w:rsidRPr="00A376F5">
        <w:rPr>
          <w:sz w:val="18"/>
          <w:szCs w:val="18"/>
        </w:rPr>
        <w:t xml:space="preserve"> </w:t>
      </w:r>
      <w:r w:rsidRPr="00550281">
        <w:rPr>
          <w:sz w:val="18"/>
          <w:szCs w:val="18"/>
        </w:rPr>
        <w:t>25 y 26, y</w:t>
      </w:r>
      <w:r w:rsidRPr="00102AE1">
        <w:rPr>
          <w:sz w:val="18"/>
          <w:szCs w:val="18"/>
        </w:rPr>
        <w:t xml:space="preserve"> </w:t>
      </w:r>
      <w:hyperlink r:id="rId3" w:history="1">
        <w:r w:rsidRPr="00102AE1">
          <w:rPr>
            <w:rStyle w:val="Hyperlink"/>
            <w:sz w:val="18"/>
            <w:szCs w:val="18"/>
          </w:rPr>
          <w:t>Observación general Nº 6</w:t>
        </w:r>
      </w:hyperlink>
      <w:r w:rsidRPr="00550281">
        <w:rPr>
          <w:sz w:val="18"/>
          <w:szCs w:val="18"/>
        </w:rPr>
        <w:t>, párr.</w:t>
      </w:r>
      <w:r w:rsidRPr="00A376F5">
        <w:rPr>
          <w:sz w:val="18"/>
          <w:szCs w:val="18"/>
        </w:rPr>
        <w:t xml:space="preserve"> 26.</w:t>
      </w:r>
      <w:r w:rsidR="00A376F5">
        <w:rPr>
          <w:sz w:val="18"/>
          <w:szCs w:val="18"/>
        </w:rPr>
        <w:t xml:space="preserve"> Por ejemplo, se han desarrollado directrices sobre ajustes razonable a nivel nacional en Perú (</w:t>
      </w:r>
      <w:hyperlink r:id="rId4" w:history="1">
        <w:r w:rsidR="00A376F5" w:rsidRPr="00550281">
          <w:rPr>
            <w:rStyle w:val="Hyperlink"/>
            <w:sz w:val="18"/>
            <w:szCs w:val="18"/>
          </w:rPr>
          <w:t>https://www.gob.pe/institucion/mtpe/normas-legales/282560-171-2019-tr</w:t>
        </w:r>
      </w:hyperlink>
      <w:r w:rsidR="00A376F5" w:rsidRPr="00550281">
        <w:rPr>
          <w:rStyle w:val="Hyperlink"/>
          <w:sz w:val="18"/>
          <w:szCs w:val="18"/>
        </w:rPr>
        <w:t>), e</w:t>
      </w:r>
      <w:r w:rsidR="00A376F5" w:rsidRPr="00A376F5">
        <w:rPr>
          <w:sz w:val="18"/>
          <w:szCs w:val="18"/>
        </w:rPr>
        <w:t>n N</w:t>
      </w:r>
      <w:r w:rsidR="00A376F5">
        <w:rPr>
          <w:sz w:val="18"/>
          <w:szCs w:val="18"/>
        </w:rPr>
        <w:t>ueva</w:t>
      </w:r>
      <w:r w:rsidR="00A376F5" w:rsidRPr="00A376F5">
        <w:rPr>
          <w:sz w:val="18"/>
          <w:szCs w:val="18"/>
        </w:rPr>
        <w:t xml:space="preserve"> Ze</w:t>
      </w:r>
      <w:r w:rsidR="00A376F5" w:rsidRPr="00550281">
        <w:rPr>
          <w:sz w:val="18"/>
          <w:szCs w:val="18"/>
        </w:rPr>
        <w:t>land</w:t>
      </w:r>
      <w:r w:rsidR="00A376F5">
        <w:rPr>
          <w:sz w:val="18"/>
          <w:szCs w:val="18"/>
        </w:rPr>
        <w:t>a</w:t>
      </w:r>
      <w:r w:rsidR="00A376F5" w:rsidRPr="00550281">
        <w:rPr>
          <w:sz w:val="18"/>
          <w:szCs w:val="18"/>
        </w:rPr>
        <w:t xml:space="preserve"> </w:t>
      </w:r>
      <w:r w:rsidR="00A376F5">
        <w:rPr>
          <w:sz w:val="18"/>
          <w:szCs w:val="18"/>
        </w:rPr>
        <w:t>(</w:t>
      </w:r>
      <w:hyperlink r:id="rId5" w:history="1">
        <w:r w:rsidR="00A376F5" w:rsidRPr="00550281">
          <w:rPr>
            <w:rStyle w:val="Hyperlink"/>
            <w:sz w:val="18"/>
            <w:szCs w:val="18"/>
          </w:rPr>
          <w:t>https://www.hrc.co.nz/files/7814/4848/7923/imm_reasonable_accommodation_guide.pdf</w:t>
        </w:r>
      </w:hyperlink>
      <w:r w:rsidR="00A376F5" w:rsidRPr="00550281">
        <w:rPr>
          <w:rStyle w:val="Hyperlink"/>
          <w:sz w:val="18"/>
          <w:szCs w:val="18"/>
        </w:rPr>
        <w:t>)</w:t>
      </w:r>
      <w:r w:rsidR="00A376F5" w:rsidRPr="00550281">
        <w:rPr>
          <w:sz w:val="18"/>
          <w:szCs w:val="18"/>
        </w:rPr>
        <w:t xml:space="preserve">, </w:t>
      </w:r>
      <w:r w:rsidR="00A376F5">
        <w:rPr>
          <w:sz w:val="18"/>
          <w:szCs w:val="18"/>
        </w:rPr>
        <w:t>entre otros</w:t>
      </w:r>
      <w:r w:rsidR="00A376F5" w:rsidRPr="00550281">
        <w:rPr>
          <w:sz w:val="18"/>
          <w:szCs w:val="18"/>
        </w:rPr>
        <w:t>.</w:t>
      </w:r>
      <w:r w:rsidR="00A376F5">
        <w:rPr>
          <w:sz w:val="18"/>
          <w:szCs w:val="18"/>
        </w:rPr>
        <w:t xml:space="preserve"> </w:t>
      </w:r>
    </w:p>
  </w:endnote>
  <w:endnote w:id="7">
    <w:p w14:paraId="36D60687" w14:textId="77777777" w:rsidR="00C07C6E" w:rsidRPr="00676D45" w:rsidRDefault="00C07C6E" w:rsidP="00C07C6E">
      <w:pPr>
        <w:pStyle w:val="EndnoteText"/>
        <w:rPr>
          <w:sz w:val="18"/>
          <w:szCs w:val="18"/>
        </w:rPr>
      </w:pPr>
      <w:r w:rsidRPr="00676D45"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>Son ejemplos típicos de medidas específicas, incluidas las acciones afirmativas, para lograr la igualdad de hecho:</w:t>
      </w:r>
    </w:p>
    <w:p w14:paraId="4BC544E8" w14:textId="2757CC6D" w:rsidR="00C07C6E" w:rsidRPr="00676D45" w:rsidRDefault="00C07C6E" w:rsidP="00C07C6E">
      <w:pPr>
        <w:pStyle w:val="EndnoteText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550281">
        <w:rPr>
          <w:sz w:val="18"/>
          <w:szCs w:val="18"/>
        </w:rPr>
        <w:t xml:space="preserve">Cuotas </w:t>
      </w:r>
      <w:r>
        <w:rPr>
          <w:sz w:val="18"/>
          <w:szCs w:val="18"/>
        </w:rPr>
        <w:t>de empleo que exigen, tanto a los empleadores públicos como privados, la contratación de una cierta proporción de personas con discapacidad respecto al número total de empleados (por ejemplo, 1 de cada 20, 5%);</w:t>
      </w:r>
    </w:p>
    <w:p w14:paraId="69F14648" w14:textId="77777777" w:rsidR="00C07C6E" w:rsidRPr="00676D45" w:rsidRDefault="00C07C6E" w:rsidP="00C07C6E">
      <w:pPr>
        <w:pStyle w:val="EndnoteText"/>
        <w:rPr>
          <w:sz w:val="18"/>
          <w:szCs w:val="18"/>
        </w:rPr>
      </w:pPr>
      <w:r>
        <w:rPr>
          <w:sz w:val="18"/>
          <w:szCs w:val="18"/>
        </w:rPr>
        <w:t xml:space="preserve">- Cuotas en las listas electorales o escaños reservados en el parlamento para promover la representación y aumentar la participación política de las personas con discapacidad; </w:t>
      </w:r>
    </w:p>
    <w:p w14:paraId="6822155D" w14:textId="77777777" w:rsidR="00C07C6E" w:rsidRPr="00676D45" w:rsidRDefault="00C07C6E" w:rsidP="00C07C6E">
      <w:pPr>
        <w:pStyle w:val="EndnoteText"/>
        <w:rPr>
          <w:sz w:val="18"/>
          <w:szCs w:val="18"/>
        </w:rPr>
      </w:pPr>
      <w:r>
        <w:rPr>
          <w:sz w:val="18"/>
          <w:szCs w:val="18"/>
        </w:rPr>
        <w:t>- Exenciones fiscales para la importación de productos específicos para la movilidad (coches adaptados, dispositivos de asistencia, etc.);</w:t>
      </w:r>
    </w:p>
    <w:p w14:paraId="7E9A8F7C" w14:textId="7DEE791C" w:rsidR="00C07C6E" w:rsidRPr="00676D45" w:rsidRDefault="00C07C6E" w:rsidP="00C07C6E">
      <w:pPr>
        <w:pStyle w:val="EndnoteText"/>
        <w:rPr>
          <w:sz w:val="18"/>
          <w:szCs w:val="18"/>
        </w:rPr>
      </w:pPr>
      <w:r>
        <w:rPr>
          <w:sz w:val="18"/>
          <w:szCs w:val="18"/>
        </w:rPr>
        <w:t>- Prestaciones de protección social concedidas a las personas con discapacidad, ya sea para garantizar la seguridad de los ingresos (programas de reducción de la pobreza dirigidos a las personas con discapacidad) o para cubrir los costes relacionados con la discapacidad (programas de protección social para mitigar y cubrir los costes directos o indirectos de la discapacidad).</w:t>
      </w:r>
    </w:p>
  </w:endnote>
  <w:endnote w:id="8">
    <w:p w14:paraId="77E44A58" w14:textId="188833EB" w:rsidR="002428AE" w:rsidRPr="00676D45" w:rsidRDefault="002428AE" w:rsidP="00C07C6E">
      <w:pPr>
        <w:pStyle w:val="EndnoteText"/>
        <w:jc w:val="both"/>
        <w:rPr>
          <w:sz w:val="18"/>
          <w:szCs w:val="18"/>
        </w:rPr>
      </w:pPr>
      <w:r w:rsidRPr="00676D45"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Las medidas de acción afirmativa deben diseñarse de tal manera que su impacto específico pueda ser monitorizado para recopilar información sobre los beneficiarios</w:t>
      </w:r>
      <w:r w:rsidR="00A376F5">
        <w:rPr>
          <w:sz w:val="18"/>
          <w:szCs w:val="18"/>
        </w:rPr>
        <w:t>, en particular, para reflejar las múltiples e interrelacionadas identidades de los beneficiarios siempre que sea relevante en el contexto</w:t>
      </w:r>
      <w:r>
        <w:rPr>
          <w:sz w:val="18"/>
          <w:szCs w:val="18"/>
        </w:rPr>
        <w:t>. Por ejemplo, un aumento en la tasa de admisión de personas con discapacidad en las universidades puede ser el efecto de una medida de acción afirmativa (por ejemplo, un cupo o una admisión preferente) y/o de la existencia de solicitantes con discapacidad más c</w:t>
      </w:r>
      <w:r w:rsidR="00A376F5">
        <w:rPr>
          <w:sz w:val="18"/>
          <w:szCs w:val="18"/>
        </w:rPr>
        <w:t>u</w:t>
      </w:r>
      <w:r>
        <w:rPr>
          <w:sz w:val="18"/>
          <w:szCs w:val="18"/>
        </w:rPr>
        <w:t>alificados.</w:t>
      </w:r>
    </w:p>
  </w:endnote>
  <w:endnote w:id="9">
    <w:p w14:paraId="0684B64F" w14:textId="7D784892" w:rsidR="002428AE" w:rsidRPr="00676D45" w:rsidRDefault="002428AE" w:rsidP="007B3928">
      <w:pPr>
        <w:pStyle w:val="EndnoteText"/>
        <w:jc w:val="both"/>
        <w:rPr>
          <w:sz w:val="18"/>
          <w:szCs w:val="18"/>
        </w:rPr>
      </w:pPr>
      <w:r w:rsidRPr="00676D45"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Este indicador requiere verificar las actividades concretas emprendidas por las autoridades públicas para involucrar a las personas con discapacidad en los procesos de toma de decisiones relacionados con cuestiones que les afectan directa o indirectamente, de conformidad con el artículo 4.3 de la CDPD</w:t>
      </w:r>
      <w:r w:rsidR="00A376F5">
        <w:rPr>
          <w:sz w:val="18"/>
          <w:szCs w:val="18"/>
        </w:rPr>
        <w:t xml:space="preserve"> y la </w:t>
      </w:r>
      <w:hyperlink r:id="rId6" w:history="1">
        <w:r w:rsidR="00A376F5" w:rsidRPr="007912FA">
          <w:rPr>
            <w:rStyle w:val="Hyperlink"/>
            <w:sz w:val="18"/>
            <w:szCs w:val="18"/>
          </w:rPr>
          <w:t>Observación general Nº 7</w:t>
        </w:r>
      </w:hyperlink>
      <w:r w:rsidR="00A376F5" w:rsidRPr="00A376F5">
        <w:rPr>
          <w:sz w:val="18"/>
          <w:szCs w:val="18"/>
        </w:rPr>
        <w:t xml:space="preserve"> del Comité</w:t>
      </w:r>
      <w:r>
        <w:rPr>
          <w:sz w:val="18"/>
          <w:szCs w:val="18"/>
        </w:rPr>
        <w:t xml:space="preserve">, incluidas reuniones de consulta, sesiones informativas técnicas, encuestas de consulta en línea, solicitud de comentarios sobre los proyectos de ley y  políticas, entre otros métodos participativos. </w:t>
      </w:r>
      <w:r w:rsidRPr="00550281">
        <w:rPr>
          <w:sz w:val="18"/>
          <w:szCs w:val="18"/>
        </w:rPr>
        <w:t>A este respecto, los Estados deben:</w:t>
      </w:r>
    </w:p>
    <w:p w14:paraId="2C52B5AA" w14:textId="768B39E9" w:rsidR="002428AE" w:rsidRPr="00676D45" w:rsidRDefault="00D96D52" w:rsidP="007B3928">
      <w:pPr>
        <w:pStyle w:val="EndnoteText"/>
        <w:numPr>
          <w:ilvl w:val="0"/>
          <w:numId w:val="13"/>
        </w:numPr>
        <w:rPr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asegurar que los procesos de consulta sean transparentes y accesibles</w:t>
      </w:r>
      <w:r w:rsidR="002428AE">
        <w:rPr>
          <w:sz w:val="18"/>
          <w:szCs w:val="18"/>
        </w:rPr>
        <w:t>;</w:t>
      </w:r>
    </w:p>
    <w:p w14:paraId="7C1000BD" w14:textId="77777777" w:rsidR="002428AE" w:rsidRPr="00676D45" w:rsidRDefault="002428AE" w:rsidP="007B3928">
      <w:pPr>
        <w:pStyle w:val="EndnoteText"/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garantizar el suministro de información adecuada y accesible;</w:t>
      </w:r>
    </w:p>
    <w:p w14:paraId="0CF94587" w14:textId="77777777" w:rsidR="002428AE" w:rsidRPr="00676D45" w:rsidRDefault="002428AE" w:rsidP="007B3928">
      <w:pPr>
        <w:pStyle w:val="EndnoteText"/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no ocultar información, condicionar o impedir que las organizaciones de personas con discapacidad expresen libremente sus opiniones;</w:t>
      </w:r>
    </w:p>
    <w:p w14:paraId="51ED110D" w14:textId="77777777" w:rsidR="002428AE" w:rsidRPr="00676D45" w:rsidRDefault="002428AE" w:rsidP="007B3928">
      <w:pPr>
        <w:pStyle w:val="EndnoteText"/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incluir tanto a las organizaciones registradas como a las no registradas;</w:t>
      </w:r>
    </w:p>
    <w:p w14:paraId="0EB404BB" w14:textId="77777777" w:rsidR="002428AE" w:rsidRPr="00676D45" w:rsidRDefault="002428AE" w:rsidP="007B3928">
      <w:pPr>
        <w:pStyle w:val="EndnoteText"/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garantizar una participación temprana y continua;</w:t>
      </w:r>
    </w:p>
    <w:p w14:paraId="17C449A1" w14:textId="4176FEA6" w:rsidR="002428AE" w:rsidRPr="002428AE" w:rsidRDefault="002428AE" w:rsidP="007B3928">
      <w:pPr>
        <w:pStyle w:val="EndnoteText"/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 xml:space="preserve">cubrir los gastos relacionados </w:t>
      </w:r>
      <w:r w:rsidR="00A376F5">
        <w:rPr>
          <w:sz w:val="18"/>
          <w:szCs w:val="18"/>
        </w:rPr>
        <w:t xml:space="preserve">de </w:t>
      </w:r>
      <w:r>
        <w:rPr>
          <w:sz w:val="18"/>
          <w:szCs w:val="18"/>
        </w:rPr>
        <w:t>los participantes.</w:t>
      </w:r>
    </w:p>
  </w:endnote>
  <w:endnote w:id="10">
    <w:p w14:paraId="434C8A51" w14:textId="71FBD26C" w:rsidR="002428AE" w:rsidRPr="00676D45" w:rsidRDefault="002428AE" w:rsidP="000C3BEB">
      <w:pPr>
        <w:jc w:val="both"/>
        <w:rPr>
          <w:rFonts w:cstheme="minorHAnsi"/>
          <w:sz w:val="18"/>
          <w:szCs w:val="18"/>
        </w:rPr>
      </w:pPr>
      <w:r w:rsidRPr="00676D45">
        <w:rPr>
          <w:rStyle w:val="EndnoteReference"/>
          <w:sz w:val="18"/>
          <w:szCs w:val="18"/>
        </w:rPr>
        <w:endnoteRef/>
      </w:r>
      <w:r>
        <w:rPr>
          <w:sz w:val="18"/>
          <w:szCs w:val="18"/>
        </w:rPr>
        <w:t xml:space="preserve"> Esta información debería desglosarse por: </w:t>
      </w:r>
    </w:p>
    <w:p w14:paraId="6A631333" w14:textId="514574E9" w:rsidR="002428AE" w:rsidRPr="00676D45" w:rsidRDefault="002428AE" w:rsidP="000C3BEB">
      <w:pPr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- edad, sexo, discapacidad, origen étnico, origen indígena, </w:t>
      </w:r>
      <w:r w:rsidR="00A376F5">
        <w:rPr>
          <w:sz w:val="18"/>
          <w:szCs w:val="18"/>
        </w:rPr>
        <w:t xml:space="preserve">pertenencia a una minoría, </w:t>
      </w:r>
      <w:r>
        <w:rPr>
          <w:sz w:val="18"/>
          <w:szCs w:val="18"/>
        </w:rPr>
        <w:t>idioma, nacionalidad, condición de migrante, condición de refugiado, condición de solicitante de asilo, condición de apátrida, condición socioeconómica, ubicación geográfica o lugar de residencia (zona urbana o rural), religión, estado civil y familiar, orientación sexual, identidad de género</w:t>
      </w:r>
      <w:r w:rsidR="00A376F5">
        <w:rPr>
          <w:sz w:val="18"/>
          <w:szCs w:val="18"/>
        </w:rPr>
        <w:t xml:space="preserve"> </w:t>
      </w:r>
      <w:r>
        <w:rPr>
          <w:sz w:val="18"/>
          <w:szCs w:val="18"/>
        </w:rPr>
        <w:t>del/</w:t>
      </w:r>
      <w:proofErr w:type="gramStart"/>
      <w:r>
        <w:rPr>
          <w:sz w:val="18"/>
          <w:szCs w:val="18"/>
        </w:rPr>
        <w:t>de los denunciante</w:t>
      </w:r>
      <w:proofErr w:type="gramEnd"/>
      <w:r>
        <w:rPr>
          <w:sz w:val="18"/>
          <w:szCs w:val="18"/>
        </w:rPr>
        <w:t>/s</w:t>
      </w:r>
      <w:r w:rsidR="00A376F5">
        <w:rPr>
          <w:sz w:val="18"/>
          <w:szCs w:val="18"/>
        </w:rPr>
        <w:t>;</w:t>
      </w:r>
    </w:p>
    <w:p w14:paraId="75E47A32" w14:textId="77777777" w:rsidR="002428AE" w:rsidRPr="00676D45" w:rsidRDefault="002428AE" w:rsidP="000C3BEB">
      <w:pPr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- Mecanismo (por ejemplo, tribunales, institución nacional de derechos humanos, defensor del pueblo u otros mecanismos); </w:t>
      </w:r>
    </w:p>
    <w:p w14:paraId="5930B4DE" w14:textId="0914E061" w:rsidR="002428AE" w:rsidRPr="00676D45" w:rsidRDefault="002428AE" w:rsidP="000C3BEB">
      <w:pPr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- Motivo/s de discriminación.</w:t>
      </w:r>
    </w:p>
    <w:p w14:paraId="3C978749" w14:textId="77777777" w:rsidR="002428AE" w:rsidRPr="00676D45" w:rsidRDefault="002428AE" w:rsidP="000C3BEB">
      <w:pPr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- Demandado (personas o agentes privados, o entidades públicas)</w:t>
      </w:r>
    </w:p>
    <w:p w14:paraId="1C2DBECF" w14:textId="77777777" w:rsidR="002428AE" w:rsidRPr="00676D45" w:rsidRDefault="002428AE" w:rsidP="000C3BEB">
      <w:pPr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- Tipo de discriminación alegada (directa, indirecta, etc., identificando en particular los casos de presunta </w:t>
      </w:r>
      <w:r w:rsidRPr="008F3604">
        <w:rPr>
          <w:sz w:val="18"/>
          <w:szCs w:val="18"/>
        </w:rPr>
        <w:t>denegación de ajuste razonable</w:t>
      </w:r>
      <w:r w:rsidRPr="00170E66">
        <w:rPr>
          <w:sz w:val="18"/>
          <w:szCs w:val="18"/>
        </w:rPr>
        <w:t xml:space="preserve"> e </w:t>
      </w:r>
      <w:r w:rsidRPr="008F3604">
        <w:rPr>
          <w:sz w:val="18"/>
          <w:szCs w:val="18"/>
        </w:rPr>
        <w:t>incumplimiento de medidas específicas</w:t>
      </w:r>
      <w:r w:rsidRPr="00170E66">
        <w:rPr>
          <w:sz w:val="18"/>
          <w:szCs w:val="18"/>
        </w:rPr>
        <w:t>).</w:t>
      </w:r>
    </w:p>
    <w:p w14:paraId="21FDC306" w14:textId="1B2A3C7B" w:rsidR="002428AE" w:rsidRPr="00676D45" w:rsidRDefault="002428AE" w:rsidP="000C3BEB">
      <w:pPr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- Resultado de la reclamación (por ejemplo, concedida, no concedida, etc.)</w:t>
      </w:r>
    </w:p>
    <w:p w14:paraId="62EA9C6B" w14:textId="61053AE8" w:rsidR="002428AE" w:rsidRPr="000C3BEB" w:rsidRDefault="002428AE" w:rsidP="000C3BEB">
      <w:pPr>
        <w:pStyle w:val="EndnoteText"/>
      </w:pPr>
      <w:r>
        <w:rPr>
          <w:sz w:val="18"/>
          <w:szCs w:val="18"/>
        </w:rPr>
        <w:t xml:space="preserve">- Cumplimiento o no por parte del gobierno (por ejemplo, </w:t>
      </w:r>
      <w:r>
        <w:rPr>
          <w:color w:val="000000"/>
          <w:sz w:val="18"/>
          <w:szCs w:val="18"/>
        </w:rPr>
        <w:t>compensación por discriminación por discapacidad, y la cantidad promedio de dicha compensación).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69FBE" w14:textId="77777777" w:rsidR="00705850" w:rsidRDefault="00705850" w:rsidP="00CA591E">
      <w:r>
        <w:separator/>
      </w:r>
    </w:p>
  </w:footnote>
  <w:footnote w:type="continuationSeparator" w:id="0">
    <w:p w14:paraId="1E8AAE0B" w14:textId="77777777" w:rsidR="00705850" w:rsidRDefault="00705850" w:rsidP="00CA5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1BD5"/>
    <w:multiLevelType w:val="hybridMultilevel"/>
    <w:tmpl w:val="6ED2CB08"/>
    <w:lvl w:ilvl="0" w:tplc="9FF620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B4BA4"/>
    <w:multiLevelType w:val="hybridMultilevel"/>
    <w:tmpl w:val="9C12D892"/>
    <w:lvl w:ilvl="0" w:tplc="D988E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62618"/>
    <w:multiLevelType w:val="hybridMultilevel"/>
    <w:tmpl w:val="2BCA6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92247"/>
    <w:multiLevelType w:val="hybridMultilevel"/>
    <w:tmpl w:val="8DE4D6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AB6020"/>
    <w:multiLevelType w:val="hybridMultilevel"/>
    <w:tmpl w:val="CE1A6BD4"/>
    <w:lvl w:ilvl="0" w:tplc="1B76CF2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B3F35"/>
    <w:multiLevelType w:val="hybridMultilevel"/>
    <w:tmpl w:val="032E4E72"/>
    <w:lvl w:ilvl="0" w:tplc="9A042DC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23A17"/>
    <w:multiLevelType w:val="hybridMultilevel"/>
    <w:tmpl w:val="AF32C7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42916"/>
    <w:multiLevelType w:val="hybridMultilevel"/>
    <w:tmpl w:val="B84E17C6"/>
    <w:lvl w:ilvl="0" w:tplc="E09C83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 w:val="0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34C07"/>
    <w:multiLevelType w:val="hybridMultilevel"/>
    <w:tmpl w:val="73863EFA"/>
    <w:lvl w:ilvl="0" w:tplc="8A8C9DA0">
      <w:start w:val="1"/>
      <w:numFmt w:val="bullet"/>
      <w:lvlText w:val=""/>
      <w:lvlJc w:val="left"/>
      <w:pPr>
        <w:ind w:left="11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601722D2"/>
    <w:multiLevelType w:val="hybridMultilevel"/>
    <w:tmpl w:val="9E105592"/>
    <w:lvl w:ilvl="0" w:tplc="3ED01A1A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853D9"/>
    <w:multiLevelType w:val="hybridMultilevel"/>
    <w:tmpl w:val="F3E2E8B0"/>
    <w:lvl w:ilvl="0" w:tplc="7FF68BA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C4860"/>
    <w:multiLevelType w:val="hybridMultilevel"/>
    <w:tmpl w:val="444A4610"/>
    <w:lvl w:ilvl="0" w:tplc="C70E04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11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5B"/>
    <w:rsid w:val="00004411"/>
    <w:rsid w:val="000134AA"/>
    <w:rsid w:val="00026CE2"/>
    <w:rsid w:val="00045ABF"/>
    <w:rsid w:val="00050711"/>
    <w:rsid w:val="0005219A"/>
    <w:rsid w:val="00055E30"/>
    <w:rsid w:val="00057593"/>
    <w:rsid w:val="0006092E"/>
    <w:rsid w:val="00063173"/>
    <w:rsid w:val="000A1BA4"/>
    <w:rsid w:val="000A25BC"/>
    <w:rsid w:val="000A76BA"/>
    <w:rsid w:val="000B3868"/>
    <w:rsid w:val="000C3BEB"/>
    <w:rsid w:val="000D29F3"/>
    <w:rsid w:val="000F5A03"/>
    <w:rsid w:val="00101BAD"/>
    <w:rsid w:val="00102AE1"/>
    <w:rsid w:val="001030AE"/>
    <w:rsid w:val="001143E6"/>
    <w:rsid w:val="00121ED4"/>
    <w:rsid w:val="001318C3"/>
    <w:rsid w:val="00147415"/>
    <w:rsid w:val="00167016"/>
    <w:rsid w:val="00167E3A"/>
    <w:rsid w:val="00170E66"/>
    <w:rsid w:val="0017378D"/>
    <w:rsid w:val="0017443D"/>
    <w:rsid w:val="00195062"/>
    <w:rsid w:val="001D2ECD"/>
    <w:rsid w:val="001E0E1B"/>
    <w:rsid w:val="001E7EA3"/>
    <w:rsid w:val="0020067B"/>
    <w:rsid w:val="00203E7D"/>
    <w:rsid w:val="00220523"/>
    <w:rsid w:val="00240F47"/>
    <w:rsid w:val="002428AE"/>
    <w:rsid w:val="00253AB3"/>
    <w:rsid w:val="002561D3"/>
    <w:rsid w:val="00261968"/>
    <w:rsid w:val="00264909"/>
    <w:rsid w:val="002671D8"/>
    <w:rsid w:val="002773AC"/>
    <w:rsid w:val="002836A9"/>
    <w:rsid w:val="002910EC"/>
    <w:rsid w:val="002C3801"/>
    <w:rsid w:val="002C678D"/>
    <w:rsid w:val="002D3D29"/>
    <w:rsid w:val="002E31FA"/>
    <w:rsid w:val="002F45D6"/>
    <w:rsid w:val="00307F27"/>
    <w:rsid w:val="003301F5"/>
    <w:rsid w:val="00331715"/>
    <w:rsid w:val="00335FE8"/>
    <w:rsid w:val="00337EB1"/>
    <w:rsid w:val="00337F57"/>
    <w:rsid w:val="00346DAD"/>
    <w:rsid w:val="003603EE"/>
    <w:rsid w:val="003718CF"/>
    <w:rsid w:val="003759C9"/>
    <w:rsid w:val="00381C57"/>
    <w:rsid w:val="003A712F"/>
    <w:rsid w:val="003B4783"/>
    <w:rsid w:val="003B65E7"/>
    <w:rsid w:val="003C1676"/>
    <w:rsid w:val="003D0783"/>
    <w:rsid w:val="003D69F9"/>
    <w:rsid w:val="003E7407"/>
    <w:rsid w:val="00400AE2"/>
    <w:rsid w:val="004068CF"/>
    <w:rsid w:val="0040795E"/>
    <w:rsid w:val="0041244E"/>
    <w:rsid w:val="004149FE"/>
    <w:rsid w:val="00461CF2"/>
    <w:rsid w:val="00497617"/>
    <w:rsid w:val="0049767B"/>
    <w:rsid w:val="004A22A0"/>
    <w:rsid w:val="004A42A4"/>
    <w:rsid w:val="004B188A"/>
    <w:rsid w:val="004C1729"/>
    <w:rsid w:val="004C3801"/>
    <w:rsid w:val="004C5925"/>
    <w:rsid w:val="004F7BED"/>
    <w:rsid w:val="0051360A"/>
    <w:rsid w:val="00522CF2"/>
    <w:rsid w:val="0053622A"/>
    <w:rsid w:val="00550281"/>
    <w:rsid w:val="005676AC"/>
    <w:rsid w:val="00584133"/>
    <w:rsid w:val="00590934"/>
    <w:rsid w:val="005970C3"/>
    <w:rsid w:val="005A7999"/>
    <w:rsid w:val="005B0200"/>
    <w:rsid w:val="005B3669"/>
    <w:rsid w:val="005F266C"/>
    <w:rsid w:val="006148F1"/>
    <w:rsid w:val="006362B7"/>
    <w:rsid w:val="0065051C"/>
    <w:rsid w:val="0066757E"/>
    <w:rsid w:val="00672036"/>
    <w:rsid w:val="00676D45"/>
    <w:rsid w:val="0068399E"/>
    <w:rsid w:val="00685CF4"/>
    <w:rsid w:val="0069173D"/>
    <w:rsid w:val="00696FC9"/>
    <w:rsid w:val="006B3FE4"/>
    <w:rsid w:val="006B5CDD"/>
    <w:rsid w:val="006C5832"/>
    <w:rsid w:val="006D0074"/>
    <w:rsid w:val="006E2B02"/>
    <w:rsid w:val="006F7AAC"/>
    <w:rsid w:val="0070160D"/>
    <w:rsid w:val="00702448"/>
    <w:rsid w:val="00705361"/>
    <w:rsid w:val="00705850"/>
    <w:rsid w:val="007070D2"/>
    <w:rsid w:val="0070754A"/>
    <w:rsid w:val="0072068D"/>
    <w:rsid w:val="00725023"/>
    <w:rsid w:val="00725B34"/>
    <w:rsid w:val="00736A44"/>
    <w:rsid w:val="007457D0"/>
    <w:rsid w:val="00746423"/>
    <w:rsid w:val="007472F1"/>
    <w:rsid w:val="00762283"/>
    <w:rsid w:val="00773555"/>
    <w:rsid w:val="007839DB"/>
    <w:rsid w:val="0078701D"/>
    <w:rsid w:val="007912FA"/>
    <w:rsid w:val="00792C5D"/>
    <w:rsid w:val="007A2394"/>
    <w:rsid w:val="007A2B9C"/>
    <w:rsid w:val="007B3928"/>
    <w:rsid w:val="007C2DCA"/>
    <w:rsid w:val="007E1F84"/>
    <w:rsid w:val="007F3FE6"/>
    <w:rsid w:val="00810AE7"/>
    <w:rsid w:val="00813049"/>
    <w:rsid w:val="00823FA2"/>
    <w:rsid w:val="00841566"/>
    <w:rsid w:val="00884F8C"/>
    <w:rsid w:val="008858A7"/>
    <w:rsid w:val="0089365A"/>
    <w:rsid w:val="00893A92"/>
    <w:rsid w:val="008D2892"/>
    <w:rsid w:val="008E15CB"/>
    <w:rsid w:val="008F3604"/>
    <w:rsid w:val="009159FD"/>
    <w:rsid w:val="0092368C"/>
    <w:rsid w:val="00944490"/>
    <w:rsid w:val="00952099"/>
    <w:rsid w:val="00964A5B"/>
    <w:rsid w:val="0096663D"/>
    <w:rsid w:val="00971AE3"/>
    <w:rsid w:val="00973D37"/>
    <w:rsid w:val="00985A10"/>
    <w:rsid w:val="009929A3"/>
    <w:rsid w:val="009A4374"/>
    <w:rsid w:val="009A6799"/>
    <w:rsid w:val="009B0C95"/>
    <w:rsid w:val="009B4ED3"/>
    <w:rsid w:val="009B5E1B"/>
    <w:rsid w:val="009B7B1A"/>
    <w:rsid w:val="009D6367"/>
    <w:rsid w:val="009E1074"/>
    <w:rsid w:val="009F6E73"/>
    <w:rsid w:val="009F7D61"/>
    <w:rsid w:val="00A17EFE"/>
    <w:rsid w:val="00A376F5"/>
    <w:rsid w:val="00A40B3E"/>
    <w:rsid w:val="00A42C44"/>
    <w:rsid w:val="00A453C1"/>
    <w:rsid w:val="00A63D3D"/>
    <w:rsid w:val="00A72FE5"/>
    <w:rsid w:val="00A948CC"/>
    <w:rsid w:val="00AC03AB"/>
    <w:rsid w:val="00AD3349"/>
    <w:rsid w:val="00AE00B9"/>
    <w:rsid w:val="00B03486"/>
    <w:rsid w:val="00B053AD"/>
    <w:rsid w:val="00B06255"/>
    <w:rsid w:val="00B4198C"/>
    <w:rsid w:val="00B512ED"/>
    <w:rsid w:val="00B84B35"/>
    <w:rsid w:val="00B918C1"/>
    <w:rsid w:val="00BA22F4"/>
    <w:rsid w:val="00BA4198"/>
    <w:rsid w:val="00BB4CB4"/>
    <w:rsid w:val="00BC022E"/>
    <w:rsid w:val="00BC0719"/>
    <w:rsid w:val="00C00627"/>
    <w:rsid w:val="00C07C6E"/>
    <w:rsid w:val="00C2142F"/>
    <w:rsid w:val="00C24776"/>
    <w:rsid w:val="00C27CAA"/>
    <w:rsid w:val="00C34EF8"/>
    <w:rsid w:val="00C35A4C"/>
    <w:rsid w:val="00C51F20"/>
    <w:rsid w:val="00C541CC"/>
    <w:rsid w:val="00C67CF8"/>
    <w:rsid w:val="00C92A6B"/>
    <w:rsid w:val="00CA0ACC"/>
    <w:rsid w:val="00CA591E"/>
    <w:rsid w:val="00CB2640"/>
    <w:rsid w:val="00CD5C44"/>
    <w:rsid w:val="00CD67B3"/>
    <w:rsid w:val="00CF20D7"/>
    <w:rsid w:val="00D01F95"/>
    <w:rsid w:val="00D13F5B"/>
    <w:rsid w:val="00D167E3"/>
    <w:rsid w:val="00D256F2"/>
    <w:rsid w:val="00D4434E"/>
    <w:rsid w:val="00D44C26"/>
    <w:rsid w:val="00D471A7"/>
    <w:rsid w:val="00D569E5"/>
    <w:rsid w:val="00D82F60"/>
    <w:rsid w:val="00D8414C"/>
    <w:rsid w:val="00D8605F"/>
    <w:rsid w:val="00D911DD"/>
    <w:rsid w:val="00D96D52"/>
    <w:rsid w:val="00DB1A9C"/>
    <w:rsid w:val="00DD2A83"/>
    <w:rsid w:val="00DE08D5"/>
    <w:rsid w:val="00DE3CF7"/>
    <w:rsid w:val="00DE431B"/>
    <w:rsid w:val="00DE4B64"/>
    <w:rsid w:val="00DF23B4"/>
    <w:rsid w:val="00E032FC"/>
    <w:rsid w:val="00E04BBF"/>
    <w:rsid w:val="00E1628A"/>
    <w:rsid w:val="00E232CB"/>
    <w:rsid w:val="00E25AE7"/>
    <w:rsid w:val="00E27296"/>
    <w:rsid w:val="00E27806"/>
    <w:rsid w:val="00E31AF2"/>
    <w:rsid w:val="00E31E56"/>
    <w:rsid w:val="00E32612"/>
    <w:rsid w:val="00E608B7"/>
    <w:rsid w:val="00E64E57"/>
    <w:rsid w:val="00E858A9"/>
    <w:rsid w:val="00E95833"/>
    <w:rsid w:val="00E96C21"/>
    <w:rsid w:val="00E97CC4"/>
    <w:rsid w:val="00EA1EF9"/>
    <w:rsid w:val="00EC0D4A"/>
    <w:rsid w:val="00EC536E"/>
    <w:rsid w:val="00ED2C1C"/>
    <w:rsid w:val="00ED42B0"/>
    <w:rsid w:val="00ED717C"/>
    <w:rsid w:val="00EE4AB0"/>
    <w:rsid w:val="00EE5CFE"/>
    <w:rsid w:val="00EF4247"/>
    <w:rsid w:val="00F01C22"/>
    <w:rsid w:val="00F05557"/>
    <w:rsid w:val="00F63625"/>
    <w:rsid w:val="00F63CBD"/>
    <w:rsid w:val="00F66779"/>
    <w:rsid w:val="00F67C11"/>
    <w:rsid w:val="00F70E8A"/>
    <w:rsid w:val="00F77E96"/>
    <w:rsid w:val="00F852F1"/>
    <w:rsid w:val="00F97690"/>
    <w:rsid w:val="00FA70B1"/>
    <w:rsid w:val="00FB33D1"/>
    <w:rsid w:val="00FE1B7B"/>
    <w:rsid w:val="00FE41A9"/>
    <w:rsid w:val="00FE772E"/>
    <w:rsid w:val="00FF0735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841D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F5B"/>
    <w:pPr>
      <w:ind w:left="720"/>
      <w:contextualSpacing/>
    </w:pPr>
  </w:style>
  <w:style w:type="table" w:styleId="TableGrid">
    <w:name w:val="Table Grid"/>
    <w:basedOn w:val="TableNormal"/>
    <w:uiPriority w:val="59"/>
    <w:rsid w:val="00C5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1CC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CC"/>
    <w:rPr>
      <w:rFonts w:ascii="Times New Roman" w:hAnsi="Times New Roman" w:cs="Times New Roman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59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91E"/>
    <w:rPr>
      <w:sz w:val="20"/>
      <w:szCs w:val="20"/>
    </w:rPr>
  </w:style>
  <w:style w:type="character" w:styleId="FootnoteReference">
    <w:name w:val="footnote reference"/>
    <w:aliases w:val="Fn Ref,Footnote Refernece,callout,Footnotes refss,Appel note de bas de p.,Footnote Reference Superscript,BVI fnr,Footnote Reference Number,Footnote Refernece + (Latein) Arial,10 pt,Blau,Fußnotenzeichen_Raxen,Footnote Refe,FR,...,4_G"/>
    <w:basedOn w:val="DefaultParagraphFont"/>
    <w:uiPriority w:val="99"/>
    <w:unhideWhenUsed/>
    <w:qFormat/>
    <w:rsid w:val="00CA591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E4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31B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31B"/>
    <w:rPr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A5B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A5B"/>
    <w:rPr>
      <w:b/>
      <w:bCs/>
      <w:sz w:val="20"/>
      <w:szCs w:val="20"/>
      <w:lang w:val="es-ES"/>
    </w:rPr>
  </w:style>
  <w:style w:type="paragraph" w:styleId="Revision">
    <w:name w:val="Revision"/>
    <w:hidden/>
    <w:uiPriority w:val="99"/>
    <w:semiHidden/>
    <w:rsid w:val="000B3868"/>
  </w:style>
  <w:style w:type="paragraph" w:styleId="EndnoteText">
    <w:name w:val="endnote text"/>
    <w:basedOn w:val="Normal"/>
    <w:link w:val="EndnoteTextChar"/>
    <w:uiPriority w:val="99"/>
    <w:unhideWhenUsed/>
    <w:rsid w:val="00461CF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61CF2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461CF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23FA2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44C26"/>
  </w:style>
  <w:style w:type="paragraph" w:styleId="Header">
    <w:name w:val="header"/>
    <w:basedOn w:val="Normal"/>
    <w:link w:val="HeaderChar"/>
    <w:uiPriority w:val="99"/>
    <w:unhideWhenUsed/>
    <w:rsid w:val="00DE08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8D5"/>
  </w:style>
  <w:style w:type="paragraph" w:styleId="Footer">
    <w:name w:val="footer"/>
    <w:basedOn w:val="Normal"/>
    <w:link w:val="FooterChar"/>
    <w:uiPriority w:val="99"/>
    <w:unhideWhenUsed/>
    <w:rsid w:val="00DE08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8D5"/>
  </w:style>
  <w:style w:type="character" w:styleId="FollowedHyperlink">
    <w:name w:val="FollowedHyperlink"/>
    <w:basedOn w:val="DefaultParagraphFont"/>
    <w:uiPriority w:val="99"/>
    <w:semiHidden/>
    <w:unhideWhenUsed/>
    <w:rsid w:val="007870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binternet.ohchr.org/_layouts/15/treatybodyexternal/Download.aspx?symbolno=CRPD/C/GC/6&amp;Lang=en" TargetMode="External"/><Relationship Id="rId2" Type="http://schemas.openxmlformats.org/officeDocument/2006/relationships/hyperlink" Target="https://tbinternet.ohchr.org/_layouts/15/treatybodyexternal/Download.aspx?symbolno=CRPD/C/GC/2&amp;Lang=en" TargetMode="External"/><Relationship Id="rId1" Type="http://schemas.openxmlformats.org/officeDocument/2006/relationships/hyperlink" Target="https://www.ohchr.org/Documents/Issues/HRIndicators/GuidanceNoteonApproachtoData_SP.pdf" TargetMode="External"/><Relationship Id="rId6" Type="http://schemas.openxmlformats.org/officeDocument/2006/relationships/hyperlink" Target="https://tbinternet.ohchr.org/_layouts/treatybodyexternal/Download.aspx?symbolno=CRPD/C/GC/7&amp;Lang=en" TargetMode="External"/><Relationship Id="rId5" Type="http://schemas.openxmlformats.org/officeDocument/2006/relationships/hyperlink" Target="https://www.hrc.co.nz/files/7814/4848/7923/imm_reasonable_accommodation_guide.pdf" TargetMode="External"/><Relationship Id="rId4" Type="http://schemas.openxmlformats.org/officeDocument/2006/relationships/hyperlink" Target="https://www.gob.pe/institucion/mtpe/normas-legales/282560-171-2019-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7F21F-257E-42B6-B84B-0E93ABEE8E1B}"/>
</file>

<file path=customXml/itemProps2.xml><?xml version="1.0" encoding="utf-8"?>
<ds:datastoreItem xmlns:ds="http://schemas.openxmlformats.org/officeDocument/2006/customXml" ds:itemID="{9E09511A-A7CE-4F74-B2F9-63676AECE101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5BAF461-C248-4F33-AA8E-8821613E74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0E37BD-3E96-4A50-8C34-EEC74077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Mont</dc:creator>
  <cp:keywords/>
  <dc:description/>
  <cp:lastModifiedBy>LEE Victoria</cp:lastModifiedBy>
  <cp:revision>9</cp:revision>
  <cp:lastPrinted>2018-11-12T09:21:00Z</cp:lastPrinted>
  <dcterms:created xsi:type="dcterms:W3CDTF">2020-06-16T15:12:00Z</dcterms:created>
  <dcterms:modified xsi:type="dcterms:W3CDTF">2020-07-02T08:39:00Z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