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5126DF" w14:textId="77777777" w:rsidR="0091659B" w:rsidRDefault="0091659B" w:rsidP="00F23565">
      <w:pPr>
        <w:spacing w:before="120" w:after="120" w:line="240" w:lineRule="auto"/>
        <w:jc w:val="center"/>
        <w:rPr>
          <w:b/>
          <w:sz w:val="18"/>
          <w:szCs w:val="18"/>
        </w:rPr>
      </w:pPr>
    </w:p>
    <w:p w14:paraId="65CE84E3" w14:textId="3716B0E5" w:rsidR="006129F0" w:rsidRPr="001C26EF" w:rsidRDefault="006129F0" w:rsidP="00815DAE">
      <w:pPr>
        <w:pStyle w:val="Heading1"/>
      </w:pPr>
      <w:r w:rsidRPr="001C26EF">
        <w:t xml:space="preserve">Article 6 – </w:t>
      </w:r>
      <w:r w:rsidRPr="00815DAE">
        <w:t>Illustrative</w:t>
      </w:r>
      <w:r w:rsidRPr="001C26EF">
        <w:t xml:space="preserve"> indicators on women with disabilities</w:t>
      </w:r>
      <w:r w:rsidR="00AA51E6">
        <w:t>*</w:t>
      </w:r>
    </w:p>
    <w:p w14:paraId="3ECCDDD8" w14:textId="77777777" w:rsidR="006129F0" w:rsidRPr="001C26EF" w:rsidRDefault="006129F0" w:rsidP="00815DAE">
      <w:pPr>
        <w:pStyle w:val="Heading1"/>
      </w:pPr>
      <w:r w:rsidRPr="001C26EF">
        <w:t>Full and equal exercise and enjoyment by women with disabilities of all human rights and fundamental freedoms</w:t>
      </w:r>
    </w:p>
    <w:p w14:paraId="70AD4B5C" w14:textId="77777777" w:rsidR="006129F0" w:rsidRDefault="006129F0" w:rsidP="00910483">
      <w:pPr>
        <w:pStyle w:val="ListParagraph"/>
        <w:spacing w:after="0" w:line="240" w:lineRule="auto"/>
        <w:ind w:left="0"/>
        <w:rPr>
          <w:rFonts w:cs="Arial"/>
          <w:b/>
          <w:sz w:val="18"/>
          <w:szCs w:val="18"/>
        </w:rPr>
      </w:pPr>
    </w:p>
    <w:p w14:paraId="2076F548" w14:textId="1BC1652E" w:rsidR="006129F0" w:rsidRPr="001C26EF" w:rsidRDefault="00066C39" w:rsidP="00815DAE">
      <w:pPr>
        <w:pStyle w:val="Heading2"/>
      </w:pPr>
      <w:r w:rsidRPr="00815DAE">
        <w:t>Attributes</w:t>
      </w:r>
    </w:p>
    <w:p w14:paraId="0EAC865A" w14:textId="77777777" w:rsidR="006129F0" w:rsidRPr="006129F0" w:rsidRDefault="006129F0" w:rsidP="006129F0">
      <w:pPr>
        <w:pStyle w:val="ListParagraph"/>
        <w:numPr>
          <w:ilvl w:val="0"/>
          <w:numId w:val="15"/>
        </w:numPr>
        <w:spacing w:after="0" w:line="240" w:lineRule="auto"/>
        <w:rPr>
          <w:b/>
          <w:sz w:val="18"/>
          <w:szCs w:val="18"/>
        </w:rPr>
      </w:pPr>
      <w:r w:rsidRPr="006129F0">
        <w:rPr>
          <w:b/>
          <w:sz w:val="18"/>
          <w:szCs w:val="18"/>
        </w:rPr>
        <w:t>Non-discrimination and equality</w:t>
      </w:r>
    </w:p>
    <w:p w14:paraId="0BAAF135" w14:textId="77777777" w:rsidR="006129F0" w:rsidRPr="006129F0" w:rsidRDefault="006129F0" w:rsidP="006129F0">
      <w:pPr>
        <w:pStyle w:val="ListParagraph"/>
        <w:numPr>
          <w:ilvl w:val="0"/>
          <w:numId w:val="15"/>
        </w:numPr>
        <w:spacing w:after="0" w:line="240" w:lineRule="auto"/>
        <w:rPr>
          <w:b/>
          <w:sz w:val="18"/>
          <w:szCs w:val="18"/>
        </w:rPr>
      </w:pPr>
      <w:r w:rsidRPr="006129F0">
        <w:rPr>
          <w:b/>
          <w:sz w:val="18"/>
          <w:szCs w:val="18"/>
        </w:rPr>
        <w:t>Full development, advancement and empowerment of women</w:t>
      </w:r>
    </w:p>
    <w:p w14:paraId="23A43F0A" w14:textId="77777777" w:rsidR="006129F0" w:rsidRDefault="006129F0" w:rsidP="00910483">
      <w:pPr>
        <w:spacing w:after="0" w:line="240" w:lineRule="auto"/>
        <w:rPr>
          <w:b/>
          <w:sz w:val="18"/>
          <w:szCs w:val="18"/>
        </w:rPr>
      </w:pPr>
    </w:p>
    <w:p w14:paraId="37F42ECF" w14:textId="48E64B32" w:rsidR="006129F0" w:rsidRPr="001C26EF" w:rsidRDefault="006129F0" w:rsidP="00815DAE">
      <w:pPr>
        <w:pStyle w:val="Heading2"/>
      </w:pPr>
      <w:r w:rsidRPr="001C26EF">
        <w:t>Structure</w:t>
      </w:r>
      <w:r w:rsidR="00066C39">
        <w:t xml:space="preserve"> </w:t>
      </w:r>
      <w:r w:rsidR="00066C39" w:rsidRPr="001C26EF">
        <w:t>Indicators</w:t>
      </w:r>
    </w:p>
    <w:p w14:paraId="2DB489A7" w14:textId="77777777" w:rsidR="006129F0" w:rsidRDefault="006129F0" w:rsidP="00910483">
      <w:pPr>
        <w:spacing w:after="0" w:line="240" w:lineRule="auto"/>
        <w:rPr>
          <w:sz w:val="18"/>
          <w:szCs w:val="18"/>
        </w:rPr>
      </w:pPr>
      <w:r w:rsidRPr="001C26EF">
        <w:rPr>
          <w:sz w:val="18"/>
          <w:szCs w:val="18"/>
        </w:rPr>
        <w:t>6.1 Legal frameworks are in place to promote, enforce and monitor equality and non-discrimination on the basis of sex (</w:t>
      </w:r>
      <w:r>
        <w:rPr>
          <w:sz w:val="18"/>
          <w:szCs w:val="18"/>
        </w:rPr>
        <w:t>based on SDG</w:t>
      </w:r>
      <w:r w:rsidRPr="001C26EF">
        <w:rPr>
          <w:sz w:val="18"/>
          <w:szCs w:val="18"/>
        </w:rPr>
        <w:t xml:space="preserve"> </w:t>
      </w:r>
      <w:r>
        <w:rPr>
          <w:sz w:val="18"/>
          <w:szCs w:val="18"/>
        </w:rPr>
        <w:t xml:space="preserve">indicator 5.1.1) and </w:t>
      </w:r>
      <w:r w:rsidRPr="0089352F">
        <w:rPr>
          <w:sz w:val="18"/>
          <w:szCs w:val="18"/>
        </w:rPr>
        <w:t>disability</w:t>
      </w:r>
      <w:r w:rsidRPr="0089352F">
        <w:rPr>
          <w:rStyle w:val="EndnoteReference"/>
          <w:sz w:val="18"/>
          <w:szCs w:val="18"/>
        </w:rPr>
        <w:endnoteReference w:id="1"/>
      </w:r>
      <w:r w:rsidRPr="0089352F">
        <w:rPr>
          <w:sz w:val="18"/>
          <w:szCs w:val="18"/>
        </w:rPr>
        <w:t xml:space="preserve"> (See also article 5 CRPD)</w:t>
      </w:r>
      <w:r>
        <w:rPr>
          <w:sz w:val="18"/>
          <w:szCs w:val="18"/>
        </w:rPr>
        <w:t>.</w:t>
      </w:r>
    </w:p>
    <w:p w14:paraId="021185F7" w14:textId="77777777" w:rsidR="006129F0" w:rsidRPr="001C26EF" w:rsidRDefault="006129F0" w:rsidP="00910483">
      <w:pPr>
        <w:spacing w:after="0" w:line="240" w:lineRule="auto"/>
        <w:rPr>
          <w:sz w:val="18"/>
          <w:szCs w:val="18"/>
        </w:rPr>
      </w:pPr>
      <w:r w:rsidRPr="001C26EF">
        <w:rPr>
          <w:sz w:val="18"/>
          <w:szCs w:val="18"/>
        </w:rPr>
        <w:t>6.</w:t>
      </w:r>
      <w:r>
        <w:rPr>
          <w:sz w:val="18"/>
          <w:szCs w:val="18"/>
        </w:rPr>
        <w:t>2</w:t>
      </w:r>
      <w:r w:rsidRPr="001C26EF">
        <w:rPr>
          <w:sz w:val="18"/>
          <w:szCs w:val="18"/>
        </w:rPr>
        <w:t xml:space="preserve"> Adoption of a legal framework that guarantees women’s equal rights to land ownership and/or control (</w:t>
      </w:r>
      <w:r>
        <w:rPr>
          <w:sz w:val="18"/>
          <w:szCs w:val="18"/>
        </w:rPr>
        <w:t>based on SDG</w:t>
      </w:r>
      <w:r w:rsidRPr="001C26EF">
        <w:rPr>
          <w:sz w:val="18"/>
          <w:szCs w:val="18"/>
        </w:rPr>
        <w:t xml:space="preserve"> indicator 5.a.2), including women with disabilities.</w:t>
      </w:r>
    </w:p>
    <w:p w14:paraId="754D1457" w14:textId="77777777" w:rsidR="006129F0" w:rsidRPr="001C26EF" w:rsidRDefault="006129F0" w:rsidP="00910483">
      <w:pPr>
        <w:spacing w:after="0" w:line="240" w:lineRule="auto"/>
        <w:rPr>
          <w:sz w:val="18"/>
          <w:szCs w:val="18"/>
        </w:rPr>
      </w:pPr>
      <w:r w:rsidRPr="001C26EF">
        <w:rPr>
          <w:sz w:val="18"/>
          <w:szCs w:val="18"/>
        </w:rPr>
        <w:t>6.</w:t>
      </w:r>
      <w:r>
        <w:rPr>
          <w:sz w:val="18"/>
          <w:szCs w:val="18"/>
        </w:rPr>
        <w:t>3</w:t>
      </w:r>
      <w:r w:rsidRPr="001C26EF">
        <w:rPr>
          <w:sz w:val="18"/>
          <w:szCs w:val="18"/>
        </w:rPr>
        <w:t xml:space="preserve"> National gender equality plans, policies and laws are fully inclusive of women and girls with disabilities and contain specific measures for the advancement and empowerment of all women and girls with disabilities</w:t>
      </w:r>
      <w:r w:rsidRPr="001C26EF">
        <w:rPr>
          <w:rStyle w:val="EndnoteReference"/>
          <w:sz w:val="18"/>
          <w:szCs w:val="18"/>
        </w:rPr>
        <w:endnoteReference w:id="2"/>
      </w:r>
      <w:r w:rsidRPr="001C26EF">
        <w:rPr>
          <w:sz w:val="18"/>
          <w:szCs w:val="18"/>
        </w:rPr>
        <w:t xml:space="preserve"> including through supporting the development</w:t>
      </w:r>
      <w:r>
        <w:rPr>
          <w:sz w:val="18"/>
          <w:szCs w:val="18"/>
        </w:rPr>
        <w:t xml:space="preserve"> of their representative organiz</w:t>
      </w:r>
      <w:r w:rsidRPr="001C26EF">
        <w:rPr>
          <w:sz w:val="18"/>
          <w:szCs w:val="18"/>
        </w:rPr>
        <w:t>ations and through the adoption of a twin track approach</w:t>
      </w:r>
      <w:r>
        <w:rPr>
          <w:sz w:val="18"/>
          <w:szCs w:val="18"/>
        </w:rPr>
        <w:t>.</w:t>
      </w:r>
      <w:r w:rsidRPr="001C26EF">
        <w:rPr>
          <w:rStyle w:val="EndnoteReference"/>
          <w:sz w:val="18"/>
          <w:szCs w:val="18"/>
        </w:rPr>
        <w:endnoteReference w:id="3"/>
      </w:r>
    </w:p>
    <w:p w14:paraId="291255FB" w14:textId="77777777" w:rsidR="006129F0" w:rsidRPr="001C26EF" w:rsidRDefault="006129F0" w:rsidP="00910483">
      <w:pPr>
        <w:spacing w:after="0" w:line="240" w:lineRule="auto"/>
        <w:rPr>
          <w:sz w:val="18"/>
          <w:szCs w:val="18"/>
        </w:rPr>
      </w:pPr>
      <w:r w:rsidRPr="001C26EF">
        <w:rPr>
          <w:sz w:val="18"/>
          <w:szCs w:val="18"/>
        </w:rPr>
        <w:t>6.</w:t>
      </w:r>
      <w:r>
        <w:rPr>
          <w:sz w:val="18"/>
          <w:szCs w:val="18"/>
        </w:rPr>
        <w:t>4</w:t>
      </w:r>
      <w:r w:rsidRPr="001C26EF">
        <w:rPr>
          <w:sz w:val="18"/>
          <w:szCs w:val="18"/>
        </w:rPr>
        <w:t xml:space="preserve"> Systems</w:t>
      </w:r>
      <w:r w:rsidRPr="001C26EF">
        <w:rPr>
          <w:rStyle w:val="EndnoteReference"/>
          <w:sz w:val="18"/>
          <w:szCs w:val="18"/>
        </w:rPr>
        <w:endnoteReference w:id="4"/>
      </w:r>
      <w:r w:rsidRPr="001C26EF">
        <w:rPr>
          <w:sz w:val="18"/>
          <w:szCs w:val="18"/>
        </w:rPr>
        <w:t xml:space="preserve"> adopted to track and make public allocations for gender equality and women’s empowerment (</w:t>
      </w:r>
      <w:r>
        <w:rPr>
          <w:sz w:val="18"/>
          <w:szCs w:val="18"/>
        </w:rPr>
        <w:t xml:space="preserve">based on SDG </w:t>
      </w:r>
      <w:r w:rsidRPr="001C26EF">
        <w:rPr>
          <w:sz w:val="18"/>
          <w:szCs w:val="18"/>
        </w:rPr>
        <w:t>indicator 5.c.1) with allocations disaggregated by</w:t>
      </w:r>
      <w:r>
        <w:rPr>
          <w:sz w:val="18"/>
          <w:szCs w:val="18"/>
        </w:rPr>
        <w:t xml:space="preserve"> t</w:t>
      </w:r>
      <w:r w:rsidRPr="001C26EF">
        <w:rPr>
          <w:sz w:val="18"/>
          <w:szCs w:val="18"/>
        </w:rPr>
        <w:t>arget population</w:t>
      </w:r>
      <w:r>
        <w:rPr>
          <w:sz w:val="18"/>
          <w:szCs w:val="18"/>
        </w:rPr>
        <w:t>.</w:t>
      </w:r>
      <w:r w:rsidRPr="001C26EF">
        <w:rPr>
          <w:rStyle w:val="EndnoteReference"/>
          <w:sz w:val="18"/>
          <w:szCs w:val="18"/>
        </w:rPr>
        <w:endnoteReference w:id="5"/>
      </w:r>
      <w:r>
        <w:rPr>
          <w:sz w:val="18"/>
          <w:szCs w:val="18"/>
        </w:rPr>
        <w:t xml:space="preserve"> </w:t>
      </w:r>
    </w:p>
    <w:p w14:paraId="2EE46533" w14:textId="77777777" w:rsidR="00066C39" w:rsidRDefault="00066C39" w:rsidP="00910483">
      <w:pPr>
        <w:spacing w:after="0" w:line="240" w:lineRule="auto"/>
        <w:rPr>
          <w:b/>
          <w:sz w:val="18"/>
          <w:szCs w:val="18"/>
        </w:rPr>
      </w:pPr>
    </w:p>
    <w:p w14:paraId="3F7938DA" w14:textId="443C7C51" w:rsidR="006129F0" w:rsidRPr="001C26EF" w:rsidRDefault="006129F0" w:rsidP="00815DAE">
      <w:pPr>
        <w:pStyle w:val="Heading2"/>
      </w:pPr>
      <w:r w:rsidRPr="001C26EF">
        <w:t>Process</w:t>
      </w:r>
      <w:r w:rsidR="00066C39">
        <w:t xml:space="preserve"> </w:t>
      </w:r>
      <w:r w:rsidR="00066C39" w:rsidRPr="001C26EF">
        <w:t>Indicators</w:t>
      </w:r>
    </w:p>
    <w:p w14:paraId="2886E5A7" w14:textId="77777777" w:rsidR="006129F0" w:rsidRPr="001C26EF" w:rsidRDefault="006129F0" w:rsidP="00306924">
      <w:pPr>
        <w:spacing w:after="0" w:line="240" w:lineRule="auto"/>
        <w:jc w:val="both"/>
        <w:rPr>
          <w:sz w:val="18"/>
          <w:szCs w:val="18"/>
        </w:rPr>
      </w:pPr>
      <w:r w:rsidRPr="001C26EF">
        <w:rPr>
          <w:sz w:val="18"/>
          <w:szCs w:val="18"/>
        </w:rPr>
        <w:t>6.</w:t>
      </w:r>
      <w:r>
        <w:rPr>
          <w:sz w:val="18"/>
          <w:szCs w:val="18"/>
        </w:rPr>
        <w:t>5</w:t>
      </w:r>
      <w:r w:rsidRPr="001C26EF">
        <w:rPr>
          <w:sz w:val="18"/>
          <w:szCs w:val="18"/>
        </w:rPr>
        <w:t xml:space="preserve"> Proportion of legislation, national action plans and strategies</w:t>
      </w:r>
      <w:r>
        <w:rPr>
          <w:sz w:val="18"/>
          <w:szCs w:val="18"/>
        </w:rPr>
        <w:t xml:space="preserve"> targeting women and/or persons with disabilities,</w:t>
      </w:r>
      <w:r w:rsidRPr="001C26EF">
        <w:rPr>
          <w:sz w:val="18"/>
          <w:szCs w:val="18"/>
        </w:rPr>
        <w:t xml:space="preserve"> making explicit references to women and girls with disabilities.</w:t>
      </w:r>
      <w:r>
        <w:rPr>
          <w:rStyle w:val="EndnoteReference"/>
          <w:sz w:val="18"/>
          <w:szCs w:val="18"/>
        </w:rPr>
        <w:endnoteReference w:id="6"/>
      </w:r>
    </w:p>
    <w:p w14:paraId="5A250511" w14:textId="77777777" w:rsidR="006129F0" w:rsidRPr="001C26EF" w:rsidRDefault="006129F0" w:rsidP="00306924">
      <w:pPr>
        <w:spacing w:after="0" w:line="240" w:lineRule="auto"/>
        <w:jc w:val="both"/>
        <w:rPr>
          <w:sz w:val="18"/>
          <w:szCs w:val="18"/>
        </w:rPr>
      </w:pPr>
      <w:r w:rsidRPr="001C26EF">
        <w:rPr>
          <w:sz w:val="18"/>
          <w:szCs w:val="18"/>
        </w:rPr>
        <w:t>6.</w:t>
      </w:r>
      <w:r>
        <w:rPr>
          <w:sz w:val="18"/>
          <w:szCs w:val="18"/>
        </w:rPr>
        <w:t>6</w:t>
      </w:r>
      <w:r w:rsidRPr="001C26EF">
        <w:rPr>
          <w:sz w:val="18"/>
          <w:szCs w:val="18"/>
        </w:rPr>
        <w:t xml:space="preserve"> Percentage of public resources allocated to and spent on women and girls with disabilities across sectors</w:t>
      </w:r>
      <w:r>
        <w:rPr>
          <w:sz w:val="18"/>
          <w:szCs w:val="18"/>
        </w:rPr>
        <w:t>.</w:t>
      </w:r>
      <w:r w:rsidRPr="001C26EF">
        <w:rPr>
          <w:rStyle w:val="EndnoteReference"/>
          <w:sz w:val="18"/>
          <w:szCs w:val="18"/>
        </w:rPr>
        <w:endnoteReference w:id="7"/>
      </w:r>
      <w:r w:rsidRPr="001C26EF">
        <w:rPr>
          <w:sz w:val="18"/>
          <w:szCs w:val="18"/>
        </w:rPr>
        <w:t xml:space="preserve"> </w:t>
      </w:r>
    </w:p>
    <w:p w14:paraId="59404F5E" w14:textId="77777777" w:rsidR="006129F0" w:rsidRPr="001C26EF" w:rsidRDefault="006129F0" w:rsidP="00306924">
      <w:pPr>
        <w:spacing w:after="0" w:line="240" w:lineRule="auto"/>
        <w:jc w:val="both"/>
        <w:rPr>
          <w:sz w:val="18"/>
          <w:szCs w:val="18"/>
        </w:rPr>
      </w:pPr>
      <w:r w:rsidRPr="001C26EF">
        <w:rPr>
          <w:sz w:val="18"/>
          <w:szCs w:val="18"/>
        </w:rPr>
        <w:t>6.</w:t>
      </w:r>
      <w:r>
        <w:rPr>
          <w:sz w:val="18"/>
          <w:szCs w:val="18"/>
        </w:rPr>
        <w:t>7</w:t>
      </w:r>
      <w:r w:rsidRPr="001C26EF">
        <w:rPr>
          <w:sz w:val="18"/>
          <w:szCs w:val="18"/>
        </w:rPr>
        <w:t xml:space="preserve"> Proportion of women and girls with disabilities participating in</w:t>
      </w:r>
      <w:r>
        <w:rPr>
          <w:sz w:val="18"/>
          <w:szCs w:val="18"/>
        </w:rPr>
        <w:t xml:space="preserve"> leadership and</w:t>
      </w:r>
      <w:r w:rsidRPr="001C26EF">
        <w:rPr>
          <w:sz w:val="18"/>
          <w:szCs w:val="18"/>
        </w:rPr>
        <w:t xml:space="preserve"> human rights training among all women</w:t>
      </w:r>
      <w:r>
        <w:rPr>
          <w:sz w:val="18"/>
          <w:szCs w:val="18"/>
        </w:rPr>
        <w:t>,</w:t>
      </w:r>
      <w:r w:rsidRPr="001C26EF">
        <w:rPr>
          <w:sz w:val="18"/>
          <w:szCs w:val="18"/>
        </w:rPr>
        <w:t xml:space="preserve"> </w:t>
      </w:r>
      <w:r>
        <w:rPr>
          <w:sz w:val="18"/>
          <w:szCs w:val="18"/>
        </w:rPr>
        <w:t xml:space="preserve">and </w:t>
      </w:r>
      <w:r w:rsidRPr="001C26EF">
        <w:rPr>
          <w:sz w:val="18"/>
          <w:szCs w:val="18"/>
        </w:rPr>
        <w:t>among</w:t>
      </w:r>
      <w:r>
        <w:rPr>
          <w:sz w:val="18"/>
          <w:szCs w:val="18"/>
        </w:rPr>
        <w:t xml:space="preserve"> all</w:t>
      </w:r>
      <w:r w:rsidRPr="001C26EF">
        <w:rPr>
          <w:sz w:val="18"/>
          <w:szCs w:val="18"/>
        </w:rPr>
        <w:t xml:space="preserve"> persons with disabilities</w:t>
      </w:r>
      <w:r>
        <w:rPr>
          <w:sz w:val="18"/>
          <w:szCs w:val="18"/>
        </w:rPr>
        <w:t>.</w:t>
      </w:r>
      <w:r w:rsidRPr="001C26EF">
        <w:rPr>
          <w:sz w:val="18"/>
          <w:szCs w:val="18"/>
        </w:rPr>
        <w:t xml:space="preserve"> </w:t>
      </w:r>
    </w:p>
    <w:p w14:paraId="13319C19" w14:textId="77777777" w:rsidR="006129F0" w:rsidRDefault="006129F0" w:rsidP="004F1B1D">
      <w:pPr>
        <w:spacing w:after="0" w:line="240" w:lineRule="auto"/>
        <w:jc w:val="both"/>
        <w:rPr>
          <w:sz w:val="18"/>
          <w:szCs w:val="18"/>
        </w:rPr>
      </w:pPr>
      <w:r w:rsidRPr="001C26EF">
        <w:rPr>
          <w:sz w:val="18"/>
          <w:szCs w:val="18"/>
        </w:rPr>
        <w:t>6.</w:t>
      </w:r>
      <w:r>
        <w:rPr>
          <w:sz w:val="18"/>
          <w:szCs w:val="18"/>
        </w:rPr>
        <w:t>8 T</w:t>
      </w:r>
      <w:r w:rsidRPr="001C26EF">
        <w:rPr>
          <w:sz w:val="18"/>
          <w:szCs w:val="18"/>
        </w:rPr>
        <w:t xml:space="preserve">rainings </w:t>
      </w:r>
      <w:r>
        <w:rPr>
          <w:sz w:val="18"/>
          <w:szCs w:val="18"/>
        </w:rPr>
        <w:t xml:space="preserve">and awareness raising activities, funded by the government, </w:t>
      </w:r>
      <w:r w:rsidRPr="001C26EF">
        <w:rPr>
          <w:sz w:val="18"/>
          <w:szCs w:val="18"/>
        </w:rPr>
        <w:t>directed at women and girls wi</w:t>
      </w:r>
      <w:r>
        <w:rPr>
          <w:sz w:val="18"/>
          <w:szCs w:val="18"/>
        </w:rPr>
        <w:t>th disabilities on their rights and number of participants, disaggregated by age, disability and geographical location.</w:t>
      </w:r>
      <w:r>
        <w:rPr>
          <w:rStyle w:val="EndnoteReference"/>
          <w:rFonts w:cstheme="minorHAnsi"/>
          <w:sz w:val="18"/>
          <w:szCs w:val="18"/>
        </w:rPr>
        <w:t xml:space="preserve"> </w:t>
      </w:r>
      <w:r>
        <w:rPr>
          <w:rStyle w:val="EndnoteReference"/>
          <w:rFonts w:cstheme="minorHAnsi"/>
          <w:sz w:val="18"/>
          <w:szCs w:val="18"/>
        </w:rPr>
        <w:endnoteReference w:id="8"/>
      </w:r>
    </w:p>
    <w:p w14:paraId="77974093" w14:textId="4C7488A0" w:rsidR="006129F0" w:rsidRPr="006129F0" w:rsidRDefault="006129F0" w:rsidP="006129F0">
      <w:pPr>
        <w:spacing w:after="0" w:line="240" w:lineRule="auto"/>
        <w:jc w:val="both"/>
        <w:rPr>
          <w:rFonts w:cstheme="minorHAnsi"/>
          <w:sz w:val="18"/>
          <w:szCs w:val="18"/>
        </w:rPr>
      </w:pPr>
      <w:r>
        <w:rPr>
          <w:sz w:val="18"/>
          <w:szCs w:val="18"/>
        </w:rPr>
        <w:t>6.9</w:t>
      </w:r>
      <w:r w:rsidRPr="001C26EF">
        <w:rPr>
          <w:sz w:val="18"/>
          <w:szCs w:val="18"/>
        </w:rPr>
        <w:t xml:space="preserve"> </w:t>
      </w:r>
      <w:r w:rsidRPr="001C26EF">
        <w:rPr>
          <w:rFonts w:cstheme="minorHAnsi"/>
          <w:sz w:val="18"/>
          <w:szCs w:val="18"/>
        </w:rPr>
        <w:t xml:space="preserve">Number of </w:t>
      </w:r>
      <w:r>
        <w:rPr>
          <w:rFonts w:cstheme="minorHAnsi"/>
          <w:sz w:val="18"/>
          <w:szCs w:val="18"/>
        </w:rPr>
        <w:t>representative organiz</w:t>
      </w:r>
      <w:r w:rsidRPr="001C26EF">
        <w:rPr>
          <w:rFonts w:cstheme="minorHAnsi"/>
          <w:sz w:val="18"/>
          <w:szCs w:val="18"/>
        </w:rPr>
        <w:t xml:space="preserve">ations of </w:t>
      </w:r>
      <w:r w:rsidRPr="001C26EF">
        <w:rPr>
          <w:sz w:val="18"/>
          <w:szCs w:val="18"/>
        </w:rPr>
        <w:t>women and girls with disabilities</w:t>
      </w:r>
      <w:r w:rsidRPr="001C26EF">
        <w:rPr>
          <w:rFonts w:cstheme="minorHAnsi"/>
          <w:b/>
          <w:sz w:val="18"/>
          <w:szCs w:val="18"/>
        </w:rPr>
        <w:t>,</w:t>
      </w:r>
      <w:r w:rsidRPr="001C26EF">
        <w:rPr>
          <w:rFonts w:cstheme="minorHAnsi"/>
          <w:sz w:val="18"/>
          <w:szCs w:val="18"/>
        </w:rPr>
        <w:t xml:space="preserve"> </w:t>
      </w:r>
      <w:r>
        <w:rPr>
          <w:rFonts w:cstheme="minorHAnsi"/>
          <w:sz w:val="18"/>
          <w:szCs w:val="18"/>
        </w:rPr>
        <w:t xml:space="preserve">disaggregated by </w:t>
      </w:r>
      <w:r w:rsidRPr="001C26EF">
        <w:rPr>
          <w:rFonts w:cstheme="minorHAnsi"/>
          <w:sz w:val="18"/>
          <w:szCs w:val="18"/>
        </w:rPr>
        <w:t>geographical location</w:t>
      </w:r>
      <w:r>
        <w:rPr>
          <w:rFonts w:cstheme="minorHAnsi"/>
          <w:sz w:val="18"/>
          <w:szCs w:val="18"/>
        </w:rPr>
        <w:t>.</w:t>
      </w:r>
      <w:r w:rsidRPr="001C26EF">
        <w:rPr>
          <w:rFonts w:cstheme="minorHAnsi"/>
          <w:sz w:val="18"/>
          <w:szCs w:val="18"/>
        </w:rPr>
        <w:t xml:space="preserve"> </w:t>
      </w:r>
    </w:p>
    <w:p w14:paraId="00953FF7" w14:textId="77777777" w:rsidR="006129F0" w:rsidRPr="004C13B4" w:rsidRDefault="006129F0" w:rsidP="001F42C6">
      <w:pPr>
        <w:spacing w:after="0" w:line="240" w:lineRule="auto"/>
        <w:jc w:val="both"/>
        <w:rPr>
          <w:rFonts w:cstheme="minorHAnsi"/>
          <w:sz w:val="18"/>
          <w:szCs w:val="18"/>
        </w:rPr>
      </w:pPr>
      <w:r w:rsidRPr="004C13B4">
        <w:rPr>
          <w:rFonts w:cstheme="minorHAnsi"/>
          <w:sz w:val="18"/>
          <w:szCs w:val="18"/>
        </w:rPr>
        <w:t xml:space="preserve">6.10 Number and proportion of the staff involved in the delivery of </w:t>
      </w:r>
      <w:r>
        <w:rPr>
          <w:rFonts w:cstheme="minorHAnsi"/>
          <w:sz w:val="18"/>
          <w:szCs w:val="18"/>
        </w:rPr>
        <w:t xml:space="preserve">government funded </w:t>
      </w:r>
      <w:r w:rsidRPr="004C13B4">
        <w:rPr>
          <w:rFonts w:cstheme="minorHAnsi"/>
          <w:sz w:val="18"/>
          <w:szCs w:val="18"/>
        </w:rPr>
        <w:t>program</w:t>
      </w:r>
      <w:r>
        <w:rPr>
          <w:rFonts w:cstheme="minorHAnsi"/>
          <w:sz w:val="18"/>
          <w:szCs w:val="18"/>
        </w:rPr>
        <w:t>me</w:t>
      </w:r>
      <w:r w:rsidRPr="004C13B4">
        <w:rPr>
          <w:rFonts w:cstheme="minorHAnsi"/>
          <w:sz w:val="18"/>
          <w:szCs w:val="18"/>
        </w:rPr>
        <w:t xml:space="preserve">s and services across sectors who are trained on disability awareness and inclusion, gender equality and combating multiple and intersecting forms of discrimination. </w:t>
      </w:r>
      <w:r w:rsidRPr="00D32213">
        <w:rPr>
          <w:rStyle w:val="EndnoteReference"/>
        </w:rPr>
        <w:endnoteReference w:id="9"/>
      </w:r>
    </w:p>
    <w:p w14:paraId="78C3A43E" w14:textId="77777777" w:rsidR="006129F0" w:rsidRPr="004C13B4" w:rsidRDefault="006129F0" w:rsidP="001F42C6">
      <w:pPr>
        <w:spacing w:after="0" w:line="240" w:lineRule="auto"/>
        <w:jc w:val="both"/>
        <w:rPr>
          <w:rFonts w:cstheme="minorHAnsi"/>
          <w:sz w:val="18"/>
          <w:szCs w:val="18"/>
        </w:rPr>
      </w:pPr>
      <w:r w:rsidRPr="004C13B4">
        <w:rPr>
          <w:rFonts w:cstheme="minorHAnsi"/>
          <w:sz w:val="18"/>
          <w:szCs w:val="18"/>
        </w:rPr>
        <w:t xml:space="preserve">6.11 Awareness raising campaigns and activities concerning gender equality are inclusive of women and girls with disabilities and combat </w:t>
      </w:r>
      <w:r w:rsidRPr="00D32213">
        <w:rPr>
          <w:rFonts w:cstheme="minorHAnsi"/>
          <w:sz w:val="18"/>
          <w:szCs w:val="18"/>
        </w:rPr>
        <w:t xml:space="preserve">multiple and intersecting forms of discrimination, </w:t>
      </w:r>
      <w:r w:rsidRPr="0069000A">
        <w:rPr>
          <w:rFonts w:cstheme="minorHAnsi"/>
          <w:sz w:val="18"/>
          <w:szCs w:val="18"/>
        </w:rPr>
        <w:t xml:space="preserve">stereotypes, </w:t>
      </w:r>
      <w:r w:rsidRPr="00A555DB">
        <w:rPr>
          <w:rFonts w:cstheme="minorHAnsi"/>
          <w:sz w:val="18"/>
          <w:szCs w:val="18"/>
        </w:rPr>
        <w:t>prejudices and harmful practices concerning women and girls with disabilities.</w:t>
      </w:r>
      <w:r w:rsidRPr="004C13B4">
        <w:rPr>
          <w:rStyle w:val="EndnoteReference"/>
          <w:sz w:val="18"/>
          <w:szCs w:val="18"/>
        </w:rPr>
        <w:t xml:space="preserve"> </w:t>
      </w:r>
    </w:p>
    <w:p w14:paraId="0480E39A" w14:textId="77777777" w:rsidR="006129F0" w:rsidRPr="00B17E19" w:rsidRDefault="006129F0" w:rsidP="001F42C6">
      <w:pPr>
        <w:spacing w:after="0" w:line="240" w:lineRule="auto"/>
        <w:jc w:val="both"/>
        <w:rPr>
          <w:rFonts w:cstheme="minorHAnsi"/>
          <w:sz w:val="18"/>
          <w:szCs w:val="18"/>
        </w:rPr>
      </w:pPr>
      <w:r w:rsidRPr="004C13B4">
        <w:rPr>
          <w:rFonts w:cstheme="minorHAnsi"/>
          <w:sz w:val="18"/>
          <w:szCs w:val="18"/>
        </w:rPr>
        <w:t xml:space="preserve">6.12 Consultation processes undertaken to ensure the active involvement of women and girls with disabilities, </w:t>
      </w:r>
      <w:r w:rsidRPr="004C13B4">
        <w:rPr>
          <w:rFonts w:cstheme="minorHAnsi"/>
          <w:color w:val="444444"/>
          <w:sz w:val="18"/>
          <w:szCs w:val="18"/>
        </w:rPr>
        <w:t>including</w:t>
      </w:r>
      <w:r w:rsidRPr="004C13B4">
        <w:rPr>
          <w:rFonts w:cstheme="minorHAnsi"/>
          <w:sz w:val="18"/>
          <w:szCs w:val="18"/>
        </w:rPr>
        <w:t xml:space="preserve"> through their representative organizations, in the design, implementation and monitoring of laws, regulations, policies and program</w:t>
      </w:r>
      <w:r>
        <w:rPr>
          <w:rFonts w:cstheme="minorHAnsi"/>
          <w:sz w:val="18"/>
          <w:szCs w:val="18"/>
        </w:rPr>
        <w:t>me</w:t>
      </w:r>
      <w:r w:rsidRPr="004C13B4">
        <w:rPr>
          <w:rFonts w:cstheme="minorHAnsi"/>
          <w:sz w:val="18"/>
          <w:szCs w:val="18"/>
        </w:rPr>
        <w:t>s, concerning issues that may directly or indirectly impact their rights.</w:t>
      </w:r>
      <w:r w:rsidRPr="00B17E19">
        <w:rPr>
          <w:rStyle w:val="EndnoteReference"/>
          <w:rFonts w:cstheme="minorHAnsi"/>
        </w:rPr>
        <w:endnoteReference w:id="10"/>
      </w:r>
    </w:p>
    <w:p w14:paraId="5FA83A60" w14:textId="2DAA3D9D" w:rsidR="006129F0" w:rsidRDefault="006129F0" w:rsidP="00012F62">
      <w:pPr>
        <w:spacing w:after="0" w:line="240" w:lineRule="auto"/>
        <w:jc w:val="both"/>
        <w:rPr>
          <w:rFonts w:cstheme="minorHAnsi"/>
          <w:sz w:val="18"/>
          <w:szCs w:val="18"/>
        </w:rPr>
      </w:pPr>
      <w:r w:rsidRPr="00B17E19">
        <w:rPr>
          <w:rFonts w:cstheme="minorHAnsi"/>
          <w:sz w:val="18"/>
          <w:szCs w:val="18"/>
        </w:rPr>
        <w:t xml:space="preserve">6.13 </w:t>
      </w:r>
      <w:r w:rsidRPr="004E036F">
        <w:rPr>
          <w:rFonts w:cstheme="minorHAnsi"/>
          <w:sz w:val="18"/>
          <w:szCs w:val="18"/>
        </w:rPr>
        <w:t xml:space="preserve">Proportion of received complaints </w:t>
      </w:r>
      <w:r w:rsidRPr="00B17E19">
        <w:rPr>
          <w:rFonts w:cstheme="minorHAnsi"/>
          <w:sz w:val="18"/>
          <w:szCs w:val="18"/>
        </w:rPr>
        <w:t>alleging discrimination of, and/or involving women and girls with disabilities</w:t>
      </w:r>
      <w:r w:rsidRPr="004E036F">
        <w:rPr>
          <w:rFonts w:cstheme="minorHAnsi"/>
          <w:sz w:val="18"/>
          <w:szCs w:val="18"/>
        </w:rPr>
        <w:t xml:space="preserve"> that have been investigated and adjudica</w:t>
      </w:r>
      <w:r>
        <w:rPr>
          <w:rFonts w:cstheme="minorHAnsi"/>
          <w:sz w:val="18"/>
          <w:szCs w:val="18"/>
        </w:rPr>
        <w:t xml:space="preserve">ted; proportion of those found </w:t>
      </w:r>
      <w:r w:rsidRPr="004E036F">
        <w:rPr>
          <w:rFonts w:cstheme="minorHAnsi"/>
          <w:sz w:val="18"/>
          <w:szCs w:val="18"/>
        </w:rPr>
        <w:t>in favour of the complainant; and proportion of the latter that have been complied with by the government and/or duty bearer; each disaggregated by kind of mechanism.</w:t>
      </w:r>
    </w:p>
    <w:p w14:paraId="770A818E" w14:textId="77777777" w:rsidR="006129F0" w:rsidRPr="00C0195A" w:rsidRDefault="006129F0" w:rsidP="00012F62">
      <w:pPr>
        <w:spacing w:after="0" w:line="240" w:lineRule="auto"/>
        <w:jc w:val="both"/>
        <w:rPr>
          <w:rFonts w:cstheme="minorHAnsi"/>
          <w:sz w:val="18"/>
          <w:szCs w:val="18"/>
        </w:rPr>
      </w:pPr>
    </w:p>
    <w:p w14:paraId="53D44DE4" w14:textId="66AB73EB" w:rsidR="006129F0" w:rsidRPr="001C26EF" w:rsidRDefault="006129F0" w:rsidP="00910483">
      <w:pPr>
        <w:spacing w:after="0" w:line="240" w:lineRule="auto"/>
        <w:rPr>
          <w:b/>
          <w:sz w:val="18"/>
          <w:szCs w:val="18"/>
        </w:rPr>
      </w:pPr>
      <w:r w:rsidRPr="001C26EF">
        <w:rPr>
          <w:b/>
          <w:sz w:val="18"/>
          <w:szCs w:val="18"/>
        </w:rPr>
        <w:t>Outcome</w:t>
      </w:r>
      <w:r w:rsidR="00066C39">
        <w:rPr>
          <w:b/>
          <w:sz w:val="18"/>
          <w:szCs w:val="18"/>
        </w:rPr>
        <w:t xml:space="preserve"> </w:t>
      </w:r>
      <w:r w:rsidR="00066C39" w:rsidRPr="001C26EF">
        <w:rPr>
          <w:rFonts w:cs="Arial"/>
          <w:b/>
          <w:sz w:val="18"/>
          <w:szCs w:val="18"/>
        </w:rPr>
        <w:t>Indicators</w:t>
      </w:r>
    </w:p>
    <w:p w14:paraId="12BCF594" w14:textId="77777777" w:rsidR="006129F0" w:rsidRDefault="006129F0" w:rsidP="00910483">
      <w:pPr>
        <w:spacing w:after="0" w:line="240" w:lineRule="auto"/>
        <w:rPr>
          <w:sz w:val="18"/>
          <w:szCs w:val="18"/>
        </w:rPr>
      </w:pPr>
      <w:r w:rsidRPr="001C26EF">
        <w:rPr>
          <w:sz w:val="18"/>
          <w:szCs w:val="18"/>
        </w:rPr>
        <w:t>6.1</w:t>
      </w:r>
      <w:r>
        <w:rPr>
          <w:sz w:val="18"/>
          <w:szCs w:val="18"/>
        </w:rPr>
        <w:t>4</w:t>
      </w:r>
      <w:r w:rsidRPr="001C26EF">
        <w:rPr>
          <w:sz w:val="18"/>
          <w:szCs w:val="18"/>
        </w:rPr>
        <w:t xml:space="preserve"> Proportion of seats held by women in national parliam</w:t>
      </w:r>
      <w:r>
        <w:rPr>
          <w:sz w:val="18"/>
          <w:szCs w:val="18"/>
        </w:rPr>
        <w:t>ents and local governments (SDG</w:t>
      </w:r>
      <w:r w:rsidRPr="001C26EF">
        <w:rPr>
          <w:sz w:val="18"/>
          <w:szCs w:val="18"/>
        </w:rPr>
        <w:t xml:space="preserve"> indicator 5.5.1), disaggregated by disability.</w:t>
      </w:r>
    </w:p>
    <w:p w14:paraId="7625E8C2" w14:textId="77777777" w:rsidR="006129F0" w:rsidRPr="001C26EF" w:rsidRDefault="006129F0" w:rsidP="00910483">
      <w:pPr>
        <w:spacing w:after="0" w:line="240" w:lineRule="auto"/>
        <w:rPr>
          <w:sz w:val="18"/>
          <w:szCs w:val="18"/>
        </w:rPr>
      </w:pPr>
      <w:r w:rsidRPr="001C26EF">
        <w:rPr>
          <w:sz w:val="18"/>
          <w:szCs w:val="18"/>
        </w:rPr>
        <w:t>6</w:t>
      </w:r>
      <w:r>
        <w:rPr>
          <w:sz w:val="18"/>
          <w:szCs w:val="18"/>
        </w:rPr>
        <w:t>.15</w:t>
      </w:r>
      <w:r w:rsidRPr="001C26EF">
        <w:rPr>
          <w:sz w:val="18"/>
          <w:szCs w:val="18"/>
        </w:rPr>
        <w:t xml:space="preserve"> Proportion of representation in decision-making positions</w:t>
      </w:r>
      <w:r w:rsidRPr="001C26EF">
        <w:rPr>
          <w:rStyle w:val="EndnoteReference"/>
          <w:sz w:val="18"/>
          <w:szCs w:val="18"/>
        </w:rPr>
        <w:endnoteReference w:id="11"/>
      </w:r>
      <w:r w:rsidRPr="001C26EF">
        <w:rPr>
          <w:sz w:val="18"/>
          <w:szCs w:val="18"/>
        </w:rPr>
        <w:t xml:space="preserve"> in the </w:t>
      </w:r>
      <w:r w:rsidRPr="00B13D49">
        <w:rPr>
          <w:sz w:val="18"/>
          <w:szCs w:val="18"/>
        </w:rPr>
        <w:t>public sector</w:t>
      </w:r>
      <w:r>
        <w:rPr>
          <w:sz w:val="18"/>
          <w:szCs w:val="18"/>
        </w:rPr>
        <w:t xml:space="preserve">, disaggregated by </w:t>
      </w:r>
      <w:r w:rsidRPr="001C26EF">
        <w:rPr>
          <w:sz w:val="18"/>
          <w:szCs w:val="18"/>
        </w:rPr>
        <w:t>sex</w:t>
      </w:r>
      <w:r>
        <w:rPr>
          <w:sz w:val="18"/>
          <w:szCs w:val="18"/>
        </w:rPr>
        <w:t>, age</w:t>
      </w:r>
      <w:r w:rsidRPr="001C26EF">
        <w:rPr>
          <w:sz w:val="18"/>
          <w:szCs w:val="18"/>
        </w:rPr>
        <w:t xml:space="preserve"> and disability, among others.</w:t>
      </w:r>
    </w:p>
    <w:p w14:paraId="275F4AF2" w14:textId="77777777" w:rsidR="006129F0" w:rsidRDefault="006129F0" w:rsidP="00910483">
      <w:pPr>
        <w:spacing w:after="0" w:line="240" w:lineRule="auto"/>
        <w:rPr>
          <w:sz w:val="18"/>
          <w:szCs w:val="18"/>
        </w:rPr>
      </w:pPr>
      <w:r w:rsidRPr="001C26EF">
        <w:rPr>
          <w:sz w:val="18"/>
          <w:szCs w:val="18"/>
        </w:rPr>
        <w:t>6.</w:t>
      </w:r>
      <w:r>
        <w:rPr>
          <w:sz w:val="18"/>
          <w:szCs w:val="18"/>
        </w:rPr>
        <w:t>16</w:t>
      </w:r>
      <w:r w:rsidRPr="001C26EF">
        <w:rPr>
          <w:sz w:val="18"/>
          <w:szCs w:val="18"/>
        </w:rPr>
        <w:t xml:space="preserve"> Proportion of wom</w:t>
      </w:r>
      <w:r>
        <w:rPr>
          <w:sz w:val="18"/>
          <w:szCs w:val="18"/>
        </w:rPr>
        <w:t>en in managerial positions (SDG</w:t>
      </w:r>
      <w:r w:rsidRPr="001C26EF">
        <w:rPr>
          <w:sz w:val="18"/>
          <w:szCs w:val="18"/>
        </w:rPr>
        <w:t xml:space="preserve"> indicator 5.5.2), </w:t>
      </w:r>
      <w:r w:rsidRPr="00067BE3">
        <w:rPr>
          <w:sz w:val="18"/>
          <w:szCs w:val="18"/>
        </w:rPr>
        <w:t>disaggregated by</w:t>
      </w:r>
      <w:r>
        <w:rPr>
          <w:sz w:val="18"/>
          <w:szCs w:val="18"/>
        </w:rPr>
        <w:t xml:space="preserve"> age and disability.</w:t>
      </w:r>
      <w:r w:rsidRPr="00067BE3">
        <w:rPr>
          <w:sz w:val="18"/>
          <w:szCs w:val="18"/>
        </w:rPr>
        <w:t xml:space="preserve"> </w:t>
      </w:r>
    </w:p>
    <w:p w14:paraId="0DCAF21F" w14:textId="77777777" w:rsidR="006129F0" w:rsidRPr="001C26EF" w:rsidRDefault="006129F0" w:rsidP="00910483">
      <w:pPr>
        <w:spacing w:after="0" w:line="240" w:lineRule="auto"/>
        <w:rPr>
          <w:sz w:val="18"/>
          <w:szCs w:val="18"/>
        </w:rPr>
      </w:pPr>
      <w:r>
        <w:rPr>
          <w:sz w:val="18"/>
          <w:szCs w:val="18"/>
        </w:rPr>
        <w:t>6.17</w:t>
      </w:r>
      <w:r w:rsidRPr="001C26EF">
        <w:rPr>
          <w:sz w:val="18"/>
          <w:szCs w:val="18"/>
        </w:rPr>
        <w:t xml:space="preserve"> Proportion of representati</w:t>
      </w:r>
      <w:r>
        <w:rPr>
          <w:sz w:val="18"/>
          <w:szCs w:val="18"/>
        </w:rPr>
        <w:t>on of women with disabilities holding</w:t>
      </w:r>
      <w:r w:rsidRPr="001C26EF">
        <w:rPr>
          <w:sz w:val="18"/>
          <w:szCs w:val="18"/>
        </w:rPr>
        <w:t xml:space="preserve"> </w:t>
      </w:r>
      <w:r>
        <w:rPr>
          <w:sz w:val="18"/>
          <w:szCs w:val="18"/>
        </w:rPr>
        <w:t>leadership positions within civil society,</w:t>
      </w:r>
      <w:r w:rsidRPr="001C26EF">
        <w:rPr>
          <w:sz w:val="18"/>
          <w:szCs w:val="18"/>
        </w:rPr>
        <w:t xml:space="preserve"> disaggregated by sex and disability, among others, including</w:t>
      </w:r>
      <w:r>
        <w:rPr>
          <w:sz w:val="18"/>
          <w:szCs w:val="18"/>
        </w:rPr>
        <w:t xml:space="preserve"> within organiz</w:t>
      </w:r>
      <w:r w:rsidRPr="001C26EF">
        <w:rPr>
          <w:sz w:val="18"/>
          <w:szCs w:val="18"/>
        </w:rPr>
        <w:t>ations of persons with disabilities</w:t>
      </w:r>
      <w:r>
        <w:rPr>
          <w:sz w:val="18"/>
          <w:szCs w:val="18"/>
        </w:rPr>
        <w:t>, and women’s rights organizations</w:t>
      </w:r>
      <w:r w:rsidRPr="001C26EF">
        <w:rPr>
          <w:sz w:val="18"/>
          <w:szCs w:val="18"/>
        </w:rPr>
        <w:t xml:space="preserve">.        </w:t>
      </w:r>
    </w:p>
    <w:p w14:paraId="3DB73853" w14:textId="77777777" w:rsidR="006129F0" w:rsidRPr="001C26EF" w:rsidRDefault="006129F0" w:rsidP="00910483">
      <w:pPr>
        <w:spacing w:after="0" w:line="240" w:lineRule="auto"/>
        <w:rPr>
          <w:sz w:val="18"/>
          <w:szCs w:val="18"/>
        </w:rPr>
      </w:pPr>
      <w:r w:rsidRPr="001C26EF">
        <w:rPr>
          <w:sz w:val="18"/>
          <w:szCs w:val="18"/>
        </w:rPr>
        <w:t>6.</w:t>
      </w:r>
      <w:r>
        <w:rPr>
          <w:sz w:val="18"/>
          <w:szCs w:val="18"/>
        </w:rPr>
        <w:t>18</w:t>
      </w:r>
      <w:r w:rsidRPr="001C26EF">
        <w:rPr>
          <w:sz w:val="18"/>
          <w:szCs w:val="18"/>
        </w:rPr>
        <w:t xml:space="preserve"> Proportion of population subjected to physical, psychological or sexual violence in the previous 12 months</w:t>
      </w:r>
      <w:r>
        <w:rPr>
          <w:sz w:val="18"/>
          <w:szCs w:val="18"/>
        </w:rPr>
        <w:t xml:space="preserve"> (SDG indicator 16.1.3) by </w:t>
      </w:r>
      <w:r w:rsidRPr="001C26EF">
        <w:rPr>
          <w:sz w:val="18"/>
          <w:szCs w:val="18"/>
        </w:rPr>
        <w:t>sex</w:t>
      </w:r>
      <w:r>
        <w:rPr>
          <w:sz w:val="18"/>
          <w:szCs w:val="18"/>
        </w:rPr>
        <w:t>, age</w:t>
      </w:r>
      <w:r w:rsidRPr="001C26EF">
        <w:rPr>
          <w:sz w:val="18"/>
          <w:szCs w:val="18"/>
        </w:rPr>
        <w:t xml:space="preserve"> and disability.</w:t>
      </w:r>
    </w:p>
    <w:p w14:paraId="38F8904F" w14:textId="77777777" w:rsidR="006129F0" w:rsidRDefault="006129F0" w:rsidP="00910483">
      <w:pPr>
        <w:spacing w:after="0" w:line="240" w:lineRule="auto"/>
        <w:rPr>
          <w:sz w:val="18"/>
          <w:szCs w:val="18"/>
        </w:rPr>
      </w:pPr>
      <w:r>
        <w:rPr>
          <w:sz w:val="18"/>
          <w:szCs w:val="18"/>
        </w:rPr>
        <w:t>6.19</w:t>
      </w:r>
      <w:r w:rsidRPr="001C26EF">
        <w:rPr>
          <w:sz w:val="18"/>
          <w:szCs w:val="18"/>
        </w:rPr>
        <w:t xml:space="preserve"> </w:t>
      </w:r>
      <w:r w:rsidRPr="00EB6526">
        <w:rPr>
          <w:rFonts w:cstheme="minorHAnsi"/>
          <w:sz w:val="18"/>
          <w:szCs w:val="18"/>
        </w:rPr>
        <w:t>Proportion of women and girls who make their own informed decisions regarding sexual relations, contraceptive use and reproductive health care (</w:t>
      </w:r>
      <w:r>
        <w:rPr>
          <w:rFonts w:cstheme="minorHAnsi"/>
          <w:sz w:val="18"/>
          <w:szCs w:val="18"/>
        </w:rPr>
        <w:t xml:space="preserve">based on </w:t>
      </w:r>
      <w:r w:rsidRPr="00EB6526">
        <w:rPr>
          <w:rFonts w:cstheme="minorHAnsi"/>
          <w:sz w:val="18"/>
          <w:szCs w:val="18"/>
        </w:rPr>
        <w:t xml:space="preserve">SDG indicator 5.6.1) </w:t>
      </w:r>
      <w:r w:rsidRPr="002C3DC0">
        <w:rPr>
          <w:rFonts w:cstheme="minorHAnsi"/>
          <w:sz w:val="18"/>
          <w:szCs w:val="18"/>
        </w:rPr>
        <w:t>by age and disability</w:t>
      </w:r>
      <w:r>
        <w:rPr>
          <w:rFonts w:cstheme="minorHAnsi"/>
          <w:sz w:val="18"/>
          <w:szCs w:val="18"/>
        </w:rPr>
        <w:t>, geographical location (idem 23</w:t>
      </w:r>
      <w:r w:rsidRPr="002C3DC0">
        <w:rPr>
          <w:rFonts w:cstheme="minorHAnsi"/>
          <w:sz w:val="18"/>
          <w:szCs w:val="18"/>
        </w:rPr>
        <w:t>.19).</w:t>
      </w:r>
    </w:p>
    <w:p w14:paraId="32C4FD78" w14:textId="77777777" w:rsidR="006129F0" w:rsidRPr="001C26EF" w:rsidRDefault="006129F0" w:rsidP="00910483">
      <w:pPr>
        <w:spacing w:after="0" w:line="240" w:lineRule="auto"/>
        <w:rPr>
          <w:sz w:val="18"/>
          <w:szCs w:val="18"/>
        </w:rPr>
      </w:pPr>
      <w:r w:rsidRPr="001C26EF">
        <w:rPr>
          <w:sz w:val="18"/>
          <w:szCs w:val="18"/>
        </w:rPr>
        <w:t>6.2</w:t>
      </w:r>
      <w:r>
        <w:rPr>
          <w:sz w:val="18"/>
          <w:szCs w:val="18"/>
        </w:rPr>
        <w:t>0</w:t>
      </w:r>
      <w:r w:rsidRPr="001C26EF">
        <w:rPr>
          <w:sz w:val="18"/>
          <w:szCs w:val="18"/>
        </w:rPr>
        <w:t xml:space="preserve"> Proportion of tot</w:t>
      </w:r>
      <w:r>
        <w:rPr>
          <w:sz w:val="18"/>
          <w:szCs w:val="18"/>
        </w:rPr>
        <w:t>al adult population with secure</w:t>
      </w:r>
      <w:r w:rsidRPr="001C26EF">
        <w:rPr>
          <w:sz w:val="18"/>
          <w:szCs w:val="18"/>
        </w:rPr>
        <w:t xml:space="preserve"> tenure rights to land, with legally recognized documentation and who perceive their rights to land as  secure, by sex and by type of tenure (SDG indicator 1.4.2) and by disability.</w:t>
      </w:r>
    </w:p>
    <w:p w14:paraId="4A3CA51B" w14:textId="77777777" w:rsidR="006129F0" w:rsidRPr="001C26EF" w:rsidRDefault="006129F0" w:rsidP="00402B9D">
      <w:pPr>
        <w:spacing w:after="0" w:line="240" w:lineRule="auto"/>
        <w:jc w:val="both"/>
        <w:rPr>
          <w:sz w:val="18"/>
          <w:szCs w:val="18"/>
        </w:rPr>
      </w:pPr>
      <w:r w:rsidRPr="001C26EF">
        <w:rPr>
          <w:sz w:val="18"/>
          <w:szCs w:val="18"/>
        </w:rPr>
        <w:t>6</w:t>
      </w:r>
      <w:r>
        <w:rPr>
          <w:sz w:val="18"/>
          <w:szCs w:val="18"/>
        </w:rPr>
        <w:t>.21</w:t>
      </w:r>
      <w:r w:rsidRPr="001C26EF">
        <w:rPr>
          <w:sz w:val="18"/>
          <w:szCs w:val="18"/>
        </w:rPr>
        <w:t xml:space="preserve"> Proportion of total agricultural population with ownership or secure rights over agricultural land, by sex (SDG indicator 5.a.1 (a)) and disability; share of women among owners or right-bearers of agricul</w:t>
      </w:r>
      <w:r>
        <w:rPr>
          <w:sz w:val="18"/>
          <w:szCs w:val="18"/>
        </w:rPr>
        <w:t>tural land, type of tenure (SDG</w:t>
      </w:r>
      <w:r w:rsidRPr="001C26EF">
        <w:rPr>
          <w:sz w:val="18"/>
          <w:szCs w:val="18"/>
        </w:rPr>
        <w:t xml:space="preserve"> indicator 5.a.1(b)) and disability.</w:t>
      </w:r>
    </w:p>
    <w:p w14:paraId="67577CBF" w14:textId="058C0343" w:rsidR="0091659B" w:rsidRDefault="0091659B" w:rsidP="00815DAE">
      <w:pPr>
        <w:spacing w:after="0" w:line="240" w:lineRule="auto"/>
        <w:rPr>
          <w:rFonts w:cstheme="minorHAnsi"/>
          <w:b/>
          <w:sz w:val="18"/>
          <w:szCs w:val="18"/>
        </w:rPr>
      </w:pPr>
    </w:p>
    <w:p w14:paraId="6765DCAE" w14:textId="77777777" w:rsidR="00815DAE" w:rsidRDefault="00815DAE" w:rsidP="00815DAE">
      <w:pPr>
        <w:spacing w:after="0" w:line="240" w:lineRule="auto"/>
        <w:rPr>
          <w:rFonts w:cstheme="minorHAnsi"/>
          <w:b/>
          <w:sz w:val="18"/>
          <w:szCs w:val="18"/>
        </w:rPr>
      </w:pPr>
    </w:p>
    <w:p w14:paraId="25801551" w14:textId="7C8D18A1" w:rsidR="00786018" w:rsidRDefault="00821971" w:rsidP="00815DAE">
      <w:pPr>
        <w:pStyle w:val="Heading1"/>
      </w:pPr>
      <w:r w:rsidRPr="001C26EF">
        <w:t>ANNEX</w:t>
      </w:r>
    </w:p>
    <w:p w14:paraId="4BF6D7B7" w14:textId="42D98034" w:rsidR="00AA51E6" w:rsidRDefault="00AA51E6" w:rsidP="00AA51E6">
      <w:pPr>
        <w:spacing w:after="0" w:line="240" w:lineRule="auto"/>
        <w:outlineLvl w:val="0"/>
        <w:rPr>
          <w:rFonts w:cstheme="minorHAnsi"/>
          <w:b/>
          <w:sz w:val="18"/>
          <w:szCs w:val="18"/>
        </w:rPr>
      </w:pPr>
    </w:p>
    <w:p w14:paraId="2D181ED0" w14:textId="60EFC7BC" w:rsidR="00AA51E6" w:rsidRPr="00AA51E6" w:rsidRDefault="00AA51E6" w:rsidP="00AA51E6">
      <w:pPr>
        <w:spacing w:after="0" w:line="240" w:lineRule="auto"/>
        <w:outlineLvl w:val="0"/>
        <w:rPr>
          <w:bCs/>
          <w:color w:val="000000"/>
          <w:sz w:val="18"/>
          <w:szCs w:val="18"/>
        </w:rPr>
      </w:pPr>
      <w:r>
        <w:rPr>
          <w:rFonts w:cstheme="minorHAnsi"/>
          <w:b/>
          <w:sz w:val="18"/>
          <w:szCs w:val="18"/>
        </w:rPr>
        <w:t xml:space="preserve">* </w:t>
      </w:r>
      <w:r>
        <w:rPr>
          <w:rFonts w:cstheme="minorHAnsi"/>
          <w:bCs/>
          <w:sz w:val="18"/>
          <w:szCs w:val="18"/>
        </w:rPr>
        <w:t xml:space="preserve">See </w:t>
      </w:r>
      <w:hyperlink r:id="rId8" w:history="1">
        <w:r w:rsidRPr="00CD00E0">
          <w:rPr>
            <w:rStyle w:val="Hyperlink"/>
            <w:rFonts w:cstheme="minorHAnsi"/>
            <w:bCs/>
            <w:sz w:val="18"/>
            <w:szCs w:val="18"/>
          </w:rPr>
          <w:t>General Comment no 3</w:t>
        </w:r>
      </w:hyperlink>
      <w:r>
        <w:rPr>
          <w:rFonts w:cstheme="minorHAnsi"/>
          <w:bCs/>
          <w:sz w:val="18"/>
          <w:szCs w:val="18"/>
        </w:rPr>
        <w:t xml:space="preserve"> of the CRPD Committee on women with disabilities.</w:t>
      </w:r>
    </w:p>
    <w:sectPr w:rsidR="00AA51E6" w:rsidRPr="00AA51E6" w:rsidSect="00405C57">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3A2DE" w14:textId="77777777" w:rsidR="00EA19C6" w:rsidRDefault="00EA19C6" w:rsidP="00260918">
      <w:pPr>
        <w:spacing w:after="0" w:line="240" w:lineRule="auto"/>
      </w:pPr>
      <w:r>
        <w:separator/>
      </w:r>
    </w:p>
  </w:endnote>
  <w:endnote w:type="continuationSeparator" w:id="0">
    <w:p w14:paraId="301AC65C" w14:textId="77777777" w:rsidR="00EA19C6" w:rsidRDefault="00EA19C6" w:rsidP="00260918">
      <w:pPr>
        <w:spacing w:after="0" w:line="240" w:lineRule="auto"/>
      </w:pPr>
      <w:r>
        <w:continuationSeparator/>
      </w:r>
    </w:p>
  </w:endnote>
  <w:endnote w:id="1">
    <w:p w14:paraId="1396E5B6" w14:textId="77777777" w:rsidR="006129F0" w:rsidRPr="0095779D" w:rsidRDefault="006129F0" w:rsidP="00D37179">
      <w:pPr>
        <w:pStyle w:val="EndnoteText"/>
        <w:jc w:val="both"/>
        <w:rPr>
          <w:sz w:val="18"/>
          <w:szCs w:val="18"/>
        </w:rPr>
      </w:pPr>
      <w:r w:rsidRPr="0095779D">
        <w:rPr>
          <w:rStyle w:val="EndnoteReference"/>
          <w:sz w:val="18"/>
          <w:szCs w:val="18"/>
        </w:rPr>
        <w:endnoteRef/>
      </w:r>
      <w:r w:rsidRPr="0095779D">
        <w:rPr>
          <w:sz w:val="18"/>
          <w:szCs w:val="18"/>
        </w:rPr>
        <w:t xml:space="preserve"> This legislation should explicitly:</w:t>
      </w:r>
    </w:p>
    <w:p w14:paraId="1EF735FC" w14:textId="77777777" w:rsidR="006129F0" w:rsidRPr="0095779D" w:rsidRDefault="006129F0" w:rsidP="00D37179">
      <w:pPr>
        <w:pStyle w:val="EndnoteText"/>
        <w:numPr>
          <w:ilvl w:val="0"/>
          <w:numId w:val="11"/>
        </w:numPr>
        <w:jc w:val="both"/>
        <w:rPr>
          <w:sz w:val="18"/>
          <w:szCs w:val="18"/>
        </w:rPr>
      </w:pPr>
      <w:r w:rsidRPr="0095779D">
        <w:rPr>
          <w:sz w:val="18"/>
          <w:szCs w:val="18"/>
        </w:rPr>
        <w:t>prohibit discrimination on the basis of disability and gender, including gender based violence (see CEDAW/C/GC/35, para 14)</w:t>
      </w:r>
      <w:r>
        <w:rPr>
          <w:sz w:val="18"/>
          <w:szCs w:val="18"/>
        </w:rPr>
        <w:t>,</w:t>
      </w:r>
      <w:r w:rsidRPr="0095779D">
        <w:rPr>
          <w:sz w:val="18"/>
          <w:szCs w:val="18"/>
        </w:rPr>
        <w:t xml:space="preserve"> recognising</w:t>
      </w:r>
      <w:r>
        <w:rPr>
          <w:sz w:val="18"/>
          <w:szCs w:val="18"/>
        </w:rPr>
        <w:t xml:space="preserve"> multiple and</w:t>
      </w:r>
      <w:r w:rsidRPr="0095779D">
        <w:rPr>
          <w:sz w:val="18"/>
          <w:szCs w:val="18"/>
        </w:rPr>
        <w:t xml:space="preserve"> intersecting forms of discrimination </w:t>
      </w:r>
    </w:p>
    <w:p w14:paraId="0CDEC73D" w14:textId="77777777" w:rsidR="006129F0" w:rsidRPr="0095779D" w:rsidRDefault="006129F0" w:rsidP="00D37179">
      <w:pPr>
        <w:pStyle w:val="EndnoteText"/>
        <w:numPr>
          <w:ilvl w:val="0"/>
          <w:numId w:val="11"/>
        </w:numPr>
        <w:jc w:val="both"/>
        <w:rPr>
          <w:sz w:val="18"/>
          <w:szCs w:val="18"/>
        </w:rPr>
      </w:pPr>
      <w:r w:rsidRPr="0095779D">
        <w:rPr>
          <w:sz w:val="18"/>
          <w:szCs w:val="18"/>
        </w:rPr>
        <w:t>recognise the denial of reasonable accommodation as constituting disability-based discrimination</w:t>
      </w:r>
    </w:p>
    <w:p w14:paraId="598E1599" w14:textId="77777777" w:rsidR="006129F0" w:rsidRPr="0095779D" w:rsidRDefault="006129F0" w:rsidP="00D37179">
      <w:pPr>
        <w:pStyle w:val="EndnoteText"/>
        <w:numPr>
          <w:ilvl w:val="0"/>
          <w:numId w:val="11"/>
        </w:numPr>
        <w:jc w:val="both"/>
        <w:rPr>
          <w:sz w:val="18"/>
          <w:szCs w:val="18"/>
        </w:rPr>
      </w:pPr>
      <w:r w:rsidRPr="0095779D">
        <w:rPr>
          <w:sz w:val="18"/>
          <w:szCs w:val="18"/>
        </w:rPr>
        <w:t>provide for effective sanctions and remedies proportional to the violation</w:t>
      </w:r>
    </w:p>
  </w:endnote>
  <w:endnote w:id="2">
    <w:p w14:paraId="3ADF6F64" w14:textId="6949C7A3" w:rsidR="006129F0" w:rsidRPr="0095779D" w:rsidRDefault="006129F0" w:rsidP="00B77BD7">
      <w:pPr>
        <w:pStyle w:val="EndnoteText"/>
        <w:jc w:val="both"/>
        <w:rPr>
          <w:rFonts w:cstheme="minorHAnsi"/>
          <w:sz w:val="18"/>
          <w:szCs w:val="18"/>
        </w:rPr>
      </w:pPr>
      <w:r w:rsidRPr="0095779D">
        <w:rPr>
          <w:rStyle w:val="EndnoteReference"/>
          <w:rFonts w:cstheme="minorHAnsi"/>
          <w:sz w:val="18"/>
          <w:szCs w:val="18"/>
        </w:rPr>
        <w:endnoteRef/>
      </w:r>
      <w:r w:rsidRPr="0095779D">
        <w:rPr>
          <w:rFonts w:cstheme="minorHAnsi"/>
          <w:sz w:val="18"/>
          <w:szCs w:val="18"/>
        </w:rPr>
        <w:t xml:space="preserve"> </w:t>
      </w:r>
      <w:r w:rsidR="00B91D07" w:rsidRPr="0030494E">
        <w:rPr>
          <w:rFonts w:cstheme="minorHAnsi"/>
          <w:sz w:val="18"/>
          <w:szCs w:val="18"/>
        </w:rPr>
        <w:t>In particular, by carrying out gender and disability impact assessments to determine and foresee the impact of any proposed policy,</w:t>
      </w:r>
      <w:r w:rsidR="00B91D07" w:rsidRPr="0030494E">
        <w:rPr>
          <w:rFonts w:eastAsia="Times New Roman" w:cstheme="minorHAnsi"/>
          <w:sz w:val="18"/>
          <w:szCs w:val="18"/>
          <w:lang w:val="en-US" w:eastAsia="fr-FR"/>
        </w:rPr>
        <w:t xml:space="preserve"> legislation, regulation, budget, investment or other government action to</w:t>
      </w:r>
      <w:r w:rsidR="00B91D07" w:rsidRPr="0030494E">
        <w:rPr>
          <w:rFonts w:cstheme="minorHAnsi"/>
          <w:sz w:val="18"/>
          <w:szCs w:val="18"/>
        </w:rPr>
        <w:t xml:space="preserve"> prevent undermining the equality and inclusion of women and girls</w:t>
      </w:r>
      <w:r w:rsidR="009170CD">
        <w:rPr>
          <w:rFonts w:cstheme="minorHAnsi"/>
          <w:sz w:val="18"/>
          <w:szCs w:val="18"/>
        </w:rPr>
        <w:t xml:space="preserve"> with disabilities</w:t>
      </w:r>
      <w:r w:rsidR="00B91D07" w:rsidRPr="0030494E">
        <w:rPr>
          <w:rFonts w:cstheme="minorHAnsi"/>
          <w:sz w:val="18"/>
          <w:szCs w:val="18"/>
        </w:rPr>
        <w:t xml:space="preserve">, </w:t>
      </w:r>
      <w:r w:rsidR="00B91D07">
        <w:rPr>
          <w:rFonts w:cstheme="minorHAnsi"/>
          <w:sz w:val="18"/>
          <w:szCs w:val="18"/>
        </w:rPr>
        <w:t>i</w:t>
      </w:r>
      <w:r w:rsidRPr="0095779D">
        <w:rPr>
          <w:rFonts w:cstheme="minorHAnsi"/>
          <w:sz w:val="18"/>
          <w:szCs w:val="18"/>
        </w:rPr>
        <w:t>ncluding those living in rural areas, older women and those belonging to indigenous or minority groups.</w:t>
      </w:r>
    </w:p>
  </w:endnote>
  <w:endnote w:id="3">
    <w:p w14:paraId="28C11CE1" w14:textId="77777777" w:rsidR="006129F0" w:rsidRPr="0095779D" w:rsidRDefault="006129F0" w:rsidP="00B77BD7">
      <w:pPr>
        <w:spacing w:after="0" w:line="240" w:lineRule="auto"/>
        <w:jc w:val="both"/>
        <w:rPr>
          <w:rFonts w:cstheme="minorHAnsi"/>
          <w:sz w:val="18"/>
          <w:szCs w:val="18"/>
        </w:rPr>
      </w:pPr>
      <w:r w:rsidRPr="0095779D">
        <w:rPr>
          <w:rStyle w:val="EndnoteReference"/>
          <w:rFonts w:cstheme="minorHAnsi"/>
          <w:sz w:val="18"/>
          <w:szCs w:val="18"/>
        </w:rPr>
        <w:endnoteRef/>
      </w:r>
      <w:r w:rsidRPr="0095779D">
        <w:rPr>
          <w:rFonts w:cstheme="minorHAnsi"/>
          <w:sz w:val="18"/>
          <w:szCs w:val="18"/>
        </w:rPr>
        <w:t xml:space="preserve"> A twin track approach </w:t>
      </w:r>
      <w:r>
        <w:rPr>
          <w:rFonts w:cstheme="minorHAnsi"/>
          <w:sz w:val="18"/>
          <w:szCs w:val="18"/>
        </w:rPr>
        <w:t xml:space="preserve">combines inclusive mainstream programmes with targeted interventions for women and girls with disabilities; there should be </w:t>
      </w:r>
      <w:r w:rsidRPr="0095779D">
        <w:rPr>
          <w:rFonts w:cstheme="minorHAnsi"/>
          <w:sz w:val="18"/>
          <w:szCs w:val="18"/>
        </w:rPr>
        <w:t xml:space="preserve">explicit actions and references to the rights of women and girls with disabilities within all mainstream national action plans/strategies/policies concerning women, children, persons with disabilities, and </w:t>
      </w:r>
      <w:r>
        <w:rPr>
          <w:rFonts w:cstheme="minorHAnsi"/>
          <w:sz w:val="18"/>
          <w:szCs w:val="18"/>
        </w:rPr>
        <w:t xml:space="preserve">across </w:t>
      </w:r>
      <w:r w:rsidRPr="0095779D">
        <w:rPr>
          <w:rFonts w:cstheme="minorHAnsi"/>
          <w:sz w:val="18"/>
          <w:szCs w:val="18"/>
        </w:rPr>
        <w:t>sectoral plans</w:t>
      </w:r>
      <w:r>
        <w:rPr>
          <w:rFonts w:cstheme="minorHAnsi"/>
          <w:sz w:val="18"/>
          <w:szCs w:val="18"/>
        </w:rPr>
        <w:t>;</w:t>
      </w:r>
      <w:r w:rsidRPr="0095779D">
        <w:rPr>
          <w:rFonts w:cstheme="minorHAnsi"/>
          <w:sz w:val="18"/>
          <w:szCs w:val="18"/>
        </w:rPr>
        <w:t xml:space="preserve"> </w:t>
      </w:r>
      <w:r>
        <w:rPr>
          <w:rFonts w:cstheme="minorHAnsi"/>
          <w:sz w:val="18"/>
          <w:szCs w:val="18"/>
        </w:rPr>
        <w:t>as well as targeted</w:t>
      </w:r>
      <w:r w:rsidRPr="0095779D">
        <w:rPr>
          <w:rFonts w:cstheme="minorHAnsi"/>
          <w:sz w:val="18"/>
          <w:szCs w:val="18"/>
        </w:rPr>
        <w:t xml:space="preserve"> and monitored </w:t>
      </w:r>
      <w:r>
        <w:rPr>
          <w:rFonts w:cstheme="minorHAnsi"/>
          <w:sz w:val="18"/>
          <w:szCs w:val="18"/>
        </w:rPr>
        <w:t>programmes and initiatives</w:t>
      </w:r>
      <w:r w:rsidRPr="0095779D">
        <w:rPr>
          <w:rFonts w:cstheme="minorHAnsi"/>
          <w:sz w:val="18"/>
          <w:szCs w:val="18"/>
        </w:rPr>
        <w:t xml:space="preserve"> aimed specifically at women and girls with disabilities.</w:t>
      </w:r>
    </w:p>
  </w:endnote>
  <w:endnote w:id="4">
    <w:p w14:paraId="137DBD81" w14:textId="77777777" w:rsidR="006129F0" w:rsidRPr="0095779D" w:rsidRDefault="006129F0" w:rsidP="00B77BD7">
      <w:pPr>
        <w:pStyle w:val="EndnoteText"/>
        <w:jc w:val="both"/>
        <w:rPr>
          <w:sz w:val="18"/>
          <w:szCs w:val="18"/>
        </w:rPr>
      </w:pPr>
      <w:r w:rsidRPr="0095779D">
        <w:rPr>
          <w:rStyle w:val="EndnoteReference"/>
          <w:sz w:val="18"/>
          <w:szCs w:val="18"/>
        </w:rPr>
        <w:endnoteRef/>
      </w:r>
      <w:r w:rsidRPr="0095779D">
        <w:rPr>
          <w:sz w:val="18"/>
          <w:szCs w:val="18"/>
        </w:rPr>
        <w:t xml:space="preserve"> Gender and disability marker adopted to track allocated</w:t>
      </w:r>
      <w:r>
        <w:rPr>
          <w:sz w:val="18"/>
          <w:szCs w:val="18"/>
        </w:rPr>
        <w:t xml:space="preserve"> and incurred</w:t>
      </w:r>
      <w:r w:rsidRPr="0095779D">
        <w:rPr>
          <w:sz w:val="18"/>
          <w:szCs w:val="18"/>
        </w:rPr>
        <w:t xml:space="preserve"> budget across all sectors</w:t>
      </w:r>
      <w:r>
        <w:rPr>
          <w:sz w:val="18"/>
          <w:szCs w:val="18"/>
        </w:rPr>
        <w:t>.</w:t>
      </w:r>
      <w:r w:rsidRPr="0095779D">
        <w:rPr>
          <w:sz w:val="18"/>
          <w:szCs w:val="18"/>
        </w:rPr>
        <w:t xml:space="preserve"> </w:t>
      </w:r>
    </w:p>
  </w:endnote>
  <w:endnote w:id="5">
    <w:p w14:paraId="59DBC891" w14:textId="77777777" w:rsidR="006129F0" w:rsidRPr="0095779D" w:rsidRDefault="006129F0" w:rsidP="00ED3D69">
      <w:pPr>
        <w:pStyle w:val="EndnoteText"/>
        <w:jc w:val="both"/>
        <w:rPr>
          <w:sz w:val="18"/>
          <w:szCs w:val="18"/>
        </w:rPr>
      </w:pPr>
      <w:r w:rsidRPr="0095779D">
        <w:rPr>
          <w:rStyle w:val="EndnoteReference"/>
          <w:sz w:val="18"/>
          <w:szCs w:val="18"/>
        </w:rPr>
        <w:endnoteRef/>
      </w:r>
      <w:r w:rsidRPr="0095779D">
        <w:rPr>
          <w:sz w:val="18"/>
          <w:szCs w:val="18"/>
        </w:rPr>
        <w:t xml:space="preserve"> </w:t>
      </w:r>
      <w:proofErr w:type="gramStart"/>
      <w:r w:rsidRPr="0095779D">
        <w:rPr>
          <w:sz w:val="18"/>
          <w:szCs w:val="18"/>
        </w:rPr>
        <w:t>also</w:t>
      </w:r>
      <w:proofErr w:type="gramEnd"/>
      <w:r w:rsidRPr="0095779D">
        <w:rPr>
          <w:sz w:val="18"/>
          <w:szCs w:val="18"/>
        </w:rPr>
        <w:t xml:space="preserve"> by age and disability, among others.</w:t>
      </w:r>
    </w:p>
  </w:endnote>
  <w:endnote w:id="6">
    <w:p w14:paraId="5FAA402F" w14:textId="36F2791F" w:rsidR="006129F0" w:rsidRPr="0095779D" w:rsidRDefault="006129F0">
      <w:pPr>
        <w:pStyle w:val="EndnoteText"/>
        <w:rPr>
          <w:sz w:val="18"/>
          <w:szCs w:val="18"/>
          <w:lang w:val="en-US"/>
        </w:rPr>
      </w:pPr>
      <w:r w:rsidRPr="0095779D">
        <w:rPr>
          <w:rStyle w:val="EndnoteReference"/>
          <w:sz w:val="18"/>
          <w:szCs w:val="18"/>
        </w:rPr>
        <w:endnoteRef/>
      </w:r>
      <w:r w:rsidRPr="0095779D">
        <w:rPr>
          <w:sz w:val="18"/>
          <w:szCs w:val="18"/>
        </w:rPr>
        <w:t xml:space="preserve"> For </w:t>
      </w:r>
      <w:r w:rsidRPr="004C73CB">
        <w:rPr>
          <w:sz w:val="18"/>
          <w:szCs w:val="18"/>
        </w:rPr>
        <w:t xml:space="preserve">instance, </w:t>
      </w:r>
      <w:r w:rsidRPr="004C73CB">
        <w:rPr>
          <w:sz w:val="18"/>
          <w:szCs w:val="18"/>
          <w:lang w:val="en-US"/>
        </w:rPr>
        <w:t xml:space="preserve">national gender equality legislation and policy, national action plan on disability, </w:t>
      </w:r>
      <w:proofErr w:type="spellStart"/>
      <w:r w:rsidRPr="004C73CB">
        <w:rPr>
          <w:sz w:val="18"/>
          <w:szCs w:val="18"/>
          <w:lang w:val="en-US"/>
        </w:rPr>
        <w:t>programme</w:t>
      </w:r>
      <w:proofErr w:type="spellEnd"/>
      <w:r w:rsidRPr="004C73CB">
        <w:rPr>
          <w:sz w:val="18"/>
          <w:szCs w:val="18"/>
          <w:lang w:val="en-US"/>
        </w:rPr>
        <w:t xml:space="preserve"> on sexual and reproductive rights of pe</w:t>
      </w:r>
      <w:r w:rsidR="004B3060">
        <w:rPr>
          <w:sz w:val="18"/>
          <w:szCs w:val="18"/>
          <w:lang w:val="en-US"/>
        </w:rPr>
        <w:t>rsons with disabilities, etc.</w:t>
      </w:r>
    </w:p>
  </w:endnote>
  <w:endnote w:id="7">
    <w:p w14:paraId="216D3F4A" w14:textId="77777777" w:rsidR="006129F0" w:rsidRPr="0095779D" w:rsidRDefault="006129F0" w:rsidP="00ED3D69">
      <w:pPr>
        <w:pStyle w:val="EndnoteText"/>
        <w:jc w:val="both"/>
        <w:rPr>
          <w:sz w:val="18"/>
          <w:szCs w:val="18"/>
        </w:rPr>
      </w:pPr>
      <w:r w:rsidRPr="0095779D">
        <w:rPr>
          <w:rStyle w:val="EndnoteReference"/>
          <w:sz w:val="18"/>
          <w:szCs w:val="18"/>
        </w:rPr>
        <w:endnoteRef/>
      </w:r>
      <w:r w:rsidRPr="0095779D">
        <w:rPr>
          <w:sz w:val="18"/>
          <w:szCs w:val="18"/>
        </w:rPr>
        <w:t xml:space="preserve"> Including </w:t>
      </w:r>
      <w:r>
        <w:rPr>
          <w:sz w:val="18"/>
          <w:szCs w:val="18"/>
        </w:rPr>
        <w:t>related to</w:t>
      </w:r>
      <w:r w:rsidRPr="0095779D">
        <w:rPr>
          <w:sz w:val="18"/>
          <w:szCs w:val="18"/>
        </w:rPr>
        <w:t xml:space="preserve"> policies</w:t>
      </w:r>
      <w:r>
        <w:rPr>
          <w:sz w:val="18"/>
          <w:szCs w:val="18"/>
        </w:rPr>
        <w:t xml:space="preserve"> and initiatives</w:t>
      </w:r>
      <w:r w:rsidRPr="0095779D">
        <w:rPr>
          <w:sz w:val="18"/>
          <w:szCs w:val="18"/>
        </w:rPr>
        <w:t xml:space="preserve"> directed </w:t>
      </w:r>
      <w:proofErr w:type="gramStart"/>
      <w:r w:rsidRPr="0095779D">
        <w:rPr>
          <w:sz w:val="18"/>
          <w:szCs w:val="18"/>
        </w:rPr>
        <w:t>to</w:t>
      </w:r>
      <w:r>
        <w:rPr>
          <w:sz w:val="18"/>
          <w:szCs w:val="18"/>
        </w:rPr>
        <w:t>:</w:t>
      </w:r>
      <w:proofErr w:type="gramEnd"/>
      <w:r>
        <w:rPr>
          <w:sz w:val="18"/>
          <w:szCs w:val="18"/>
        </w:rPr>
        <w:t xml:space="preserve"> women and girls, persons with disabilities,</w:t>
      </w:r>
      <w:r w:rsidRPr="0095779D">
        <w:rPr>
          <w:sz w:val="18"/>
          <w:szCs w:val="18"/>
        </w:rPr>
        <w:t xml:space="preserve"> </w:t>
      </w:r>
      <w:r>
        <w:rPr>
          <w:sz w:val="18"/>
          <w:szCs w:val="18"/>
        </w:rPr>
        <w:t xml:space="preserve">children, </w:t>
      </w:r>
      <w:r w:rsidRPr="0095779D">
        <w:rPr>
          <w:sz w:val="18"/>
          <w:szCs w:val="18"/>
        </w:rPr>
        <w:t>health</w:t>
      </w:r>
      <w:r>
        <w:rPr>
          <w:sz w:val="18"/>
          <w:szCs w:val="18"/>
        </w:rPr>
        <w:t>,</w:t>
      </w:r>
      <w:r w:rsidRPr="0095779D">
        <w:rPr>
          <w:sz w:val="18"/>
          <w:szCs w:val="18"/>
        </w:rPr>
        <w:t xml:space="preserve"> employment, education, justice, social protection, </w:t>
      </w:r>
      <w:r>
        <w:rPr>
          <w:sz w:val="18"/>
          <w:szCs w:val="18"/>
        </w:rPr>
        <w:t xml:space="preserve">violence prevention, </w:t>
      </w:r>
      <w:r w:rsidRPr="0095779D">
        <w:rPr>
          <w:sz w:val="18"/>
          <w:szCs w:val="18"/>
        </w:rPr>
        <w:t>participation</w:t>
      </w:r>
      <w:r>
        <w:rPr>
          <w:sz w:val="18"/>
          <w:szCs w:val="18"/>
        </w:rPr>
        <w:t>,</w:t>
      </w:r>
      <w:r w:rsidRPr="0095779D">
        <w:rPr>
          <w:sz w:val="18"/>
          <w:szCs w:val="18"/>
        </w:rPr>
        <w:t xml:space="preserve"> etc.</w:t>
      </w:r>
    </w:p>
  </w:endnote>
  <w:endnote w:id="8">
    <w:p w14:paraId="7721C927" w14:textId="30A52BF2" w:rsidR="006129F0" w:rsidRPr="005D41E6" w:rsidRDefault="006129F0" w:rsidP="007C50FC">
      <w:pPr>
        <w:pStyle w:val="EndnoteText"/>
        <w:jc w:val="both"/>
      </w:pPr>
      <w:r>
        <w:rPr>
          <w:rStyle w:val="EndnoteReference"/>
        </w:rPr>
        <w:endnoteRef/>
      </w:r>
      <w:r>
        <w:rPr>
          <w:sz w:val="18"/>
          <w:szCs w:val="18"/>
        </w:rPr>
        <w:t xml:space="preserve"> Training and awareness raising activities should target and include women with disabilities from underrepresented groups</w:t>
      </w:r>
      <w:r w:rsidRPr="008033D2">
        <w:rPr>
          <w:sz w:val="18"/>
          <w:szCs w:val="18"/>
        </w:rPr>
        <w:t>, such as indi</w:t>
      </w:r>
      <w:r>
        <w:rPr>
          <w:sz w:val="18"/>
          <w:szCs w:val="18"/>
        </w:rPr>
        <w:t xml:space="preserve">genous women with disabilities. </w:t>
      </w:r>
      <w:r w:rsidRPr="008033D2">
        <w:rPr>
          <w:sz w:val="18"/>
          <w:szCs w:val="18"/>
        </w:rPr>
        <w:t>S</w:t>
      </w:r>
      <w:r>
        <w:rPr>
          <w:sz w:val="18"/>
          <w:szCs w:val="18"/>
        </w:rPr>
        <w:t xml:space="preserve">ee CRPD Committee, </w:t>
      </w:r>
      <w:hyperlink r:id="rId1" w:history="1">
        <w:r w:rsidRPr="004B3060">
          <w:rPr>
            <w:rStyle w:val="Hyperlink"/>
            <w:sz w:val="18"/>
            <w:szCs w:val="18"/>
          </w:rPr>
          <w:t>general comment no. 7</w:t>
        </w:r>
      </w:hyperlink>
      <w:r>
        <w:rPr>
          <w:sz w:val="18"/>
          <w:szCs w:val="18"/>
        </w:rPr>
        <w:t>, para. 60.</w:t>
      </w:r>
    </w:p>
  </w:endnote>
  <w:endnote w:id="9">
    <w:p w14:paraId="662EE41D" w14:textId="77777777" w:rsidR="006129F0" w:rsidRPr="00AF722C" w:rsidRDefault="006129F0" w:rsidP="009A1CE3">
      <w:pPr>
        <w:pStyle w:val="EndnoteText"/>
        <w:rPr>
          <w:rFonts w:cstheme="minorHAnsi"/>
          <w:sz w:val="18"/>
          <w:szCs w:val="18"/>
        </w:rPr>
      </w:pPr>
      <w:r w:rsidRPr="00AF722C">
        <w:rPr>
          <w:rStyle w:val="EndnoteReference"/>
          <w:rFonts w:cstheme="minorHAnsi"/>
        </w:rPr>
        <w:endnoteRef/>
      </w:r>
      <w:r w:rsidRPr="00AF722C">
        <w:rPr>
          <w:rFonts w:cstheme="minorHAnsi"/>
          <w:sz w:val="18"/>
          <w:szCs w:val="18"/>
        </w:rPr>
        <w:t xml:space="preserve"> </w:t>
      </w:r>
      <w:r>
        <w:rPr>
          <w:rFonts w:cstheme="minorHAnsi"/>
          <w:sz w:val="18"/>
          <w:szCs w:val="18"/>
        </w:rPr>
        <w:t>Training should</w:t>
      </w:r>
      <w:r w:rsidRPr="00AF722C">
        <w:rPr>
          <w:rFonts w:cstheme="minorHAnsi"/>
          <w:sz w:val="18"/>
          <w:szCs w:val="18"/>
        </w:rPr>
        <w:t xml:space="preserve"> include:</w:t>
      </w:r>
    </w:p>
    <w:p w14:paraId="2FF20B9F" w14:textId="77777777" w:rsidR="006129F0" w:rsidRPr="009A1CE3" w:rsidRDefault="006129F0" w:rsidP="009A1CE3">
      <w:pPr>
        <w:pStyle w:val="EndnoteText"/>
        <w:numPr>
          <w:ilvl w:val="0"/>
          <w:numId w:val="14"/>
        </w:numPr>
        <w:ind w:left="714" w:hanging="357"/>
        <w:rPr>
          <w:rFonts w:cstheme="minorHAnsi"/>
          <w:sz w:val="18"/>
          <w:szCs w:val="18"/>
        </w:rPr>
      </w:pPr>
      <w:r>
        <w:rPr>
          <w:sz w:val="18"/>
          <w:szCs w:val="18"/>
        </w:rPr>
        <w:t xml:space="preserve">The human rights based approach to disability; </w:t>
      </w:r>
    </w:p>
    <w:p w14:paraId="718FE270" w14:textId="7153C811" w:rsidR="00B91D07" w:rsidRPr="00B91D07" w:rsidRDefault="00B91D07" w:rsidP="00B91D07">
      <w:pPr>
        <w:pStyle w:val="EndnoteText"/>
        <w:numPr>
          <w:ilvl w:val="0"/>
          <w:numId w:val="14"/>
        </w:numPr>
        <w:ind w:left="714" w:hanging="357"/>
        <w:rPr>
          <w:rFonts w:cstheme="minorHAnsi"/>
          <w:sz w:val="18"/>
          <w:szCs w:val="18"/>
        </w:rPr>
      </w:pPr>
      <w:r>
        <w:rPr>
          <w:rFonts w:cstheme="minorHAnsi"/>
          <w:sz w:val="18"/>
          <w:szCs w:val="18"/>
        </w:rPr>
        <w:t>Gender and disability impact assessments inclusive of women and girls with disabilities;</w:t>
      </w:r>
    </w:p>
    <w:p w14:paraId="73B4997E" w14:textId="23BF00D6" w:rsidR="006129F0" w:rsidRPr="009A1CE3" w:rsidRDefault="00B91D07" w:rsidP="009A1CE3">
      <w:pPr>
        <w:pStyle w:val="EndnoteText"/>
        <w:numPr>
          <w:ilvl w:val="0"/>
          <w:numId w:val="14"/>
        </w:numPr>
        <w:ind w:left="714" w:hanging="357"/>
        <w:rPr>
          <w:rFonts w:cstheme="minorHAnsi"/>
          <w:sz w:val="18"/>
          <w:szCs w:val="18"/>
        </w:rPr>
      </w:pPr>
      <w:r>
        <w:rPr>
          <w:sz w:val="18"/>
          <w:szCs w:val="18"/>
        </w:rPr>
        <w:t>T</w:t>
      </w:r>
      <w:r w:rsidR="006129F0">
        <w:rPr>
          <w:sz w:val="18"/>
          <w:szCs w:val="18"/>
        </w:rPr>
        <w:t>he obligation to provide reasonable accommodation;</w:t>
      </w:r>
    </w:p>
    <w:p w14:paraId="72716298" w14:textId="77777777" w:rsidR="006129F0" w:rsidRPr="00AF722C" w:rsidRDefault="006129F0" w:rsidP="009A1CE3">
      <w:pPr>
        <w:pStyle w:val="EndnoteText"/>
        <w:numPr>
          <w:ilvl w:val="0"/>
          <w:numId w:val="14"/>
        </w:numPr>
        <w:ind w:left="714" w:hanging="357"/>
        <w:rPr>
          <w:rFonts w:cstheme="minorHAnsi"/>
          <w:sz w:val="18"/>
          <w:szCs w:val="18"/>
        </w:rPr>
      </w:pPr>
      <w:r w:rsidRPr="00AF722C">
        <w:rPr>
          <w:rFonts w:cstheme="minorHAnsi"/>
          <w:sz w:val="18"/>
          <w:szCs w:val="18"/>
        </w:rPr>
        <w:t xml:space="preserve">Accessible and alternative forms of communication; </w:t>
      </w:r>
    </w:p>
    <w:p w14:paraId="02E049BF" w14:textId="77777777" w:rsidR="006129F0" w:rsidRPr="00AF722C" w:rsidRDefault="006129F0" w:rsidP="009A1CE3">
      <w:pPr>
        <w:pStyle w:val="EndnoteText"/>
        <w:numPr>
          <w:ilvl w:val="0"/>
          <w:numId w:val="14"/>
        </w:numPr>
        <w:ind w:left="714" w:hanging="357"/>
        <w:rPr>
          <w:rFonts w:cstheme="minorHAnsi"/>
          <w:sz w:val="18"/>
          <w:szCs w:val="18"/>
        </w:rPr>
      </w:pPr>
      <w:r w:rsidRPr="00AF722C">
        <w:rPr>
          <w:rFonts w:cstheme="minorHAnsi"/>
          <w:sz w:val="18"/>
          <w:szCs w:val="18"/>
        </w:rPr>
        <w:t xml:space="preserve">Provision of disability and age-appropriate assistance; </w:t>
      </w:r>
    </w:p>
    <w:p w14:paraId="7179E6D8" w14:textId="77777777" w:rsidR="006129F0" w:rsidRPr="00AF722C" w:rsidRDefault="006129F0" w:rsidP="009A1CE3">
      <w:pPr>
        <w:pStyle w:val="EndnoteText"/>
        <w:numPr>
          <w:ilvl w:val="0"/>
          <w:numId w:val="14"/>
        </w:numPr>
        <w:ind w:left="714" w:hanging="357"/>
        <w:rPr>
          <w:rFonts w:cstheme="minorHAnsi"/>
          <w:sz w:val="18"/>
          <w:szCs w:val="18"/>
        </w:rPr>
      </w:pPr>
      <w:r w:rsidRPr="00AF722C">
        <w:rPr>
          <w:rFonts w:cstheme="minorHAnsi"/>
          <w:sz w:val="18"/>
          <w:szCs w:val="18"/>
        </w:rPr>
        <w:t>Involving</w:t>
      </w:r>
      <w:r>
        <w:rPr>
          <w:rFonts w:cstheme="minorHAnsi"/>
          <w:sz w:val="18"/>
          <w:szCs w:val="18"/>
        </w:rPr>
        <w:t xml:space="preserve"> women and girls</w:t>
      </w:r>
      <w:r w:rsidRPr="00AF722C">
        <w:rPr>
          <w:rFonts w:cstheme="minorHAnsi"/>
          <w:sz w:val="18"/>
          <w:szCs w:val="18"/>
        </w:rPr>
        <w:t xml:space="preserve"> with disabilities within the design, implementation and monitoring of training.</w:t>
      </w:r>
    </w:p>
  </w:endnote>
  <w:endnote w:id="10">
    <w:p w14:paraId="6C99F117" w14:textId="727BF4FA" w:rsidR="006129F0" w:rsidRPr="00DD35DD" w:rsidRDefault="006129F0" w:rsidP="004C13B4">
      <w:pPr>
        <w:pStyle w:val="EndnoteText"/>
        <w:jc w:val="both"/>
        <w:rPr>
          <w:sz w:val="18"/>
          <w:szCs w:val="18"/>
        </w:rPr>
      </w:pPr>
      <w:r w:rsidRPr="0095779D">
        <w:rPr>
          <w:rStyle w:val="EndnoteReference"/>
          <w:sz w:val="18"/>
          <w:szCs w:val="18"/>
        </w:rPr>
        <w:endnoteRef/>
      </w:r>
      <w:r w:rsidRPr="0095779D">
        <w:rPr>
          <w:sz w:val="18"/>
          <w:szCs w:val="18"/>
        </w:rP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4.3 of the CRPD</w:t>
      </w:r>
      <w:r>
        <w:rPr>
          <w:sz w:val="18"/>
          <w:szCs w:val="18"/>
        </w:rPr>
        <w:t xml:space="preserve"> and </w:t>
      </w:r>
      <w:hyperlink r:id="rId2" w:history="1">
        <w:r w:rsidRPr="00BB3A56">
          <w:rPr>
            <w:rStyle w:val="Hyperlink"/>
            <w:sz w:val="18"/>
            <w:szCs w:val="18"/>
          </w:rPr>
          <w:t>general comment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68C3039A" w14:textId="77777777" w:rsidR="006129F0" w:rsidRPr="00DD35DD" w:rsidRDefault="006129F0" w:rsidP="004C13B4">
      <w:pPr>
        <w:pStyle w:val="EndnoteText"/>
        <w:numPr>
          <w:ilvl w:val="0"/>
          <w:numId w:val="5"/>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1C6E1BB7" w14:textId="77777777" w:rsidR="006129F0" w:rsidRPr="00DD35DD" w:rsidRDefault="006129F0" w:rsidP="004C13B4">
      <w:pPr>
        <w:pStyle w:val="EndnoteText"/>
        <w:numPr>
          <w:ilvl w:val="0"/>
          <w:numId w:val="5"/>
        </w:numPr>
        <w:ind w:left="714" w:hanging="357"/>
        <w:contextualSpacing/>
        <w:rPr>
          <w:sz w:val="18"/>
          <w:szCs w:val="18"/>
        </w:rPr>
      </w:pPr>
      <w:r w:rsidRPr="00DD35DD">
        <w:rPr>
          <w:sz w:val="18"/>
          <w:szCs w:val="18"/>
        </w:rPr>
        <w:t>ensure provision of appropriate and accessible information</w:t>
      </w:r>
      <w:r>
        <w:rPr>
          <w:sz w:val="18"/>
          <w:szCs w:val="18"/>
        </w:rPr>
        <w:t>;</w:t>
      </w:r>
    </w:p>
    <w:p w14:paraId="4729FD1E" w14:textId="77777777" w:rsidR="006129F0" w:rsidRPr="00DD35DD" w:rsidRDefault="006129F0" w:rsidP="004C13B4">
      <w:pPr>
        <w:pStyle w:val="EndnoteText"/>
        <w:numPr>
          <w:ilvl w:val="0"/>
          <w:numId w:val="5"/>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30E0463C" w14:textId="77777777" w:rsidR="006129F0" w:rsidRDefault="006129F0" w:rsidP="004C13B4">
      <w:pPr>
        <w:pStyle w:val="EndnoteText"/>
        <w:numPr>
          <w:ilvl w:val="0"/>
          <w:numId w:val="5"/>
        </w:numPr>
        <w:ind w:left="714" w:hanging="357"/>
        <w:contextualSpacing/>
        <w:rPr>
          <w:sz w:val="18"/>
          <w:szCs w:val="18"/>
        </w:rPr>
      </w:pPr>
      <w:r w:rsidRPr="00DD35DD">
        <w:rPr>
          <w:sz w:val="18"/>
          <w:szCs w:val="18"/>
        </w:rPr>
        <w:t>include both registered and unregistered organ</w:t>
      </w:r>
      <w:r>
        <w:rPr>
          <w:sz w:val="18"/>
          <w:szCs w:val="18"/>
        </w:rPr>
        <w:t>izations;</w:t>
      </w:r>
    </w:p>
    <w:p w14:paraId="26F33993" w14:textId="77777777" w:rsidR="006129F0" w:rsidRDefault="006129F0" w:rsidP="004C13B4">
      <w:pPr>
        <w:pStyle w:val="EndnoteText"/>
        <w:numPr>
          <w:ilvl w:val="0"/>
          <w:numId w:val="5"/>
        </w:numPr>
        <w:ind w:left="714" w:hanging="357"/>
        <w:contextualSpacing/>
        <w:rPr>
          <w:sz w:val="18"/>
          <w:szCs w:val="18"/>
        </w:rPr>
      </w:pPr>
      <w:r w:rsidRPr="00724E08">
        <w:rPr>
          <w:sz w:val="18"/>
          <w:szCs w:val="18"/>
        </w:rPr>
        <w:t>ensure early and continuous involvement;</w:t>
      </w:r>
    </w:p>
    <w:p w14:paraId="5BF484B5" w14:textId="77777777" w:rsidR="006129F0" w:rsidRPr="003C1A36" w:rsidRDefault="006129F0" w:rsidP="003C1A36">
      <w:pPr>
        <w:pStyle w:val="EndnoteText"/>
        <w:numPr>
          <w:ilvl w:val="0"/>
          <w:numId w:val="5"/>
        </w:numPr>
        <w:ind w:left="714" w:hanging="357"/>
        <w:contextualSpacing/>
        <w:rPr>
          <w:sz w:val="18"/>
          <w:szCs w:val="18"/>
        </w:rPr>
      </w:pPr>
      <w:r w:rsidRPr="00724E08">
        <w:rPr>
          <w:rFonts w:cstheme="minorHAnsi"/>
          <w:sz w:val="18"/>
          <w:szCs w:val="18"/>
        </w:rPr>
        <w:t>cover related expenses of participants.</w:t>
      </w:r>
    </w:p>
  </w:endnote>
  <w:endnote w:id="11">
    <w:p w14:paraId="4E93F875" w14:textId="77777777" w:rsidR="006129F0" w:rsidRPr="0095779D" w:rsidRDefault="006129F0" w:rsidP="00B13D49">
      <w:pPr>
        <w:pStyle w:val="EndnoteText"/>
        <w:jc w:val="both"/>
        <w:rPr>
          <w:sz w:val="18"/>
          <w:szCs w:val="18"/>
        </w:rPr>
      </w:pPr>
      <w:r w:rsidRPr="0095779D">
        <w:rPr>
          <w:rStyle w:val="EndnoteReference"/>
          <w:sz w:val="18"/>
          <w:szCs w:val="18"/>
        </w:rPr>
        <w:endnoteRef/>
      </w:r>
      <w:r w:rsidRPr="0095779D">
        <w:rPr>
          <w:sz w:val="18"/>
          <w:szCs w:val="18"/>
        </w:rPr>
        <w:t xml:space="preserve"> For example, this can include</w:t>
      </w:r>
      <w:r>
        <w:rPr>
          <w:sz w:val="18"/>
          <w:szCs w:val="18"/>
        </w:rPr>
        <w:t xml:space="preserve"> positions</w:t>
      </w:r>
      <w:r w:rsidRPr="0095779D">
        <w:rPr>
          <w:sz w:val="18"/>
          <w:szCs w:val="18"/>
        </w:rPr>
        <w:t xml:space="preserve"> within</w:t>
      </w:r>
      <w:r>
        <w:rPr>
          <w:sz w:val="18"/>
          <w:szCs w:val="18"/>
        </w:rPr>
        <w:t xml:space="preserve"> government</w:t>
      </w:r>
      <w:r w:rsidRPr="0095779D">
        <w:rPr>
          <w:sz w:val="18"/>
          <w:szCs w:val="18"/>
        </w:rPr>
        <w:t xml:space="preserve"> ministries at direction level, </w:t>
      </w:r>
      <w:r>
        <w:rPr>
          <w:sz w:val="18"/>
          <w:szCs w:val="18"/>
        </w:rPr>
        <w:t>members of parliament,</w:t>
      </w:r>
      <w:r w:rsidRPr="0095779D">
        <w:rPr>
          <w:sz w:val="18"/>
          <w:szCs w:val="18"/>
        </w:rPr>
        <w:t xml:space="preserve"> </w:t>
      </w:r>
      <w:r>
        <w:rPr>
          <w:sz w:val="18"/>
          <w:szCs w:val="18"/>
        </w:rPr>
        <w:t xml:space="preserve">members of </w:t>
      </w:r>
      <w:r w:rsidRPr="0095779D">
        <w:rPr>
          <w:sz w:val="18"/>
          <w:szCs w:val="18"/>
        </w:rPr>
        <w:t>village</w:t>
      </w:r>
      <w:r>
        <w:rPr>
          <w:sz w:val="18"/>
          <w:szCs w:val="18"/>
        </w:rPr>
        <w:t xml:space="preserve"> or local</w:t>
      </w:r>
      <w:r w:rsidRPr="0095779D">
        <w:rPr>
          <w:sz w:val="18"/>
          <w:szCs w:val="18"/>
        </w:rPr>
        <w:t xml:space="preserve"> councils,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50E79" w14:textId="77777777" w:rsidR="00EA19C6" w:rsidRDefault="00EA19C6" w:rsidP="00260918">
      <w:pPr>
        <w:spacing w:after="0" w:line="240" w:lineRule="auto"/>
      </w:pPr>
      <w:r>
        <w:separator/>
      </w:r>
    </w:p>
  </w:footnote>
  <w:footnote w:type="continuationSeparator" w:id="0">
    <w:p w14:paraId="211534A6" w14:textId="77777777" w:rsidR="00EA19C6" w:rsidRDefault="00EA19C6" w:rsidP="00260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5293A"/>
    <w:multiLevelType w:val="hybridMultilevel"/>
    <w:tmpl w:val="9FC02CF4"/>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0B02FD"/>
    <w:multiLevelType w:val="hybridMultilevel"/>
    <w:tmpl w:val="8BB08102"/>
    <w:lvl w:ilvl="0" w:tplc="0944E616">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153F9"/>
    <w:multiLevelType w:val="hybridMultilevel"/>
    <w:tmpl w:val="F6CC8D86"/>
    <w:lvl w:ilvl="0" w:tplc="219E0EB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14EEC"/>
    <w:multiLevelType w:val="multilevel"/>
    <w:tmpl w:val="E2B61A4C"/>
    <w:lvl w:ilvl="0">
      <w:start w:val="6"/>
      <w:numFmt w:val="decimal"/>
      <w:lvlText w:val="%1"/>
      <w:lvlJc w:val="left"/>
      <w:pPr>
        <w:ind w:left="360" w:hanging="360"/>
      </w:pPr>
      <w:rPr>
        <w:rFonts w:hint="default"/>
      </w:rPr>
    </w:lvl>
    <w:lvl w:ilvl="1">
      <w:start w:val="3"/>
      <w:numFmt w:val="decimal"/>
      <w:lvlText w:val="%1.%2"/>
      <w:lvlJc w:val="left"/>
      <w:pPr>
        <w:ind w:left="501"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234705"/>
    <w:multiLevelType w:val="hybridMultilevel"/>
    <w:tmpl w:val="A11E96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D36385"/>
    <w:multiLevelType w:val="hybridMultilevel"/>
    <w:tmpl w:val="DFF2F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DB69BE"/>
    <w:multiLevelType w:val="hybridMultilevel"/>
    <w:tmpl w:val="DC983A9C"/>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86717B"/>
    <w:multiLevelType w:val="hybridMultilevel"/>
    <w:tmpl w:val="9780931E"/>
    <w:lvl w:ilvl="0" w:tplc="92ECE194">
      <w:start w:val="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083E4F"/>
    <w:multiLevelType w:val="hybridMultilevel"/>
    <w:tmpl w:val="3B22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BE6AE9"/>
    <w:multiLevelType w:val="hybridMultilevel"/>
    <w:tmpl w:val="9496AC7E"/>
    <w:lvl w:ilvl="0" w:tplc="4A9246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9D10F0"/>
    <w:multiLevelType w:val="hybridMultilevel"/>
    <w:tmpl w:val="1A68730A"/>
    <w:lvl w:ilvl="0" w:tplc="9A042DCA">
      <w:start w:val="16"/>
      <w:numFmt w:val="bullet"/>
      <w:lvlText w:val="-"/>
      <w:lvlJc w:val="left"/>
      <w:pPr>
        <w:ind w:left="1080" w:hanging="360"/>
      </w:pPr>
      <w:rPr>
        <w:rFonts w:ascii="Calibri" w:eastAsiaTheme="minorHAnsi" w:hAnsi="Calibri" w:cstheme="minorHAns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A11282D"/>
    <w:multiLevelType w:val="hybridMultilevel"/>
    <w:tmpl w:val="0D54BB38"/>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11"/>
  </w:num>
  <w:num w:numId="5">
    <w:abstractNumId w:val="9"/>
  </w:num>
  <w:num w:numId="6">
    <w:abstractNumId w:val="2"/>
  </w:num>
  <w:num w:numId="7">
    <w:abstractNumId w:val="3"/>
  </w:num>
  <w:num w:numId="8">
    <w:abstractNumId w:val="7"/>
  </w:num>
  <w:num w:numId="9">
    <w:abstractNumId w:val="13"/>
  </w:num>
  <w:num w:numId="10">
    <w:abstractNumId w:val="0"/>
  </w:num>
  <w:num w:numId="11">
    <w:abstractNumId w:val="14"/>
  </w:num>
  <w:num w:numId="12">
    <w:abstractNumId w:val="12"/>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B1"/>
    <w:rsid w:val="00012F62"/>
    <w:rsid w:val="000148FF"/>
    <w:rsid w:val="00036BDD"/>
    <w:rsid w:val="000430B7"/>
    <w:rsid w:val="00050155"/>
    <w:rsid w:val="00055435"/>
    <w:rsid w:val="00063840"/>
    <w:rsid w:val="00066C39"/>
    <w:rsid w:val="00067BE3"/>
    <w:rsid w:val="00074DF7"/>
    <w:rsid w:val="000870A5"/>
    <w:rsid w:val="000966C1"/>
    <w:rsid w:val="000A6D82"/>
    <w:rsid w:val="000B3585"/>
    <w:rsid w:val="000C0792"/>
    <w:rsid w:val="000C1ADA"/>
    <w:rsid w:val="000C4949"/>
    <w:rsid w:val="000D2C76"/>
    <w:rsid w:val="000E61D0"/>
    <w:rsid w:val="000F5D0C"/>
    <w:rsid w:val="00107465"/>
    <w:rsid w:val="001463F1"/>
    <w:rsid w:val="00147A6B"/>
    <w:rsid w:val="001558C3"/>
    <w:rsid w:val="00177D42"/>
    <w:rsid w:val="00196454"/>
    <w:rsid w:val="001C26EF"/>
    <w:rsid w:val="001D57BA"/>
    <w:rsid w:val="001E5D04"/>
    <w:rsid w:val="001E7C5C"/>
    <w:rsid w:val="001F42C6"/>
    <w:rsid w:val="002014C2"/>
    <w:rsid w:val="00204F09"/>
    <w:rsid w:val="00211380"/>
    <w:rsid w:val="002165BE"/>
    <w:rsid w:val="00231002"/>
    <w:rsid w:val="00235B74"/>
    <w:rsid w:val="0024023F"/>
    <w:rsid w:val="00260918"/>
    <w:rsid w:val="002907D6"/>
    <w:rsid w:val="00293A25"/>
    <w:rsid w:val="002A772D"/>
    <w:rsid w:val="002B6ECB"/>
    <w:rsid w:val="002C1CAD"/>
    <w:rsid w:val="002C4604"/>
    <w:rsid w:val="00306924"/>
    <w:rsid w:val="003133C8"/>
    <w:rsid w:val="0031341F"/>
    <w:rsid w:val="00325293"/>
    <w:rsid w:val="0033503F"/>
    <w:rsid w:val="00337E72"/>
    <w:rsid w:val="00341A20"/>
    <w:rsid w:val="00343838"/>
    <w:rsid w:val="003471E1"/>
    <w:rsid w:val="00350536"/>
    <w:rsid w:val="0035090D"/>
    <w:rsid w:val="00353002"/>
    <w:rsid w:val="003619B3"/>
    <w:rsid w:val="00362D80"/>
    <w:rsid w:val="00370FDF"/>
    <w:rsid w:val="003759C9"/>
    <w:rsid w:val="00383B21"/>
    <w:rsid w:val="00385659"/>
    <w:rsid w:val="003979D7"/>
    <w:rsid w:val="003B1E51"/>
    <w:rsid w:val="003B1FB1"/>
    <w:rsid w:val="003C1A36"/>
    <w:rsid w:val="003C764D"/>
    <w:rsid w:val="003F6489"/>
    <w:rsid w:val="00402B9D"/>
    <w:rsid w:val="00405C57"/>
    <w:rsid w:val="00424B1B"/>
    <w:rsid w:val="00442496"/>
    <w:rsid w:val="0045718A"/>
    <w:rsid w:val="00457E79"/>
    <w:rsid w:val="00460602"/>
    <w:rsid w:val="00484A69"/>
    <w:rsid w:val="004A05C8"/>
    <w:rsid w:val="004A4EBA"/>
    <w:rsid w:val="004A525E"/>
    <w:rsid w:val="004B3060"/>
    <w:rsid w:val="004B548C"/>
    <w:rsid w:val="004C13B4"/>
    <w:rsid w:val="004C732E"/>
    <w:rsid w:val="004C73CB"/>
    <w:rsid w:val="004D353F"/>
    <w:rsid w:val="004E7DF9"/>
    <w:rsid w:val="004F0AF3"/>
    <w:rsid w:val="004F1587"/>
    <w:rsid w:val="004F1B1D"/>
    <w:rsid w:val="005106FE"/>
    <w:rsid w:val="00511571"/>
    <w:rsid w:val="0051418E"/>
    <w:rsid w:val="00524BD8"/>
    <w:rsid w:val="005512A3"/>
    <w:rsid w:val="0055724F"/>
    <w:rsid w:val="005728D8"/>
    <w:rsid w:val="005766A1"/>
    <w:rsid w:val="00590E54"/>
    <w:rsid w:val="005B4BD1"/>
    <w:rsid w:val="005B5B21"/>
    <w:rsid w:val="005C2945"/>
    <w:rsid w:val="005D367D"/>
    <w:rsid w:val="005D41E6"/>
    <w:rsid w:val="005D612B"/>
    <w:rsid w:val="006129F0"/>
    <w:rsid w:val="00623332"/>
    <w:rsid w:val="006675F9"/>
    <w:rsid w:val="006803F5"/>
    <w:rsid w:val="0069000A"/>
    <w:rsid w:val="00691CCF"/>
    <w:rsid w:val="00693014"/>
    <w:rsid w:val="006A4C2C"/>
    <w:rsid w:val="006B5CDD"/>
    <w:rsid w:val="006C2EE4"/>
    <w:rsid w:val="006D4713"/>
    <w:rsid w:val="007137DE"/>
    <w:rsid w:val="00731516"/>
    <w:rsid w:val="0073411F"/>
    <w:rsid w:val="007450B8"/>
    <w:rsid w:val="00747E3F"/>
    <w:rsid w:val="0075668C"/>
    <w:rsid w:val="00765C88"/>
    <w:rsid w:val="0077287B"/>
    <w:rsid w:val="00776DED"/>
    <w:rsid w:val="00786018"/>
    <w:rsid w:val="007A21EA"/>
    <w:rsid w:val="007B55FB"/>
    <w:rsid w:val="007B7B52"/>
    <w:rsid w:val="007C4991"/>
    <w:rsid w:val="007C4EA4"/>
    <w:rsid w:val="007C50FC"/>
    <w:rsid w:val="007F5EF1"/>
    <w:rsid w:val="008033D2"/>
    <w:rsid w:val="008042E8"/>
    <w:rsid w:val="00807013"/>
    <w:rsid w:val="008110DD"/>
    <w:rsid w:val="00815DAE"/>
    <w:rsid w:val="00821971"/>
    <w:rsid w:val="00827ED5"/>
    <w:rsid w:val="00832DCB"/>
    <w:rsid w:val="00833CED"/>
    <w:rsid w:val="00843079"/>
    <w:rsid w:val="00844945"/>
    <w:rsid w:val="008473A2"/>
    <w:rsid w:val="0087579F"/>
    <w:rsid w:val="0088412C"/>
    <w:rsid w:val="00886B7F"/>
    <w:rsid w:val="00886D17"/>
    <w:rsid w:val="00890566"/>
    <w:rsid w:val="0089352F"/>
    <w:rsid w:val="008B2C85"/>
    <w:rsid w:val="008B7C11"/>
    <w:rsid w:val="008C18BC"/>
    <w:rsid w:val="00903B20"/>
    <w:rsid w:val="00905C08"/>
    <w:rsid w:val="00906B09"/>
    <w:rsid w:val="00910483"/>
    <w:rsid w:val="0091659B"/>
    <w:rsid w:val="009170CD"/>
    <w:rsid w:val="00921D32"/>
    <w:rsid w:val="0095779D"/>
    <w:rsid w:val="0097134C"/>
    <w:rsid w:val="00972CB7"/>
    <w:rsid w:val="0099444C"/>
    <w:rsid w:val="00994E33"/>
    <w:rsid w:val="009A1CE3"/>
    <w:rsid w:val="009B26EF"/>
    <w:rsid w:val="009E0D03"/>
    <w:rsid w:val="009E48A4"/>
    <w:rsid w:val="009F4AA6"/>
    <w:rsid w:val="009F6E73"/>
    <w:rsid w:val="00A14CAD"/>
    <w:rsid w:val="00A3665E"/>
    <w:rsid w:val="00A46728"/>
    <w:rsid w:val="00A524BA"/>
    <w:rsid w:val="00A53D20"/>
    <w:rsid w:val="00A555DB"/>
    <w:rsid w:val="00A70BA7"/>
    <w:rsid w:val="00A87400"/>
    <w:rsid w:val="00AA18A1"/>
    <w:rsid w:val="00AA51E6"/>
    <w:rsid w:val="00AA6F79"/>
    <w:rsid w:val="00AB1C41"/>
    <w:rsid w:val="00AD2279"/>
    <w:rsid w:val="00AD588F"/>
    <w:rsid w:val="00B10F0A"/>
    <w:rsid w:val="00B13D49"/>
    <w:rsid w:val="00B17E19"/>
    <w:rsid w:val="00B26CC0"/>
    <w:rsid w:val="00B378E3"/>
    <w:rsid w:val="00B62A19"/>
    <w:rsid w:val="00B77BD7"/>
    <w:rsid w:val="00B84C54"/>
    <w:rsid w:val="00B91D07"/>
    <w:rsid w:val="00BA1426"/>
    <w:rsid w:val="00BB3A56"/>
    <w:rsid w:val="00BC35DB"/>
    <w:rsid w:val="00BC6CDD"/>
    <w:rsid w:val="00BD6593"/>
    <w:rsid w:val="00C0195A"/>
    <w:rsid w:val="00C0198A"/>
    <w:rsid w:val="00C045AB"/>
    <w:rsid w:val="00C17B68"/>
    <w:rsid w:val="00C30E1A"/>
    <w:rsid w:val="00C427C3"/>
    <w:rsid w:val="00C52FB2"/>
    <w:rsid w:val="00CA541A"/>
    <w:rsid w:val="00CA7181"/>
    <w:rsid w:val="00CB56B1"/>
    <w:rsid w:val="00CB62C2"/>
    <w:rsid w:val="00CC0B14"/>
    <w:rsid w:val="00CD00E0"/>
    <w:rsid w:val="00CD7496"/>
    <w:rsid w:val="00D03C7A"/>
    <w:rsid w:val="00D1188D"/>
    <w:rsid w:val="00D277DA"/>
    <w:rsid w:val="00D2794B"/>
    <w:rsid w:val="00D32213"/>
    <w:rsid w:val="00D37179"/>
    <w:rsid w:val="00D6469B"/>
    <w:rsid w:val="00D77A80"/>
    <w:rsid w:val="00D77BAC"/>
    <w:rsid w:val="00DC0466"/>
    <w:rsid w:val="00DC16CA"/>
    <w:rsid w:val="00DD2500"/>
    <w:rsid w:val="00E0345F"/>
    <w:rsid w:val="00E5370D"/>
    <w:rsid w:val="00E67CDC"/>
    <w:rsid w:val="00E72B46"/>
    <w:rsid w:val="00E9280A"/>
    <w:rsid w:val="00E97D21"/>
    <w:rsid w:val="00EA19C6"/>
    <w:rsid w:val="00EB2F03"/>
    <w:rsid w:val="00EB673C"/>
    <w:rsid w:val="00EC21CD"/>
    <w:rsid w:val="00ED0030"/>
    <w:rsid w:val="00ED201B"/>
    <w:rsid w:val="00ED3D69"/>
    <w:rsid w:val="00EF2719"/>
    <w:rsid w:val="00F205C0"/>
    <w:rsid w:val="00F216D2"/>
    <w:rsid w:val="00F23565"/>
    <w:rsid w:val="00F238CA"/>
    <w:rsid w:val="00F25B8A"/>
    <w:rsid w:val="00F268FF"/>
    <w:rsid w:val="00F272FF"/>
    <w:rsid w:val="00F3576D"/>
    <w:rsid w:val="00F3758A"/>
    <w:rsid w:val="00F37F10"/>
    <w:rsid w:val="00F51AC9"/>
    <w:rsid w:val="00F63625"/>
    <w:rsid w:val="00F63784"/>
    <w:rsid w:val="00F9656F"/>
    <w:rsid w:val="00FA1107"/>
    <w:rsid w:val="00FA17CE"/>
    <w:rsid w:val="00FA1824"/>
    <w:rsid w:val="00FA7E20"/>
    <w:rsid w:val="00FC400B"/>
    <w:rsid w:val="00FD1FB4"/>
    <w:rsid w:val="00FF369E"/>
    <w:rsid w:val="00FF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DBF67"/>
  <w14:defaultImageDpi w14:val="32767"/>
  <w15:chartTrackingRefBased/>
  <w15:docId w15:val="{78408024-FE89-F346-9067-027EDDF5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B1"/>
    <w:pPr>
      <w:spacing w:after="200" w:line="276" w:lineRule="auto"/>
    </w:pPr>
    <w:rPr>
      <w:sz w:val="22"/>
      <w:szCs w:val="22"/>
      <w:lang w:val="en-GB"/>
    </w:rPr>
  </w:style>
  <w:style w:type="paragraph" w:styleId="Heading1">
    <w:name w:val="heading 1"/>
    <w:basedOn w:val="Normal"/>
    <w:next w:val="Normal"/>
    <w:link w:val="Heading1Char"/>
    <w:uiPriority w:val="9"/>
    <w:qFormat/>
    <w:rsid w:val="00815DAE"/>
    <w:pPr>
      <w:spacing w:before="120" w:after="120" w:line="240" w:lineRule="auto"/>
      <w:jc w:val="center"/>
      <w:outlineLvl w:val="0"/>
    </w:pPr>
    <w:rPr>
      <w:b/>
      <w:sz w:val="18"/>
      <w:szCs w:val="18"/>
    </w:rPr>
  </w:style>
  <w:style w:type="paragraph" w:styleId="Heading2">
    <w:name w:val="heading 2"/>
    <w:basedOn w:val="ListParagraph"/>
    <w:next w:val="Normal"/>
    <w:link w:val="Heading2Char"/>
    <w:uiPriority w:val="9"/>
    <w:unhideWhenUsed/>
    <w:qFormat/>
    <w:rsid w:val="00815DAE"/>
    <w:pPr>
      <w:spacing w:after="0" w:line="240" w:lineRule="auto"/>
      <w:ind w:left="0"/>
      <w:outlineLvl w:val="1"/>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75668C"/>
  </w:style>
  <w:style w:type="paragraph" w:styleId="FootnoteText">
    <w:name w:val="footnote text"/>
    <w:aliases w:val="5_G"/>
    <w:basedOn w:val="Normal"/>
    <w:link w:val="FootnoteTextChar"/>
    <w:rsid w:val="00260918"/>
    <w:pPr>
      <w:tabs>
        <w:tab w:val="right" w:pos="1021"/>
      </w:tabs>
      <w:suppressAutoHyphens/>
      <w:spacing w:after="0" w:line="220" w:lineRule="exact"/>
      <w:ind w:left="1134" w:right="1134" w:hanging="1134"/>
    </w:pPr>
    <w:rPr>
      <w:rFonts w:ascii="Times New Roman" w:eastAsia="SimSun" w:hAnsi="Times New Roman" w:cs="Times New Roman"/>
      <w:sz w:val="18"/>
      <w:szCs w:val="20"/>
      <w:lang w:eastAsia="zh-CN"/>
    </w:rPr>
  </w:style>
  <w:style w:type="character" w:customStyle="1" w:styleId="FootnoteTextChar">
    <w:name w:val="Footnote Text Char"/>
    <w:aliases w:val="5_G Char"/>
    <w:basedOn w:val="DefaultParagraphFont"/>
    <w:link w:val="FootnoteText"/>
    <w:rsid w:val="00260918"/>
    <w:rPr>
      <w:rFonts w:ascii="Times New Roman" w:eastAsia="SimSun" w:hAnsi="Times New Roman" w:cs="Times New Roman"/>
      <w:sz w:val="18"/>
      <w:szCs w:val="20"/>
      <w:lang w:val="en-GB" w:eastAsia="zh-CN"/>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
    <w:link w:val="4GCharCharChar"/>
    <w:uiPriority w:val="99"/>
    <w:rsid w:val="00260918"/>
    <w:rPr>
      <w:rFonts w:ascii="Times New Roman" w:hAnsi="Times New Roman"/>
      <w:sz w:val="18"/>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60918"/>
    <w:pPr>
      <w:spacing w:after="160" w:line="240" w:lineRule="exact"/>
      <w:jc w:val="both"/>
    </w:pPr>
    <w:rPr>
      <w:rFonts w:ascii="Times New Roman" w:hAnsi="Times New Roman"/>
      <w:sz w:val="18"/>
      <w:szCs w:val="24"/>
      <w:vertAlign w:val="superscript"/>
      <w:lang w:val="en-US"/>
    </w:rPr>
  </w:style>
  <w:style w:type="character" w:styleId="Hyperlink">
    <w:name w:val="Hyperlink"/>
    <w:basedOn w:val="DefaultParagraphFont"/>
    <w:uiPriority w:val="99"/>
    <w:unhideWhenUsed/>
    <w:rsid w:val="00EB2F03"/>
    <w:rPr>
      <w:color w:val="0563C1" w:themeColor="hyperlink"/>
      <w:u w:val="single"/>
    </w:rPr>
  </w:style>
  <w:style w:type="character" w:styleId="CommentReference">
    <w:name w:val="annotation reference"/>
    <w:basedOn w:val="DefaultParagraphFont"/>
    <w:uiPriority w:val="99"/>
    <w:semiHidden/>
    <w:unhideWhenUsed/>
    <w:rsid w:val="0035090D"/>
    <w:rPr>
      <w:sz w:val="16"/>
      <w:szCs w:val="16"/>
    </w:rPr>
  </w:style>
  <w:style w:type="paragraph" w:styleId="CommentText">
    <w:name w:val="annotation text"/>
    <w:basedOn w:val="Normal"/>
    <w:link w:val="CommentTextChar"/>
    <w:uiPriority w:val="99"/>
    <w:unhideWhenUsed/>
    <w:rsid w:val="0035090D"/>
    <w:pPr>
      <w:spacing w:line="240" w:lineRule="auto"/>
    </w:pPr>
    <w:rPr>
      <w:sz w:val="20"/>
      <w:szCs w:val="20"/>
    </w:rPr>
  </w:style>
  <w:style w:type="character" w:customStyle="1" w:styleId="CommentTextChar">
    <w:name w:val="Comment Text Char"/>
    <w:basedOn w:val="DefaultParagraphFont"/>
    <w:link w:val="CommentText"/>
    <w:uiPriority w:val="99"/>
    <w:rsid w:val="0035090D"/>
    <w:rPr>
      <w:sz w:val="20"/>
      <w:szCs w:val="20"/>
      <w:lang w:val="en-GB"/>
    </w:rPr>
  </w:style>
  <w:style w:type="paragraph" w:styleId="CommentSubject">
    <w:name w:val="annotation subject"/>
    <w:basedOn w:val="CommentText"/>
    <w:next w:val="CommentText"/>
    <w:link w:val="CommentSubjectChar"/>
    <w:uiPriority w:val="99"/>
    <w:semiHidden/>
    <w:unhideWhenUsed/>
    <w:rsid w:val="0035090D"/>
    <w:rPr>
      <w:b/>
      <w:bCs/>
    </w:rPr>
  </w:style>
  <w:style w:type="character" w:customStyle="1" w:styleId="CommentSubjectChar">
    <w:name w:val="Comment Subject Char"/>
    <w:basedOn w:val="CommentTextChar"/>
    <w:link w:val="CommentSubject"/>
    <w:uiPriority w:val="99"/>
    <w:semiHidden/>
    <w:rsid w:val="0035090D"/>
    <w:rPr>
      <w:b/>
      <w:bCs/>
      <w:sz w:val="20"/>
      <w:szCs w:val="20"/>
      <w:lang w:val="en-GB"/>
    </w:rPr>
  </w:style>
  <w:style w:type="paragraph" w:styleId="BalloonText">
    <w:name w:val="Balloon Text"/>
    <w:basedOn w:val="Normal"/>
    <w:link w:val="BalloonTextChar"/>
    <w:uiPriority w:val="99"/>
    <w:semiHidden/>
    <w:unhideWhenUsed/>
    <w:rsid w:val="00350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90D"/>
    <w:rPr>
      <w:rFonts w:ascii="Segoe UI" w:hAnsi="Segoe UI" w:cs="Segoe UI"/>
      <w:sz w:val="18"/>
      <w:szCs w:val="18"/>
      <w:lang w:val="en-GB"/>
    </w:rPr>
  </w:style>
  <w:style w:type="paragraph" w:styleId="EndnoteText">
    <w:name w:val="endnote text"/>
    <w:basedOn w:val="Normal"/>
    <w:link w:val="EndnoteTextChar"/>
    <w:uiPriority w:val="99"/>
    <w:unhideWhenUsed/>
    <w:rsid w:val="00821971"/>
    <w:pPr>
      <w:spacing w:after="0" w:line="240" w:lineRule="auto"/>
    </w:pPr>
    <w:rPr>
      <w:sz w:val="20"/>
      <w:szCs w:val="20"/>
    </w:rPr>
  </w:style>
  <w:style w:type="character" w:customStyle="1" w:styleId="EndnoteTextChar">
    <w:name w:val="Endnote Text Char"/>
    <w:basedOn w:val="DefaultParagraphFont"/>
    <w:link w:val="EndnoteText"/>
    <w:uiPriority w:val="99"/>
    <w:rsid w:val="00821971"/>
    <w:rPr>
      <w:sz w:val="20"/>
      <w:szCs w:val="20"/>
      <w:lang w:val="en-GB"/>
    </w:rPr>
  </w:style>
  <w:style w:type="character" w:styleId="EndnoteReference">
    <w:name w:val="endnote reference"/>
    <w:basedOn w:val="DefaultParagraphFont"/>
    <w:uiPriority w:val="99"/>
    <w:unhideWhenUsed/>
    <w:rsid w:val="00821971"/>
    <w:rPr>
      <w:vertAlign w:val="superscript"/>
    </w:rPr>
  </w:style>
  <w:style w:type="paragraph" w:styleId="Revision">
    <w:name w:val="Revision"/>
    <w:hidden/>
    <w:uiPriority w:val="99"/>
    <w:semiHidden/>
    <w:rsid w:val="00405C57"/>
    <w:rPr>
      <w:sz w:val="22"/>
      <w:szCs w:val="22"/>
      <w:lang w:val="en-GB"/>
    </w:rPr>
  </w:style>
  <w:style w:type="paragraph" w:styleId="NormalWeb">
    <w:name w:val="Normal (Web)"/>
    <w:basedOn w:val="Normal"/>
    <w:uiPriority w:val="99"/>
    <w:semiHidden/>
    <w:unhideWhenUsed/>
    <w:rsid w:val="00972CB7"/>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97D21"/>
    <w:rPr>
      <w:color w:val="954F72" w:themeColor="followedHyperlink"/>
      <w:u w:val="single"/>
    </w:rPr>
  </w:style>
  <w:style w:type="paragraph" w:customStyle="1" w:styleId="Default">
    <w:name w:val="Default"/>
    <w:rsid w:val="00921D32"/>
    <w:pPr>
      <w:autoSpaceDE w:val="0"/>
      <w:autoSpaceDN w:val="0"/>
      <w:adjustRightInd w:val="0"/>
    </w:pPr>
    <w:rPr>
      <w:rFonts w:ascii="Calibri" w:hAnsi="Calibri" w:cs="Calibri"/>
      <w:color w:val="000000"/>
      <w:lang w:val="en-GB"/>
    </w:rPr>
  </w:style>
  <w:style w:type="character" w:customStyle="1" w:styleId="Mentionnonrsolue1">
    <w:name w:val="Mention non résolue1"/>
    <w:basedOn w:val="DefaultParagraphFont"/>
    <w:uiPriority w:val="99"/>
    <w:semiHidden/>
    <w:unhideWhenUsed/>
    <w:rsid w:val="00BB3A56"/>
    <w:rPr>
      <w:color w:val="605E5C"/>
      <w:shd w:val="clear" w:color="auto" w:fill="E1DFDD"/>
    </w:rPr>
  </w:style>
  <w:style w:type="character" w:customStyle="1" w:styleId="Heading1Char">
    <w:name w:val="Heading 1 Char"/>
    <w:basedOn w:val="DefaultParagraphFont"/>
    <w:link w:val="Heading1"/>
    <w:uiPriority w:val="9"/>
    <w:rsid w:val="00815DAE"/>
    <w:rPr>
      <w:b/>
      <w:sz w:val="18"/>
      <w:szCs w:val="18"/>
      <w:lang w:val="en-GB"/>
    </w:rPr>
  </w:style>
  <w:style w:type="character" w:customStyle="1" w:styleId="Heading2Char">
    <w:name w:val="Heading 2 Char"/>
    <w:basedOn w:val="DefaultParagraphFont"/>
    <w:link w:val="Heading2"/>
    <w:uiPriority w:val="9"/>
    <w:rsid w:val="00815DAE"/>
    <w:rPr>
      <w:rFonts w:cs="Arial"/>
      <w:b/>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300391">
      <w:bodyDiv w:val="1"/>
      <w:marLeft w:val="0"/>
      <w:marRight w:val="0"/>
      <w:marTop w:val="0"/>
      <w:marBottom w:val="0"/>
      <w:divBdr>
        <w:top w:val="none" w:sz="0" w:space="0" w:color="auto"/>
        <w:left w:val="none" w:sz="0" w:space="0" w:color="auto"/>
        <w:bottom w:val="none" w:sz="0" w:space="0" w:color="auto"/>
        <w:right w:val="none" w:sz="0" w:space="0" w:color="auto"/>
      </w:divBdr>
      <w:divsChild>
        <w:div w:id="1255741712">
          <w:marLeft w:val="0"/>
          <w:marRight w:val="0"/>
          <w:marTop w:val="0"/>
          <w:marBottom w:val="0"/>
          <w:divBdr>
            <w:top w:val="none" w:sz="0" w:space="0" w:color="auto"/>
            <w:left w:val="none" w:sz="0" w:space="0" w:color="auto"/>
            <w:bottom w:val="none" w:sz="0" w:space="0" w:color="auto"/>
            <w:right w:val="none" w:sz="0" w:space="0" w:color="auto"/>
          </w:divBdr>
        </w:div>
      </w:divsChild>
    </w:div>
    <w:div w:id="157623124">
      <w:bodyDiv w:val="1"/>
      <w:marLeft w:val="0"/>
      <w:marRight w:val="0"/>
      <w:marTop w:val="0"/>
      <w:marBottom w:val="0"/>
      <w:divBdr>
        <w:top w:val="none" w:sz="0" w:space="0" w:color="auto"/>
        <w:left w:val="none" w:sz="0" w:space="0" w:color="auto"/>
        <w:bottom w:val="none" w:sz="0" w:space="0" w:color="auto"/>
        <w:right w:val="none" w:sz="0" w:space="0" w:color="auto"/>
      </w:divBdr>
      <w:divsChild>
        <w:div w:id="646009829">
          <w:marLeft w:val="0"/>
          <w:marRight w:val="150"/>
          <w:marTop w:val="0"/>
          <w:marBottom w:val="0"/>
          <w:divBdr>
            <w:top w:val="none" w:sz="0" w:space="0" w:color="auto"/>
            <w:left w:val="none" w:sz="0" w:space="0" w:color="auto"/>
            <w:bottom w:val="none" w:sz="0" w:space="0" w:color="auto"/>
            <w:right w:val="none" w:sz="0" w:space="0" w:color="auto"/>
          </w:divBdr>
          <w:divsChild>
            <w:div w:id="2067413027">
              <w:marLeft w:val="0"/>
              <w:marRight w:val="0"/>
              <w:marTop w:val="0"/>
              <w:marBottom w:val="0"/>
              <w:divBdr>
                <w:top w:val="none" w:sz="0" w:space="0" w:color="auto"/>
                <w:left w:val="none" w:sz="0" w:space="0" w:color="auto"/>
                <w:bottom w:val="none" w:sz="0" w:space="0" w:color="auto"/>
                <w:right w:val="none" w:sz="0" w:space="0" w:color="auto"/>
              </w:divBdr>
            </w:div>
          </w:divsChild>
        </w:div>
        <w:div w:id="109475345">
          <w:marLeft w:val="0"/>
          <w:marRight w:val="0"/>
          <w:marTop w:val="0"/>
          <w:marBottom w:val="0"/>
          <w:divBdr>
            <w:top w:val="none" w:sz="0" w:space="0" w:color="auto"/>
            <w:left w:val="none" w:sz="0" w:space="0" w:color="auto"/>
            <w:bottom w:val="none" w:sz="0" w:space="0" w:color="auto"/>
            <w:right w:val="none" w:sz="0" w:space="0" w:color="auto"/>
          </w:divBdr>
        </w:div>
      </w:divsChild>
    </w:div>
    <w:div w:id="286011758">
      <w:bodyDiv w:val="1"/>
      <w:marLeft w:val="0"/>
      <w:marRight w:val="0"/>
      <w:marTop w:val="0"/>
      <w:marBottom w:val="0"/>
      <w:divBdr>
        <w:top w:val="none" w:sz="0" w:space="0" w:color="auto"/>
        <w:left w:val="none" w:sz="0" w:space="0" w:color="auto"/>
        <w:bottom w:val="none" w:sz="0" w:space="0" w:color="auto"/>
        <w:right w:val="none" w:sz="0" w:space="0" w:color="auto"/>
      </w:divBdr>
      <w:divsChild>
        <w:div w:id="1400517109">
          <w:marLeft w:val="0"/>
          <w:marRight w:val="0"/>
          <w:marTop w:val="0"/>
          <w:marBottom w:val="0"/>
          <w:divBdr>
            <w:top w:val="none" w:sz="0" w:space="0" w:color="auto"/>
            <w:left w:val="none" w:sz="0" w:space="0" w:color="auto"/>
            <w:bottom w:val="none" w:sz="0" w:space="0" w:color="auto"/>
            <w:right w:val="none" w:sz="0" w:space="0" w:color="auto"/>
          </w:divBdr>
          <w:divsChild>
            <w:div w:id="874931526">
              <w:marLeft w:val="0"/>
              <w:marRight w:val="0"/>
              <w:marTop w:val="0"/>
              <w:marBottom w:val="0"/>
              <w:divBdr>
                <w:top w:val="none" w:sz="0" w:space="0" w:color="auto"/>
                <w:left w:val="none" w:sz="0" w:space="0" w:color="auto"/>
                <w:bottom w:val="none" w:sz="0" w:space="0" w:color="auto"/>
                <w:right w:val="none" w:sz="0" w:space="0" w:color="auto"/>
              </w:divBdr>
              <w:divsChild>
                <w:div w:id="17034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00203">
      <w:bodyDiv w:val="1"/>
      <w:marLeft w:val="0"/>
      <w:marRight w:val="0"/>
      <w:marTop w:val="0"/>
      <w:marBottom w:val="0"/>
      <w:divBdr>
        <w:top w:val="none" w:sz="0" w:space="0" w:color="auto"/>
        <w:left w:val="none" w:sz="0" w:space="0" w:color="auto"/>
        <w:bottom w:val="none" w:sz="0" w:space="0" w:color="auto"/>
        <w:right w:val="none" w:sz="0" w:space="0" w:color="auto"/>
      </w:divBdr>
      <w:divsChild>
        <w:div w:id="1660158797">
          <w:marLeft w:val="0"/>
          <w:marRight w:val="0"/>
          <w:marTop w:val="0"/>
          <w:marBottom w:val="0"/>
          <w:divBdr>
            <w:top w:val="none" w:sz="0" w:space="0" w:color="auto"/>
            <w:left w:val="none" w:sz="0" w:space="0" w:color="auto"/>
            <w:bottom w:val="none" w:sz="0" w:space="0" w:color="auto"/>
            <w:right w:val="none" w:sz="0" w:space="0" w:color="auto"/>
          </w:divBdr>
        </w:div>
        <w:div w:id="609510276">
          <w:marLeft w:val="0"/>
          <w:marRight w:val="0"/>
          <w:marTop w:val="0"/>
          <w:marBottom w:val="0"/>
          <w:divBdr>
            <w:top w:val="none" w:sz="0" w:space="0" w:color="auto"/>
            <w:left w:val="none" w:sz="0" w:space="0" w:color="auto"/>
            <w:bottom w:val="none" w:sz="0" w:space="0" w:color="auto"/>
            <w:right w:val="none" w:sz="0" w:space="0" w:color="auto"/>
          </w:divBdr>
        </w:div>
        <w:div w:id="1688869225">
          <w:marLeft w:val="0"/>
          <w:marRight w:val="0"/>
          <w:marTop w:val="0"/>
          <w:marBottom w:val="0"/>
          <w:divBdr>
            <w:top w:val="none" w:sz="0" w:space="0" w:color="auto"/>
            <w:left w:val="none" w:sz="0" w:space="0" w:color="auto"/>
            <w:bottom w:val="none" w:sz="0" w:space="0" w:color="auto"/>
            <w:right w:val="none" w:sz="0" w:space="0" w:color="auto"/>
          </w:divBdr>
        </w:div>
        <w:div w:id="1612473538">
          <w:marLeft w:val="0"/>
          <w:marRight w:val="0"/>
          <w:marTop w:val="0"/>
          <w:marBottom w:val="0"/>
          <w:divBdr>
            <w:top w:val="none" w:sz="0" w:space="0" w:color="auto"/>
            <w:left w:val="none" w:sz="0" w:space="0" w:color="auto"/>
            <w:bottom w:val="none" w:sz="0" w:space="0" w:color="auto"/>
            <w:right w:val="none" w:sz="0" w:space="0" w:color="auto"/>
          </w:divBdr>
        </w:div>
      </w:divsChild>
    </w:div>
    <w:div w:id="408574825">
      <w:bodyDiv w:val="1"/>
      <w:marLeft w:val="0"/>
      <w:marRight w:val="0"/>
      <w:marTop w:val="0"/>
      <w:marBottom w:val="0"/>
      <w:divBdr>
        <w:top w:val="none" w:sz="0" w:space="0" w:color="auto"/>
        <w:left w:val="none" w:sz="0" w:space="0" w:color="auto"/>
        <w:bottom w:val="none" w:sz="0" w:space="0" w:color="auto"/>
        <w:right w:val="none" w:sz="0" w:space="0" w:color="auto"/>
      </w:divBdr>
      <w:divsChild>
        <w:div w:id="150100962">
          <w:marLeft w:val="0"/>
          <w:marRight w:val="0"/>
          <w:marTop w:val="0"/>
          <w:marBottom w:val="0"/>
          <w:divBdr>
            <w:top w:val="none" w:sz="0" w:space="0" w:color="auto"/>
            <w:left w:val="none" w:sz="0" w:space="0" w:color="auto"/>
            <w:bottom w:val="dotted" w:sz="6" w:space="2" w:color="CCCCCC"/>
            <w:right w:val="none" w:sz="0" w:space="0" w:color="auto"/>
          </w:divBdr>
          <w:divsChild>
            <w:div w:id="1302075074">
              <w:marLeft w:val="0"/>
              <w:marRight w:val="150"/>
              <w:marTop w:val="0"/>
              <w:marBottom w:val="0"/>
              <w:divBdr>
                <w:top w:val="none" w:sz="0" w:space="0" w:color="auto"/>
                <w:left w:val="none" w:sz="0" w:space="0" w:color="auto"/>
                <w:bottom w:val="none" w:sz="0" w:space="0" w:color="auto"/>
                <w:right w:val="none" w:sz="0" w:space="0" w:color="auto"/>
              </w:divBdr>
              <w:divsChild>
                <w:div w:id="309990123">
                  <w:marLeft w:val="0"/>
                  <w:marRight w:val="0"/>
                  <w:marTop w:val="0"/>
                  <w:marBottom w:val="0"/>
                  <w:divBdr>
                    <w:top w:val="none" w:sz="0" w:space="0" w:color="auto"/>
                    <w:left w:val="none" w:sz="0" w:space="0" w:color="auto"/>
                    <w:bottom w:val="none" w:sz="0" w:space="0" w:color="auto"/>
                    <w:right w:val="none" w:sz="0" w:space="0" w:color="auto"/>
                  </w:divBdr>
                </w:div>
              </w:divsChild>
            </w:div>
            <w:div w:id="76619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1940">
      <w:bodyDiv w:val="1"/>
      <w:marLeft w:val="0"/>
      <w:marRight w:val="0"/>
      <w:marTop w:val="0"/>
      <w:marBottom w:val="0"/>
      <w:divBdr>
        <w:top w:val="none" w:sz="0" w:space="0" w:color="auto"/>
        <w:left w:val="none" w:sz="0" w:space="0" w:color="auto"/>
        <w:bottom w:val="none" w:sz="0" w:space="0" w:color="auto"/>
        <w:right w:val="none" w:sz="0" w:space="0" w:color="auto"/>
      </w:divBdr>
      <w:divsChild>
        <w:div w:id="671878292">
          <w:marLeft w:val="0"/>
          <w:marRight w:val="150"/>
          <w:marTop w:val="0"/>
          <w:marBottom w:val="0"/>
          <w:divBdr>
            <w:top w:val="none" w:sz="0" w:space="0" w:color="auto"/>
            <w:left w:val="none" w:sz="0" w:space="0" w:color="auto"/>
            <w:bottom w:val="none" w:sz="0" w:space="0" w:color="auto"/>
            <w:right w:val="none" w:sz="0" w:space="0" w:color="auto"/>
          </w:divBdr>
          <w:divsChild>
            <w:div w:id="97071195">
              <w:marLeft w:val="0"/>
              <w:marRight w:val="0"/>
              <w:marTop w:val="0"/>
              <w:marBottom w:val="0"/>
              <w:divBdr>
                <w:top w:val="none" w:sz="0" w:space="0" w:color="auto"/>
                <w:left w:val="none" w:sz="0" w:space="0" w:color="auto"/>
                <w:bottom w:val="none" w:sz="0" w:space="0" w:color="auto"/>
                <w:right w:val="none" w:sz="0" w:space="0" w:color="auto"/>
              </w:divBdr>
            </w:div>
          </w:divsChild>
        </w:div>
        <w:div w:id="83765852">
          <w:marLeft w:val="0"/>
          <w:marRight w:val="0"/>
          <w:marTop w:val="0"/>
          <w:marBottom w:val="0"/>
          <w:divBdr>
            <w:top w:val="none" w:sz="0" w:space="0" w:color="auto"/>
            <w:left w:val="none" w:sz="0" w:space="0" w:color="auto"/>
            <w:bottom w:val="none" w:sz="0" w:space="0" w:color="auto"/>
            <w:right w:val="none" w:sz="0" w:space="0" w:color="auto"/>
          </w:divBdr>
        </w:div>
      </w:divsChild>
    </w:div>
    <w:div w:id="1398674193">
      <w:bodyDiv w:val="1"/>
      <w:marLeft w:val="0"/>
      <w:marRight w:val="0"/>
      <w:marTop w:val="0"/>
      <w:marBottom w:val="0"/>
      <w:divBdr>
        <w:top w:val="none" w:sz="0" w:space="0" w:color="auto"/>
        <w:left w:val="none" w:sz="0" w:space="0" w:color="auto"/>
        <w:bottom w:val="none" w:sz="0" w:space="0" w:color="auto"/>
        <w:right w:val="none" w:sz="0" w:space="0" w:color="auto"/>
      </w:divBdr>
      <w:divsChild>
        <w:div w:id="1208564069">
          <w:marLeft w:val="0"/>
          <w:marRight w:val="0"/>
          <w:marTop w:val="0"/>
          <w:marBottom w:val="0"/>
          <w:divBdr>
            <w:top w:val="none" w:sz="0" w:space="0" w:color="auto"/>
            <w:left w:val="none" w:sz="0" w:space="0" w:color="auto"/>
            <w:bottom w:val="none" w:sz="0" w:space="0" w:color="auto"/>
            <w:right w:val="none" w:sz="0" w:space="0" w:color="auto"/>
          </w:divBdr>
        </w:div>
        <w:div w:id="2136243793">
          <w:marLeft w:val="0"/>
          <w:marRight w:val="0"/>
          <w:marTop w:val="0"/>
          <w:marBottom w:val="0"/>
          <w:divBdr>
            <w:top w:val="none" w:sz="0" w:space="0" w:color="auto"/>
            <w:left w:val="none" w:sz="0" w:space="0" w:color="auto"/>
            <w:bottom w:val="none" w:sz="0" w:space="0" w:color="auto"/>
            <w:right w:val="none" w:sz="0" w:space="0" w:color="auto"/>
          </w:divBdr>
        </w:div>
        <w:div w:id="285896052">
          <w:marLeft w:val="0"/>
          <w:marRight w:val="0"/>
          <w:marTop w:val="0"/>
          <w:marBottom w:val="0"/>
          <w:divBdr>
            <w:top w:val="none" w:sz="0" w:space="0" w:color="auto"/>
            <w:left w:val="none" w:sz="0" w:space="0" w:color="auto"/>
            <w:bottom w:val="none" w:sz="0" w:space="0" w:color="auto"/>
            <w:right w:val="none" w:sz="0" w:space="0" w:color="auto"/>
          </w:divBdr>
        </w:div>
        <w:div w:id="766732761">
          <w:marLeft w:val="0"/>
          <w:marRight w:val="0"/>
          <w:marTop w:val="0"/>
          <w:marBottom w:val="0"/>
          <w:divBdr>
            <w:top w:val="none" w:sz="0" w:space="0" w:color="auto"/>
            <w:left w:val="none" w:sz="0" w:space="0" w:color="auto"/>
            <w:bottom w:val="none" w:sz="0" w:space="0" w:color="auto"/>
            <w:right w:val="none" w:sz="0" w:space="0" w:color="auto"/>
          </w:divBdr>
        </w:div>
        <w:div w:id="1563828095">
          <w:marLeft w:val="0"/>
          <w:marRight w:val="0"/>
          <w:marTop w:val="0"/>
          <w:marBottom w:val="0"/>
          <w:divBdr>
            <w:top w:val="none" w:sz="0" w:space="0" w:color="auto"/>
            <w:left w:val="none" w:sz="0" w:space="0" w:color="auto"/>
            <w:bottom w:val="none" w:sz="0" w:space="0" w:color="auto"/>
            <w:right w:val="none" w:sz="0" w:space="0" w:color="auto"/>
          </w:divBdr>
        </w:div>
        <w:div w:id="1474375203">
          <w:marLeft w:val="0"/>
          <w:marRight w:val="0"/>
          <w:marTop w:val="0"/>
          <w:marBottom w:val="0"/>
          <w:divBdr>
            <w:top w:val="none" w:sz="0" w:space="0" w:color="auto"/>
            <w:left w:val="none" w:sz="0" w:space="0" w:color="auto"/>
            <w:bottom w:val="none" w:sz="0" w:space="0" w:color="auto"/>
            <w:right w:val="none" w:sz="0" w:space="0" w:color="auto"/>
          </w:divBdr>
        </w:div>
        <w:div w:id="208955932">
          <w:marLeft w:val="0"/>
          <w:marRight w:val="0"/>
          <w:marTop w:val="0"/>
          <w:marBottom w:val="0"/>
          <w:divBdr>
            <w:top w:val="none" w:sz="0" w:space="0" w:color="auto"/>
            <w:left w:val="none" w:sz="0" w:space="0" w:color="auto"/>
            <w:bottom w:val="none" w:sz="0" w:space="0" w:color="auto"/>
            <w:right w:val="none" w:sz="0" w:space="0" w:color="auto"/>
          </w:divBdr>
        </w:div>
        <w:div w:id="1406799508">
          <w:marLeft w:val="0"/>
          <w:marRight w:val="0"/>
          <w:marTop w:val="0"/>
          <w:marBottom w:val="0"/>
          <w:divBdr>
            <w:top w:val="none" w:sz="0" w:space="0" w:color="auto"/>
            <w:left w:val="none" w:sz="0" w:space="0" w:color="auto"/>
            <w:bottom w:val="none" w:sz="0" w:space="0" w:color="auto"/>
            <w:right w:val="none" w:sz="0" w:space="0" w:color="auto"/>
          </w:divBdr>
        </w:div>
        <w:div w:id="1065488493">
          <w:marLeft w:val="0"/>
          <w:marRight w:val="0"/>
          <w:marTop w:val="0"/>
          <w:marBottom w:val="0"/>
          <w:divBdr>
            <w:top w:val="none" w:sz="0" w:space="0" w:color="auto"/>
            <w:left w:val="none" w:sz="0" w:space="0" w:color="auto"/>
            <w:bottom w:val="none" w:sz="0" w:space="0" w:color="auto"/>
            <w:right w:val="none" w:sz="0" w:space="0" w:color="auto"/>
          </w:divBdr>
        </w:div>
        <w:div w:id="794324250">
          <w:marLeft w:val="0"/>
          <w:marRight w:val="0"/>
          <w:marTop w:val="0"/>
          <w:marBottom w:val="0"/>
          <w:divBdr>
            <w:top w:val="none" w:sz="0" w:space="0" w:color="auto"/>
            <w:left w:val="none" w:sz="0" w:space="0" w:color="auto"/>
            <w:bottom w:val="none" w:sz="0" w:space="0" w:color="auto"/>
            <w:right w:val="none" w:sz="0" w:space="0" w:color="auto"/>
          </w:divBdr>
        </w:div>
        <w:div w:id="407503084">
          <w:marLeft w:val="0"/>
          <w:marRight w:val="0"/>
          <w:marTop w:val="0"/>
          <w:marBottom w:val="0"/>
          <w:divBdr>
            <w:top w:val="none" w:sz="0" w:space="0" w:color="auto"/>
            <w:left w:val="none" w:sz="0" w:space="0" w:color="auto"/>
            <w:bottom w:val="none" w:sz="0" w:space="0" w:color="auto"/>
            <w:right w:val="none" w:sz="0" w:space="0" w:color="auto"/>
          </w:divBdr>
        </w:div>
        <w:div w:id="1728262143">
          <w:marLeft w:val="0"/>
          <w:marRight w:val="0"/>
          <w:marTop w:val="0"/>
          <w:marBottom w:val="0"/>
          <w:divBdr>
            <w:top w:val="none" w:sz="0" w:space="0" w:color="auto"/>
            <w:left w:val="none" w:sz="0" w:space="0" w:color="auto"/>
            <w:bottom w:val="none" w:sz="0" w:space="0" w:color="auto"/>
            <w:right w:val="none" w:sz="0" w:space="0" w:color="auto"/>
          </w:divBdr>
        </w:div>
      </w:divsChild>
    </w:div>
    <w:div w:id="1498960058">
      <w:bodyDiv w:val="1"/>
      <w:marLeft w:val="0"/>
      <w:marRight w:val="0"/>
      <w:marTop w:val="0"/>
      <w:marBottom w:val="0"/>
      <w:divBdr>
        <w:top w:val="none" w:sz="0" w:space="0" w:color="auto"/>
        <w:left w:val="none" w:sz="0" w:space="0" w:color="auto"/>
        <w:bottom w:val="none" w:sz="0" w:space="0" w:color="auto"/>
        <w:right w:val="none" w:sz="0" w:space="0" w:color="auto"/>
      </w:divBdr>
      <w:divsChild>
        <w:div w:id="1063455730">
          <w:marLeft w:val="0"/>
          <w:marRight w:val="0"/>
          <w:marTop w:val="0"/>
          <w:marBottom w:val="0"/>
          <w:divBdr>
            <w:top w:val="none" w:sz="0" w:space="0" w:color="auto"/>
            <w:left w:val="none" w:sz="0" w:space="0" w:color="auto"/>
            <w:bottom w:val="dotted" w:sz="6" w:space="2" w:color="CCCCCC"/>
            <w:right w:val="none" w:sz="0" w:space="0" w:color="auto"/>
          </w:divBdr>
          <w:divsChild>
            <w:div w:id="718437198">
              <w:marLeft w:val="0"/>
              <w:marRight w:val="150"/>
              <w:marTop w:val="0"/>
              <w:marBottom w:val="0"/>
              <w:divBdr>
                <w:top w:val="none" w:sz="0" w:space="0" w:color="auto"/>
                <w:left w:val="none" w:sz="0" w:space="0" w:color="auto"/>
                <w:bottom w:val="none" w:sz="0" w:space="0" w:color="auto"/>
                <w:right w:val="none" w:sz="0" w:space="0" w:color="auto"/>
              </w:divBdr>
              <w:divsChild>
                <w:div w:id="297145934">
                  <w:marLeft w:val="0"/>
                  <w:marRight w:val="0"/>
                  <w:marTop w:val="0"/>
                  <w:marBottom w:val="0"/>
                  <w:divBdr>
                    <w:top w:val="none" w:sz="0" w:space="0" w:color="auto"/>
                    <w:left w:val="none" w:sz="0" w:space="0" w:color="auto"/>
                    <w:bottom w:val="none" w:sz="0" w:space="0" w:color="auto"/>
                    <w:right w:val="none" w:sz="0" w:space="0" w:color="auto"/>
                  </w:divBdr>
                </w:div>
              </w:divsChild>
            </w:div>
            <w:div w:id="3518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86693">
      <w:bodyDiv w:val="1"/>
      <w:marLeft w:val="0"/>
      <w:marRight w:val="0"/>
      <w:marTop w:val="0"/>
      <w:marBottom w:val="0"/>
      <w:divBdr>
        <w:top w:val="none" w:sz="0" w:space="0" w:color="auto"/>
        <w:left w:val="none" w:sz="0" w:space="0" w:color="auto"/>
        <w:bottom w:val="none" w:sz="0" w:space="0" w:color="auto"/>
        <w:right w:val="none" w:sz="0" w:space="0" w:color="auto"/>
      </w:divBdr>
      <w:divsChild>
        <w:div w:id="1241059355">
          <w:marLeft w:val="0"/>
          <w:marRight w:val="0"/>
          <w:marTop w:val="0"/>
          <w:marBottom w:val="0"/>
          <w:divBdr>
            <w:top w:val="none" w:sz="0" w:space="0" w:color="auto"/>
            <w:left w:val="none" w:sz="0" w:space="0" w:color="auto"/>
            <w:bottom w:val="none" w:sz="0" w:space="0" w:color="auto"/>
            <w:right w:val="none" w:sz="0" w:space="0" w:color="auto"/>
          </w:divBdr>
        </w:div>
        <w:div w:id="1938783606">
          <w:marLeft w:val="0"/>
          <w:marRight w:val="0"/>
          <w:marTop w:val="0"/>
          <w:marBottom w:val="0"/>
          <w:divBdr>
            <w:top w:val="none" w:sz="0" w:space="0" w:color="auto"/>
            <w:left w:val="none" w:sz="0" w:space="0" w:color="auto"/>
            <w:bottom w:val="none" w:sz="0" w:space="0" w:color="auto"/>
            <w:right w:val="none" w:sz="0" w:space="0" w:color="auto"/>
          </w:divBdr>
        </w:div>
        <w:div w:id="1278025558">
          <w:marLeft w:val="0"/>
          <w:marRight w:val="0"/>
          <w:marTop w:val="0"/>
          <w:marBottom w:val="0"/>
          <w:divBdr>
            <w:top w:val="none" w:sz="0" w:space="0" w:color="auto"/>
            <w:left w:val="none" w:sz="0" w:space="0" w:color="auto"/>
            <w:bottom w:val="none" w:sz="0" w:space="0" w:color="auto"/>
            <w:right w:val="none" w:sz="0" w:space="0" w:color="auto"/>
          </w:divBdr>
        </w:div>
        <w:div w:id="896354582">
          <w:marLeft w:val="0"/>
          <w:marRight w:val="0"/>
          <w:marTop w:val="0"/>
          <w:marBottom w:val="0"/>
          <w:divBdr>
            <w:top w:val="none" w:sz="0" w:space="0" w:color="auto"/>
            <w:left w:val="none" w:sz="0" w:space="0" w:color="auto"/>
            <w:bottom w:val="none" w:sz="0" w:space="0" w:color="auto"/>
            <w:right w:val="none" w:sz="0" w:space="0" w:color="auto"/>
          </w:divBdr>
        </w:div>
        <w:div w:id="2138984546">
          <w:marLeft w:val="0"/>
          <w:marRight w:val="0"/>
          <w:marTop w:val="0"/>
          <w:marBottom w:val="0"/>
          <w:divBdr>
            <w:top w:val="none" w:sz="0" w:space="0" w:color="auto"/>
            <w:left w:val="none" w:sz="0" w:space="0" w:color="auto"/>
            <w:bottom w:val="none" w:sz="0" w:space="0" w:color="auto"/>
            <w:right w:val="none" w:sz="0" w:space="0" w:color="auto"/>
          </w:divBdr>
        </w:div>
        <w:div w:id="1406610652">
          <w:marLeft w:val="0"/>
          <w:marRight w:val="0"/>
          <w:marTop w:val="0"/>
          <w:marBottom w:val="0"/>
          <w:divBdr>
            <w:top w:val="none" w:sz="0" w:space="0" w:color="auto"/>
            <w:left w:val="none" w:sz="0" w:space="0" w:color="auto"/>
            <w:bottom w:val="none" w:sz="0" w:space="0" w:color="auto"/>
            <w:right w:val="none" w:sz="0" w:space="0" w:color="auto"/>
          </w:divBdr>
        </w:div>
        <w:div w:id="391192804">
          <w:marLeft w:val="0"/>
          <w:marRight w:val="0"/>
          <w:marTop w:val="0"/>
          <w:marBottom w:val="0"/>
          <w:divBdr>
            <w:top w:val="none" w:sz="0" w:space="0" w:color="auto"/>
            <w:left w:val="none" w:sz="0" w:space="0" w:color="auto"/>
            <w:bottom w:val="none" w:sz="0" w:space="0" w:color="auto"/>
            <w:right w:val="none" w:sz="0" w:space="0" w:color="auto"/>
          </w:divBdr>
        </w:div>
      </w:divsChild>
    </w:div>
    <w:div w:id="1770850684">
      <w:bodyDiv w:val="1"/>
      <w:marLeft w:val="0"/>
      <w:marRight w:val="0"/>
      <w:marTop w:val="0"/>
      <w:marBottom w:val="0"/>
      <w:divBdr>
        <w:top w:val="none" w:sz="0" w:space="0" w:color="auto"/>
        <w:left w:val="none" w:sz="0" w:space="0" w:color="auto"/>
        <w:bottom w:val="none" w:sz="0" w:space="0" w:color="auto"/>
        <w:right w:val="none" w:sz="0" w:space="0" w:color="auto"/>
      </w:divBdr>
      <w:divsChild>
        <w:div w:id="694504275">
          <w:marLeft w:val="0"/>
          <w:marRight w:val="150"/>
          <w:marTop w:val="0"/>
          <w:marBottom w:val="0"/>
          <w:divBdr>
            <w:top w:val="none" w:sz="0" w:space="0" w:color="auto"/>
            <w:left w:val="none" w:sz="0" w:space="0" w:color="auto"/>
            <w:bottom w:val="none" w:sz="0" w:space="0" w:color="auto"/>
            <w:right w:val="none" w:sz="0" w:space="0" w:color="auto"/>
          </w:divBdr>
          <w:divsChild>
            <w:div w:id="1397624921">
              <w:marLeft w:val="0"/>
              <w:marRight w:val="0"/>
              <w:marTop w:val="0"/>
              <w:marBottom w:val="0"/>
              <w:divBdr>
                <w:top w:val="none" w:sz="0" w:space="0" w:color="auto"/>
                <w:left w:val="none" w:sz="0" w:space="0" w:color="auto"/>
                <w:bottom w:val="none" w:sz="0" w:space="0" w:color="auto"/>
                <w:right w:val="none" w:sz="0" w:space="0" w:color="auto"/>
              </w:divBdr>
            </w:div>
          </w:divsChild>
        </w:div>
        <w:div w:id="1566180028">
          <w:marLeft w:val="0"/>
          <w:marRight w:val="0"/>
          <w:marTop w:val="0"/>
          <w:marBottom w:val="0"/>
          <w:divBdr>
            <w:top w:val="none" w:sz="0" w:space="0" w:color="auto"/>
            <w:left w:val="none" w:sz="0" w:space="0" w:color="auto"/>
            <w:bottom w:val="none" w:sz="0" w:space="0" w:color="auto"/>
            <w:right w:val="none" w:sz="0" w:space="0" w:color="auto"/>
          </w:divBdr>
        </w:div>
      </w:divsChild>
    </w:div>
    <w:div w:id="1894924153">
      <w:bodyDiv w:val="1"/>
      <w:marLeft w:val="0"/>
      <w:marRight w:val="0"/>
      <w:marTop w:val="0"/>
      <w:marBottom w:val="0"/>
      <w:divBdr>
        <w:top w:val="none" w:sz="0" w:space="0" w:color="auto"/>
        <w:left w:val="none" w:sz="0" w:space="0" w:color="auto"/>
        <w:bottom w:val="none" w:sz="0" w:space="0" w:color="auto"/>
        <w:right w:val="none" w:sz="0" w:space="0" w:color="auto"/>
      </w:divBdr>
      <w:divsChild>
        <w:div w:id="1282223162">
          <w:marLeft w:val="0"/>
          <w:marRight w:val="0"/>
          <w:marTop w:val="0"/>
          <w:marBottom w:val="0"/>
          <w:divBdr>
            <w:top w:val="none" w:sz="0" w:space="0" w:color="auto"/>
            <w:left w:val="none" w:sz="0" w:space="0" w:color="auto"/>
            <w:bottom w:val="dotted" w:sz="6" w:space="2" w:color="CCCCCC"/>
            <w:right w:val="none" w:sz="0" w:space="0" w:color="auto"/>
          </w:divBdr>
          <w:divsChild>
            <w:div w:id="1023826896">
              <w:marLeft w:val="0"/>
              <w:marRight w:val="150"/>
              <w:marTop w:val="0"/>
              <w:marBottom w:val="0"/>
              <w:divBdr>
                <w:top w:val="none" w:sz="0" w:space="0" w:color="auto"/>
                <w:left w:val="none" w:sz="0" w:space="0" w:color="auto"/>
                <w:bottom w:val="none" w:sz="0" w:space="0" w:color="auto"/>
                <w:right w:val="none" w:sz="0" w:space="0" w:color="auto"/>
              </w:divBdr>
              <w:divsChild>
                <w:div w:id="547646740">
                  <w:marLeft w:val="0"/>
                  <w:marRight w:val="0"/>
                  <w:marTop w:val="0"/>
                  <w:marBottom w:val="0"/>
                  <w:divBdr>
                    <w:top w:val="none" w:sz="0" w:space="0" w:color="auto"/>
                    <w:left w:val="none" w:sz="0" w:space="0" w:color="auto"/>
                    <w:bottom w:val="none" w:sz="0" w:space="0" w:color="auto"/>
                    <w:right w:val="none" w:sz="0" w:space="0" w:color="auto"/>
                  </w:divBdr>
                </w:div>
              </w:divsChild>
            </w:div>
            <w:div w:id="1538469426">
              <w:marLeft w:val="0"/>
              <w:marRight w:val="0"/>
              <w:marTop w:val="0"/>
              <w:marBottom w:val="0"/>
              <w:divBdr>
                <w:top w:val="none" w:sz="0" w:space="0" w:color="auto"/>
                <w:left w:val="none" w:sz="0" w:space="0" w:color="auto"/>
                <w:bottom w:val="none" w:sz="0" w:space="0" w:color="auto"/>
                <w:right w:val="none" w:sz="0" w:space="0" w:color="auto"/>
              </w:divBdr>
            </w:div>
          </w:divsChild>
        </w:div>
        <w:div w:id="933707653">
          <w:marLeft w:val="0"/>
          <w:marRight w:val="0"/>
          <w:marTop w:val="0"/>
          <w:marBottom w:val="0"/>
          <w:divBdr>
            <w:top w:val="none" w:sz="0" w:space="0" w:color="auto"/>
            <w:left w:val="none" w:sz="0" w:space="0" w:color="auto"/>
            <w:bottom w:val="dotted" w:sz="6" w:space="2" w:color="CCCCCC"/>
            <w:right w:val="none" w:sz="0" w:space="0" w:color="auto"/>
          </w:divBdr>
          <w:divsChild>
            <w:div w:id="2121760058">
              <w:marLeft w:val="0"/>
              <w:marRight w:val="150"/>
              <w:marTop w:val="0"/>
              <w:marBottom w:val="0"/>
              <w:divBdr>
                <w:top w:val="none" w:sz="0" w:space="0" w:color="auto"/>
                <w:left w:val="none" w:sz="0" w:space="0" w:color="auto"/>
                <w:bottom w:val="none" w:sz="0" w:space="0" w:color="auto"/>
                <w:right w:val="none" w:sz="0" w:space="0" w:color="auto"/>
              </w:divBdr>
              <w:divsChild>
                <w:div w:id="1163473900">
                  <w:marLeft w:val="0"/>
                  <w:marRight w:val="0"/>
                  <w:marTop w:val="0"/>
                  <w:marBottom w:val="0"/>
                  <w:divBdr>
                    <w:top w:val="none" w:sz="0" w:space="0" w:color="auto"/>
                    <w:left w:val="none" w:sz="0" w:space="0" w:color="auto"/>
                    <w:bottom w:val="none" w:sz="0" w:space="0" w:color="auto"/>
                    <w:right w:val="none" w:sz="0" w:space="0" w:color="auto"/>
                  </w:divBdr>
                </w:div>
              </w:divsChild>
            </w:div>
            <w:div w:id="133032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15969">
      <w:bodyDiv w:val="1"/>
      <w:marLeft w:val="0"/>
      <w:marRight w:val="0"/>
      <w:marTop w:val="0"/>
      <w:marBottom w:val="0"/>
      <w:divBdr>
        <w:top w:val="none" w:sz="0" w:space="0" w:color="auto"/>
        <w:left w:val="none" w:sz="0" w:space="0" w:color="auto"/>
        <w:bottom w:val="none" w:sz="0" w:space="0" w:color="auto"/>
        <w:right w:val="none" w:sz="0" w:space="0" w:color="auto"/>
      </w:divBdr>
      <w:divsChild>
        <w:div w:id="1263030471">
          <w:marLeft w:val="0"/>
          <w:marRight w:val="0"/>
          <w:marTop w:val="0"/>
          <w:marBottom w:val="0"/>
          <w:divBdr>
            <w:top w:val="none" w:sz="0" w:space="0" w:color="auto"/>
            <w:left w:val="none" w:sz="0" w:space="0" w:color="auto"/>
            <w:bottom w:val="dotted" w:sz="6" w:space="2" w:color="CCCCCC"/>
            <w:right w:val="none" w:sz="0" w:space="0" w:color="auto"/>
          </w:divBdr>
          <w:divsChild>
            <w:div w:id="1426879433">
              <w:marLeft w:val="0"/>
              <w:marRight w:val="150"/>
              <w:marTop w:val="0"/>
              <w:marBottom w:val="0"/>
              <w:divBdr>
                <w:top w:val="none" w:sz="0" w:space="0" w:color="auto"/>
                <w:left w:val="none" w:sz="0" w:space="0" w:color="auto"/>
                <w:bottom w:val="none" w:sz="0" w:space="0" w:color="auto"/>
                <w:right w:val="none" w:sz="0" w:space="0" w:color="auto"/>
              </w:divBdr>
              <w:divsChild>
                <w:div w:id="1495073584">
                  <w:marLeft w:val="0"/>
                  <w:marRight w:val="0"/>
                  <w:marTop w:val="0"/>
                  <w:marBottom w:val="0"/>
                  <w:divBdr>
                    <w:top w:val="none" w:sz="0" w:space="0" w:color="auto"/>
                    <w:left w:val="none" w:sz="0" w:space="0" w:color="auto"/>
                    <w:bottom w:val="none" w:sz="0" w:space="0" w:color="auto"/>
                    <w:right w:val="none" w:sz="0" w:space="0" w:color="auto"/>
                  </w:divBdr>
                </w:div>
              </w:divsChild>
            </w:div>
            <w:div w:id="3661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15/treatybodyexternal/Download.aspx?symbolno=CRPD/C/GC/3&amp;Lang=en"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tbinternet.ohchr.org/_layouts/treatybodyexternal/Download.aspx?symbolno=CRPD/C/GC/7&amp;Lang=en" TargetMode="External"/><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0AE7C9-64C7-8C4A-BB18-E3747F5864EA}">
  <ds:schemaRefs>
    <ds:schemaRef ds:uri="http://schemas.openxmlformats.org/officeDocument/2006/bibliography"/>
  </ds:schemaRefs>
</ds:datastoreItem>
</file>

<file path=customXml/itemProps2.xml><?xml version="1.0" encoding="utf-8"?>
<ds:datastoreItem xmlns:ds="http://schemas.openxmlformats.org/officeDocument/2006/customXml" ds:itemID="{B0B4AF5C-B2FE-4A7C-8C4E-57DBDA7FA1BB}"/>
</file>

<file path=customXml/itemProps3.xml><?xml version="1.0" encoding="utf-8"?>
<ds:datastoreItem xmlns:ds="http://schemas.openxmlformats.org/officeDocument/2006/customXml" ds:itemID="{D8EDEC22-43A2-4E9D-BF24-1CBB5D5FDA90}"/>
</file>

<file path=customXml/itemProps4.xml><?xml version="1.0" encoding="utf-8"?>
<ds:datastoreItem xmlns:ds="http://schemas.openxmlformats.org/officeDocument/2006/customXml" ds:itemID="{BAFA6ACF-5AD3-4C3F-9D96-EF0CD6A0B1CB}"/>
</file>

<file path=docProps/app.xml><?xml version="1.0" encoding="utf-8"?>
<Properties xmlns="http://schemas.openxmlformats.org/officeDocument/2006/extended-properties" xmlns:vt="http://schemas.openxmlformats.org/officeDocument/2006/docPropsVTypes">
  <Template>Normal.dotm</Template>
  <TotalTime>17</TotalTime>
  <Pages>2</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Elias Constantopedos</cp:lastModifiedBy>
  <cp:revision>21</cp:revision>
  <dcterms:created xsi:type="dcterms:W3CDTF">2019-10-24T10:20:00Z</dcterms:created>
  <dcterms:modified xsi:type="dcterms:W3CDTF">2021-01-30T20:29:00Z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