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A8030" w14:textId="77777777" w:rsidR="004B585C" w:rsidRPr="001C26EF" w:rsidRDefault="004B585C" w:rsidP="00327184">
      <w:pPr>
        <w:spacing w:after="0" w:line="240" w:lineRule="auto"/>
        <w:jc w:val="center"/>
        <w:rPr>
          <w:b/>
          <w:sz w:val="18"/>
          <w:szCs w:val="18"/>
        </w:rPr>
      </w:pPr>
      <w:r>
        <w:rPr>
          <w:b/>
          <w:sz w:val="18"/>
          <w:szCs w:val="18"/>
        </w:rPr>
        <w:t>Artículo 6 - Indicadores sobre mujeres con discapacidad*</w:t>
      </w:r>
    </w:p>
    <w:p w14:paraId="1FB4BA69" w14:textId="77777777" w:rsidR="004B585C" w:rsidRPr="001C26EF" w:rsidRDefault="004B585C" w:rsidP="00327184">
      <w:pPr>
        <w:spacing w:after="0" w:line="240" w:lineRule="auto"/>
        <w:jc w:val="center"/>
        <w:rPr>
          <w:b/>
          <w:sz w:val="18"/>
          <w:szCs w:val="18"/>
        </w:rPr>
      </w:pPr>
      <w:r>
        <w:rPr>
          <w:b/>
          <w:sz w:val="18"/>
          <w:szCs w:val="18"/>
        </w:rPr>
        <w:t>Ejercicio y disfrute pleno e igualitario por parte de las mujeres con discapacidad de todos los derechos humanos y libertades fundamentales</w:t>
      </w:r>
    </w:p>
    <w:p w14:paraId="306506B8" w14:textId="77777777" w:rsidR="004B585C" w:rsidRDefault="004B585C" w:rsidP="00327184">
      <w:pPr>
        <w:pStyle w:val="Paragraphedeliste"/>
        <w:spacing w:after="0" w:line="240" w:lineRule="auto"/>
        <w:ind w:left="0"/>
        <w:jc w:val="center"/>
        <w:rPr>
          <w:b/>
          <w:sz w:val="18"/>
          <w:szCs w:val="18"/>
        </w:rPr>
      </w:pPr>
    </w:p>
    <w:p w14:paraId="45647FD9" w14:textId="3D5E7EC0" w:rsidR="004B585C" w:rsidRPr="001C26EF" w:rsidRDefault="004B585C" w:rsidP="004B585C">
      <w:pPr>
        <w:pStyle w:val="Paragraphedeliste"/>
        <w:spacing w:after="0" w:line="240" w:lineRule="auto"/>
        <w:ind w:left="0"/>
        <w:rPr>
          <w:rFonts w:cs="Arial"/>
          <w:b/>
          <w:sz w:val="18"/>
          <w:szCs w:val="18"/>
        </w:rPr>
      </w:pPr>
      <w:r>
        <w:rPr>
          <w:b/>
          <w:sz w:val="18"/>
          <w:szCs w:val="18"/>
        </w:rPr>
        <w:t>Atributos</w:t>
      </w:r>
    </w:p>
    <w:p w14:paraId="3B897BAD" w14:textId="77777777" w:rsidR="004B585C" w:rsidRPr="004B585C" w:rsidRDefault="004B585C" w:rsidP="004B585C">
      <w:pPr>
        <w:pStyle w:val="Paragraphedeliste"/>
        <w:numPr>
          <w:ilvl w:val="0"/>
          <w:numId w:val="13"/>
        </w:numPr>
        <w:spacing w:after="0" w:line="240" w:lineRule="auto"/>
        <w:rPr>
          <w:b/>
          <w:sz w:val="18"/>
          <w:szCs w:val="18"/>
        </w:rPr>
      </w:pPr>
      <w:r w:rsidRPr="004B585C">
        <w:rPr>
          <w:b/>
          <w:sz w:val="18"/>
          <w:szCs w:val="18"/>
        </w:rPr>
        <w:t>No discriminación e igualdad</w:t>
      </w:r>
    </w:p>
    <w:p w14:paraId="245A7F81" w14:textId="77777777" w:rsidR="004B585C" w:rsidRPr="004B585C" w:rsidRDefault="004B585C" w:rsidP="004B585C">
      <w:pPr>
        <w:pStyle w:val="Paragraphedeliste"/>
        <w:numPr>
          <w:ilvl w:val="0"/>
          <w:numId w:val="13"/>
        </w:numPr>
        <w:spacing w:after="0" w:line="240" w:lineRule="auto"/>
        <w:rPr>
          <w:b/>
          <w:sz w:val="18"/>
          <w:szCs w:val="18"/>
        </w:rPr>
      </w:pPr>
      <w:r w:rsidRPr="004B585C">
        <w:rPr>
          <w:b/>
          <w:sz w:val="18"/>
          <w:szCs w:val="18"/>
        </w:rPr>
        <w:t>Pleno desarrollo, avance y empoderamiento de la mujer</w:t>
      </w:r>
    </w:p>
    <w:p w14:paraId="173B6EFE" w14:textId="77777777" w:rsidR="004B585C" w:rsidRDefault="004B585C" w:rsidP="004B585C">
      <w:pPr>
        <w:spacing w:after="0" w:line="240" w:lineRule="auto"/>
        <w:rPr>
          <w:b/>
          <w:sz w:val="18"/>
          <w:szCs w:val="18"/>
        </w:rPr>
      </w:pPr>
    </w:p>
    <w:p w14:paraId="3EDA41AB" w14:textId="3817EDA5" w:rsidR="004B585C" w:rsidRPr="001C26EF" w:rsidRDefault="004B585C" w:rsidP="004B585C">
      <w:pPr>
        <w:spacing w:after="0" w:line="240" w:lineRule="auto"/>
        <w:rPr>
          <w:b/>
          <w:sz w:val="18"/>
          <w:szCs w:val="18"/>
        </w:rPr>
      </w:pPr>
      <w:r>
        <w:rPr>
          <w:b/>
          <w:sz w:val="18"/>
          <w:szCs w:val="18"/>
        </w:rPr>
        <w:t>Indicadores de Estructura</w:t>
      </w:r>
    </w:p>
    <w:p w14:paraId="561613BD" w14:textId="77777777" w:rsidR="004B585C" w:rsidRPr="00B60925" w:rsidRDefault="004B585C" w:rsidP="00327184">
      <w:pPr>
        <w:spacing w:after="0" w:line="240" w:lineRule="auto"/>
        <w:jc w:val="both"/>
        <w:rPr>
          <w:sz w:val="18"/>
          <w:szCs w:val="18"/>
        </w:rPr>
      </w:pPr>
      <w:r>
        <w:rPr>
          <w:sz w:val="18"/>
          <w:szCs w:val="18"/>
        </w:rPr>
        <w:t>6.1 Marcos jurídicos vigentes que promueven, hacen cumplir y supervisan la igualdad y la no discriminación por motivos de sexo (basado en el indicador 5.1.1 de los ODS) y discapacidad</w:t>
      </w:r>
      <w:r w:rsidRPr="001C26EF">
        <w:rPr>
          <w:rStyle w:val="Appeldenotedefin"/>
          <w:sz w:val="18"/>
          <w:szCs w:val="18"/>
        </w:rPr>
        <w:endnoteReference w:id="1"/>
      </w:r>
      <w:r>
        <w:rPr>
          <w:sz w:val="18"/>
          <w:szCs w:val="18"/>
        </w:rPr>
        <w:t xml:space="preserve"> </w:t>
      </w:r>
      <w:r w:rsidRPr="00B60925">
        <w:rPr>
          <w:sz w:val="18"/>
          <w:szCs w:val="18"/>
        </w:rPr>
        <w:t>(véase también el artículo 5 de la CDPD)</w:t>
      </w:r>
      <w:r>
        <w:rPr>
          <w:sz w:val="18"/>
          <w:szCs w:val="18"/>
        </w:rPr>
        <w:t>.</w:t>
      </w:r>
    </w:p>
    <w:p w14:paraId="2800129A" w14:textId="77777777" w:rsidR="004B585C" w:rsidRPr="001C26EF" w:rsidRDefault="004B585C" w:rsidP="00327184">
      <w:pPr>
        <w:spacing w:after="0" w:line="240" w:lineRule="auto"/>
        <w:jc w:val="both"/>
        <w:rPr>
          <w:sz w:val="18"/>
          <w:szCs w:val="18"/>
        </w:rPr>
      </w:pPr>
      <w:r w:rsidRPr="00B60925">
        <w:rPr>
          <w:sz w:val="18"/>
          <w:szCs w:val="18"/>
        </w:rPr>
        <w:t xml:space="preserve">6.2 Adopción de un marco jurídico que garantice la igualdad de derechos de </w:t>
      </w:r>
      <w:r>
        <w:rPr>
          <w:sz w:val="18"/>
          <w:szCs w:val="18"/>
        </w:rPr>
        <w:t xml:space="preserve">las </w:t>
      </w:r>
      <w:r w:rsidRPr="00B60925">
        <w:rPr>
          <w:sz w:val="18"/>
          <w:szCs w:val="18"/>
        </w:rPr>
        <w:t>mujeres a la propiedad y/o control de las tierras (basado en el indicador 5.a.2 de los</w:t>
      </w:r>
      <w:r>
        <w:rPr>
          <w:sz w:val="18"/>
          <w:szCs w:val="18"/>
        </w:rPr>
        <w:t xml:space="preserve"> ODS), incluidas las mujeres con discapacidad.</w:t>
      </w:r>
    </w:p>
    <w:p w14:paraId="25D668BA" w14:textId="77777777" w:rsidR="004B585C" w:rsidRPr="001C26EF" w:rsidRDefault="004B585C" w:rsidP="00327184">
      <w:pPr>
        <w:spacing w:after="0" w:line="240" w:lineRule="auto"/>
        <w:jc w:val="both"/>
        <w:rPr>
          <w:sz w:val="18"/>
          <w:szCs w:val="18"/>
        </w:rPr>
      </w:pPr>
      <w:r>
        <w:rPr>
          <w:sz w:val="18"/>
          <w:szCs w:val="18"/>
        </w:rPr>
        <w:t>6.3 Los planes, políticas y leyes nacionales sobre igualdad de género son  plenamente inclusivos con mujeres y niñas con discapacidad y contienen medidas específicas para el avance y el empoderamiento de todas las mujeres y niñas con discapacidad,</w:t>
      </w:r>
      <w:r w:rsidRPr="001C26EF">
        <w:rPr>
          <w:rStyle w:val="Appeldenotedefin"/>
          <w:sz w:val="18"/>
          <w:szCs w:val="18"/>
        </w:rPr>
        <w:endnoteReference w:id="2"/>
      </w:r>
      <w:r>
        <w:rPr>
          <w:sz w:val="18"/>
          <w:szCs w:val="18"/>
        </w:rPr>
        <w:t xml:space="preserve"> incluso mediante el apoyo al desarrollo de las organizaciones que las representan y la adopción de un enfoque de doble vía</w:t>
      </w:r>
      <w:r w:rsidRPr="001C26EF">
        <w:rPr>
          <w:rStyle w:val="Appeldenotedefin"/>
          <w:sz w:val="18"/>
          <w:szCs w:val="18"/>
        </w:rPr>
        <w:endnoteReference w:id="3"/>
      </w:r>
    </w:p>
    <w:p w14:paraId="2D7C65B0" w14:textId="77777777" w:rsidR="004B585C" w:rsidRPr="001C26EF" w:rsidRDefault="004B585C" w:rsidP="00327184">
      <w:pPr>
        <w:spacing w:after="0" w:line="240" w:lineRule="auto"/>
        <w:jc w:val="both"/>
        <w:rPr>
          <w:sz w:val="18"/>
          <w:szCs w:val="18"/>
        </w:rPr>
      </w:pPr>
      <w:r>
        <w:rPr>
          <w:sz w:val="18"/>
          <w:szCs w:val="18"/>
        </w:rPr>
        <w:t>6.4 Sistemas</w:t>
      </w:r>
      <w:r w:rsidRPr="001C26EF">
        <w:rPr>
          <w:rStyle w:val="Appeldenotedefin"/>
          <w:sz w:val="18"/>
          <w:szCs w:val="18"/>
        </w:rPr>
        <w:endnoteReference w:id="4"/>
      </w:r>
      <w:r>
        <w:rPr>
          <w:sz w:val="18"/>
          <w:szCs w:val="18"/>
        </w:rPr>
        <w:t xml:space="preserve"> adoptados para el seguimiento y para hacer públicas las asignaciones de fondos para la igualdad de género y el empoderamiento de la mujer (basado indicador 5.c.1 de los ODS), con las asignaciones desagregadas por población objetivo</w:t>
      </w:r>
      <w:r w:rsidRPr="001C26EF">
        <w:rPr>
          <w:rStyle w:val="Appeldenotedefin"/>
          <w:sz w:val="18"/>
          <w:szCs w:val="18"/>
        </w:rPr>
        <w:endnoteReference w:id="5"/>
      </w:r>
      <w:r>
        <w:rPr>
          <w:sz w:val="18"/>
          <w:szCs w:val="18"/>
        </w:rPr>
        <w:t>.</w:t>
      </w:r>
    </w:p>
    <w:p w14:paraId="10126C9D" w14:textId="77777777" w:rsidR="004B585C" w:rsidRDefault="004B585C" w:rsidP="00327184">
      <w:pPr>
        <w:spacing w:after="0" w:line="240" w:lineRule="auto"/>
        <w:jc w:val="both"/>
        <w:rPr>
          <w:b/>
          <w:sz w:val="18"/>
          <w:szCs w:val="18"/>
        </w:rPr>
      </w:pPr>
    </w:p>
    <w:p w14:paraId="1855DAAB" w14:textId="22DC1F7D" w:rsidR="004B585C" w:rsidRPr="001C26EF" w:rsidRDefault="004B585C" w:rsidP="00327184">
      <w:pPr>
        <w:spacing w:after="0" w:line="240" w:lineRule="auto"/>
        <w:jc w:val="both"/>
        <w:rPr>
          <w:b/>
          <w:sz w:val="18"/>
          <w:szCs w:val="18"/>
        </w:rPr>
      </w:pPr>
      <w:r>
        <w:rPr>
          <w:b/>
          <w:sz w:val="18"/>
          <w:szCs w:val="18"/>
        </w:rPr>
        <w:t>Indicadores de Proceso</w:t>
      </w:r>
    </w:p>
    <w:p w14:paraId="30B2A1C5" w14:textId="77777777" w:rsidR="004B585C" w:rsidRPr="001C26EF" w:rsidRDefault="004B585C" w:rsidP="00327184">
      <w:pPr>
        <w:spacing w:after="0" w:line="240" w:lineRule="auto"/>
        <w:jc w:val="both"/>
        <w:rPr>
          <w:sz w:val="18"/>
          <w:szCs w:val="18"/>
        </w:rPr>
      </w:pPr>
      <w:r>
        <w:rPr>
          <w:sz w:val="18"/>
          <w:szCs w:val="18"/>
        </w:rPr>
        <w:t>6.5 Proporción de leyes, planes de acción y estrategias nacionales dirigidos a mujeres y/o a las personas con discapacidad, con referencias explícitas a las mujeres y las niñas con discapacidad.</w:t>
      </w:r>
      <w:r>
        <w:rPr>
          <w:rStyle w:val="Appeldenotedefin"/>
          <w:sz w:val="18"/>
          <w:szCs w:val="18"/>
        </w:rPr>
        <w:endnoteReference w:id="6"/>
      </w:r>
    </w:p>
    <w:p w14:paraId="4FF4DFA0" w14:textId="77777777" w:rsidR="004B585C" w:rsidRPr="001C26EF" w:rsidRDefault="004B585C" w:rsidP="00327184">
      <w:pPr>
        <w:spacing w:after="0" w:line="240" w:lineRule="auto"/>
        <w:jc w:val="both"/>
        <w:rPr>
          <w:sz w:val="18"/>
          <w:szCs w:val="18"/>
        </w:rPr>
      </w:pPr>
      <w:r>
        <w:rPr>
          <w:sz w:val="18"/>
          <w:szCs w:val="18"/>
        </w:rPr>
        <w:t>6.6 Porcentaje de recursos públicos asignados y gastados en mujeres y niñas con discapacidad en todos los sectores.</w:t>
      </w:r>
      <w:r w:rsidRPr="001C26EF">
        <w:rPr>
          <w:rStyle w:val="Appeldenotedefin"/>
          <w:sz w:val="18"/>
          <w:szCs w:val="18"/>
        </w:rPr>
        <w:endnoteReference w:id="7"/>
      </w:r>
    </w:p>
    <w:p w14:paraId="0033EDE5" w14:textId="77777777" w:rsidR="004B585C" w:rsidRPr="001C26EF" w:rsidRDefault="004B585C" w:rsidP="00910483">
      <w:pPr>
        <w:spacing w:after="0" w:line="240" w:lineRule="auto"/>
        <w:rPr>
          <w:sz w:val="18"/>
          <w:szCs w:val="18"/>
        </w:rPr>
      </w:pPr>
      <w:r>
        <w:rPr>
          <w:sz w:val="18"/>
          <w:szCs w:val="18"/>
        </w:rPr>
        <w:t>6.7 Proporción de mujeres y niñas con discapacidad que participan en capacitaciones sobre liderazgo y derechos humanos entre todas las mujeres y entre las personas con discapacidad.</w:t>
      </w:r>
    </w:p>
    <w:p w14:paraId="633A2BD4" w14:textId="77777777" w:rsidR="004B585C" w:rsidRPr="001C26EF" w:rsidRDefault="004B585C" w:rsidP="00910483">
      <w:pPr>
        <w:spacing w:after="0" w:line="240" w:lineRule="auto"/>
        <w:rPr>
          <w:sz w:val="18"/>
          <w:szCs w:val="18"/>
        </w:rPr>
      </w:pPr>
      <w:r>
        <w:rPr>
          <w:sz w:val="18"/>
          <w:szCs w:val="18"/>
        </w:rPr>
        <w:t>6.8 Capacitaciones y actividades de concienciación, financiadas por el gobierno, dirigidas a mujeres y niñas con discapacidad sobre sus derechos y número de participantes, desglosados por edad, discapacidad y ubicación geográfica.</w:t>
      </w:r>
      <w:r>
        <w:rPr>
          <w:rStyle w:val="Appeldenotedefin"/>
          <w:rFonts w:cstheme="minorHAnsi"/>
          <w:sz w:val="18"/>
          <w:szCs w:val="18"/>
        </w:rPr>
        <w:t xml:space="preserve"> </w:t>
      </w:r>
      <w:r>
        <w:rPr>
          <w:rStyle w:val="Appeldenotedefin"/>
          <w:rFonts w:cstheme="minorHAnsi"/>
          <w:sz w:val="18"/>
          <w:szCs w:val="18"/>
        </w:rPr>
        <w:endnoteReference w:id="8"/>
      </w:r>
    </w:p>
    <w:p w14:paraId="09EE52DC" w14:textId="27456DDB" w:rsidR="004B585C" w:rsidRPr="004B585C" w:rsidRDefault="004B585C" w:rsidP="00327184">
      <w:pPr>
        <w:spacing w:after="0" w:line="240" w:lineRule="auto"/>
        <w:jc w:val="both"/>
        <w:rPr>
          <w:rFonts w:cstheme="minorHAnsi"/>
          <w:sz w:val="18"/>
          <w:szCs w:val="18"/>
        </w:rPr>
      </w:pPr>
      <w:r>
        <w:rPr>
          <w:sz w:val="18"/>
          <w:szCs w:val="18"/>
        </w:rPr>
        <w:t>6.9 Número de organizaciones que representan a mujeres y niñas con discapacidad</w:t>
      </w:r>
      <w:r>
        <w:rPr>
          <w:b/>
          <w:sz w:val="18"/>
          <w:szCs w:val="18"/>
        </w:rPr>
        <w:t>,</w:t>
      </w:r>
      <w:r>
        <w:rPr>
          <w:sz w:val="18"/>
          <w:szCs w:val="18"/>
        </w:rPr>
        <w:t xml:space="preserve"> desglosadas por localización geográfica. </w:t>
      </w:r>
    </w:p>
    <w:p w14:paraId="16ED856F" w14:textId="77777777" w:rsidR="004B585C" w:rsidRPr="001C26EF" w:rsidRDefault="004B585C" w:rsidP="00327184">
      <w:pPr>
        <w:spacing w:after="0" w:line="240" w:lineRule="auto"/>
        <w:jc w:val="both"/>
        <w:rPr>
          <w:rFonts w:cstheme="minorHAnsi"/>
          <w:sz w:val="18"/>
          <w:szCs w:val="18"/>
        </w:rPr>
      </w:pPr>
      <w:r>
        <w:rPr>
          <w:sz w:val="18"/>
          <w:szCs w:val="18"/>
        </w:rPr>
        <w:t>6.10 Número y proporción del personal del sector público que participa en programas y servicios financiados por el gobierno en todos los sectores y que ha recibido capacitación inclusión en materia de discapacidad, igualdad de género y lucha contra las formas múltiples e interrelacionadas de discriminación.</w:t>
      </w:r>
      <w:r w:rsidRPr="001C26EF">
        <w:rPr>
          <w:rStyle w:val="Appeldenotedefin"/>
          <w:rFonts w:cstheme="minorHAnsi"/>
          <w:sz w:val="18"/>
          <w:szCs w:val="18"/>
        </w:rPr>
        <w:endnoteReference w:id="9"/>
      </w:r>
      <w:r>
        <w:rPr>
          <w:sz w:val="18"/>
          <w:szCs w:val="18"/>
        </w:rPr>
        <w:t xml:space="preserve"> </w:t>
      </w:r>
    </w:p>
    <w:p w14:paraId="3124C00D" w14:textId="77777777" w:rsidR="004B585C" w:rsidRDefault="004B585C" w:rsidP="00E67CA1">
      <w:pPr>
        <w:spacing w:after="0" w:line="240" w:lineRule="auto"/>
        <w:jc w:val="both"/>
        <w:rPr>
          <w:rFonts w:cstheme="minorHAnsi"/>
          <w:sz w:val="18"/>
          <w:szCs w:val="18"/>
        </w:rPr>
      </w:pPr>
      <w:r>
        <w:rPr>
          <w:sz w:val="18"/>
          <w:szCs w:val="18"/>
        </w:rPr>
        <w:t>6.11 Campañas y actividades de concienciación sobre igualdad de género que sean inclusivas con mujeres y niñas con discapacidad y sus organizaciones y que combatan las múltiples formas de discriminación Inter seccional, estereotipos</w:t>
      </w:r>
      <w:r w:rsidRPr="001C26EF" w:rsidDel="00FC3F77">
        <w:rPr>
          <w:rStyle w:val="Appeldenotedefin"/>
          <w:rFonts w:cstheme="minorHAnsi"/>
          <w:sz w:val="18"/>
          <w:szCs w:val="18"/>
        </w:rPr>
        <w:t xml:space="preserve"> </w:t>
      </w:r>
      <w:r>
        <w:rPr>
          <w:sz w:val="18"/>
          <w:szCs w:val="18"/>
        </w:rPr>
        <w:t xml:space="preserve">, prejuicios y las prácticas perjudiciales que afectan a mujeres y niñas con discapacidad. </w:t>
      </w:r>
    </w:p>
    <w:p w14:paraId="69E88C8F" w14:textId="77777777" w:rsidR="004B585C" w:rsidRPr="001C26EF" w:rsidRDefault="004B585C" w:rsidP="00E67CA1">
      <w:pPr>
        <w:spacing w:after="0" w:line="240" w:lineRule="auto"/>
        <w:jc w:val="both"/>
        <w:rPr>
          <w:rFonts w:cstheme="minorHAnsi"/>
          <w:sz w:val="18"/>
          <w:szCs w:val="18"/>
        </w:rPr>
      </w:pPr>
      <w:r>
        <w:rPr>
          <w:sz w:val="18"/>
          <w:szCs w:val="18"/>
        </w:rPr>
        <w:t xml:space="preserve">6.12 Procesos de consulta llevados a cabo para asegurar la participación activa de las mujeres y las niñas con discapacidad, </w:t>
      </w:r>
      <w:r>
        <w:rPr>
          <w:b/>
          <w:color w:val="444444"/>
          <w:sz w:val="18"/>
          <w:szCs w:val="18"/>
        </w:rPr>
        <w:t>incluyendo</w:t>
      </w:r>
      <w:r>
        <w:rPr>
          <w:sz w:val="18"/>
          <w:szCs w:val="18"/>
        </w:rPr>
        <w:t xml:space="preserve"> a las organizaciones que las representan, en el diseño, la implementación y el monitoreo de leyes, reglamentos, políticas y programas, en relación con cuestiones que puedan afectar directa o indirectamente a sus derechos.</w:t>
      </w:r>
      <w:r>
        <w:rPr>
          <w:rStyle w:val="Appeldenotedefin"/>
        </w:rPr>
        <w:t xml:space="preserve"> </w:t>
      </w:r>
      <w:r>
        <w:rPr>
          <w:rStyle w:val="Appeldenotedefin"/>
          <w:rFonts w:cstheme="minorHAnsi"/>
        </w:rPr>
        <w:endnoteReference w:id="10"/>
      </w:r>
    </w:p>
    <w:p w14:paraId="196541FD" w14:textId="77777777" w:rsidR="004B585C" w:rsidRPr="001C26EF" w:rsidRDefault="004B585C" w:rsidP="00E67CA1">
      <w:pPr>
        <w:spacing w:after="0" w:line="240" w:lineRule="auto"/>
        <w:jc w:val="both"/>
        <w:rPr>
          <w:sz w:val="18"/>
          <w:szCs w:val="18"/>
        </w:rPr>
      </w:pPr>
      <w:r>
        <w:rPr>
          <w:sz w:val="18"/>
          <w:szCs w:val="18"/>
        </w:rPr>
        <w:t>6.13 Proporción de denuncias recibidas sobre discriminación por parte de o en las que estén implicadas mujeres y niñas con discapacidad, que hayan sido investigadas y resueltas; porcentaje de aquellas resueltas a favor del denunciante</w:t>
      </w:r>
      <w:r>
        <w:t xml:space="preserve">, </w:t>
      </w:r>
      <w:r>
        <w:rPr>
          <w:sz w:val="18"/>
          <w:szCs w:val="18"/>
        </w:rPr>
        <w:t>y porcentaje de estas últimas cumplidas por el gobierno o el responsable, todas ellas desagregadas por tipo de mecanismo.</w:t>
      </w:r>
    </w:p>
    <w:p w14:paraId="7709A603" w14:textId="77777777" w:rsidR="004B585C" w:rsidRDefault="004B585C" w:rsidP="00327184">
      <w:pPr>
        <w:spacing w:after="0" w:line="240" w:lineRule="auto"/>
        <w:jc w:val="both"/>
        <w:rPr>
          <w:b/>
          <w:sz w:val="18"/>
          <w:szCs w:val="18"/>
        </w:rPr>
      </w:pPr>
    </w:p>
    <w:p w14:paraId="5CA139EF" w14:textId="066F4DD5" w:rsidR="004B585C" w:rsidRPr="001C26EF" w:rsidRDefault="004B585C" w:rsidP="00327184">
      <w:pPr>
        <w:spacing w:after="0" w:line="240" w:lineRule="auto"/>
        <w:jc w:val="both"/>
        <w:rPr>
          <w:b/>
          <w:sz w:val="18"/>
          <w:szCs w:val="18"/>
        </w:rPr>
      </w:pPr>
      <w:r>
        <w:rPr>
          <w:b/>
          <w:sz w:val="18"/>
          <w:szCs w:val="18"/>
        </w:rPr>
        <w:t>Indicadores de Resultado</w:t>
      </w:r>
    </w:p>
    <w:p w14:paraId="30387A6A" w14:textId="77777777" w:rsidR="004B585C" w:rsidRDefault="004B585C" w:rsidP="00327184">
      <w:pPr>
        <w:spacing w:after="0" w:line="240" w:lineRule="auto"/>
        <w:jc w:val="both"/>
        <w:rPr>
          <w:sz w:val="18"/>
          <w:szCs w:val="18"/>
        </w:rPr>
      </w:pPr>
      <w:r>
        <w:rPr>
          <w:sz w:val="18"/>
          <w:szCs w:val="18"/>
        </w:rPr>
        <w:t>6.14 Proporción de escaños en los parlamentos nacionales y de gobiernos locales liderados por mujeres (indicador 5.5.1 de los ODS), desglosados por discapacidad.</w:t>
      </w:r>
    </w:p>
    <w:p w14:paraId="01BD0044" w14:textId="77777777" w:rsidR="004B585C" w:rsidRPr="001C26EF" w:rsidRDefault="004B585C" w:rsidP="00327184">
      <w:pPr>
        <w:spacing w:after="0" w:line="240" w:lineRule="auto"/>
        <w:jc w:val="both"/>
        <w:rPr>
          <w:sz w:val="18"/>
          <w:szCs w:val="18"/>
        </w:rPr>
      </w:pPr>
      <w:r>
        <w:rPr>
          <w:sz w:val="18"/>
          <w:szCs w:val="18"/>
        </w:rPr>
        <w:t>6.15 Proporción de representación en puestos de toma de decisiones</w:t>
      </w:r>
      <w:r w:rsidRPr="001C26EF">
        <w:rPr>
          <w:rStyle w:val="Appeldenotedefin"/>
          <w:sz w:val="18"/>
          <w:szCs w:val="18"/>
        </w:rPr>
        <w:endnoteReference w:id="11"/>
      </w:r>
      <w:r>
        <w:rPr>
          <w:sz w:val="18"/>
          <w:szCs w:val="18"/>
        </w:rPr>
        <w:t xml:space="preserve"> en el sector público, desglosados por edad, sexo y discapacidad, entre otros.</w:t>
      </w:r>
    </w:p>
    <w:p w14:paraId="4ABFD651" w14:textId="77777777" w:rsidR="004B585C" w:rsidRDefault="004B585C" w:rsidP="00327184">
      <w:pPr>
        <w:spacing w:after="0" w:line="240" w:lineRule="auto"/>
        <w:jc w:val="both"/>
        <w:rPr>
          <w:sz w:val="18"/>
          <w:szCs w:val="18"/>
        </w:rPr>
      </w:pPr>
      <w:r>
        <w:rPr>
          <w:sz w:val="18"/>
          <w:szCs w:val="18"/>
        </w:rPr>
        <w:t>6.16 Proporción de mujeres en puestos directivos (indicador 5.5.2 de los ODS), desglosados por edad y discapacidad.</w:t>
      </w:r>
    </w:p>
    <w:p w14:paraId="3C8DC250" w14:textId="77777777" w:rsidR="004B585C" w:rsidRPr="001C26EF" w:rsidRDefault="004B585C" w:rsidP="00327184">
      <w:pPr>
        <w:spacing w:after="0" w:line="240" w:lineRule="auto"/>
        <w:jc w:val="both"/>
        <w:rPr>
          <w:sz w:val="18"/>
          <w:szCs w:val="18"/>
        </w:rPr>
      </w:pPr>
      <w:r>
        <w:rPr>
          <w:sz w:val="18"/>
          <w:szCs w:val="18"/>
        </w:rPr>
        <w:t xml:space="preserve">6.17 Proporción de representación de mujeres con discapacidad en puestos de liderazgo en la sociedad civil, desglosados por sexo y discapacidad, entre otros, incluidas las organizaciones de personas con discapacidad.        </w:t>
      </w:r>
    </w:p>
    <w:p w14:paraId="25643C39" w14:textId="77777777" w:rsidR="004B585C" w:rsidRPr="001C26EF" w:rsidRDefault="004B585C" w:rsidP="00327184">
      <w:pPr>
        <w:spacing w:after="0" w:line="240" w:lineRule="auto"/>
        <w:jc w:val="both"/>
        <w:rPr>
          <w:sz w:val="18"/>
          <w:szCs w:val="18"/>
        </w:rPr>
      </w:pPr>
      <w:r>
        <w:rPr>
          <w:sz w:val="18"/>
          <w:szCs w:val="18"/>
        </w:rPr>
        <w:t>6.18 Proporción de la población que ha sufrido violencia física, psicológica o sexual en los últimos 12 meses (indicador 16.1.3 de los ODS) por edad, sexo y discapacidad.</w:t>
      </w:r>
    </w:p>
    <w:p w14:paraId="11672349" w14:textId="77777777" w:rsidR="004B585C" w:rsidRPr="001C26EF" w:rsidRDefault="004B585C" w:rsidP="00327184">
      <w:pPr>
        <w:spacing w:after="0" w:line="240" w:lineRule="auto"/>
        <w:jc w:val="both"/>
        <w:rPr>
          <w:sz w:val="18"/>
          <w:szCs w:val="18"/>
        </w:rPr>
      </w:pPr>
      <w:r>
        <w:rPr>
          <w:sz w:val="18"/>
          <w:szCs w:val="18"/>
        </w:rPr>
        <w:t>6.19 Proporción de mujeres y niñas que toman sus propias decisiones informadas respecto a relaciones sexuales, uso de anticonceptivos y la salud reproductiva (indicador 5.6.1 de los ODS) por edad, discapacidad y ubicación geográfica (</w:t>
      </w:r>
      <w:r w:rsidRPr="00BA0585">
        <w:rPr>
          <w:i/>
          <w:sz w:val="18"/>
          <w:szCs w:val="18"/>
        </w:rPr>
        <w:t>Ibid.</w:t>
      </w:r>
      <w:r>
        <w:rPr>
          <w:sz w:val="18"/>
          <w:szCs w:val="18"/>
        </w:rPr>
        <w:t xml:space="preserve"> 23.19)</w:t>
      </w:r>
    </w:p>
    <w:p w14:paraId="3CC1736C" w14:textId="77777777" w:rsidR="004B585C" w:rsidRPr="001C26EF" w:rsidRDefault="004B585C" w:rsidP="00327184">
      <w:pPr>
        <w:spacing w:after="0" w:line="240" w:lineRule="auto"/>
        <w:jc w:val="both"/>
        <w:rPr>
          <w:sz w:val="18"/>
          <w:szCs w:val="18"/>
        </w:rPr>
      </w:pPr>
      <w:r>
        <w:rPr>
          <w:sz w:val="18"/>
          <w:szCs w:val="18"/>
        </w:rPr>
        <w:t xml:space="preserve">6.20 </w:t>
      </w:r>
      <w:r w:rsidRPr="00CD5C44">
        <w:rPr>
          <w:sz w:val="18"/>
          <w:szCs w:val="18"/>
        </w:rPr>
        <w:t>Proporción del total de la población adulta con derechos seguros de tenencia de la tierra que posee</w:t>
      </w:r>
      <w:r>
        <w:rPr>
          <w:sz w:val="18"/>
          <w:szCs w:val="18"/>
        </w:rPr>
        <w:t xml:space="preserve"> </w:t>
      </w:r>
      <w:r w:rsidRPr="00CD5C44">
        <w:rPr>
          <w:sz w:val="18"/>
          <w:szCs w:val="18"/>
        </w:rPr>
        <w:t>documentación reconocida legalmente al respecto y considera seguros sus derechos, desglosada por sexo y tipo de tenencia</w:t>
      </w:r>
      <w:r w:rsidRPr="007D6719">
        <w:rPr>
          <w:sz w:val="18"/>
          <w:szCs w:val="18"/>
        </w:rPr>
        <w:t xml:space="preserve"> </w:t>
      </w:r>
      <w:r>
        <w:rPr>
          <w:sz w:val="18"/>
          <w:szCs w:val="18"/>
        </w:rPr>
        <w:t>(indicador 1.4.2 de los ODS) y por discapacidad.</w:t>
      </w:r>
    </w:p>
    <w:p w14:paraId="6475D025" w14:textId="77777777" w:rsidR="004B585C" w:rsidRPr="001C26EF" w:rsidRDefault="004B585C" w:rsidP="00327184">
      <w:pPr>
        <w:spacing w:after="0" w:line="240" w:lineRule="auto"/>
        <w:jc w:val="both"/>
        <w:rPr>
          <w:sz w:val="18"/>
          <w:szCs w:val="18"/>
        </w:rPr>
      </w:pPr>
      <w:r>
        <w:rPr>
          <w:sz w:val="18"/>
          <w:szCs w:val="18"/>
        </w:rPr>
        <w:t>6.21 Proporción del total de la población agrícola titulares de propiedad o con derechos garantizados sobre terrenos agrícolas, por sexo (indicador 5.a.1 (a) de los ODS) y por discapacidad; proporción de mujeres entre los propietarios o titulares de derechos sobre tierras agrícolas, tipo de tenencia (indicador 5.a.1 (b) de los ODS) y discapacidad.</w:t>
      </w:r>
    </w:p>
    <w:p w14:paraId="02BD60B6" w14:textId="77777777" w:rsidR="007B7B52" w:rsidRPr="001C26EF" w:rsidRDefault="007B7B52" w:rsidP="00910483">
      <w:pPr>
        <w:spacing w:after="0" w:line="240" w:lineRule="auto"/>
        <w:jc w:val="center"/>
        <w:rPr>
          <w:rFonts w:cstheme="minorHAnsi"/>
          <w:b/>
          <w:sz w:val="18"/>
          <w:szCs w:val="18"/>
        </w:rPr>
      </w:pPr>
    </w:p>
    <w:p w14:paraId="64DF9488" w14:textId="77777777" w:rsidR="0095779D" w:rsidRDefault="0095779D" w:rsidP="00910483">
      <w:pPr>
        <w:spacing w:after="0" w:line="240" w:lineRule="auto"/>
        <w:rPr>
          <w:rFonts w:cstheme="minorHAnsi"/>
          <w:b/>
          <w:sz w:val="18"/>
          <w:szCs w:val="18"/>
        </w:rPr>
      </w:pPr>
      <w:r>
        <w:br w:type="page"/>
      </w:r>
    </w:p>
    <w:p w14:paraId="25801551" w14:textId="5878E356" w:rsidR="00786018" w:rsidRDefault="00821971" w:rsidP="00910483">
      <w:pPr>
        <w:spacing w:after="0" w:line="240" w:lineRule="auto"/>
        <w:jc w:val="center"/>
        <w:outlineLvl w:val="0"/>
        <w:rPr>
          <w:b/>
          <w:sz w:val="18"/>
          <w:szCs w:val="18"/>
        </w:rPr>
      </w:pPr>
      <w:r>
        <w:rPr>
          <w:b/>
          <w:sz w:val="18"/>
          <w:szCs w:val="18"/>
        </w:rPr>
        <w:lastRenderedPageBreak/>
        <w:t>ANEXO</w:t>
      </w:r>
    </w:p>
    <w:p w14:paraId="30B642D8" w14:textId="6983DEF3" w:rsidR="0093352F" w:rsidRPr="0093352F" w:rsidRDefault="0093352F" w:rsidP="0093352F">
      <w:pPr>
        <w:spacing w:after="0" w:line="240" w:lineRule="auto"/>
        <w:contextualSpacing/>
        <w:rPr>
          <w:rFonts w:cstheme="minorHAnsi"/>
          <w:b/>
          <w:sz w:val="18"/>
          <w:szCs w:val="18"/>
        </w:rPr>
      </w:pPr>
      <w:r>
        <w:rPr>
          <w:sz w:val="18"/>
          <w:szCs w:val="18"/>
        </w:rPr>
        <w:t>*V</w:t>
      </w:r>
      <w:r w:rsidRPr="00550281">
        <w:rPr>
          <w:sz w:val="18"/>
          <w:szCs w:val="18"/>
        </w:rPr>
        <w:t xml:space="preserve">éase la </w:t>
      </w:r>
      <w:hyperlink r:id="rId11" w:history="1">
        <w:r w:rsidRPr="0093352F">
          <w:rPr>
            <w:rStyle w:val="Lienhypertexte"/>
            <w:sz w:val="18"/>
            <w:szCs w:val="18"/>
          </w:rPr>
          <w:t>Observación general Nº 3</w:t>
        </w:r>
      </w:hyperlink>
      <w:r w:rsidRPr="0093352F">
        <w:t xml:space="preserve"> </w:t>
      </w:r>
      <w:r>
        <w:rPr>
          <w:sz w:val="18"/>
          <w:szCs w:val="18"/>
        </w:rPr>
        <w:t>del Comité de la CDPD.</w:t>
      </w:r>
    </w:p>
    <w:sectPr w:rsidR="0093352F" w:rsidRPr="0093352F" w:rsidSect="00405C57">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D5D81" w14:textId="77777777" w:rsidR="00CF7A9E" w:rsidRDefault="00CF7A9E" w:rsidP="00260918">
      <w:pPr>
        <w:spacing w:after="0" w:line="240" w:lineRule="auto"/>
      </w:pPr>
      <w:r>
        <w:separator/>
      </w:r>
    </w:p>
  </w:endnote>
  <w:endnote w:type="continuationSeparator" w:id="0">
    <w:p w14:paraId="403CBD03" w14:textId="77777777" w:rsidR="00CF7A9E" w:rsidRDefault="00CF7A9E" w:rsidP="00260918">
      <w:pPr>
        <w:spacing w:after="0" w:line="240" w:lineRule="auto"/>
      </w:pPr>
      <w:r>
        <w:continuationSeparator/>
      </w:r>
    </w:p>
  </w:endnote>
  <w:endnote w:id="1">
    <w:p w14:paraId="16BF1A73" w14:textId="77777777" w:rsidR="004B585C" w:rsidRPr="0095779D" w:rsidRDefault="004B585C" w:rsidP="00D37179">
      <w:pPr>
        <w:pStyle w:val="Notedefin"/>
        <w:jc w:val="both"/>
        <w:rPr>
          <w:sz w:val="18"/>
          <w:szCs w:val="18"/>
        </w:rPr>
      </w:pPr>
      <w:r>
        <w:rPr>
          <w:rStyle w:val="Appeldenotedefin"/>
          <w:sz w:val="18"/>
          <w:szCs w:val="18"/>
        </w:rPr>
        <w:endnoteRef/>
      </w:r>
      <w:r>
        <w:rPr>
          <w:sz w:val="18"/>
          <w:szCs w:val="18"/>
        </w:rPr>
        <w:t xml:space="preserve"> Esta legislación debería, de forma explícita:</w:t>
      </w:r>
    </w:p>
    <w:p w14:paraId="3C665CAF" w14:textId="77777777" w:rsidR="004B585C" w:rsidRPr="0095779D" w:rsidRDefault="004B585C" w:rsidP="00D37179">
      <w:pPr>
        <w:pStyle w:val="Notedefin"/>
        <w:numPr>
          <w:ilvl w:val="0"/>
          <w:numId w:val="11"/>
        </w:numPr>
        <w:jc w:val="both"/>
        <w:rPr>
          <w:sz w:val="18"/>
          <w:szCs w:val="18"/>
        </w:rPr>
      </w:pPr>
      <w:r>
        <w:rPr>
          <w:sz w:val="18"/>
          <w:szCs w:val="18"/>
        </w:rPr>
        <w:t xml:space="preserve">prohibir la discriminación basada en la discapacidad y el género, incluida la violencia basada en el género (véase </w:t>
      </w:r>
      <w:hyperlink r:id="rId1" w:history="1">
        <w:r w:rsidRPr="0093352F">
          <w:rPr>
            <w:rStyle w:val="Lienhypertexte"/>
            <w:sz w:val="18"/>
            <w:szCs w:val="18"/>
          </w:rPr>
          <w:t>CEDAW/C/GC/35</w:t>
        </w:r>
      </w:hyperlink>
      <w:r>
        <w:rPr>
          <w:sz w:val="18"/>
          <w:szCs w:val="18"/>
        </w:rPr>
        <w:t>, párr. 14), reconociendo las formas</w:t>
      </w:r>
      <w:r w:rsidDel="00725387">
        <w:rPr>
          <w:sz w:val="18"/>
          <w:szCs w:val="18"/>
        </w:rPr>
        <w:t xml:space="preserve"> </w:t>
      </w:r>
      <w:r>
        <w:rPr>
          <w:sz w:val="18"/>
          <w:szCs w:val="18"/>
        </w:rPr>
        <w:t xml:space="preserve">múltiples e inter seccionales de discriminación. </w:t>
      </w:r>
    </w:p>
    <w:p w14:paraId="3DFE742D" w14:textId="77777777" w:rsidR="004B585C" w:rsidRPr="0095779D" w:rsidRDefault="004B585C" w:rsidP="00D37179">
      <w:pPr>
        <w:pStyle w:val="Notedefin"/>
        <w:numPr>
          <w:ilvl w:val="0"/>
          <w:numId w:val="11"/>
        </w:numPr>
        <w:jc w:val="both"/>
        <w:rPr>
          <w:sz w:val="18"/>
          <w:szCs w:val="18"/>
        </w:rPr>
      </w:pPr>
      <w:r>
        <w:rPr>
          <w:sz w:val="18"/>
          <w:szCs w:val="18"/>
        </w:rPr>
        <w:t>reconocer que la denegación de ajustes razonables constituye una discriminación basada en la discapacidad</w:t>
      </w:r>
    </w:p>
    <w:p w14:paraId="65BBAA94" w14:textId="77777777" w:rsidR="004B585C" w:rsidRPr="00FC3F77" w:rsidRDefault="004B585C">
      <w:pPr>
        <w:pStyle w:val="Notedefin"/>
        <w:numPr>
          <w:ilvl w:val="0"/>
          <w:numId w:val="11"/>
        </w:numPr>
        <w:jc w:val="both"/>
        <w:rPr>
          <w:sz w:val="18"/>
          <w:szCs w:val="18"/>
        </w:rPr>
      </w:pPr>
      <w:r>
        <w:rPr>
          <w:sz w:val="18"/>
          <w:szCs w:val="18"/>
        </w:rPr>
        <w:t>proveer sanciones efectivas y recursos proporcionales a la gravedad de la violación.</w:t>
      </w:r>
    </w:p>
  </w:endnote>
  <w:endnote w:id="2">
    <w:p w14:paraId="6B8BCD80" w14:textId="4D58C34F" w:rsidR="004B585C" w:rsidRPr="0095779D" w:rsidRDefault="004B585C" w:rsidP="00B77BD7">
      <w:pPr>
        <w:pStyle w:val="Notedefin"/>
        <w:jc w:val="both"/>
        <w:rPr>
          <w:rFonts w:cstheme="minorHAnsi"/>
          <w:sz w:val="18"/>
          <w:szCs w:val="18"/>
        </w:rPr>
      </w:pPr>
      <w:r>
        <w:rPr>
          <w:rStyle w:val="Appeldenotedefin"/>
          <w:rFonts w:cstheme="minorHAnsi"/>
          <w:sz w:val="18"/>
          <w:szCs w:val="18"/>
        </w:rPr>
        <w:endnoteRef/>
      </w:r>
      <w:r>
        <w:rPr>
          <w:sz w:val="18"/>
          <w:szCs w:val="18"/>
        </w:rPr>
        <w:t xml:space="preserve"> </w:t>
      </w:r>
      <w:r w:rsidR="0076620B" w:rsidRPr="00574BE6">
        <w:rPr>
          <w:sz w:val="18"/>
          <w:szCs w:val="18"/>
        </w:rPr>
        <w:t>En particular, mediante la realización de evaluaciones de impacto de género y discapacidad para determinar y prever el impacto de cualquier política, legislación, regulación, presupuesto, inversión u otra acción gubernamental propuesta para evitar que socave la igualdad e inclusión de mujeres y niñas</w:t>
      </w:r>
      <w:r w:rsidR="0076620B">
        <w:rPr>
          <w:sz w:val="18"/>
          <w:szCs w:val="18"/>
        </w:rPr>
        <w:t xml:space="preserve"> con discapacidad, incluidas las que viven en zonas rurales, las mujeres adultas mayores y las que pertenecen a grupos indígenas o </w:t>
      </w:r>
      <w:proofErr w:type="spellStart"/>
      <w:r w:rsidR="0076620B">
        <w:rPr>
          <w:sz w:val="18"/>
          <w:szCs w:val="18"/>
        </w:rPr>
        <w:t>minoritarios</w:t>
      </w:r>
      <w:r>
        <w:rPr>
          <w:sz w:val="18"/>
          <w:szCs w:val="18"/>
        </w:rPr>
        <w:t>.</w:t>
      </w:r>
    </w:p>
    <w:proofErr w:type="spellEnd"/>
  </w:endnote>
  <w:endnote w:id="3">
    <w:p w14:paraId="6D578A41" w14:textId="77777777" w:rsidR="004B585C" w:rsidRPr="0095779D" w:rsidRDefault="004B585C" w:rsidP="00B77BD7">
      <w:pPr>
        <w:spacing w:after="0" w:line="240" w:lineRule="auto"/>
        <w:jc w:val="both"/>
        <w:rPr>
          <w:rFonts w:cstheme="minorHAnsi"/>
          <w:sz w:val="18"/>
          <w:szCs w:val="18"/>
        </w:rPr>
      </w:pPr>
      <w:r>
        <w:rPr>
          <w:rStyle w:val="Appeldenotedefin"/>
          <w:rFonts w:cstheme="minorHAnsi"/>
          <w:sz w:val="18"/>
          <w:szCs w:val="18"/>
        </w:rPr>
        <w:endnoteRef/>
      </w:r>
      <w:r>
        <w:rPr>
          <w:sz w:val="18"/>
          <w:szCs w:val="18"/>
        </w:rPr>
        <w:t xml:space="preserve"> Un en</w:t>
      </w:r>
      <w:r>
        <w:rPr>
          <w:sz w:val="18"/>
          <w:szCs w:val="18"/>
        </w:rPr>
        <w:t xml:space="preserve">foque de doble vía combina programas </w:t>
      </w:r>
      <w:r w:rsidRPr="00FC3F77">
        <w:rPr>
          <w:sz w:val="18"/>
          <w:szCs w:val="18"/>
        </w:rPr>
        <w:t>generales con intervenciones específicas</w:t>
      </w:r>
      <w:r>
        <w:rPr>
          <w:sz w:val="18"/>
          <w:szCs w:val="18"/>
        </w:rPr>
        <w:t xml:space="preserve"> para las mujeres y niñas con discapacidad; </w:t>
      </w:r>
      <w:r w:rsidRPr="00FC3F77">
        <w:rPr>
          <w:sz w:val="18"/>
          <w:szCs w:val="18"/>
        </w:rPr>
        <w:t>debe</w:t>
      </w:r>
      <w:r>
        <w:rPr>
          <w:sz w:val="18"/>
          <w:szCs w:val="18"/>
        </w:rPr>
        <w:t xml:space="preserve">rían darse </w:t>
      </w:r>
      <w:r w:rsidRPr="00FC3F77">
        <w:rPr>
          <w:sz w:val="18"/>
          <w:szCs w:val="18"/>
        </w:rPr>
        <w:t>acciones y referencias explícitas a los derechos de la</w:t>
      </w:r>
      <w:r>
        <w:rPr>
          <w:sz w:val="18"/>
          <w:szCs w:val="18"/>
        </w:rPr>
        <w:t>s</w:t>
      </w:r>
      <w:r w:rsidRPr="00FC3F77">
        <w:rPr>
          <w:sz w:val="18"/>
          <w:szCs w:val="18"/>
        </w:rPr>
        <w:t xml:space="preserve"> mujer</w:t>
      </w:r>
      <w:r>
        <w:rPr>
          <w:sz w:val="18"/>
          <w:szCs w:val="18"/>
        </w:rPr>
        <w:t>es y las niñas con discapacidad en todos los planes/estrategias/políticas nacionales generales relativos a las mujeres, los niños y las personas con discapacidad en todos los planes sectoriales, así como programas e iniciativas supervisados y dirigidos específicamente a mujeres y niñas con discapacidad.</w:t>
      </w:r>
    </w:p>
  </w:endnote>
  <w:endnote w:id="4">
    <w:p w14:paraId="525FC909" w14:textId="77777777" w:rsidR="004B585C" w:rsidRPr="0095779D" w:rsidRDefault="004B585C" w:rsidP="00B77BD7">
      <w:pPr>
        <w:pStyle w:val="Notedefin"/>
        <w:jc w:val="both"/>
        <w:rPr>
          <w:sz w:val="18"/>
          <w:szCs w:val="18"/>
        </w:rPr>
      </w:pPr>
      <w:r>
        <w:rPr>
          <w:rStyle w:val="Appeldenotedefin"/>
          <w:sz w:val="18"/>
          <w:szCs w:val="18"/>
        </w:rPr>
        <w:endnoteRef/>
      </w:r>
      <w:r>
        <w:rPr>
          <w:sz w:val="18"/>
          <w:szCs w:val="18"/>
        </w:rPr>
        <w:t xml:space="preserve"> Adopción de un indicador de género y discapacidad para realizar seguimiento del presupuesto asignado en todos los sectores. </w:t>
      </w:r>
    </w:p>
  </w:endnote>
  <w:endnote w:id="5">
    <w:p w14:paraId="3FB04DFD" w14:textId="77777777" w:rsidR="004B585C" w:rsidRPr="0095779D" w:rsidRDefault="004B585C" w:rsidP="00ED3D69">
      <w:pPr>
        <w:pStyle w:val="Notedefin"/>
        <w:jc w:val="both"/>
        <w:rPr>
          <w:sz w:val="18"/>
          <w:szCs w:val="18"/>
        </w:rPr>
      </w:pPr>
      <w:r>
        <w:rPr>
          <w:rStyle w:val="Appeldenotedefin"/>
          <w:sz w:val="18"/>
          <w:szCs w:val="18"/>
        </w:rPr>
        <w:endnoteRef/>
      </w:r>
      <w:r>
        <w:rPr>
          <w:sz w:val="18"/>
          <w:szCs w:val="18"/>
        </w:rPr>
        <w:t xml:space="preserve"> también por edad y discapacidad, entre otros.</w:t>
      </w:r>
    </w:p>
  </w:endnote>
  <w:endnote w:id="6">
    <w:p w14:paraId="69ACB614" w14:textId="77777777" w:rsidR="004B585C" w:rsidRPr="0095779D" w:rsidRDefault="004B585C">
      <w:pPr>
        <w:pStyle w:val="Notedefin"/>
        <w:rPr>
          <w:sz w:val="18"/>
          <w:szCs w:val="18"/>
        </w:rPr>
      </w:pPr>
      <w:r>
        <w:rPr>
          <w:rStyle w:val="Appeldenotedefin"/>
          <w:sz w:val="18"/>
          <w:szCs w:val="18"/>
        </w:rPr>
        <w:endnoteRef/>
      </w:r>
      <w:r>
        <w:rPr>
          <w:sz w:val="18"/>
          <w:szCs w:val="18"/>
        </w:rPr>
        <w:t xml:space="preserve"> Por ejemplo, legislación y políticas nacionales sobre igualdad de género, plan de acción nacional sobre discapacidad, programa sobre derechos sexuales y reproductivos de las personas con discapacidad, etc.  </w:t>
      </w:r>
    </w:p>
  </w:endnote>
  <w:endnote w:id="7">
    <w:p w14:paraId="21D20EEF" w14:textId="77777777" w:rsidR="004B585C" w:rsidRPr="0095779D" w:rsidRDefault="004B585C" w:rsidP="00ED3D69">
      <w:pPr>
        <w:pStyle w:val="Notedefin"/>
        <w:jc w:val="both"/>
        <w:rPr>
          <w:sz w:val="18"/>
          <w:szCs w:val="18"/>
        </w:rPr>
      </w:pPr>
      <w:r>
        <w:rPr>
          <w:rStyle w:val="Appeldenotedefin"/>
          <w:sz w:val="18"/>
          <w:szCs w:val="18"/>
        </w:rPr>
        <w:endnoteRef/>
      </w:r>
      <w:r>
        <w:rPr>
          <w:sz w:val="18"/>
          <w:szCs w:val="18"/>
        </w:rPr>
        <w:t xml:space="preserve"> Incluso en relación con políticas e iniciativas dirigidas a: mujeres y niñas, personas con discapacidad, niños, salud, empleo, educación, justicia, protección social, prevención de la violencia, participación, etc.</w:t>
      </w:r>
    </w:p>
  </w:endnote>
  <w:endnote w:id="8">
    <w:p w14:paraId="1293AF5C" w14:textId="77777777" w:rsidR="004B585C" w:rsidRPr="0093352F" w:rsidRDefault="004B585C" w:rsidP="00FC3F77">
      <w:pPr>
        <w:pStyle w:val="Notedefin"/>
        <w:jc w:val="both"/>
      </w:pPr>
      <w:r>
        <w:rPr>
          <w:rStyle w:val="Appeldenotedefin"/>
        </w:rPr>
        <w:endnoteRef/>
      </w:r>
      <w:r w:rsidRPr="00FC3F77">
        <w:rPr>
          <w:sz w:val="18"/>
          <w:szCs w:val="18"/>
        </w:rPr>
        <w:t xml:space="preserve"> </w:t>
      </w:r>
      <w:r w:rsidRPr="00BA0585">
        <w:rPr>
          <w:sz w:val="18"/>
          <w:szCs w:val="18"/>
        </w:rPr>
        <w:t xml:space="preserve">Las actividades de capacitación y </w:t>
      </w:r>
      <w:r>
        <w:rPr>
          <w:sz w:val="18"/>
          <w:szCs w:val="18"/>
        </w:rPr>
        <w:t>concienciación</w:t>
      </w:r>
      <w:r w:rsidRPr="00BA0585">
        <w:rPr>
          <w:sz w:val="18"/>
          <w:szCs w:val="18"/>
        </w:rPr>
        <w:t xml:space="preserve"> deben incluir </w:t>
      </w:r>
      <w:r>
        <w:rPr>
          <w:sz w:val="18"/>
          <w:szCs w:val="18"/>
        </w:rPr>
        <w:t xml:space="preserve">y </w:t>
      </w:r>
      <w:r w:rsidRPr="00A41C54">
        <w:rPr>
          <w:sz w:val="18"/>
          <w:szCs w:val="18"/>
        </w:rPr>
        <w:t xml:space="preserve">estar dirigidas </w:t>
      </w:r>
      <w:r>
        <w:rPr>
          <w:sz w:val="18"/>
          <w:szCs w:val="18"/>
        </w:rPr>
        <w:t xml:space="preserve">a </w:t>
      </w:r>
      <w:r w:rsidRPr="00BA0585">
        <w:rPr>
          <w:sz w:val="18"/>
          <w:szCs w:val="18"/>
        </w:rPr>
        <w:t xml:space="preserve">mujeres con discapacidad de los grupos </w:t>
      </w:r>
      <w:r>
        <w:rPr>
          <w:sz w:val="18"/>
          <w:szCs w:val="18"/>
        </w:rPr>
        <w:t>infrar</w:t>
      </w:r>
      <w:r w:rsidRPr="00BA0585">
        <w:rPr>
          <w:sz w:val="18"/>
          <w:szCs w:val="18"/>
        </w:rPr>
        <w:t>representados</w:t>
      </w:r>
      <w:r>
        <w:rPr>
          <w:sz w:val="18"/>
          <w:szCs w:val="18"/>
        </w:rPr>
        <w:t xml:space="preserve"> </w:t>
      </w:r>
      <w:r w:rsidRPr="00BA0585">
        <w:rPr>
          <w:sz w:val="18"/>
          <w:szCs w:val="18"/>
        </w:rPr>
        <w:t xml:space="preserve">como las mujeres indígenas con discapacidad. Véase Comité de la </w:t>
      </w:r>
      <w:r w:rsidRPr="0093352F">
        <w:rPr>
          <w:sz w:val="18"/>
          <w:szCs w:val="18"/>
        </w:rPr>
        <w:t xml:space="preserve">CDPD, </w:t>
      </w:r>
      <w:hyperlink r:id="rId2" w:history="1">
        <w:r w:rsidRPr="0093352F">
          <w:rPr>
            <w:rStyle w:val="Lienhypertexte"/>
            <w:sz w:val="18"/>
            <w:szCs w:val="18"/>
          </w:rPr>
          <w:t>Observación general Nº 7</w:t>
        </w:r>
      </w:hyperlink>
      <w:r w:rsidRPr="0093352F">
        <w:rPr>
          <w:sz w:val="18"/>
          <w:szCs w:val="18"/>
        </w:rPr>
        <w:t>, párr. 60.</w:t>
      </w:r>
    </w:p>
  </w:endnote>
  <w:endnote w:id="9">
    <w:p w14:paraId="46BB094E" w14:textId="77777777" w:rsidR="004B585C" w:rsidRPr="0093352F" w:rsidRDefault="004B585C" w:rsidP="00FC3F77">
      <w:pPr>
        <w:pStyle w:val="Notedefin"/>
        <w:jc w:val="both"/>
        <w:rPr>
          <w:sz w:val="18"/>
          <w:szCs w:val="18"/>
        </w:rPr>
      </w:pPr>
      <w:r w:rsidRPr="0093352F">
        <w:rPr>
          <w:rStyle w:val="Appeldenotedefin"/>
          <w:sz w:val="18"/>
          <w:szCs w:val="18"/>
        </w:rPr>
        <w:endnoteRef/>
      </w:r>
      <w:r w:rsidRPr="0093352F">
        <w:rPr>
          <w:sz w:val="18"/>
          <w:szCs w:val="18"/>
        </w:rPr>
        <w:t xml:space="preserve"> La capacitación debe incluir:</w:t>
      </w:r>
    </w:p>
    <w:p w14:paraId="1060C79C" w14:textId="61499147" w:rsidR="004B585C" w:rsidRDefault="004B585C" w:rsidP="00FC3F77">
      <w:pPr>
        <w:pStyle w:val="Notedefin"/>
        <w:jc w:val="both"/>
        <w:rPr>
          <w:sz w:val="18"/>
          <w:szCs w:val="18"/>
        </w:rPr>
      </w:pPr>
      <w:r w:rsidRPr="0093352F">
        <w:rPr>
          <w:sz w:val="18"/>
          <w:szCs w:val="18"/>
        </w:rPr>
        <w:t>- El enfoque de la discapacidad</w:t>
      </w:r>
      <w:r w:rsidRPr="00FC3F77">
        <w:rPr>
          <w:sz w:val="18"/>
          <w:szCs w:val="18"/>
        </w:rPr>
        <w:t xml:space="preserve"> basado en los derechos humanos; </w:t>
      </w:r>
    </w:p>
    <w:p w14:paraId="5E5739FE" w14:textId="33F984FC" w:rsidR="0076620B" w:rsidRPr="00FC3F77" w:rsidRDefault="0076620B" w:rsidP="00FC3F77">
      <w:pPr>
        <w:pStyle w:val="Notedefin"/>
        <w:jc w:val="both"/>
        <w:rPr>
          <w:sz w:val="18"/>
          <w:szCs w:val="18"/>
        </w:rPr>
      </w:pPr>
      <w:r>
        <w:rPr>
          <w:sz w:val="18"/>
          <w:szCs w:val="18"/>
        </w:rPr>
        <w:t xml:space="preserve">- </w:t>
      </w:r>
      <w:r w:rsidRPr="0076620B">
        <w:rPr>
          <w:sz w:val="18"/>
          <w:szCs w:val="18"/>
        </w:rPr>
        <w:t xml:space="preserve">Evaluaciones de impacto de género y discapacidad que incluyan a mujeres y niñas con </w:t>
      </w:r>
      <w:r w:rsidRPr="0076620B">
        <w:rPr>
          <w:sz w:val="18"/>
          <w:szCs w:val="18"/>
        </w:rPr>
        <w:t>discapacida</w:t>
      </w:r>
      <w:r>
        <w:rPr>
          <w:sz w:val="18"/>
          <w:szCs w:val="18"/>
        </w:rPr>
        <w:t>d;</w:t>
      </w:r>
    </w:p>
    <w:p w14:paraId="6BD67014" w14:textId="77777777" w:rsidR="004B585C" w:rsidRPr="00FC3F77" w:rsidRDefault="004B585C" w:rsidP="00FC3F77">
      <w:pPr>
        <w:pStyle w:val="Notedefin"/>
        <w:jc w:val="both"/>
        <w:rPr>
          <w:sz w:val="18"/>
          <w:szCs w:val="18"/>
        </w:rPr>
      </w:pPr>
      <w:r>
        <w:rPr>
          <w:sz w:val="18"/>
          <w:szCs w:val="18"/>
        </w:rPr>
        <w:t>- L</w:t>
      </w:r>
      <w:r w:rsidRPr="00FC3F77">
        <w:rPr>
          <w:sz w:val="18"/>
          <w:szCs w:val="18"/>
        </w:rPr>
        <w:t>a obligación de proporcionar ajustes razonables;</w:t>
      </w:r>
    </w:p>
    <w:p w14:paraId="1C96A940" w14:textId="77777777" w:rsidR="004B585C" w:rsidRPr="00FC3F77" w:rsidRDefault="004B585C" w:rsidP="00FC3F77">
      <w:pPr>
        <w:pStyle w:val="Notedefin"/>
        <w:jc w:val="both"/>
        <w:rPr>
          <w:sz w:val="18"/>
          <w:szCs w:val="18"/>
        </w:rPr>
      </w:pPr>
      <w:r w:rsidRPr="00FC3F77">
        <w:rPr>
          <w:sz w:val="18"/>
          <w:szCs w:val="18"/>
        </w:rPr>
        <w:t xml:space="preserve">- Formas de comunicación accesibles y alternativas; </w:t>
      </w:r>
    </w:p>
    <w:p w14:paraId="5AE7CB00" w14:textId="77777777" w:rsidR="004B585C" w:rsidRPr="00FC3F77" w:rsidRDefault="004B585C" w:rsidP="00FC3F77">
      <w:pPr>
        <w:pStyle w:val="Notedefin"/>
        <w:jc w:val="both"/>
        <w:rPr>
          <w:sz w:val="18"/>
          <w:szCs w:val="18"/>
        </w:rPr>
      </w:pPr>
      <w:r w:rsidRPr="00FC3F77">
        <w:rPr>
          <w:sz w:val="18"/>
          <w:szCs w:val="18"/>
        </w:rPr>
        <w:t xml:space="preserve">- La prestación de asistencia </w:t>
      </w:r>
      <w:r>
        <w:rPr>
          <w:sz w:val="18"/>
          <w:szCs w:val="18"/>
        </w:rPr>
        <w:t>por</w:t>
      </w:r>
      <w:r w:rsidRPr="00FC3F77">
        <w:rPr>
          <w:sz w:val="18"/>
          <w:szCs w:val="18"/>
        </w:rPr>
        <w:t xml:space="preserve"> discapacidad</w:t>
      </w:r>
      <w:r>
        <w:rPr>
          <w:sz w:val="18"/>
          <w:szCs w:val="18"/>
        </w:rPr>
        <w:t xml:space="preserve"> de acuerdo a</w:t>
      </w:r>
      <w:r w:rsidRPr="00FC3F77">
        <w:rPr>
          <w:sz w:val="18"/>
          <w:szCs w:val="18"/>
        </w:rPr>
        <w:t xml:space="preserve"> edad; </w:t>
      </w:r>
    </w:p>
    <w:p w14:paraId="0963952C" w14:textId="77777777" w:rsidR="004B585C" w:rsidRPr="0095779D" w:rsidRDefault="004B585C" w:rsidP="00FC3F77">
      <w:pPr>
        <w:pStyle w:val="Notedefin"/>
        <w:jc w:val="both"/>
        <w:rPr>
          <w:sz w:val="18"/>
          <w:szCs w:val="18"/>
        </w:rPr>
      </w:pPr>
      <w:r w:rsidRPr="00FC3F77">
        <w:rPr>
          <w:sz w:val="18"/>
          <w:szCs w:val="18"/>
        </w:rPr>
        <w:t>- La participación de mujeres y niñas con discapacidad e</w:t>
      </w:r>
      <w:r>
        <w:rPr>
          <w:sz w:val="18"/>
          <w:szCs w:val="18"/>
        </w:rPr>
        <w:t xml:space="preserve">n el diseño, la aplicación y el monitoreo </w:t>
      </w:r>
      <w:r w:rsidRPr="00FC3F77">
        <w:rPr>
          <w:sz w:val="18"/>
          <w:szCs w:val="18"/>
        </w:rPr>
        <w:t>de la capacitación.</w:t>
      </w:r>
    </w:p>
  </w:endnote>
  <w:endnote w:id="10">
    <w:p w14:paraId="4C5E681D" w14:textId="77777777" w:rsidR="004B585C" w:rsidRPr="0095779D" w:rsidRDefault="004B585C" w:rsidP="00910483">
      <w:pPr>
        <w:pStyle w:val="Notedefin"/>
        <w:jc w:val="both"/>
        <w:rPr>
          <w:sz w:val="18"/>
          <w:szCs w:val="18"/>
        </w:rPr>
      </w:pPr>
      <w:r>
        <w:rPr>
          <w:rStyle w:val="Appeldenotedefin"/>
          <w:sz w:val="18"/>
          <w:szCs w:val="18"/>
        </w:rPr>
        <w:endnoteRef/>
      </w:r>
      <w:r>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y </w:t>
      </w:r>
      <w:hyperlink r:id="rId3" w:history="1">
        <w:r w:rsidRPr="0093352F">
          <w:rPr>
            <w:rStyle w:val="Lienhypertexte"/>
            <w:sz w:val="18"/>
            <w:szCs w:val="18"/>
          </w:rPr>
          <w:t>la Observación General N.º 7</w:t>
        </w:r>
      </w:hyperlink>
      <w:r>
        <w:rPr>
          <w:sz w:val="18"/>
          <w:szCs w:val="18"/>
        </w:rPr>
        <w:t xml:space="preserve"> del Comité, incluidas reuniones de consulta, sesiones informativas técnicas, encuestas de consulta en línea, solicitud de comentarios sobre proyectos de ley y políticas, entre otros métodos participativos. A este respecto, los Estados deben:</w:t>
      </w:r>
    </w:p>
    <w:p w14:paraId="5CCD040A" w14:textId="77777777" w:rsidR="004B585C" w:rsidRPr="0095779D" w:rsidRDefault="004B585C" w:rsidP="00910483">
      <w:pPr>
        <w:pStyle w:val="Notedefin"/>
        <w:numPr>
          <w:ilvl w:val="0"/>
          <w:numId w:val="5"/>
        </w:numPr>
        <w:rPr>
          <w:sz w:val="18"/>
          <w:szCs w:val="18"/>
        </w:rPr>
      </w:pPr>
      <w:r>
        <w:rPr>
          <w:sz w:val="18"/>
          <w:szCs w:val="18"/>
        </w:rPr>
        <w:t>garantizar la transparencia y accesibilidad de los procesos de consulta;</w:t>
      </w:r>
    </w:p>
    <w:p w14:paraId="4020D5DD" w14:textId="77777777" w:rsidR="004B585C" w:rsidRPr="0095779D" w:rsidRDefault="004B585C" w:rsidP="00910483">
      <w:pPr>
        <w:pStyle w:val="Notedefin"/>
        <w:numPr>
          <w:ilvl w:val="0"/>
          <w:numId w:val="5"/>
        </w:numPr>
        <w:rPr>
          <w:sz w:val="18"/>
          <w:szCs w:val="18"/>
        </w:rPr>
      </w:pPr>
      <w:r>
        <w:rPr>
          <w:sz w:val="18"/>
          <w:szCs w:val="18"/>
        </w:rPr>
        <w:t>garantizar la disponibilidad de información apropiada y accesible;</w:t>
      </w:r>
    </w:p>
    <w:p w14:paraId="46B95E25" w14:textId="77777777" w:rsidR="004B585C" w:rsidRPr="0095779D" w:rsidRDefault="004B585C" w:rsidP="00910483">
      <w:pPr>
        <w:pStyle w:val="Notedefin"/>
        <w:numPr>
          <w:ilvl w:val="0"/>
          <w:numId w:val="5"/>
        </w:numPr>
        <w:rPr>
          <w:sz w:val="18"/>
          <w:szCs w:val="18"/>
        </w:rPr>
      </w:pPr>
      <w:r>
        <w:rPr>
          <w:sz w:val="18"/>
          <w:szCs w:val="18"/>
        </w:rPr>
        <w:t>no retener información ni condicionar o impedir que las organizaciones de personas con discapacidad expresen libremente sus opiniones;</w:t>
      </w:r>
    </w:p>
    <w:p w14:paraId="505D89A2" w14:textId="77777777" w:rsidR="004B585C" w:rsidRPr="0095779D" w:rsidRDefault="004B585C" w:rsidP="00910483">
      <w:pPr>
        <w:pStyle w:val="Notedefin"/>
        <w:numPr>
          <w:ilvl w:val="0"/>
          <w:numId w:val="5"/>
        </w:numPr>
        <w:rPr>
          <w:sz w:val="18"/>
          <w:szCs w:val="18"/>
        </w:rPr>
      </w:pPr>
      <w:r>
        <w:rPr>
          <w:sz w:val="18"/>
          <w:szCs w:val="18"/>
        </w:rPr>
        <w:t>incluir tanto a las organizaciones registradas como a las no registradas;</w:t>
      </w:r>
    </w:p>
    <w:p w14:paraId="2F75DDAD" w14:textId="77777777" w:rsidR="004B585C" w:rsidRPr="0095779D" w:rsidRDefault="004B585C" w:rsidP="00910483">
      <w:pPr>
        <w:pStyle w:val="Notedefin"/>
        <w:numPr>
          <w:ilvl w:val="0"/>
          <w:numId w:val="5"/>
        </w:numPr>
        <w:rPr>
          <w:sz w:val="18"/>
          <w:szCs w:val="18"/>
        </w:rPr>
      </w:pPr>
      <w:r>
        <w:rPr>
          <w:sz w:val="18"/>
          <w:szCs w:val="18"/>
        </w:rPr>
        <w:t>garantizar una participación temprana y continua;</w:t>
      </w:r>
    </w:p>
    <w:p w14:paraId="57C5F6CF" w14:textId="77777777" w:rsidR="004B585C" w:rsidRPr="0095779D" w:rsidRDefault="004B585C" w:rsidP="00910483">
      <w:pPr>
        <w:pStyle w:val="Notedefin"/>
        <w:numPr>
          <w:ilvl w:val="0"/>
          <w:numId w:val="5"/>
        </w:numPr>
        <w:rPr>
          <w:sz w:val="18"/>
          <w:szCs w:val="18"/>
        </w:rPr>
      </w:pPr>
      <w:r>
        <w:rPr>
          <w:sz w:val="18"/>
          <w:szCs w:val="18"/>
        </w:rPr>
        <w:t>cubrir los gastos relacionados de los participantes.</w:t>
      </w:r>
    </w:p>
  </w:endnote>
  <w:endnote w:id="11">
    <w:p w14:paraId="609A4F8B" w14:textId="77777777" w:rsidR="004B585C" w:rsidRPr="0095779D" w:rsidRDefault="004B585C" w:rsidP="00B13D49">
      <w:pPr>
        <w:pStyle w:val="Notedefin"/>
        <w:jc w:val="both"/>
        <w:rPr>
          <w:sz w:val="18"/>
          <w:szCs w:val="18"/>
        </w:rPr>
      </w:pPr>
      <w:r>
        <w:rPr>
          <w:rStyle w:val="Appeldenotedefin"/>
          <w:sz w:val="18"/>
          <w:szCs w:val="18"/>
        </w:rPr>
        <w:endnoteRef/>
      </w:r>
      <w:r>
        <w:rPr>
          <w:sz w:val="18"/>
          <w:szCs w:val="18"/>
        </w:rPr>
        <w:t xml:space="preserve"> Por ejemplo, esto puede incluir posiciones en los ministerios u órganos del gobierno a nivel de dirección, miembros del parlamento, miembros de consejos municipales,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62A5D" w14:textId="77777777" w:rsidR="00CF7A9E" w:rsidRDefault="00CF7A9E" w:rsidP="00260918">
      <w:pPr>
        <w:spacing w:after="0" w:line="240" w:lineRule="auto"/>
      </w:pPr>
      <w:r>
        <w:separator/>
      </w:r>
    </w:p>
  </w:footnote>
  <w:footnote w:type="continuationSeparator" w:id="0">
    <w:p w14:paraId="61A85D04" w14:textId="77777777" w:rsidR="00CF7A9E" w:rsidRDefault="00CF7A9E" w:rsidP="0026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2FD"/>
    <w:multiLevelType w:val="hybridMultilevel"/>
    <w:tmpl w:val="8BB08102"/>
    <w:lvl w:ilvl="0" w:tplc="0944E6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3F9"/>
    <w:multiLevelType w:val="hybridMultilevel"/>
    <w:tmpl w:val="F6CC8D86"/>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4EEC"/>
    <w:multiLevelType w:val="multilevel"/>
    <w:tmpl w:val="E2B61A4C"/>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D36385"/>
    <w:multiLevelType w:val="hybridMultilevel"/>
    <w:tmpl w:val="DFF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B69BE"/>
    <w:multiLevelType w:val="hybridMultilevel"/>
    <w:tmpl w:val="DC983A9C"/>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301821"/>
    <w:multiLevelType w:val="hybridMultilevel"/>
    <w:tmpl w:val="D86A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E6AE9"/>
    <w:multiLevelType w:val="hybridMultilevel"/>
    <w:tmpl w:val="9496AC7E"/>
    <w:lvl w:ilvl="0" w:tplc="4A924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D10F0"/>
    <w:multiLevelType w:val="hybridMultilevel"/>
    <w:tmpl w:val="1A68730A"/>
    <w:lvl w:ilvl="0" w:tplc="9A042DCA">
      <w:start w:val="16"/>
      <w:numFmt w:val="bullet"/>
      <w:lvlText w:val="-"/>
      <w:lvlJc w:val="left"/>
      <w:pPr>
        <w:ind w:left="1080" w:hanging="360"/>
      </w:pPr>
      <w:rPr>
        <w:rFonts w:ascii="Calibri" w:eastAsiaTheme="minorHAnsi" w:hAnsi="Calibri" w:cstheme="minorHAns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7"/>
  </w:num>
  <w:num w:numId="6">
    <w:abstractNumId w:val="2"/>
  </w:num>
  <w:num w:numId="7">
    <w:abstractNumId w:val="3"/>
  </w:num>
  <w:num w:numId="8">
    <w:abstractNumId w:val="6"/>
  </w:num>
  <w:num w:numId="9">
    <w:abstractNumId w:val="11"/>
  </w:num>
  <w:num w:numId="10">
    <w:abstractNumId w:val="0"/>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10863"/>
    <w:rsid w:val="00025324"/>
    <w:rsid w:val="00050155"/>
    <w:rsid w:val="00055435"/>
    <w:rsid w:val="00074DF7"/>
    <w:rsid w:val="0008129B"/>
    <w:rsid w:val="000870A5"/>
    <w:rsid w:val="000966C1"/>
    <w:rsid w:val="000A6D82"/>
    <w:rsid w:val="000C0792"/>
    <w:rsid w:val="000C4949"/>
    <w:rsid w:val="000D2C76"/>
    <w:rsid w:val="000E1C54"/>
    <w:rsid w:val="000F5D0C"/>
    <w:rsid w:val="00107465"/>
    <w:rsid w:val="00141209"/>
    <w:rsid w:val="0014593D"/>
    <w:rsid w:val="001463F1"/>
    <w:rsid w:val="001558C3"/>
    <w:rsid w:val="001C26EF"/>
    <w:rsid w:val="001D57BA"/>
    <w:rsid w:val="001E5D04"/>
    <w:rsid w:val="001E7C5C"/>
    <w:rsid w:val="002014C2"/>
    <w:rsid w:val="002165BE"/>
    <w:rsid w:val="00231B13"/>
    <w:rsid w:val="00235B74"/>
    <w:rsid w:val="00260918"/>
    <w:rsid w:val="002907D6"/>
    <w:rsid w:val="002A772D"/>
    <w:rsid w:val="002B6ECB"/>
    <w:rsid w:val="002C1CAD"/>
    <w:rsid w:val="003133C8"/>
    <w:rsid w:val="0031341F"/>
    <w:rsid w:val="00327184"/>
    <w:rsid w:val="0033503F"/>
    <w:rsid w:val="00343838"/>
    <w:rsid w:val="003471E1"/>
    <w:rsid w:val="0035090D"/>
    <w:rsid w:val="00353002"/>
    <w:rsid w:val="003619B3"/>
    <w:rsid w:val="00362D80"/>
    <w:rsid w:val="00370FDF"/>
    <w:rsid w:val="003759C9"/>
    <w:rsid w:val="00383B21"/>
    <w:rsid w:val="00385659"/>
    <w:rsid w:val="003979D7"/>
    <w:rsid w:val="003B1B73"/>
    <w:rsid w:val="003B1FB1"/>
    <w:rsid w:val="003C764D"/>
    <w:rsid w:val="003D2A4F"/>
    <w:rsid w:val="003F6489"/>
    <w:rsid w:val="00405C57"/>
    <w:rsid w:val="00424B1B"/>
    <w:rsid w:val="00442496"/>
    <w:rsid w:val="00457E79"/>
    <w:rsid w:val="00484A69"/>
    <w:rsid w:val="004A05C8"/>
    <w:rsid w:val="004A4EBA"/>
    <w:rsid w:val="004A525E"/>
    <w:rsid w:val="004B585C"/>
    <w:rsid w:val="004C732E"/>
    <w:rsid w:val="004C73CB"/>
    <w:rsid w:val="004D353F"/>
    <w:rsid w:val="004E7DF9"/>
    <w:rsid w:val="004F0AF3"/>
    <w:rsid w:val="004F1587"/>
    <w:rsid w:val="005106FE"/>
    <w:rsid w:val="00511571"/>
    <w:rsid w:val="0051418E"/>
    <w:rsid w:val="00524BD8"/>
    <w:rsid w:val="0055724F"/>
    <w:rsid w:val="005728D8"/>
    <w:rsid w:val="005766A1"/>
    <w:rsid w:val="00590E54"/>
    <w:rsid w:val="005B4BD1"/>
    <w:rsid w:val="005B5B21"/>
    <w:rsid w:val="005D367D"/>
    <w:rsid w:val="005D612B"/>
    <w:rsid w:val="00623332"/>
    <w:rsid w:val="0062480C"/>
    <w:rsid w:val="006675F9"/>
    <w:rsid w:val="00691CCF"/>
    <w:rsid w:val="006A4C2C"/>
    <w:rsid w:val="006B5CDD"/>
    <w:rsid w:val="006C2EE4"/>
    <w:rsid w:val="006D4713"/>
    <w:rsid w:val="007137DE"/>
    <w:rsid w:val="00725387"/>
    <w:rsid w:val="00731516"/>
    <w:rsid w:val="0073411F"/>
    <w:rsid w:val="007450B8"/>
    <w:rsid w:val="00747E3F"/>
    <w:rsid w:val="0075668C"/>
    <w:rsid w:val="00765C88"/>
    <w:rsid w:val="0076620B"/>
    <w:rsid w:val="0077287B"/>
    <w:rsid w:val="00776DED"/>
    <w:rsid w:val="00786018"/>
    <w:rsid w:val="007A21EA"/>
    <w:rsid w:val="007B7B52"/>
    <w:rsid w:val="007C4991"/>
    <w:rsid w:val="007C4EA4"/>
    <w:rsid w:val="007D0E7E"/>
    <w:rsid w:val="007D6719"/>
    <w:rsid w:val="007F5EF1"/>
    <w:rsid w:val="00807013"/>
    <w:rsid w:val="008110DD"/>
    <w:rsid w:val="00821971"/>
    <w:rsid w:val="00827ED5"/>
    <w:rsid w:val="00832DCB"/>
    <w:rsid w:val="00833CED"/>
    <w:rsid w:val="00843079"/>
    <w:rsid w:val="008473A2"/>
    <w:rsid w:val="0087579F"/>
    <w:rsid w:val="0088412C"/>
    <w:rsid w:val="00886B7F"/>
    <w:rsid w:val="00886D17"/>
    <w:rsid w:val="00890566"/>
    <w:rsid w:val="008B7C11"/>
    <w:rsid w:val="008C18BC"/>
    <w:rsid w:val="008E0671"/>
    <w:rsid w:val="008E63C9"/>
    <w:rsid w:val="00903B20"/>
    <w:rsid w:val="00905C08"/>
    <w:rsid w:val="00910483"/>
    <w:rsid w:val="00915587"/>
    <w:rsid w:val="0093352F"/>
    <w:rsid w:val="0095779D"/>
    <w:rsid w:val="00972CB7"/>
    <w:rsid w:val="0099444C"/>
    <w:rsid w:val="00994E33"/>
    <w:rsid w:val="009B26EF"/>
    <w:rsid w:val="009E48A4"/>
    <w:rsid w:val="009F4AA6"/>
    <w:rsid w:val="009F6E73"/>
    <w:rsid w:val="00A14CAD"/>
    <w:rsid w:val="00A3665E"/>
    <w:rsid w:val="00A46728"/>
    <w:rsid w:val="00A524BA"/>
    <w:rsid w:val="00A53D20"/>
    <w:rsid w:val="00A70BA7"/>
    <w:rsid w:val="00A87400"/>
    <w:rsid w:val="00AA6F79"/>
    <w:rsid w:val="00AB1C41"/>
    <w:rsid w:val="00AD2279"/>
    <w:rsid w:val="00AD588F"/>
    <w:rsid w:val="00B10F0A"/>
    <w:rsid w:val="00B13D49"/>
    <w:rsid w:val="00B26CC0"/>
    <w:rsid w:val="00B378E3"/>
    <w:rsid w:val="00B60925"/>
    <w:rsid w:val="00B77BD7"/>
    <w:rsid w:val="00B84C54"/>
    <w:rsid w:val="00BA0585"/>
    <w:rsid w:val="00BA1426"/>
    <w:rsid w:val="00BC35DB"/>
    <w:rsid w:val="00BD6593"/>
    <w:rsid w:val="00BF7F09"/>
    <w:rsid w:val="00C0198A"/>
    <w:rsid w:val="00C045AB"/>
    <w:rsid w:val="00C17B68"/>
    <w:rsid w:val="00C30E1A"/>
    <w:rsid w:val="00C427C3"/>
    <w:rsid w:val="00C51D8D"/>
    <w:rsid w:val="00C52FB2"/>
    <w:rsid w:val="00CA4057"/>
    <w:rsid w:val="00CA541A"/>
    <w:rsid w:val="00CA7181"/>
    <w:rsid w:val="00CB4A02"/>
    <w:rsid w:val="00CB56B1"/>
    <w:rsid w:val="00CD7496"/>
    <w:rsid w:val="00CF7A9E"/>
    <w:rsid w:val="00D1188D"/>
    <w:rsid w:val="00D277DA"/>
    <w:rsid w:val="00D2794B"/>
    <w:rsid w:val="00D37179"/>
    <w:rsid w:val="00D45533"/>
    <w:rsid w:val="00D5707D"/>
    <w:rsid w:val="00D77A80"/>
    <w:rsid w:val="00D77BAC"/>
    <w:rsid w:val="00DC16CA"/>
    <w:rsid w:val="00DC383C"/>
    <w:rsid w:val="00DD2500"/>
    <w:rsid w:val="00E0345F"/>
    <w:rsid w:val="00E67CA1"/>
    <w:rsid w:val="00E67CDC"/>
    <w:rsid w:val="00E72B46"/>
    <w:rsid w:val="00E9280A"/>
    <w:rsid w:val="00E97D21"/>
    <w:rsid w:val="00EB2F03"/>
    <w:rsid w:val="00EB673C"/>
    <w:rsid w:val="00ED0030"/>
    <w:rsid w:val="00ED201B"/>
    <w:rsid w:val="00ED3D69"/>
    <w:rsid w:val="00EF2719"/>
    <w:rsid w:val="00EF6E0E"/>
    <w:rsid w:val="00F216D2"/>
    <w:rsid w:val="00F238CA"/>
    <w:rsid w:val="00F25B8A"/>
    <w:rsid w:val="00F268FF"/>
    <w:rsid w:val="00F3576D"/>
    <w:rsid w:val="00F37F10"/>
    <w:rsid w:val="00F51AC9"/>
    <w:rsid w:val="00F63625"/>
    <w:rsid w:val="00F63784"/>
    <w:rsid w:val="00F9656F"/>
    <w:rsid w:val="00FA1107"/>
    <w:rsid w:val="00FA17CE"/>
    <w:rsid w:val="00FA1824"/>
    <w:rsid w:val="00FA7E20"/>
    <w:rsid w:val="00FC3F77"/>
    <w:rsid w:val="00FD1FB4"/>
    <w:rsid w:val="00FF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F67"/>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B1"/>
    <w:pPr>
      <w:ind w:left="720"/>
      <w:contextualSpacing/>
    </w:pPr>
  </w:style>
  <w:style w:type="table" w:styleId="Grilledutableau">
    <w:name w:val="Table Grid"/>
    <w:basedOn w:val="Tableau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75668C"/>
  </w:style>
  <w:style w:type="paragraph" w:styleId="Notedebasdepage">
    <w:name w:val="footnote text"/>
    <w:aliases w:val="5_G"/>
    <w:basedOn w:val="Normal"/>
    <w:link w:val="NotedebasdepageCar"/>
    <w:rsid w:val="00260918"/>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NotedebasdepageCar">
    <w:name w:val="Note de bas de page Car"/>
    <w:aliases w:val="5_G Car"/>
    <w:basedOn w:val="Policepardfaut"/>
    <w:link w:val="Notedebasdepage"/>
    <w:rsid w:val="00260918"/>
    <w:rPr>
      <w:rFonts w:ascii="Times New Roman" w:eastAsia="SimSun" w:hAnsi="Times New Roman" w:cs="Times New Roman"/>
      <w:sz w:val="18"/>
      <w:szCs w:val="20"/>
      <w:lang w:val="es-ES" w:eastAsia="zh-CN"/>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
    <w:link w:val="4GCharCharChar"/>
    <w:uiPriority w:val="99"/>
    <w:rsid w:val="00260918"/>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260918"/>
    <w:pPr>
      <w:spacing w:after="160" w:line="240" w:lineRule="exact"/>
      <w:jc w:val="both"/>
    </w:pPr>
    <w:rPr>
      <w:rFonts w:ascii="Times New Roman" w:hAnsi="Times New Roman"/>
      <w:sz w:val="18"/>
      <w:szCs w:val="24"/>
      <w:vertAlign w:val="superscript"/>
    </w:rPr>
  </w:style>
  <w:style w:type="character" w:styleId="Lienhypertexte">
    <w:name w:val="Hyperlink"/>
    <w:basedOn w:val="Policepardfaut"/>
    <w:uiPriority w:val="99"/>
    <w:unhideWhenUsed/>
    <w:rsid w:val="00EB2F03"/>
    <w:rPr>
      <w:color w:val="0563C1" w:themeColor="hyperlink"/>
      <w:u w:val="single"/>
    </w:rPr>
  </w:style>
  <w:style w:type="character" w:styleId="Marquedecommentaire">
    <w:name w:val="annotation reference"/>
    <w:basedOn w:val="Policepardfaut"/>
    <w:uiPriority w:val="99"/>
    <w:semiHidden/>
    <w:unhideWhenUsed/>
    <w:rsid w:val="0035090D"/>
    <w:rPr>
      <w:sz w:val="16"/>
      <w:szCs w:val="16"/>
    </w:rPr>
  </w:style>
  <w:style w:type="paragraph" w:styleId="Commentaire">
    <w:name w:val="annotation text"/>
    <w:basedOn w:val="Normal"/>
    <w:link w:val="CommentaireCar"/>
    <w:uiPriority w:val="99"/>
    <w:semiHidden/>
    <w:unhideWhenUsed/>
    <w:rsid w:val="0035090D"/>
    <w:pPr>
      <w:spacing w:line="240" w:lineRule="auto"/>
    </w:pPr>
    <w:rPr>
      <w:sz w:val="20"/>
      <w:szCs w:val="20"/>
    </w:rPr>
  </w:style>
  <w:style w:type="character" w:customStyle="1" w:styleId="CommentaireCar">
    <w:name w:val="Commentaire Car"/>
    <w:basedOn w:val="Policepardfaut"/>
    <w:link w:val="Commentaire"/>
    <w:uiPriority w:val="99"/>
    <w:semiHidden/>
    <w:rsid w:val="0035090D"/>
    <w:rPr>
      <w:sz w:val="20"/>
      <w:szCs w:val="20"/>
      <w:lang w:val="es-ES"/>
    </w:rPr>
  </w:style>
  <w:style w:type="paragraph" w:styleId="Objetducommentaire">
    <w:name w:val="annotation subject"/>
    <w:basedOn w:val="Commentaire"/>
    <w:next w:val="Commentaire"/>
    <w:link w:val="ObjetducommentaireCar"/>
    <w:uiPriority w:val="99"/>
    <w:semiHidden/>
    <w:unhideWhenUsed/>
    <w:rsid w:val="0035090D"/>
    <w:rPr>
      <w:b/>
      <w:bCs/>
    </w:rPr>
  </w:style>
  <w:style w:type="character" w:customStyle="1" w:styleId="ObjetducommentaireCar">
    <w:name w:val="Objet du commentaire Car"/>
    <w:basedOn w:val="CommentaireCar"/>
    <w:link w:val="Objetducommentaire"/>
    <w:uiPriority w:val="99"/>
    <w:semiHidden/>
    <w:rsid w:val="0035090D"/>
    <w:rPr>
      <w:b/>
      <w:bCs/>
      <w:sz w:val="20"/>
      <w:szCs w:val="20"/>
      <w:lang w:val="es-ES"/>
    </w:rPr>
  </w:style>
  <w:style w:type="paragraph" w:styleId="Textedebulles">
    <w:name w:val="Balloon Text"/>
    <w:basedOn w:val="Normal"/>
    <w:link w:val="TextedebullesCar"/>
    <w:uiPriority w:val="99"/>
    <w:semiHidden/>
    <w:unhideWhenUsed/>
    <w:rsid w:val="00350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90D"/>
    <w:rPr>
      <w:rFonts w:ascii="Segoe UI" w:hAnsi="Segoe UI" w:cs="Segoe UI"/>
      <w:sz w:val="18"/>
      <w:szCs w:val="18"/>
      <w:lang w:val="es-ES"/>
    </w:rPr>
  </w:style>
  <w:style w:type="paragraph" w:styleId="Notedefin">
    <w:name w:val="endnote text"/>
    <w:basedOn w:val="Normal"/>
    <w:link w:val="NotedefinCar"/>
    <w:uiPriority w:val="99"/>
    <w:unhideWhenUsed/>
    <w:rsid w:val="00821971"/>
    <w:pPr>
      <w:spacing w:after="0" w:line="240" w:lineRule="auto"/>
    </w:pPr>
    <w:rPr>
      <w:sz w:val="20"/>
      <w:szCs w:val="20"/>
    </w:rPr>
  </w:style>
  <w:style w:type="character" w:customStyle="1" w:styleId="NotedefinCar">
    <w:name w:val="Note de fin Car"/>
    <w:basedOn w:val="Policepardfaut"/>
    <w:link w:val="Notedefin"/>
    <w:uiPriority w:val="99"/>
    <w:rsid w:val="00821971"/>
    <w:rPr>
      <w:sz w:val="20"/>
      <w:szCs w:val="20"/>
      <w:lang w:val="es-ES"/>
    </w:rPr>
  </w:style>
  <w:style w:type="character" w:styleId="Appeldenotedefin">
    <w:name w:val="endnote reference"/>
    <w:basedOn w:val="Policepardfaut"/>
    <w:uiPriority w:val="99"/>
    <w:unhideWhenUsed/>
    <w:rsid w:val="00821971"/>
    <w:rPr>
      <w:vertAlign w:val="superscript"/>
    </w:rPr>
  </w:style>
  <w:style w:type="paragraph" w:styleId="Rvision">
    <w:name w:val="Revision"/>
    <w:hidden/>
    <w:uiPriority w:val="99"/>
    <w:semiHidden/>
    <w:rsid w:val="00405C57"/>
    <w:rPr>
      <w:sz w:val="22"/>
      <w:szCs w:val="22"/>
    </w:rPr>
  </w:style>
  <w:style w:type="paragraph" w:styleId="NormalWeb">
    <w:name w:val="Normal (Web)"/>
    <w:basedOn w:val="Normal"/>
    <w:uiPriority w:val="99"/>
    <w:semiHidden/>
    <w:unhideWhenUsed/>
    <w:rsid w:val="00972CB7"/>
    <w:pPr>
      <w:spacing w:before="100" w:beforeAutospacing="1" w:after="100" w:afterAutospacing="1" w:line="240" w:lineRule="auto"/>
    </w:pPr>
    <w:rPr>
      <w:rFonts w:ascii="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E9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391">
      <w:bodyDiv w:val="1"/>
      <w:marLeft w:val="0"/>
      <w:marRight w:val="0"/>
      <w:marTop w:val="0"/>
      <w:marBottom w:val="0"/>
      <w:divBdr>
        <w:top w:val="none" w:sz="0" w:space="0" w:color="auto"/>
        <w:left w:val="none" w:sz="0" w:space="0" w:color="auto"/>
        <w:bottom w:val="none" w:sz="0" w:space="0" w:color="auto"/>
        <w:right w:val="none" w:sz="0" w:space="0" w:color="auto"/>
      </w:divBdr>
      <w:divsChild>
        <w:div w:id="1255741712">
          <w:marLeft w:val="0"/>
          <w:marRight w:val="0"/>
          <w:marTop w:val="0"/>
          <w:marBottom w:val="0"/>
          <w:divBdr>
            <w:top w:val="none" w:sz="0" w:space="0" w:color="auto"/>
            <w:left w:val="none" w:sz="0" w:space="0" w:color="auto"/>
            <w:bottom w:val="none" w:sz="0" w:space="0" w:color="auto"/>
            <w:right w:val="none" w:sz="0" w:space="0" w:color="auto"/>
          </w:divBdr>
        </w:div>
      </w:divsChild>
    </w:div>
    <w:div w:id="157623124">
      <w:bodyDiv w:val="1"/>
      <w:marLeft w:val="0"/>
      <w:marRight w:val="0"/>
      <w:marTop w:val="0"/>
      <w:marBottom w:val="0"/>
      <w:divBdr>
        <w:top w:val="none" w:sz="0" w:space="0" w:color="auto"/>
        <w:left w:val="none" w:sz="0" w:space="0" w:color="auto"/>
        <w:bottom w:val="none" w:sz="0" w:space="0" w:color="auto"/>
        <w:right w:val="none" w:sz="0" w:space="0" w:color="auto"/>
      </w:divBdr>
      <w:divsChild>
        <w:div w:id="646009829">
          <w:marLeft w:val="0"/>
          <w:marRight w:val="150"/>
          <w:marTop w:val="0"/>
          <w:marBottom w:val="0"/>
          <w:divBdr>
            <w:top w:val="none" w:sz="0" w:space="0" w:color="auto"/>
            <w:left w:val="none" w:sz="0" w:space="0" w:color="auto"/>
            <w:bottom w:val="none" w:sz="0" w:space="0" w:color="auto"/>
            <w:right w:val="none" w:sz="0" w:space="0" w:color="auto"/>
          </w:divBdr>
          <w:divsChild>
            <w:div w:id="2067413027">
              <w:marLeft w:val="0"/>
              <w:marRight w:val="0"/>
              <w:marTop w:val="0"/>
              <w:marBottom w:val="0"/>
              <w:divBdr>
                <w:top w:val="none" w:sz="0" w:space="0" w:color="auto"/>
                <w:left w:val="none" w:sz="0" w:space="0" w:color="auto"/>
                <w:bottom w:val="none" w:sz="0" w:space="0" w:color="auto"/>
                <w:right w:val="none" w:sz="0" w:space="0" w:color="auto"/>
              </w:divBdr>
            </w:div>
          </w:divsChild>
        </w:div>
        <w:div w:id="109475345">
          <w:marLeft w:val="0"/>
          <w:marRight w:val="0"/>
          <w:marTop w:val="0"/>
          <w:marBottom w:val="0"/>
          <w:divBdr>
            <w:top w:val="none" w:sz="0" w:space="0" w:color="auto"/>
            <w:left w:val="none" w:sz="0" w:space="0" w:color="auto"/>
            <w:bottom w:val="none" w:sz="0" w:space="0" w:color="auto"/>
            <w:right w:val="none" w:sz="0" w:space="0" w:color="auto"/>
          </w:divBdr>
        </w:div>
      </w:divsChild>
    </w:div>
    <w:div w:id="286011758">
      <w:bodyDiv w:val="1"/>
      <w:marLeft w:val="0"/>
      <w:marRight w:val="0"/>
      <w:marTop w:val="0"/>
      <w:marBottom w:val="0"/>
      <w:divBdr>
        <w:top w:val="none" w:sz="0" w:space="0" w:color="auto"/>
        <w:left w:val="none" w:sz="0" w:space="0" w:color="auto"/>
        <w:bottom w:val="none" w:sz="0" w:space="0" w:color="auto"/>
        <w:right w:val="none" w:sz="0" w:space="0" w:color="auto"/>
      </w:divBdr>
      <w:divsChild>
        <w:div w:id="1400517109">
          <w:marLeft w:val="0"/>
          <w:marRight w:val="0"/>
          <w:marTop w:val="0"/>
          <w:marBottom w:val="0"/>
          <w:divBdr>
            <w:top w:val="none" w:sz="0" w:space="0" w:color="auto"/>
            <w:left w:val="none" w:sz="0" w:space="0" w:color="auto"/>
            <w:bottom w:val="none" w:sz="0" w:space="0" w:color="auto"/>
            <w:right w:val="none" w:sz="0" w:space="0" w:color="auto"/>
          </w:divBdr>
          <w:divsChild>
            <w:div w:id="874931526">
              <w:marLeft w:val="0"/>
              <w:marRight w:val="0"/>
              <w:marTop w:val="0"/>
              <w:marBottom w:val="0"/>
              <w:divBdr>
                <w:top w:val="none" w:sz="0" w:space="0" w:color="auto"/>
                <w:left w:val="none" w:sz="0" w:space="0" w:color="auto"/>
                <w:bottom w:val="none" w:sz="0" w:space="0" w:color="auto"/>
                <w:right w:val="none" w:sz="0" w:space="0" w:color="auto"/>
              </w:divBdr>
              <w:divsChild>
                <w:div w:id="1703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203">
      <w:bodyDiv w:val="1"/>
      <w:marLeft w:val="0"/>
      <w:marRight w:val="0"/>
      <w:marTop w:val="0"/>
      <w:marBottom w:val="0"/>
      <w:divBdr>
        <w:top w:val="none" w:sz="0" w:space="0" w:color="auto"/>
        <w:left w:val="none" w:sz="0" w:space="0" w:color="auto"/>
        <w:bottom w:val="none" w:sz="0" w:space="0" w:color="auto"/>
        <w:right w:val="none" w:sz="0" w:space="0" w:color="auto"/>
      </w:divBdr>
      <w:divsChild>
        <w:div w:id="1660158797">
          <w:marLeft w:val="0"/>
          <w:marRight w:val="0"/>
          <w:marTop w:val="0"/>
          <w:marBottom w:val="0"/>
          <w:divBdr>
            <w:top w:val="none" w:sz="0" w:space="0" w:color="auto"/>
            <w:left w:val="none" w:sz="0" w:space="0" w:color="auto"/>
            <w:bottom w:val="none" w:sz="0" w:space="0" w:color="auto"/>
            <w:right w:val="none" w:sz="0" w:space="0" w:color="auto"/>
          </w:divBdr>
        </w:div>
        <w:div w:id="609510276">
          <w:marLeft w:val="0"/>
          <w:marRight w:val="0"/>
          <w:marTop w:val="0"/>
          <w:marBottom w:val="0"/>
          <w:divBdr>
            <w:top w:val="none" w:sz="0" w:space="0" w:color="auto"/>
            <w:left w:val="none" w:sz="0" w:space="0" w:color="auto"/>
            <w:bottom w:val="none" w:sz="0" w:space="0" w:color="auto"/>
            <w:right w:val="none" w:sz="0" w:space="0" w:color="auto"/>
          </w:divBdr>
        </w:div>
        <w:div w:id="1688869225">
          <w:marLeft w:val="0"/>
          <w:marRight w:val="0"/>
          <w:marTop w:val="0"/>
          <w:marBottom w:val="0"/>
          <w:divBdr>
            <w:top w:val="none" w:sz="0" w:space="0" w:color="auto"/>
            <w:left w:val="none" w:sz="0" w:space="0" w:color="auto"/>
            <w:bottom w:val="none" w:sz="0" w:space="0" w:color="auto"/>
            <w:right w:val="none" w:sz="0" w:space="0" w:color="auto"/>
          </w:divBdr>
        </w:div>
        <w:div w:id="1612473538">
          <w:marLeft w:val="0"/>
          <w:marRight w:val="0"/>
          <w:marTop w:val="0"/>
          <w:marBottom w:val="0"/>
          <w:divBdr>
            <w:top w:val="none" w:sz="0" w:space="0" w:color="auto"/>
            <w:left w:val="none" w:sz="0" w:space="0" w:color="auto"/>
            <w:bottom w:val="none" w:sz="0" w:space="0" w:color="auto"/>
            <w:right w:val="none" w:sz="0" w:space="0" w:color="auto"/>
          </w:divBdr>
        </w:div>
      </w:divsChild>
    </w:div>
    <w:div w:id="408574825">
      <w:bodyDiv w:val="1"/>
      <w:marLeft w:val="0"/>
      <w:marRight w:val="0"/>
      <w:marTop w:val="0"/>
      <w:marBottom w:val="0"/>
      <w:divBdr>
        <w:top w:val="none" w:sz="0" w:space="0" w:color="auto"/>
        <w:left w:val="none" w:sz="0" w:space="0" w:color="auto"/>
        <w:bottom w:val="none" w:sz="0" w:space="0" w:color="auto"/>
        <w:right w:val="none" w:sz="0" w:space="0" w:color="auto"/>
      </w:divBdr>
      <w:divsChild>
        <w:div w:id="150100962">
          <w:marLeft w:val="0"/>
          <w:marRight w:val="0"/>
          <w:marTop w:val="0"/>
          <w:marBottom w:val="0"/>
          <w:divBdr>
            <w:top w:val="none" w:sz="0" w:space="0" w:color="auto"/>
            <w:left w:val="none" w:sz="0" w:space="0" w:color="auto"/>
            <w:bottom w:val="dotted" w:sz="6" w:space="2" w:color="CCCCCC"/>
            <w:right w:val="none" w:sz="0" w:space="0" w:color="auto"/>
          </w:divBdr>
          <w:divsChild>
            <w:div w:id="1302075074">
              <w:marLeft w:val="0"/>
              <w:marRight w:val="150"/>
              <w:marTop w:val="0"/>
              <w:marBottom w:val="0"/>
              <w:divBdr>
                <w:top w:val="none" w:sz="0" w:space="0" w:color="auto"/>
                <w:left w:val="none" w:sz="0" w:space="0" w:color="auto"/>
                <w:bottom w:val="none" w:sz="0" w:space="0" w:color="auto"/>
                <w:right w:val="none" w:sz="0" w:space="0" w:color="auto"/>
              </w:divBdr>
              <w:divsChild>
                <w:div w:id="309990123">
                  <w:marLeft w:val="0"/>
                  <w:marRight w:val="0"/>
                  <w:marTop w:val="0"/>
                  <w:marBottom w:val="0"/>
                  <w:divBdr>
                    <w:top w:val="none" w:sz="0" w:space="0" w:color="auto"/>
                    <w:left w:val="none" w:sz="0" w:space="0" w:color="auto"/>
                    <w:bottom w:val="none" w:sz="0" w:space="0" w:color="auto"/>
                    <w:right w:val="none" w:sz="0" w:space="0" w:color="auto"/>
                  </w:divBdr>
                </w:div>
              </w:divsChild>
            </w:div>
            <w:div w:id="766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1940">
      <w:bodyDiv w:val="1"/>
      <w:marLeft w:val="0"/>
      <w:marRight w:val="0"/>
      <w:marTop w:val="0"/>
      <w:marBottom w:val="0"/>
      <w:divBdr>
        <w:top w:val="none" w:sz="0" w:space="0" w:color="auto"/>
        <w:left w:val="none" w:sz="0" w:space="0" w:color="auto"/>
        <w:bottom w:val="none" w:sz="0" w:space="0" w:color="auto"/>
        <w:right w:val="none" w:sz="0" w:space="0" w:color="auto"/>
      </w:divBdr>
      <w:divsChild>
        <w:div w:id="671878292">
          <w:marLeft w:val="0"/>
          <w:marRight w:val="150"/>
          <w:marTop w:val="0"/>
          <w:marBottom w:val="0"/>
          <w:divBdr>
            <w:top w:val="none" w:sz="0" w:space="0" w:color="auto"/>
            <w:left w:val="none" w:sz="0" w:space="0" w:color="auto"/>
            <w:bottom w:val="none" w:sz="0" w:space="0" w:color="auto"/>
            <w:right w:val="none" w:sz="0" w:space="0" w:color="auto"/>
          </w:divBdr>
          <w:divsChild>
            <w:div w:id="97071195">
              <w:marLeft w:val="0"/>
              <w:marRight w:val="0"/>
              <w:marTop w:val="0"/>
              <w:marBottom w:val="0"/>
              <w:divBdr>
                <w:top w:val="none" w:sz="0" w:space="0" w:color="auto"/>
                <w:left w:val="none" w:sz="0" w:space="0" w:color="auto"/>
                <w:bottom w:val="none" w:sz="0" w:space="0" w:color="auto"/>
                <w:right w:val="none" w:sz="0" w:space="0" w:color="auto"/>
              </w:divBdr>
            </w:div>
          </w:divsChild>
        </w:div>
        <w:div w:id="83765852">
          <w:marLeft w:val="0"/>
          <w:marRight w:val="0"/>
          <w:marTop w:val="0"/>
          <w:marBottom w:val="0"/>
          <w:divBdr>
            <w:top w:val="none" w:sz="0" w:space="0" w:color="auto"/>
            <w:left w:val="none" w:sz="0" w:space="0" w:color="auto"/>
            <w:bottom w:val="none" w:sz="0" w:space="0" w:color="auto"/>
            <w:right w:val="none" w:sz="0" w:space="0" w:color="auto"/>
          </w:divBdr>
        </w:div>
      </w:divsChild>
    </w:div>
    <w:div w:id="1297875650">
      <w:bodyDiv w:val="1"/>
      <w:marLeft w:val="0"/>
      <w:marRight w:val="0"/>
      <w:marTop w:val="0"/>
      <w:marBottom w:val="0"/>
      <w:divBdr>
        <w:top w:val="none" w:sz="0" w:space="0" w:color="auto"/>
        <w:left w:val="none" w:sz="0" w:space="0" w:color="auto"/>
        <w:bottom w:val="none" w:sz="0" w:space="0" w:color="auto"/>
        <w:right w:val="none" w:sz="0" w:space="0" w:color="auto"/>
      </w:divBdr>
    </w:div>
    <w:div w:id="1398674193">
      <w:bodyDiv w:val="1"/>
      <w:marLeft w:val="0"/>
      <w:marRight w:val="0"/>
      <w:marTop w:val="0"/>
      <w:marBottom w:val="0"/>
      <w:divBdr>
        <w:top w:val="none" w:sz="0" w:space="0" w:color="auto"/>
        <w:left w:val="none" w:sz="0" w:space="0" w:color="auto"/>
        <w:bottom w:val="none" w:sz="0" w:space="0" w:color="auto"/>
        <w:right w:val="none" w:sz="0" w:space="0" w:color="auto"/>
      </w:divBdr>
      <w:divsChild>
        <w:div w:id="1208564069">
          <w:marLeft w:val="0"/>
          <w:marRight w:val="0"/>
          <w:marTop w:val="0"/>
          <w:marBottom w:val="0"/>
          <w:divBdr>
            <w:top w:val="none" w:sz="0" w:space="0" w:color="auto"/>
            <w:left w:val="none" w:sz="0" w:space="0" w:color="auto"/>
            <w:bottom w:val="none" w:sz="0" w:space="0" w:color="auto"/>
            <w:right w:val="none" w:sz="0" w:space="0" w:color="auto"/>
          </w:divBdr>
        </w:div>
        <w:div w:id="2136243793">
          <w:marLeft w:val="0"/>
          <w:marRight w:val="0"/>
          <w:marTop w:val="0"/>
          <w:marBottom w:val="0"/>
          <w:divBdr>
            <w:top w:val="none" w:sz="0" w:space="0" w:color="auto"/>
            <w:left w:val="none" w:sz="0" w:space="0" w:color="auto"/>
            <w:bottom w:val="none" w:sz="0" w:space="0" w:color="auto"/>
            <w:right w:val="none" w:sz="0" w:space="0" w:color="auto"/>
          </w:divBdr>
        </w:div>
        <w:div w:id="285896052">
          <w:marLeft w:val="0"/>
          <w:marRight w:val="0"/>
          <w:marTop w:val="0"/>
          <w:marBottom w:val="0"/>
          <w:divBdr>
            <w:top w:val="none" w:sz="0" w:space="0" w:color="auto"/>
            <w:left w:val="none" w:sz="0" w:space="0" w:color="auto"/>
            <w:bottom w:val="none" w:sz="0" w:space="0" w:color="auto"/>
            <w:right w:val="none" w:sz="0" w:space="0" w:color="auto"/>
          </w:divBdr>
        </w:div>
        <w:div w:id="766732761">
          <w:marLeft w:val="0"/>
          <w:marRight w:val="0"/>
          <w:marTop w:val="0"/>
          <w:marBottom w:val="0"/>
          <w:divBdr>
            <w:top w:val="none" w:sz="0" w:space="0" w:color="auto"/>
            <w:left w:val="none" w:sz="0" w:space="0" w:color="auto"/>
            <w:bottom w:val="none" w:sz="0" w:space="0" w:color="auto"/>
            <w:right w:val="none" w:sz="0" w:space="0" w:color="auto"/>
          </w:divBdr>
        </w:div>
        <w:div w:id="1563828095">
          <w:marLeft w:val="0"/>
          <w:marRight w:val="0"/>
          <w:marTop w:val="0"/>
          <w:marBottom w:val="0"/>
          <w:divBdr>
            <w:top w:val="none" w:sz="0" w:space="0" w:color="auto"/>
            <w:left w:val="none" w:sz="0" w:space="0" w:color="auto"/>
            <w:bottom w:val="none" w:sz="0" w:space="0" w:color="auto"/>
            <w:right w:val="none" w:sz="0" w:space="0" w:color="auto"/>
          </w:divBdr>
        </w:div>
        <w:div w:id="1474375203">
          <w:marLeft w:val="0"/>
          <w:marRight w:val="0"/>
          <w:marTop w:val="0"/>
          <w:marBottom w:val="0"/>
          <w:divBdr>
            <w:top w:val="none" w:sz="0" w:space="0" w:color="auto"/>
            <w:left w:val="none" w:sz="0" w:space="0" w:color="auto"/>
            <w:bottom w:val="none" w:sz="0" w:space="0" w:color="auto"/>
            <w:right w:val="none" w:sz="0" w:space="0" w:color="auto"/>
          </w:divBdr>
        </w:div>
        <w:div w:id="208955932">
          <w:marLeft w:val="0"/>
          <w:marRight w:val="0"/>
          <w:marTop w:val="0"/>
          <w:marBottom w:val="0"/>
          <w:divBdr>
            <w:top w:val="none" w:sz="0" w:space="0" w:color="auto"/>
            <w:left w:val="none" w:sz="0" w:space="0" w:color="auto"/>
            <w:bottom w:val="none" w:sz="0" w:space="0" w:color="auto"/>
            <w:right w:val="none" w:sz="0" w:space="0" w:color="auto"/>
          </w:divBdr>
        </w:div>
        <w:div w:id="1406799508">
          <w:marLeft w:val="0"/>
          <w:marRight w:val="0"/>
          <w:marTop w:val="0"/>
          <w:marBottom w:val="0"/>
          <w:divBdr>
            <w:top w:val="none" w:sz="0" w:space="0" w:color="auto"/>
            <w:left w:val="none" w:sz="0" w:space="0" w:color="auto"/>
            <w:bottom w:val="none" w:sz="0" w:space="0" w:color="auto"/>
            <w:right w:val="none" w:sz="0" w:space="0" w:color="auto"/>
          </w:divBdr>
        </w:div>
        <w:div w:id="1065488493">
          <w:marLeft w:val="0"/>
          <w:marRight w:val="0"/>
          <w:marTop w:val="0"/>
          <w:marBottom w:val="0"/>
          <w:divBdr>
            <w:top w:val="none" w:sz="0" w:space="0" w:color="auto"/>
            <w:left w:val="none" w:sz="0" w:space="0" w:color="auto"/>
            <w:bottom w:val="none" w:sz="0" w:space="0" w:color="auto"/>
            <w:right w:val="none" w:sz="0" w:space="0" w:color="auto"/>
          </w:divBdr>
        </w:div>
        <w:div w:id="794324250">
          <w:marLeft w:val="0"/>
          <w:marRight w:val="0"/>
          <w:marTop w:val="0"/>
          <w:marBottom w:val="0"/>
          <w:divBdr>
            <w:top w:val="none" w:sz="0" w:space="0" w:color="auto"/>
            <w:left w:val="none" w:sz="0" w:space="0" w:color="auto"/>
            <w:bottom w:val="none" w:sz="0" w:space="0" w:color="auto"/>
            <w:right w:val="none" w:sz="0" w:space="0" w:color="auto"/>
          </w:divBdr>
        </w:div>
        <w:div w:id="407503084">
          <w:marLeft w:val="0"/>
          <w:marRight w:val="0"/>
          <w:marTop w:val="0"/>
          <w:marBottom w:val="0"/>
          <w:divBdr>
            <w:top w:val="none" w:sz="0" w:space="0" w:color="auto"/>
            <w:left w:val="none" w:sz="0" w:space="0" w:color="auto"/>
            <w:bottom w:val="none" w:sz="0" w:space="0" w:color="auto"/>
            <w:right w:val="none" w:sz="0" w:space="0" w:color="auto"/>
          </w:divBdr>
        </w:div>
        <w:div w:id="1728262143">
          <w:marLeft w:val="0"/>
          <w:marRight w:val="0"/>
          <w:marTop w:val="0"/>
          <w:marBottom w:val="0"/>
          <w:divBdr>
            <w:top w:val="none" w:sz="0" w:space="0" w:color="auto"/>
            <w:left w:val="none" w:sz="0" w:space="0" w:color="auto"/>
            <w:bottom w:val="none" w:sz="0" w:space="0" w:color="auto"/>
            <w:right w:val="none" w:sz="0" w:space="0" w:color="auto"/>
          </w:divBdr>
        </w:div>
      </w:divsChild>
    </w:div>
    <w:div w:id="1498960058">
      <w:bodyDiv w:val="1"/>
      <w:marLeft w:val="0"/>
      <w:marRight w:val="0"/>
      <w:marTop w:val="0"/>
      <w:marBottom w:val="0"/>
      <w:divBdr>
        <w:top w:val="none" w:sz="0" w:space="0" w:color="auto"/>
        <w:left w:val="none" w:sz="0" w:space="0" w:color="auto"/>
        <w:bottom w:val="none" w:sz="0" w:space="0" w:color="auto"/>
        <w:right w:val="none" w:sz="0" w:space="0" w:color="auto"/>
      </w:divBdr>
      <w:divsChild>
        <w:div w:id="1063455730">
          <w:marLeft w:val="0"/>
          <w:marRight w:val="0"/>
          <w:marTop w:val="0"/>
          <w:marBottom w:val="0"/>
          <w:divBdr>
            <w:top w:val="none" w:sz="0" w:space="0" w:color="auto"/>
            <w:left w:val="none" w:sz="0" w:space="0" w:color="auto"/>
            <w:bottom w:val="dotted" w:sz="6" w:space="2" w:color="CCCCCC"/>
            <w:right w:val="none" w:sz="0" w:space="0" w:color="auto"/>
          </w:divBdr>
          <w:divsChild>
            <w:div w:id="718437198">
              <w:marLeft w:val="0"/>
              <w:marRight w:val="150"/>
              <w:marTop w:val="0"/>
              <w:marBottom w:val="0"/>
              <w:divBdr>
                <w:top w:val="none" w:sz="0" w:space="0" w:color="auto"/>
                <w:left w:val="none" w:sz="0" w:space="0" w:color="auto"/>
                <w:bottom w:val="none" w:sz="0" w:space="0" w:color="auto"/>
                <w:right w:val="none" w:sz="0" w:space="0" w:color="auto"/>
              </w:divBdr>
              <w:divsChild>
                <w:div w:id="297145934">
                  <w:marLeft w:val="0"/>
                  <w:marRight w:val="0"/>
                  <w:marTop w:val="0"/>
                  <w:marBottom w:val="0"/>
                  <w:divBdr>
                    <w:top w:val="none" w:sz="0" w:space="0" w:color="auto"/>
                    <w:left w:val="none" w:sz="0" w:space="0" w:color="auto"/>
                    <w:bottom w:val="none" w:sz="0" w:space="0" w:color="auto"/>
                    <w:right w:val="none" w:sz="0" w:space="0" w:color="auto"/>
                  </w:divBdr>
                </w:div>
              </w:divsChild>
            </w:div>
            <w:div w:id="351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6693">
      <w:bodyDiv w:val="1"/>
      <w:marLeft w:val="0"/>
      <w:marRight w:val="0"/>
      <w:marTop w:val="0"/>
      <w:marBottom w:val="0"/>
      <w:divBdr>
        <w:top w:val="none" w:sz="0" w:space="0" w:color="auto"/>
        <w:left w:val="none" w:sz="0" w:space="0" w:color="auto"/>
        <w:bottom w:val="none" w:sz="0" w:space="0" w:color="auto"/>
        <w:right w:val="none" w:sz="0" w:space="0" w:color="auto"/>
      </w:divBdr>
      <w:divsChild>
        <w:div w:id="1241059355">
          <w:marLeft w:val="0"/>
          <w:marRight w:val="0"/>
          <w:marTop w:val="0"/>
          <w:marBottom w:val="0"/>
          <w:divBdr>
            <w:top w:val="none" w:sz="0" w:space="0" w:color="auto"/>
            <w:left w:val="none" w:sz="0" w:space="0" w:color="auto"/>
            <w:bottom w:val="none" w:sz="0" w:space="0" w:color="auto"/>
            <w:right w:val="none" w:sz="0" w:space="0" w:color="auto"/>
          </w:divBdr>
        </w:div>
        <w:div w:id="1938783606">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896354582">
          <w:marLeft w:val="0"/>
          <w:marRight w:val="0"/>
          <w:marTop w:val="0"/>
          <w:marBottom w:val="0"/>
          <w:divBdr>
            <w:top w:val="none" w:sz="0" w:space="0" w:color="auto"/>
            <w:left w:val="none" w:sz="0" w:space="0" w:color="auto"/>
            <w:bottom w:val="none" w:sz="0" w:space="0" w:color="auto"/>
            <w:right w:val="none" w:sz="0" w:space="0" w:color="auto"/>
          </w:divBdr>
        </w:div>
        <w:div w:id="2138984546">
          <w:marLeft w:val="0"/>
          <w:marRight w:val="0"/>
          <w:marTop w:val="0"/>
          <w:marBottom w:val="0"/>
          <w:divBdr>
            <w:top w:val="none" w:sz="0" w:space="0" w:color="auto"/>
            <w:left w:val="none" w:sz="0" w:space="0" w:color="auto"/>
            <w:bottom w:val="none" w:sz="0" w:space="0" w:color="auto"/>
            <w:right w:val="none" w:sz="0" w:space="0" w:color="auto"/>
          </w:divBdr>
        </w:div>
        <w:div w:id="1406610652">
          <w:marLeft w:val="0"/>
          <w:marRight w:val="0"/>
          <w:marTop w:val="0"/>
          <w:marBottom w:val="0"/>
          <w:divBdr>
            <w:top w:val="none" w:sz="0" w:space="0" w:color="auto"/>
            <w:left w:val="none" w:sz="0" w:space="0" w:color="auto"/>
            <w:bottom w:val="none" w:sz="0" w:space="0" w:color="auto"/>
            <w:right w:val="none" w:sz="0" w:space="0" w:color="auto"/>
          </w:divBdr>
        </w:div>
        <w:div w:id="391192804">
          <w:marLeft w:val="0"/>
          <w:marRight w:val="0"/>
          <w:marTop w:val="0"/>
          <w:marBottom w:val="0"/>
          <w:divBdr>
            <w:top w:val="none" w:sz="0" w:space="0" w:color="auto"/>
            <w:left w:val="none" w:sz="0" w:space="0" w:color="auto"/>
            <w:bottom w:val="none" w:sz="0" w:space="0" w:color="auto"/>
            <w:right w:val="none" w:sz="0" w:space="0" w:color="auto"/>
          </w:divBdr>
        </w:div>
      </w:divsChild>
    </w:div>
    <w:div w:id="1770850684">
      <w:bodyDiv w:val="1"/>
      <w:marLeft w:val="0"/>
      <w:marRight w:val="0"/>
      <w:marTop w:val="0"/>
      <w:marBottom w:val="0"/>
      <w:divBdr>
        <w:top w:val="none" w:sz="0" w:space="0" w:color="auto"/>
        <w:left w:val="none" w:sz="0" w:space="0" w:color="auto"/>
        <w:bottom w:val="none" w:sz="0" w:space="0" w:color="auto"/>
        <w:right w:val="none" w:sz="0" w:space="0" w:color="auto"/>
      </w:divBdr>
      <w:divsChild>
        <w:div w:id="694504275">
          <w:marLeft w:val="0"/>
          <w:marRight w:val="150"/>
          <w:marTop w:val="0"/>
          <w:marBottom w:val="0"/>
          <w:divBdr>
            <w:top w:val="none" w:sz="0" w:space="0" w:color="auto"/>
            <w:left w:val="none" w:sz="0" w:space="0" w:color="auto"/>
            <w:bottom w:val="none" w:sz="0" w:space="0" w:color="auto"/>
            <w:right w:val="none" w:sz="0" w:space="0" w:color="auto"/>
          </w:divBdr>
          <w:divsChild>
            <w:div w:id="1397624921">
              <w:marLeft w:val="0"/>
              <w:marRight w:val="0"/>
              <w:marTop w:val="0"/>
              <w:marBottom w:val="0"/>
              <w:divBdr>
                <w:top w:val="none" w:sz="0" w:space="0" w:color="auto"/>
                <w:left w:val="none" w:sz="0" w:space="0" w:color="auto"/>
                <w:bottom w:val="none" w:sz="0" w:space="0" w:color="auto"/>
                <w:right w:val="none" w:sz="0" w:space="0" w:color="auto"/>
              </w:divBdr>
            </w:div>
          </w:divsChild>
        </w:div>
        <w:div w:id="1566180028">
          <w:marLeft w:val="0"/>
          <w:marRight w:val="0"/>
          <w:marTop w:val="0"/>
          <w:marBottom w:val="0"/>
          <w:divBdr>
            <w:top w:val="none" w:sz="0" w:space="0" w:color="auto"/>
            <w:left w:val="none" w:sz="0" w:space="0" w:color="auto"/>
            <w:bottom w:val="none" w:sz="0" w:space="0" w:color="auto"/>
            <w:right w:val="none" w:sz="0" w:space="0" w:color="auto"/>
          </w:divBdr>
        </w:div>
      </w:divsChild>
    </w:div>
    <w:div w:id="1894924153">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2">
          <w:marLeft w:val="0"/>
          <w:marRight w:val="0"/>
          <w:marTop w:val="0"/>
          <w:marBottom w:val="0"/>
          <w:divBdr>
            <w:top w:val="none" w:sz="0" w:space="0" w:color="auto"/>
            <w:left w:val="none" w:sz="0" w:space="0" w:color="auto"/>
            <w:bottom w:val="dotted" w:sz="6" w:space="2" w:color="CCCCCC"/>
            <w:right w:val="none" w:sz="0" w:space="0" w:color="auto"/>
          </w:divBdr>
          <w:divsChild>
            <w:div w:id="1023826896">
              <w:marLeft w:val="0"/>
              <w:marRight w:val="150"/>
              <w:marTop w:val="0"/>
              <w:marBottom w:val="0"/>
              <w:divBdr>
                <w:top w:val="none" w:sz="0" w:space="0" w:color="auto"/>
                <w:left w:val="none" w:sz="0" w:space="0" w:color="auto"/>
                <w:bottom w:val="none" w:sz="0" w:space="0" w:color="auto"/>
                <w:right w:val="none" w:sz="0" w:space="0" w:color="auto"/>
              </w:divBdr>
              <w:divsChild>
                <w:div w:id="547646740">
                  <w:marLeft w:val="0"/>
                  <w:marRight w:val="0"/>
                  <w:marTop w:val="0"/>
                  <w:marBottom w:val="0"/>
                  <w:divBdr>
                    <w:top w:val="none" w:sz="0" w:space="0" w:color="auto"/>
                    <w:left w:val="none" w:sz="0" w:space="0" w:color="auto"/>
                    <w:bottom w:val="none" w:sz="0" w:space="0" w:color="auto"/>
                    <w:right w:val="none" w:sz="0" w:space="0" w:color="auto"/>
                  </w:divBdr>
                </w:div>
              </w:divsChild>
            </w:div>
            <w:div w:id="1538469426">
              <w:marLeft w:val="0"/>
              <w:marRight w:val="0"/>
              <w:marTop w:val="0"/>
              <w:marBottom w:val="0"/>
              <w:divBdr>
                <w:top w:val="none" w:sz="0" w:space="0" w:color="auto"/>
                <w:left w:val="none" w:sz="0" w:space="0" w:color="auto"/>
                <w:bottom w:val="none" w:sz="0" w:space="0" w:color="auto"/>
                <w:right w:val="none" w:sz="0" w:space="0" w:color="auto"/>
              </w:divBdr>
            </w:div>
          </w:divsChild>
        </w:div>
        <w:div w:id="933707653">
          <w:marLeft w:val="0"/>
          <w:marRight w:val="0"/>
          <w:marTop w:val="0"/>
          <w:marBottom w:val="0"/>
          <w:divBdr>
            <w:top w:val="none" w:sz="0" w:space="0" w:color="auto"/>
            <w:left w:val="none" w:sz="0" w:space="0" w:color="auto"/>
            <w:bottom w:val="dotted" w:sz="6" w:space="2" w:color="CCCCCC"/>
            <w:right w:val="none" w:sz="0" w:space="0" w:color="auto"/>
          </w:divBdr>
          <w:divsChild>
            <w:div w:id="2121760058">
              <w:marLeft w:val="0"/>
              <w:marRight w:val="150"/>
              <w:marTop w:val="0"/>
              <w:marBottom w:val="0"/>
              <w:divBdr>
                <w:top w:val="none" w:sz="0" w:space="0" w:color="auto"/>
                <w:left w:val="none" w:sz="0" w:space="0" w:color="auto"/>
                <w:bottom w:val="none" w:sz="0" w:space="0" w:color="auto"/>
                <w:right w:val="none" w:sz="0" w:space="0" w:color="auto"/>
              </w:divBdr>
              <w:divsChild>
                <w:div w:id="1163473900">
                  <w:marLeft w:val="0"/>
                  <w:marRight w:val="0"/>
                  <w:marTop w:val="0"/>
                  <w:marBottom w:val="0"/>
                  <w:divBdr>
                    <w:top w:val="none" w:sz="0" w:space="0" w:color="auto"/>
                    <w:left w:val="none" w:sz="0" w:space="0" w:color="auto"/>
                    <w:bottom w:val="none" w:sz="0" w:space="0" w:color="auto"/>
                    <w:right w:val="none" w:sz="0" w:space="0" w:color="auto"/>
                  </w:divBdr>
                </w:div>
              </w:divsChild>
            </w:div>
            <w:div w:id="133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71">
          <w:marLeft w:val="0"/>
          <w:marRight w:val="0"/>
          <w:marTop w:val="0"/>
          <w:marBottom w:val="0"/>
          <w:divBdr>
            <w:top w:val="none" w:sz="0" w:space="0" w:color="auto"/>
            <w:left w:val="none" w:sz="0" w:space="0" w:color="auto"/>
            <w:bottom w:val="dotted" w:sz="6" w:space="2" w:color="CCCCCC"/>
            <w:right w:val="none" w:sz="0" w:space="0" w:color="auto"/>
          </w:divBdr>
          <w:divsChild>
            <w:div w:id="1426879433">
              <w:marLeft w:val="0"/>
              <w:marRight w:val="150"/>
              <w:marTop w:val="0"/>
              <w:marBottom w:val="0"/>
              <w:divBdr>
                <w:top w:val="none" w:sz="0" w:space="0" w:color="auto"/>
                <w:left w:val="none" w:sz="0" w:space="0" w:color="auto"/>
                <w:bottom w:val="none" w:sz="0" w:space="0" w:color="auto"/>
                <w:right w:val="none" w:sz="0" w:space="0" w:color="auto"/>
              </w:divBdr>
              <w:divsChild>
                <w:div w:id="1495073584">
                  <w:marLeft w:val="0"/>
                  <w:marRight w:val="0"/>
                  <w:marTop w:val="0"/>
                  <w:marBottom w:val="0"/>
                  <w:divBdr>
                    <w:top w:val="none" w:sz="0" w:space="0" w:color="auto"/>
                    <w:left w:val="none" w:sz="0" w:space="0" w:color="auto"/>
                    <w:bottom w:val="none" w:sz="0" w:space="0" w:color="auto"/>
                    <w:right w:val="none" w:sz="0" w:space="0" w:color="auto"/>
                  </w:divBdr>
                </w:div>
              </w:divsChild>
            </w:div>
            <w:div w:id="3661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3&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15/treatybodyexternal/Download.aspx?symbolno=CEDAW/C/GC/3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A00B-6B8E-4B75-B416-5BE81D37045D}">
  <ds:schemaRefs>
    <ds:schemaRef ds:uri="http://schemas.microsoft.com/sharepoint/v3/contenttype/forms"/>
  </ds:schemaRefs>
</ds:datastoreItem>
</file>

<file path=customXml/itemProps2.xml><?xml version="1.0" encoding="utf-8"?>
<ds:datastoreItem xmlns:ds="http://schemas.openxmlformats.org/officeDocument/2006/customXml" ds:itemID="{2F23E201-6286-4E30-A4A2-CA1E9DE41E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17472B-97BC-449D-90AD-B3114D3ED0BF}"/>
</file>

<file path=customXml/itemProps4.xml><?xml version="1.0" encoding="utf-8"?>
<ds:datastoreItem xmlns:ds="http://schemas.openxmlformats.org/officeDocument/2006/customXml" ds:itemID="{6EF53E14-9974-CA40-8961-ED5D8345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3</cp:revision>
  <dcterms:created xsi:type="dcterms:W3CDTF">2020-06-30T13:17:00Z</dcterms:created>
  <dcterms:modified xsi:type="dcterms:W3CDTF">2020-10-23T18:38:00Z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