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15594" w:type="dxa"/>
        <w:jc w:val="center"/>
        <w:tblLook w:val="04A0" w:firstRow="1" w:lastRow="0" w:firstColumn="1" w:lastColumn="0" w:noHBand="0" w:noVBand="1"/>
      </w:tblPr>
      <w:tblGrid>
        <w:gridCol w:w="1051"/>
        <w:gridCol w:w="6763"/>
        <w:gridCol w:w="7780"/>
      </w:tblGrid>
      <w:tr w:rsidR="00FA7E20" w:rsidRPr="001C26EF" w14:paraId="7435419D" w14:textId="77777777" w:rsidTr="00405C57">
        <w:trPr>
          <w:trHeight w:val="132"/>
          <w:jc w:val="center"/>
        </w:trPr>
        <w:tc>
          <w:tcPr>
            <w:tcW w:w="15594" w:type="dxa"/>
            <w:gridSpan w:val="3"/>
            <w:shd w:val="clear" w:color="auto" w:fill="BFBFBF" w:themeFill="background1" w:themeFillShade="BF"/>
          </w:tcPr>
          <w:p w14:paraId="2DFD9476" w14:textId="4AFADC36" w:rsidR="003B1FB1" w:rsidRPr="001C26EF" w:rsidRDefault="003B1FB1" w:rsidP="00B45629">
            <w:pPr>
              <w:spacing w:before="120" w:after="120" w:line="240" w:lineRule="auto"/>
              <w:jc w:val="center"/>
              <w:rPr>
                <w:b/>
                <w:sz w:val="18"/>
                <w:szCs w:val="18"/>
              </w:rPr>
            </w:pPr>
            <w:r>
              <w:rPr>
                <w:b/>
                <w:sz w:val="18"/>
                <w:szCs w:val="18"/>
              </w:rPr>
              <w:t>Article 6 – Indicateurs illustratifs sur les femmes handicap</w:t>
            </w:r>
            <w:r w:rsidR="00B45629">
              <w:rPr>
                <w:b/>
                <w:sz w:val="18"/>
                <w:szCs w:val="18"/>
              </w:rPr>
              <w:t>ées</w:t>
            </w:r>
            <w:r w:rsidR="00DD242B">
              <w:rPr>
                <w:b/>
                <w:sz w:val="18"/>
                <w:szCs w:val="18"/>
              </w:rPr>
              <w:t>*</w:t>
            </w:r>
          </w:p>
        </w:tc>
      </w:tr>
      <w:tr w:rsidR="00FA7E20" w:rsidRPr="001C26EF" w14:paraId="70A53051" w14:textId="77777777" w:rsidTr="00405C57">
        <w:trPr>
          <w:trHeight w:val="163"/>
          <w:jc w:val="center"/>
        </w:trPr>
        <w:tc>
          <w:tcPr>
            <w:tcW w:w="15594" w:type="dxa"/>
            <w:gridSpan w:val="3"/>
            <w:shd w:val="clear" w:color="auto" w:fill="auto"/>
          </w:tcPr>
          <w:p w14:paraId="3A232091" w14:textId="0CF9694A" w:rsidR="009E48A4" w:rsidRPr="001C26EF" w:rsidRDefault="009E48A4" w:rsidP="00B45629">
            <w:pPr>
              <w:spacing w:after="0" w:line="240" w:lineRule="auto"/>
              <w:jc w:val="center"/>
              <w:rPr>
                <w:b/>
                <w:sz w:val="18"/>
                <w:szCs w:val="18"/>
              </w:rPr>
            </w:pPr>
            <w:r>
              <w:rPr>
                <w:b/>
                <w:sz w:val="18"/>
                <w:szCs w:val="18"/>
              </w:rPr>
              <w:t>Exercice et jouissance pleine et égale par les femmes handicap</w:t>
            </w:r>
            <w:r w:rsidR="00B45629">
              <w:rPr>
                <w:b/>
                <w:sz w:val="18"/>
                <w:szCs w:val="18"/>
              </w:rPr>
              <w:t>ées</w:t>
            </w:r>
            <w:r>
              <w:rPr>
                <w:b/>
                <w:sz w:val="18"/>
                <w:szCs w:val="18"/>
              </w:rPr>
              <w:t xml:space="preserve"> de tous les droits de l'homme et libertés fondamentales</w:t>
            </w:r>
          </w:p>
        </w:tc>
      </w:tr>
      <w:tr w:rsidR="00FA7E20" w:rsidRPr="001C26EF" w14:paraId="5ED080DA" w14:textId="77777777" w:rsidTr="00886D17">
        <w:trPr>
          <w:jc w:val="center"/>
        </w:trPr>
        <w:tc>
          <w:tcPr>
            <w:tcW w:w="1009" w:type="dxa"/>
          </w:tcPr>
          <w:p w14:paraId="0C3B84DF" w14:textId="77777777" w:rsidR="003B1FB1" w:rsidRPr="001C26EF" w:rsidRDefault="003B1FB1" w:rsidP="00910483">
            <w:pPr>
              <w:pStyle w:val="Paragraphedeliste"/>
              <w:spacing w:after="0" w:line="240" w:lineRule="auto"/>
              <w:ind w:left="0"/>
              <w:rPr>
                <w:rFonts w:cs="Arial"/>
                <w:b/>
                <w:sz w:val="18"/>
                <w:szCs w:val="18"/>
              </w:rPr>
            </w:pPr>
            <w:r>
              <w:rPr>
                <w:b/>
                <w:sz w:val="18"/>
                <w:szCs w:val="18"/>
              </w:rPr>
              <w:t>Attributs/</w:t>
            </w:r>
          </w:p>
          <w:p w14:paraId="626512C9" w14:textId="77777777" w:rsidR="003B1FB1" w:rsidRPr="001C26EF" w:rsidRDefault="003B1FB1" w:rsidP="00910483">
            <w:pPr>
              <w:pStyle w:val="Paragraphedeliste"/>
              <w:spacing w:after="0" w:line="240" w:lineRule="auto"/>
              <w:ind w:left="0"/>
              <w:rPr>
                <w:rFonts w:cs="Arial"/>
                <w:b/>
                <w:sz w:val="18"/>
                <w:szCs w:val="18"/>
              </w:rPr>
            </w:pPr>
            <w:r>
              <w:rPr>
                <w:b/>
                <w:sz w:val="18"/>
                <w:szCs w:val="18"/>
              </w:rPr>
              <w:t>Indicateurs</w:t>
            </w:r>
          </w:p>
        </w:tc>
        <w:tc>
          <w:tcPr>
            <w:tcW w:w="6783" w:type="dxa"/>
          </w:tcPr>
          <w:p w14:paraId="5A8E9690" w14:textId="2663EC4D" w:rsidR="003B1FB1" w:rsidRPr="001C26EF" w:rsidRDefault="00FF369E" w:rsidP="00910483">
            <w:pPr>
              <w:spacing w:after="0" w:line="240" w:lineRule="auto"/>
              <w:jc w:val="center"/>
              <w:rPr>
                <w:b/>
                <w:sz w:val="18"/>
                <w:szCs w:val="18"/>
              </w:rPr>
            </w:pPr>
            <w:r>
              <w:rPr>
                <w:b/>
                <w:sz w:val="18"/>
                <w:szCs w:val="18"/>
              </w:rPr>
              <w:t>Non-discrimination et égalité</w:t>
            </w:r>
          </w:p>
        </w:tc>
        <w:tc>
          <w:tcPr>
            <w:tcW w:w="7802" w:type="dxa"/>
          </w:tcPr>
          <w:p w14:paraId="2B330195" w14:textId="3400E70D" w:rsidR="003B1FB1" w:rsidRPr="001C26EF" w:rsidRDefault="00655108" w:rsidP="00910483">
            <w:pPr>
              <w:spacing w:after="0" w:line="240" w:lineRule="auto"/>
              <w:jc w:val="center"/>
              <w:rPr>
                <w:b/>
                <w:sz w:val="18"/>
                <w:szCs w:val="18"/>
              </w:rPr>
            </w:pPr>
            <w:r>
              <w:rPr>
                <w:b/>
                <w:sz w:val="18"/>
                <w:szCs w:val="18"/>
              </w:rPr>
              <w:t>Plein épanouissement</w:t>
            </w:r>
            <w:r w:rsidR="003B1FB1">
              <w:rPr>
                <w:b/>
                <w:sz w:val="18"/>
                <w:szCs w:val="18"/>
              </w:rPr>
              <w:t>, promotion et autonomisation des femmes</w:t>
            </w:r>
          </w:p>
        </w:tc>
      </w:tr>
      <w:tr w:rsidR="00AD588F" w:rsidRPr="001C26EF" w14:paraId="0D6CCB3C" w14:textId="77777777" w:rsidTr="004C13B4">
        <w:trPr>
          <w:trHeight w:val="1193"/>
          <w:jc w:val="center"/>
        </w:trPr>
        <w:tc>
          <w:tcPr>
            <w:tcW w:w="1009" w:type="dxa"/>
          </w:tcPr>
          <w:p w14:paraId="7FEC0F39" w14:textId="77777777" w:rsidR="00AD588F" w:rsidRPr="001C26EF" w:rsidRDefault="00AD588F" w:rsidP="00910483">
            <w:pPr>
              <w:spacing w:after="0" w:line="240" w:lineRule="auto"/>
              <w:rPr>
                <w:b/>
                <w:sz w:val="18"/>
                <w:szCs w:val="18"/>
              </w:rPr>
            </w:pPr>
            <w:r>
              <w:rPr>
                <w:b/>
                <w:sz w:val="18"/>
                <w:szCs w:val="18"/>
              </w:rPr>
              <w:t>Structure</w:t>
            </w:r>
          </w:p>
        </w:tc>
        <w:tc>
          <w:tcPr>
            <w:tcW w:w="14585" w:type="dxa"/>
            <w:gridSpan w:val="2"/>
          </w:tcPr>
          <w:p w14:paraId="62EEF584" w14:textId="4A499BCA" w:rsidR="00765C88" w:rsidRDefault="00AD588F" w:rsidP="00910483">
            <w:pPr>
              <w:spacing w:after="0" w:line="240" w:lineRule="auto"/>
              <w:rPr>
                <w:sz w:val="18"/>
                <w:szCs w:val="18"/>
              </w:rPr>
            </w:pPr>
            <w:r>
              <w:rPr>
                <w:sz w:val="18"/>
                <w:szCs w:val="18"/>
              </w:rPr>
              <w:t xml:space="preserve">6.1 </w:t>
            </w:r>
            <w:r w:rsidR="004B4A20">
              <w:rPr>
                <w:sz w:val="18"/>
                <w:szCs w:val="18"/>
              </w:rPr>
              <w:t>C</w:t>
            </w:r>
            <w:r w:rsidR="004B4A20" w:rsidRPr="004B4A20">
              <w:rPr>
                <w:sz w:val="18"/>
                <w:szCs w:val="18"/>
              </w:rPr>
              <w:t>adre juridique visant à promouvoir</w:t>
            </w:r>
            <w:r w:rsidR="004B4A20">
              <w:rPr>
                <w:sz w:val="18"/>
                <w:szCs w:val="18"/>
              </w:rPr>
              <w:t xml:space="preserve">, </w:t>
            </w:r>
            <w:r>
              <w:rPr>
                <w:sz w:val="18"/>
                <w:szCs w:val="18"/>
              </w:rPr>
              <w:t>faire respecter et</w:t>
            </w:r>
            <w:r w:rsidR="004B4A20">
              <w:rPr>
                <w:sz w:val="18"/>
                <w:szCs w:val="18"/>
              </w:rPr>
              <w:t xml:space="preserve"> suivre l’application des </w:t>
            </w:r>
            <w:r w:rsidR="004B4A20" w:rsidRPr="004B4A20">
              <w:rPr>
                <w:sz w:val="18"/>
                <w:szCs w:val="18"/>
              </w:rPr>
              <w:t xml:space="preserve">principes d’égalité des sexes et de non-discrimination fondée sur le sexe </w:t>
            </w:r>
            <w:r>
              <w:rPr>
                <w:sz w:val="18"/>
                <w:szCs w:val="18"/>
              </w:rPr>
              <w:t>(indicateur ODD 5.1.1) et du handicap</w:t>
            </w:r>
            <w:r w:rsidR="00D37179" w:rsidRPr="0089352F">
              <w:rPr>
                <w:rStyle w:val="Appeldenotedefin"/>
                <w:sz w:val="18"/>
                <w:szCs w:val="18"/>
              </w:rPr>
              <w:endnoteReference w:id="1"/>
            </w:r>
            <w:r w:rsidR="004B4A20">
              <w:rPr>
                <w:sz w:val="18"/>
                <w:szCs w:val="18"/>
              </w:rPr>
              <w:t xml:space="preserve"> (Voir aussi l'article 5 CDPH)</w:t>
            </w:r>
            <w:r w:rsidR="004B4A20">
              <w:rPr>
                <w:rFonts w:ascii="Arial" w:hAnsi="Arial" w:cs="Arial"/>
                <w:sz w:val="25"/>
                <w:szCs w:val="25"/>
              </w:rPr>
              <w:t xml:space="preserve"> </w:t>
            </w:r>
          </w:p>
          <w:p w14:paraId="6E01C37C" w14:textId="74EC61F9" w:rsidR="00AD588F" w:rsidRPr="001C26EF" w:rsidRDefault="00AD588F" w:rsidP="00910483">
            <w:pPr>
              <w:spacing w:after="0" w:line="240" w:lineRule="auto"/>
              <w:rPr>
                <w:sz w:val="18"/>
                <w:szCs w:val="18"/>
              </w:rPr>
            </w:pPr>
            <w:r>
              <w:rPr>
                <w:sz w:val="18"/>
                <w:szCs w:val="18"/>
              </w:rPr>
              <w:t xml:space="preserve">6.2 Adoption d'un cadre juridique garantissant l'égalité des droits des femmes </w:t>
            </w:r>
            <w:r w:rsidR="00C778BA" w:rsidRPr="00C778BA">
              <w:rPr>
                <w:sz w:val="18"/>
                <w:szCs w:val="18"/>
              </w:rPr>
              <w:t xml:space="preserve">en matière d’accès à la propriété ou au contrôle des terres </w:t>
            </w:r>
            <w:r>
              <w:rPr>
                <w:sz w:val="18"/>
                <w:szCs w:val="18"/>
              </w:rPr>
              <w:t>(sur la base de l'indicateur ODD 5.a.2), y compris les femmes handicap</w:t>
            </w:r>
            <w:r w:rsidR="00B45629">
              <w:rPr>
                <w:sz w:val="18"/>
                <w:szCs w:val="18"/>
              </w:rPr>
              <w:t>ées</w:t>
            </w:r>
            <w:r>
              <w:rPr>
                <w:sz w:val="18"/>
                <w:szCs w:val="18"/>
              </w:rPr>
              <w:t>.</w:t>
            </w:r>
          </w:p>
          <w:p w14:paraId="41D9C46B" w14:textId="54B6F6C6" w:rsidR="00AD588F" w:rsidRPr="001C26EF" w:rsidRDefault="00AD588F" w:rsidP="00910483">
            <w:pPr>
              <w:spacing w:after="0" w:line="240" w:lineRule="auto"/>
              <w:rPr>
                <w:sz w:val="18"/>
                <w:szCs w:val="18"/>
              </w:rPr>
            </w:pPr>
            <w:r>
              <w:rPr>
                <w:sz w:val="18"/>
                <w:szCs w:val="18"/>
              </w:rPr>
              <w:t>6.3 Les plans, politiques et lois nationaux sur l'égalité des sexes incluent pleinement les femmes et les filles handicap</w:t>
            </w:r>
            <w:r w:rsidR="00B45629">
              <w:rPr>
                <w:sz w:val="18"/>
                <w:szCs w:val="18"/>
              </w:rPr>
              <w:t>ées</w:t>
            </w:r>
            <w:r>
              <w:rPr>
                <w:sz w:val="18"/>
                <w:szCs w:val="18"/>
              </w:rPr>
              <w:t xml:space="preserve"> et contiennent des mesures spécifiques pour la promotion et l'autonomisation de toutes les femmes et filles handicap</w:t>
            </w:r>
            <w:r w:rsidR="00B45629">
              <w:rPr>
                <w:sz w:val="18"/>
                <w:szCs w:val="18"/>
              </w:rPr>
              <w:t>ées</w:t>
            </w:r>
            <w:r w:rsidRPr="001C26EF">
              <w:rPr>
                <w:rStyle w:val="Appeldenotedefin"/>
                <w:sz w:val="18"/>
                <w:szCs w:val="18"/>
              </w:rPr>
              <w:endnoteReference w:id="2"/>
            </w:r>
            <w:r>
              <w:rPr>
                <w:sz w:val="18"/>
                <w:szCs w:val="18"/>
              </w:rPr>
              <w:t xml:space="preserve"> notamment en soutenant le développement de leurs organisations représentatives et en adoptant une approche à deux volets.</w:t>
            </w:r>
            <w:r w:rsidRPr="001C26EF">
              <w:rPr>
                <w:rStyle w:val="Appeldenotedefin"/>
                <w:sz w:val="18"/>
                <w:szCs w:val="18"/>
              </w:rPr>
              <w:endnoteReference w:id="3"/>
            </w:r>
          </w:p>
          <w:p w14:paraId="745574BF" w14:textId="46DBE157" w:rsidR="00AD588F" w:rsidRPr="001C26EF" w:rsidRDefault="00AD588F" w:rsidP="00C778BA">
            <w:pPr>
              <w:spacing w:after="0" w:line="240" w:lineRule="auto"/>
              <w:rPr>
                <w:sz w:val="18"/>
                <w:szCs w:val="18"/>
              </w:rPr>
            </w:pPr>
            <w:r>
              <w:rPr>
                <w:sz w:val="18"/>
                <w:szCs w:val="18"/>
              </w:rPr>
              <w:t>6.4 Systèmes</w:t>
            </w:r>
            <w:r w:rsidRPr="001C26EF">
              <w:rPr>
                <w:rStyle w:val="Appeldenotedefin"/>
                <w:sz w:val="18"/>
                <w:szCs w:val="18"/>
              </w:rPr>
              <w:endnoteReference w:id="4"/>
            </w:r>
            <w:r>
              <w:rPr>
                <w:sz w:val="18"/>
                <w:szCs w:val="18"/>
              </w:rPr>
              <w:t xml:space="preserve"> adoptés pour suivre</w:t>
            </w:r>
            <w:r w:rsidR="00C778BA">
              <w:rPr>
                <w:sz w:val="18"/>
                <w:szCs w:val="18"/>
              </w:rPr>
              <w:t>, rendre public,</w:t>
            </w:r>
            <w:r>
              <w:rPr>
                <w:sz w:val="18"/>
                <w:szCs w:val="18"/>
              </w:rPr>
              <w:t xml:space="preserve"> et </w:t>
            </w:r>
            <w:r w:rsidR="00C778BA">
              <w:rPr>
                <w:sz w:val="18"/>
                <w:szCs w:val="18"/>
              </w:rPr>
              <w:t>allouer</w:t>
            </w:r>
            <w:r>
              <w:rPr>
                <w:sz w:val="18"/>
                <w:szCs w:val="18"/>
              </w:rPr>
              <w:t xml:space="preserve"> des </w:t>
            </w:r>
            <w:r w:rsidR="00C778BA">
              <w:rPr>
                <w:sz w:val="18"/>
                <w:szCs w:val="18"/>
              </w:rPr>
              <w:t xml:space="preserve">ressources à </w:t>
            </w:r>
            <w:r>
              <w:rPr>
                <w:sz w:val="18"/>
                <w:szCs w:val="18"/>
              </w:rPr>
              <w:t>l'égalité des sexes et</w:t>
            </w:r>
            <w:r w:rsidR="00C778BA">
              <w:rPr>
                <w:sz w:val="18"/>
                <w:szCs w:val="18"/>
              </w:rPr>
              <w:t xml:space="preserve"> à</w:t>
            </w:r>
            <w:r>
              <w:rPr>
                <w:sz w:val="18"/>
                <w:szCs w:val="18"/>
              </w:rPr>
              <w:t xml:space="preserve"> l'autonomisation des femmes (sur la base de l'indicateur ODD 5.c.1) avec des allocations ventilées par population cible.</w:t>
            </w:r>
            <w:r w:rsidRPr="001C26EF">
              <w:rPr>
                <w:rStyle w:val="Appeldenotedefin"/>
                <w:sz w:val="18"/>
                <w:szCs w:val="18"/>
              </w:rPr>
              <w:endnoteReference w:id="5"/>
            </w:r>
            <w:r>
              <w:rPr>
                <w:sz w:val="18"/>
                <w:szCs w:val="18"/>
              </w:rPr>
              <w:t xml:space="preserve"> </w:t>
            </w:r>
          </w:p>
        </w:tc>
      </w:tr>
      <w:tr w:rsidR="00FA7E20" w:rsidRPr="001C26EF" w14:paraId="6B833CFA" w14:textId="77777777" w:rsidTr="004C13B4">
        <w:trPr>
          <w:trHeight w:val="955"/>
          <w:jc w:val="center"/>
        </w:trPr>
        <w:tc>
          <w:tcPr>
            <w:tcW w:w="1009" w:type="dxa"/>
            <w:vMerge w:val="restart"/>
          </w:tcPr>
          <w:p w14:paraId="0CC10E8C" w14:textId="77777777" w:rsidR="00CA7181" w:rsidRPr="001C26EF" w:rsidRDefault="00CA7181" w:rsidP="00910483">
            <w:pPr>
              <w:spacing w:after="0" w:line="240" w:lineRule="auto"/>
              <w:rPr>
                <w:b/>
                <w:sz w:val="18"/>
                <w:szCs w:val="18"/>
              </w:rPr>
            </w:pPr>
            <w:r>
              <w:rPr>
                <w:b/>
                <w:sz w:val="18"/>
                <w:szCs w:val="18"/>
              </w:rPr>
              <w:t>Processus</w:t>
            </w:r>
          </w:p>
        </w:tc>
        <w:tc>
          <w:tcPr>
            <w:tcW w:w="6783" w:type="dxa"/>
          </w:tcPr>
          <w:p w14:paraId="6557C84E" w14:textId="2CD11E54" w:rsidR="00CA7181" w:rsidRPr="001C26EF" w:rsidRDefault="006C2EE4" w:rsidP="00306924">
            <w:pPr>
              <w:spacing w:after="0" w:line="240" w:lineRule="auto"/>
              <w:jc w:val="both"/>
              <w:rPr>
                <w:sz w:val="18"/>
                <w:szCs w:val="18"/>
              </w:rPr>
            </w:pPr>
            <w:r>
              <w:rPr>
                <w:sz w:val="18"/>
                <w:szCs w:val="18"/>
              </w:rPr>
              <w:t>6.5 Proportion de la législation, des plans d'action nationaux et des stratégies ciblant les femmes et/ou les personnes handicap</w:t>
            </w:r>
            <w:r w:rsidR="00B45629">
              <w:rPr>
                <w:sz w:val="18"/>
                <w:szCs w:val="18"/>
              </w:rPr>
              <w:t>ées</w:t>
            </w:r>
            <w:r>
              <w:rPr>
                <w:sz w:val="18"/>
                <w:szCs w:val="18"/>
              </w:rPr>
              <w:t>, faisant explicitement référence aux fe</w:t>
            </w:r>
            <w:r w:rsidR="00B45629">
              <w:rPr>
                <w:sz w:val="18"/>
                <w:szCs w:val="18"/>
              </w:rPr>
              <w:t xml:space="preserve">mmes et aux filles </w:t>
            </w:r>
            <w:r>
              <w:rPr>
                <w:sz w:val="18"/>
                <w:szCs w:val="18"/>
              </w:rPr>
              <w:t>handicap</w:t>
            </w:r>
            <w:r w:rsidR="00B45629">
              <w:rPr>
                <w:sz w:val="18"/>
                <w:szCs w:val="18"/>
              </w:rPr>
              <w:t>ées</w:t>
            </w:r>
            <w:r>
              <w:rPr>
                <w:sz w:val="18"/>
                <w:szCs w:val="18"/>
              </w:rPr>
              <w:t>.</w:t>
            </w:r>
            <w:r w:rsidR="00E0345F">
              <w:rPr>
                <w:rStyle w:val="Appeldenotedefin"/>
                <w:sz w:val="18"/>
                <w:szCs w:val="18"/>
              </w:rPr>
              <w:endnoteReference w:id="6"/>
            </w:r>
          </w:p>
          <w:p w14:paraId="73AC420F" w14:textId="7495F093" w:rsidR="00ED201B" w:rsidRPr="001C26EF" w:rsidRDefault="006C2EE4" w:rsidP="00B45629">
            <w:pPr>
              <w:spacing w:after="0" w:line="240" w:lineRule="auto"/>
              <w:jc w:val="both"/>
              <w:rPr>
                <w:sz w:val="18"/>
                <w:szCs w:val="18"/>
              </w:rPr>
            </w:pPr>
            <w:r>
              <w:rPr>
                <w:sz w:val="18"/>
                <w:szCs w:val="18"/>
              </w:rPr>
              <w:t>6.6 Pourcentage des ressources publiques allouées et dépensées pour les femmes et les filles handicap</w:t>
            </w:r>
            <w:r w:rsidR="00B45629">
              <w:rPr>
                <w:sz w:val="18"/>
                <w:szCs w:val="18"/>
              </w:rPr>
              <w:t>ées</w:t>
            </w:r>
            <w:r>
              <w:rPr>
                <w:sz w:val="18"/>
                <w:szCs w:val="18"/>
              </w:rPr>
              <w:t xml:space="preserve"> dans tous les secteurs.</w:t>
            </w:r>
            <w:r w:rsidR="001558C3" w:rsidRPr="001C26EF">
              <w:rPr>
                <w:rStyle w:val="Appeldenotedefin"/>
                <w:sz w:val="18"/>
                <w:szCs w:val="18"/>
              </w:rPr>
              <w:endnoteReference w:id="7"/>
            </w:r>
            <w:r>
              <w:rPr>
                <w:sz w:val="18"/>
                <w:szCs w:val="18"/>
              </w:rPr>
              <w:t xml:space="preserve"> </w:t>
            </w:r>
          </w:p>
        </w:tc>
        <w:tc>
          <w:tcPr>
            <w:tcW w:w="7802" w:type="dxa"/>
          </w:tcPr>
          <w:p w14:paraId="520C8935" w14:textId="30C9239C" w:rsidR="00260918" w:rsidRPr="001C26EF" w:rsidRDefault="00590E54" w:rsidP="00306924">
            <w:pPr>
              <w:spacing w:after="0" w:line="240" w:lineRule="auto"/>
              <w:jc w:val="both"/>
              <w:rPr>
                <w:sz w:val="18"/>
                <w:szCs w:val="18"/>
              </w:rPr>
            </w:pPr>
            <w:r>
              <w:rPr>
                <w:sz w:val="18"/>
                <w:szCs w:val="18"/>
              </w:rPr>
              <w:t xml:space="preserve">6.7 Proportion de femmes et de filles </w:t>
            </w:r>
            <w:r w:rsidR="00B45629">
              <w:rPr>
                <w:sz w:val="18"/>
                <w:szCs w:val="18"/>
              </w:rPr>
              <w:t>h</w:t>
            </w:r>
            <w:r>
              <w:rPr>
                <w:sz w:val="18"/>
                <w:szCs w:val="18"/>
              </w:rPr>
              <w:t>andicap</w:t>
            </w:r>
            <w:r w:rsidR="00B45629">
              <w:rPr>
                <w:sz w:val="18"/>
                <w:szCs w:val="18"/>
              </w:rPr>
              <w:t>ées</w:t>
            </w:r>
            <w:r>
              <w:rPr>
                <w:sz w:val="18"/>
                <w:szCs w:val="18"/>
              </w:rPr>
              <w:t xml:space="preserve"> participant à une formation au leadership et aux droits de l'homme parmi toutes les femmes et toutes les personnes </w:t>
            </w:r>
            <w:r w:rsidR="00B45629">
              <w:rPr>
                <w:sz w:val="18"/>
                <w:szCs w:val="18"/>
              </w:rPr>
              <w:t>h</w:t>
            </w:r>
            <w:r>
              <w:rPr>
                <w:sz w:val="18"/>
                <w:szCs w:val="18"/>
              </w:rPr>
              <w:t>andicap</w:t>
            </w:r>
            <w:r w:rsidR="00B45629">
              <w:rPr>
                <w:sz w:val="18"/>
                <w:szCs w:val="18"/>
              </w:rPr>
              <w:t>ées</w:t>
            </w:r>
            <w:r>
              <w:rPr>
                <w:sz w:val="18"/>
                <w:szCs w:val="18"/>
              </w:rPr>
              <w:t xml:space="preserve">. </w:t>
            </w:r>
          </w:p>
          <w:p w14:paraId="71B23055" w14:textId="45EFA499" w:rsidR="008033D2" w:rsidRDefault="005B4BD1" w:rsidP="004F1B1D">
            <w:pPr>
              <w:spacing w:after="0" w:line="240" w:lineRule="auto"/>
              <w:jc w:val="both"/>
              <w:rPr>
                <w:sz w:val="18"/>
                <w:szCs w:val="18"/>
              </w:rPr>
            </w:pPr>
            <w:r>
              <w:rPr>
                <w:sz w:val="18"/>
                <w:szCs w:val="18"/>
              </w:rPr>
              <w:t>6.8 Formations et activités de sensibilisation, financées par le gouvernement, destinées aux fe</w:t>
            </w:r>
            <w:r w:rsidR="00B45629">
              <w:rPr>
                <w:sz w:val="18"/>
                <w:szCs w:val="18"/>
              </w:rPr>
              <w:t xml:space="preserve">mmes et aux filles </w:t>
            </w:r>
            <w:r>
              <w:rPr>
                <w:sz w:val="18"/>
                <w:szCs w:val="18"/>
              </w:rPr>
              <w:t>handicap</w:t>
            </w:r>
            <w:r w:rsidR="00B45629">
              <w:rPr>
                <w:sz w:val="18"/>
                <w:szCs w:val="18"/>
              </w:rPr>
              <w:t>ées</w:t>
            </w:r>
            <w:r>
              <w:rPr>
                <w:sz w:val="18"/>
                <w:szCs w:val="18"/>
              </w:rPr>
              <w:t xml:space="preserve"> sur leurs droits et le nombre de participants, ventilés par âge, handicap et situation géographique.</w:t>
            </w:r>
            <w:r>
              <w:rPr>
                <w:rStyle w:val="Appeldenotedefin"/>
                <w:sz w:val="18"/>
                <w:szCs w:val="18"/>
              </w:rPr>
              <w:t xml:space="preserve"> </w:t>
            </w:r>
            <w:r w:rsidR="008033D2">
              <w:rPr>
                <w:rStyle w:val="Appeldenotedefin"/>
                <w:rFonts w:cstheme="minorHAnsi"/>
                <w:sz w:val="18"/>
                <w:szCs w:val="18"/>
              </w:rPr>
              <w:endnoteReference w:id="8"/>
            </w:r>
          </w:p>
          <w:p w14:paraId="45F88E98" w14:textId="08CFAF52" w:rsidR="000B3585" w:rsidRPr="000A6D82" w:rsidRDefault="005106FE" w:rsidP="00B45629">
            <w:pPr>
              <w:spacing w:after="0" w:line="240" w:lineRule="auto"/>
              <w:jc w:val="both"/>
              <w:rPr>
                <w:rFonts w:cstheme="minorHAnsi"/>
                <w:sz w:val="18"/>
                <w:szCs w:val="18"/>
              </w:rPr>
            </w:pPr>
            <w:r>
              <w:rPr>
                <w:sz w:val="18"/>
                <w:szCs w:val="18"/>
              </w:rPr>
              <w:t>6.9 Nombre d'organisations représentatives de femmes et de filles handicap</w:t>
            </w:r>
            <w:r w:rsidR="00B45629">
              <w:rPr>
                <w:sz w:val="18"/>
                <w:szCs w:val="18"/>
              </w:rPr>
              <w:t>ées</w:t>
            </w:r>
            <w:r>
              <w:rPr>
                <w:b/>
                <w:sz w:val="18"/>
                <w:szCs w:val="18"/>
              </w:rPr>
              <w:t>,</w:t>
            </w:r>
            <w:r>
              <w:rPr>
                <w:sz w:val="18"/>
                <w:szCs w:val="18"/>
              </w:rPr>
              <w:t xml:space="preserve"> ventilées par zone géographique. </w:t>
            </w:r>
          </w:p>
        </w:tc>
      </w:tr>
      <w:tr w:rsidR="007137DE" w:rsidRPr="001C26EF" w14:paraId="0A73B236" w14:textId="77777777" w:rsidTr="00405C57">
        <w:trPr>
          <w:jc w:val="center"/>
        </w:trPr>
        <w:tc>
          <w:tcPr>
            <w:tcW w:w="1009" w:type="dxa"/>
            <w:vMerge/>
          </w:tcPr>
          <w:p w14:paraId="24C721E8" w14:textId="77777777" w:rsidR="007137DE" w:rsidRPr="001C26EF" w:rsidRDefault="007137DE" w:rsidP="00910483">
            <w:pPr>
              <w:spacing w:after="0" w:line="240" w:lineRule="auto"/>
              <w:rPr>
                <w:b/>
                <w:sz w:val="18"/>
                <w:szCs w:val="18"/>
              </w:rPr>
            </w:pPr>
          </w:p>
        </w:tc>
        <w:tc>
          <w:tcPr>
            <w:tcW w:w="14585" w:type="dxa"/>
            <w:gridSpan w:val="2"/>
          </w:tcPr>
          <w:p w14:paraId="19B1A08B" w14:textId="2CC3AB75" w:rsidR="009A1CE3" w:rsidRPr="004C13B4" w:rsidRDefault="00AD588F" w:rsidP="001F42C6">
            <w:pPr>
              <w:spacing w:after="0" w:line="240" w:lineRule="auto"/>
              <w:jc w:val="both"/>
              <w:rPr>
                <w:rFonts w:cstheme="minorHAnsi"/>
                <w:sz w:val="18"/>
                <w:szCs w:val="18"/>
              </w:rPr>
            </w:pPr>
            <w:r>
              <w:rPr>
                <w:sz w:val="18"/>
                <w:szCs w:val="18"/>
              </w:rPr>
              <w:t>6.10 Nombre et proportion du personnel impliqué dans la prestation de programmes et de services financés par le gouvernement dans tous les secteurs qui est formé à la sensibilisation et à l'inclusion des personnes handicap</w:t>
            </w:r>
            <w:r w:rsidR="00B45629">
              <w:rPr>
                <w:sz w:val="18"/>
                <w:szCs w:val="18"/>
              </w:rPr>
              <w:t>ées</w:t>
            </w:r>
            <w:r>
              <w:rPr>
                <w:sz w:val="18"/>
                <w:szCs w:val="18"/>
              </w:rPr>
              <w:t>, à l'égalité des sexes et à la lutte contre les formes multiples et croisées de discrimination.</w:t>
            </w:r>
            <w:r w:rsidR="009A1CE3" w:rsidRPr="00D32213">
              <w:rPr>
                <w:rStyle w:val="Appeldenotedefin"/>
              </w:rPr>
              <w:endnoteReference w:id="9"/>
            </w:r>
          </w:p>
          <w:p w14:paraId="250B8D04" w14:textId="3A54841C" w:rsidR="00B13D49" w:rsidRPr="004C13B4" w:rsidRDefault="00AD588F" w:rsidP="001F42C6">
            <w:pPr>
              <w:spacing w:after="0" w:line="240" w:lineRule="auto"/>
              <w:jc w:val="both"/>
              <w:rPr>
                <w:rFonts w:cstheme="minorHAnsi"/>
                <w:sz w:val="18"/>
                <w:szCs w:val="18"/>
              </w:rPr>
            </w:pPr>
            <w:r>
              <w:rPr>
                <w:sz w:val="18"/>
                <w:szCs w:val="18"/>
              </w:rPr>
              <w:t>6.11 Les campagnes et activités de sensibilisation à l'égalité des sexes incluent les femmes et les filles handicap</w:t>
            </w:r>
            <w:r w:rsidR="00B45629">
              <w:rPr>
                <w:sz w:val="18"/>
                <w:szCs w:val="18"/>
              </w:rPr>
              <w:t>ées</w:t>
            </w:r>
            <w:r>
              <w:rPr>
                <w:sz w:val="18"/>
                <w:szCs w:val="18"/>
              </w:rPr>
              <w:t xml:space="preserve"> et combattent les formes multiples et croisées de discrimination, les stéréotypes, les préjugés et les pratiques néfastes à l'égard des fe</w:t>
            </w:r>
            <w:r w:rsidR="00B45629">
              <w:rPr>
                <w:sz w:val="18"/>
                <w:szCs w:val="18"/>
              </w:rPr>
              <w:t xml:space="preserve">mmes et des filles </w:t>
            </w:r>
            <w:r>
              <w:rPr>
                <w:sz w:val="18"/>
                <w:szCs w:val="18"/>
              </w:rPr>
              <w:t>handicap</w:t>
            </w:r>
            <w:r w:rsidR="00B45629">
              <w:rPr>
                <w:sz w:val="18"/>
                <w:szCs w:val="18"/>
              </w:rPr>
              <w:t>ées</w:t>
            </w:r>
            <w:r>
              <w:rPr>
                <w:sz w:val="18"/>
                <w:szCs w:val="18"/>
              </w:rPr>
              <w:t>.</w:t>
            </w:r>
            <w:r>
              <w:rPr>
                <w:rStyle w:val="Appeldenotedefin"/>
                <w:sz w:val="18"/>
                <w:szCs w:val="18"/>
              </w:rPr>
              <w:t xml:space="preserve"> </w:t>
            </w:r>
          </w:p>
          <w:p w14:paraId="63C6C137" w14:textId="47B00A8A" w:rsidR="00910483" w:rsidRPr="00B17E19" w:rsidRDefault="00910483" w:rsidP="001F42C6">
            <w:pPr>
              <w:spacing w:after="0" w:line="240" w:lineRule="auto"/>
              <w:jc w:val="both"/>
              <w:rPr>
                <w:rFonts w:cstheme="minorHAnsi"/>
                <w:sz w:val="18"/>
                <w:szCs w:val="18"/>
              </w:rPr>
            </w:pPr>
            <w:r>
              <w:rPr>
                <w:sz w:val="18"/>
                <w:szCs w:val="18"/>
              </w:rPr>
              <w:t>6.12 Processus de consultation entrepris pour assurer la participation active des femmes et des filles handicap</w:t>
            </w:r>
            <w:r w:rsidR="00B45629">
              <w:rPr>
                <w:sz w:val="18"/>
                <w:szCs w:val="18"/>
              </w:rPr>
              <w:t>ées</w:t>
            </w:r>
            <w:r>
              <w:rPr>
                <w:sz w:val="18"/>
                <w:szCs w:val="18"/>
              </w:rPr>
              <w:t xml:space="preserve">, </w:t>
            </w:r>
            <w:r>
              <w:rPr>
                <w:color w:val="444444"/>
                <w:sz w:val="18"/>
                <w:szCs w:val="18"/>
              </w:rPr>
              <w:t>y compris</w:t>
            </w:r>
            <w:r w:rsidR="00B45629">
              <w:rPr>
                <w:sz w:val="18"/>
                <w:szCs w:val="18"/>
              </w:rPr>
              <w:t xml:space="preserve"> par l’intermédiaire </w:t>
            </w:r>
            <w:r>
              <w:rPr>
                <w:sz w:val="18"/>
                <w:szCs w:val="18"/>
              </w:rPr>
              <w:t>des organisations</w:t>
            </w:r>
            <w:r w:rsidR="00B45629">
              <w:rPr>
                <w:sz w:val="18"/>
                <w:szCs w:val="18"/>
              </w:rPr>
              <w:t xml:space="preserve"> qui les</w:t>
            </w:r>
            <w:r>
              <w:rPr>
                <w:sz w:val="18"/>
                <w:szCs w:val="18"/>
              </w:rPr>
              <w:t xml:space="preserve"> représent</w:t>
            </w:r>
            <w:r w:rsidR="00B45629">
              <w:rPr>
                <w:sz w:val="18"/>
                <w:szCs w:val="18"/>
              </w:rPr>
              <w:t>ent</w:t>
            </w:r>
            <w:r>
              <w:rPr>
                <w:sz w:val="18"/>
                <w:szCs w:val="18"/>
              </w:rPr>
              <w:t>, à la conception, à la mise en œuvre et au suivi des lois, réglementations, politiques et programmes, concernant les questions qui peuvent avoir un impact direct ou indirect sur leurs droits.</w:t>
            </w:r>
            <w:r w:rsidRPr="00B17E19">
              <w:rPr>
                <w:rStyle w:val="Appeldenotedefin"/>
                <w:rFonts w:cstheme="minorHAnsi"/>
              </w:rPr>
              <w:endnoteReference w:id="10"/>
            </w:r>
          </w:p>
          <w:p w14:paraId="5932BC6E" w14:textId="0C6F4DB6" w:rsidR="007137DE" w:rsidRPr="00C0195A" w:rsidRDefault="00AD588F" w:rsidP="00B45629">
            <w:pPr>
              <w:spacing w:after="0" w:line="240" w:lineRule="auto"/>
              <w:jc w:val="both"/>
              <w:rPr>
                <w:rFonts w:cstheme="minorHAnsi"/>
                <w:sz w:val="18"/>
                <w:szCs w:val="18"/>
              </w:rPr>
            </w:pPr>
            <w:r>
              <w:rPr>
                <w:sz w:val="18"/>
                <w:szCs w:val="18"/>
              </w:rPr>
              <w:t>6.13 Proportion de plaintes reçues alléguant de la discrimination et/ou impliquant des femmes et des filles handicap</w:t>
            </w:r>
            <w:r w:rsidR="00B45629">
              <w:rPr>
                <w:sz w:val="18"/>
                <w:szCs w:val="18"/>
              </w:rPr>
              <w:t>ées</w:t>
            </w:r>
            <w:r>
              <w:rPr>
                <w:sz w:val="18"/>
                <w:szCs w:val="18"/>
              </w:rPr>
              <w:t xml:space="preserve"> qui ont fait l'objet d'une enquête et d'une décision; proportion de celles jugées en faveur du plaignant ; et proportion de ces dernières qui ont été respectées par le gouvernement et/ou le détenteur d'obligations ; à chaque fois ventilée par type de mécanisme.</w:t>
            </w:r>
          </w:p>
        </w:tc>
      </w:tr>
      <w:tr w:rsidR="00FA7E20" w:rsidRPr="001C26EF" w14:paraId="46E9A6AF" w14:textId="77777777" w:rsidTr="007F5EF1">
        <w:trPr>
          <w:trHeight w:val="2660"/>
          <w:jc w:val="center"/>
        </w:trPr>
        <w:tc>
          <w:tcPr>
            <w:tcW w:w="1009" w:type="dxa"/>
          </w:tcPr>
          <w:p w14:paraId="13888AD3" w14:textId="77777777" w:rsidR="00CA7181" w:rsidRPr="001C26EF" w:rsidRDefault="00CA7181" w:rsidP="00910483">
            <w:pPr>
              <w:spacing w:after="0" w:line="240" w:lineRule="auto"/>
              <w:rPr>
                <w:b/>
                <w:sz w:val="18"/>
                <w:szCs w:val="18"/>
              </w:rPr>
            </w:pPr>
            <w:r>
              <w:rPr>
                <w:b/>
                <w:sz w:val="18"/>
                <w:szCs w:val="18"/>
              </w:rPr>
              <w:t>Résultats</w:t>
            </w:r>
          </w:p>
        </w:tc>
        <w:tc>
          <w:tcPr>
            <w:tcW w:w="14585" w:type="dxa"/>
            <w:gridSpan w:val="2"/>
          </w:tcPr>
          <w:p w14:paraId="2B172903" w14:textId="4ADFAAD9" w:rsidR="0075668C" w:rsidRDefault="00AD588F" w:rsidP="00910483">
            <w:pPr>
              <w:spacing w:after="0" w:line="240" w:lineRule="auto"/>
              <w:rPr>
                <w:sz w:val="18"/>
                <w:szCs w:val="18"/>
              </w:rPr>
            </w:pPr>
            <w:r>
              <w:rPr>
                <w:sz w:val="18"/>
                <w:szCs w:val="18"/>
              </w:rPr>
              <w:t xml:space="preserve">6.14 </w:t>
            </w:r>
            <w:r w:rsidR="00C778BA" w:rsidRPr="00C778BA">
              <w:rPr>
                <w:sz w:val="18"/>
                <w:szCs w:val="18"/>
              </w:rPr>
              <w:t xml:space="preserve">Proportion de sièges occupés par des femmes dans a) les parlements nationaux et b) les administrations locales </w:t>
            </w:r>
            <w:r>
              <w:rPr>
                <w:sz w:val="18"/>
                <w:szCs w:val="18"/>
              </w:rPr>
              <w:t>(indicateur ODD 5.5.1), ventilés par handicap.</w:t>
            </w:r>
          </w:p>
          <w:p w14:paraId="68304437" w14:textId="57E05E9D" w:rsidR="00B13D49" w:rsidRPr="001C26EF" w:rsidRDefault="00B13D49" w:rsidP="00910483">
            <w:pPr>
              <w:spacing w:after="0" w:line="240" w:lineRule="auto"/>
              <w:rPr>
                <w:sz w:val="18"/>
                <w:szCs w:val="18"/>
              </w:rPr>
            </w:pPr>
            <w:r>
              <w:rPr>
                <w:sz w:val="18"/>
                <w:szCs w:val="18"/>
              </w:rPr>
              <w:t>6.15 Proportion de représentation aux postes de décision</w:t>
            </w:r>
            <w:r w:rsidRPr="001C26EF">
              <w:rPr>
                <w:rStyle w:val="Appeldenotedefin"/>
                <w:sz w:val="18"/>
                <w:szCs w:val="18"/>
              </w:rPr>
              <w:endnoteReference w:id="11"/>
            </w:r>
            <w:r>
              <w:rPr>
                <w:sz w:val="18"/>
                <w:szCs w:val="18"/>
              </w:rPr>
              <w:t xml:space="preserve"> dans le secteur public, ventilée par sexe, âge et handicap, entre autres.</w:t>
            </w:r>
          </w:p>
          <w:p w14:paraId="328D1FF2" w14:textId="0ED45B21" w:rsidR="0075668C" w:rsidRDefault="00AD588F" w:rsidP="00910483">
            <w:pPr>
              <w:spacing w:after="0" w:line="240" w:lineRule="auto"/>
              <w:rPr>
                <w:sz w:val="18"/>
                <w:szCs w:val="18"/>
              </w:rPr>
            </w:pPr>
            <w:r>
              <w:rPr>
                <w:sz w:val="18"/>
                <w:szCs w:val="18"/>
              </w:rPr>
              <w:t xml:space="preserve">6.16 </w:t>
            </w:r>
            <w:r w:rsidR="00C778BA" w:rsidRPr="00C778BA">
              <w:rPr>
                <w:sz w:val="18"/>
                <w:szCs w:val="18"/>
              </w:rPr>
              <w:t xml:space="preserve">Proportion de femmes occupant des postes de direction </w:t>
            </w:r>
            <w:r>
              <w:rPr>
                <w:sz w:val="18"/>
                <w:szCs w:val="18"/>
              </w:rPr>
              <w:t xml:space="preserve">(indicateur ODD 5.5.2), ventilée par âge et handicap. </w:t>
            </w:r>
          </w:p>
          <w:p w14:paraId="6AF09CF0" w14:textId="23E615BF" w:rsidR="008B2C85" w:rsidRPr="001C26EF" w:rsidRDefault="005106FE" w:rsidP="00910483">
            <w:pPr>
              <w:spacing w:after="0" w:line="240" w:lineRule="auto"/>
              <w:rPr>
                <w:sz w:val="18"/>
                <w:szCs w:val="18"/>
              </w:rPr>
            </w:pPr>
            <w:r>
              <w:rPr>
                <w:sz w:val="18"/>
                <w:szCs w:val="18"/>
              </w:rPr>
              <w:t>6.17 Proportion de représentation des femmes handicap</w:t>
            </w:r>
            <w:r w:rsidR="00B45629">
              <w:rPr>
                <w:sz w:val="18"/>
                <w:szCs w:val="18"/>
              </w:rPr>
              <w:t>ées</w:t>
            </w:r>
            <w:r>
              <w:rPr>
                <w:sz w:val="18"/>
                <w:szCs w:val="18"/>
              </w:rPr>
              <w:t xml:space="preserve"> occupant des postes de direction au sein de la société civile, ventilée par sexe et handicap, entre autres, y compris au sein des organis</w:t>
            </w:r>
            <w:r w:rsidR="00B45629">
              <w:rPr>
                <w:sz w:val="18"/>
                <w:szCs w:val="18"/>
              </w:rPr>
              <w:t>ations de personnes</w:t>
            </w:r>
            <w:r>
              <w:rPr>
                <w:sz w:val="18"/>
                <w:szCs w:val="18"/>
              </w:rPr>
              <w:t xml:space="preserve"> handicap</w:t>
            </w:r>
            <w:r w:rsidR="00B45629">
              <w:rPr>
                <w:sz w:val="18"/>
                <w:szCs w:val="18"/>
              </w:rPr>
              <w:t>ées</w:t>
            </w:r>
            <w:r>
              <w:rPr>
                <w:sz w:val="18"/>
                <w:szCs w:val="18"/>
              </w:rPr>
              <w:t xml:space="preserve"> et des organisations de défense des droits des femmes.</w:t>
            </w:r>
            <w:r w:rsidR="00873851">
              <w:rPr>
                <w:sz w:val="18"/>
                <w:szCs w:val="18"/>
              </w:rPr>
              <w:t xml:space="preserve">    </w:t>
            </w:r>
          </w:p>
          <w:p w14:paraId="3E9FE318" w14:textId="166CA6A1" w:rsidR="000D2C76" w:rsidRPr="001C26EF" w:rsidRDefault="00AD588F" w:rsidP="00910483">
            <w:pPr>
              <w:spacing w:after="0" w:line="240" w:lineRule="auto"/>
              <w:rPr>
                <w:sz w:val="18"/>
                <w:szCs w:val="18"/>
              </w:rPr>
            </w:pPr>
            <w:r>
              <w:rPr>
                <w:sz w:val="18"/>
                <w:szCs w:val="18"/>
              </w:rPr>
              <w:t xml:space="preserve">6.18 </w:t>
            </w:r>
            <w:r w:rsidR="00C778BA" w:rsidRPr="00C778BA">
              <w:rPr>
                <w:sz w:val="18"/>
                <w:szCs w:val="18"/>
              </w:rPr>
              <w:t>Proportion de la population victime de violences physiques, psychologiques ou sexuelles au cours des</w:t>
            </w:r>
            <w:r w:rsidR="00C778BA">
              <w:rPr>
                <w:sz w:val="18"/>
                <w:szCs w:val="18"/>
              </w:rPr>
              <w:t xml:space="preserve"> </w:t>
            </w:r>
            <w:r w:rsidR="00C778BA" w:rsidRPr="00C778BA">
              <w:rPr>
                <w:sz w:val="18"/>
                <w:szCs w:val="18"/>
              </w:rPr>
              <w:t xml:space="preserve">12 mois précédents </w:t>
            </w:r>
            <w:r>
              <w:rPr>
                <w:sz w:val="18"/>
                <w:szCs w:val="18"/>
              </w:rPr>
              <w:t>(indicateur ODD 16.1.3) par sexe, âge et handicap.</w:t>
            </w:r>
          </w:p>
          <w:p w14:paraId="09D07D30" w14:textId="4C89CAAC" w:rsidR="008B2C85" w:rsidRDefault="005106FE" w:rsidP="00910483">
            <w:pPr>
              <w:spacing w:after="0" w:line="240" w:lineRule="auto"/>
              <w:rPr>
                <w:sz w:val="18"/>
                <w:szCs w:val="18"/>
              </w:rPr>
            </w:pPr>
            <w:r>
              <w:rPr>
                <w:sz w:val="18"/>
                <w:szCs w:val="18"/>
              </w:rPr>
              <w:t>6.19 Proportion de femmes et de filles qui prennent leurs propres décisions éclairées concernant les relations sexuelles, l'utilisation des contraceptifs et les soins de santé génésique (sur la base de l'indicateur ODD 5.6.1) par âge et handicap, situation géographique (idem 23.19).</w:t>
            </w:r>
          </w:p>
          <w:p w14:paraId="598FF4A9" w14:textId="4AA9C19C" w:rsidR="0075668C" w:rsidRPr="001C26EF" w:rsidRDefault="00AD588F" w:rsidP="00910483">
            <w:pPr>
              <w:spacing w:after="0" w:line="240" w:lineRule="auto"/>
              <w:rPr>
                <w:sz w:val="18"/>
                <w:szCs w:val="18"/>
              </w:rPr>
            </w:pPr>
            <w:r>
              <w:rPr>
                <w:sz w:val="18"/>
                <w:szCs w:val="18"/>
              </w:rPr>
              <w:t xml:space="preserve">6.20 </w:t>
            </w:r>
            <w:r w:rsidR="00C778BA" w:rsidRPr="00C778BA">
              <w:rPr>
                <w:sz w:val="18"/>
                <w:szCs w:val="18"/>
              </w:rPr>
              <w:t>Proportion de la population adulte totale qui</w:t>
            </w:r>
            <w:r w:rsidR="00C778BA">
              <w:rPr>
                <w:sz w:val="18"/>
                <w:szCs w:val="18"/>
              </w:rPr>
              <w:t xml:space="preserve"> </w:t>
            </w:r>
            <w:r w:rsidR="00C778BA" w:rsidRPr="00C778BA">
              <w:rPr>
                <w:sz w:val="18"/>
                <w:szCs w:val="18"/>
              </w:rPr>
              <w:t>dispose de la sécurité des droits fonciers et de documents légalement authentifiés et qui considère que ses droits sur la terre sont sûrs, par</w:t>
            </w:r>
            <w:r w:rsidR="00C778BA">
              <w:rPr>
                <w:sz w:val="18"/>
                <w:szCs w:val="18"/>
              </w:rPr>
              <w:t xml:space="preserve"> sexe et par type d’occupation </w:t>
            </w:r>
            <w:r>
              <w:rPr>
                <w:sz w:val="18"/>
                <w:szCs w:val="18"/>
              </w:rPr>
              <w:t>(indicateur ODD 1.4.2) et par handicap.</w:t>
            </w:r>
            <w:r w:rsidR="00C778BA">
              <w:rPr>
                <w:sz w:val="18"/>
                <w:szCs w:val="18"/>
              </w:rPr>
              <w:t xml:space="preserve"> </w:t>
            </w:r>
          </w:p>
          <w:p w14:paraId="4017E17D" w14:textId="77777777" w:rsidR="00C778BA" w:rsidRDefault="00AD588F" w:rsidP="00C778BA">
            <w:pPr>
              <w:spacing w:after="0" w:line="240" w:lineRule="auto"/>
              <w:jc w:val="both"/>
              <w:rPr>
                <w:sz w:val="18"/>
                <w:szCs w:val="18"/>
              </w:rPr>
            </w:pPr>
            <w:r>
              <w:rPr>
                <w:sz w:val="18"/>
                <w:szCs w:val="18"/>
              </w:rPr>
              <w:t xml:space="preserve">6.21 Proportion de la population agricole totale </w:t>
            </w:r>
            <w:r w:rsidR="00C778BA" w:rsidRPr="00C778BA">
              <w:rPr>
                <w:sz w:val="18"/>
                <w:szCs w:val="18"/>
              </w:rPr>
              <w:t>ayant des droits de propriété ou des droits garantis sur des terres agricoles</w:t>
            </w:r>
            <w:r>
              <w:rPr>
                <w:sz w:val="18"/>
                <w:szCs w:val="18"/>
              </w:rPr>
              <w:t xml:space="preserve">, par sexe (indicateur ODD 5.a.1 (a)) et handicap ; </w:t>
            </w:r>
            <w:r w:rsidR="00C778BA" w:rsidRPr="00C778BA">
              <w:rPr>
                <w:sz w:val="18"/>
                <w:szCs w:val="18"/>
              </w:rPr>
              <w:t xml:space="preserve">proportion de femmes parmi les titulaires de droits de propriété ou de droits garantis sur des terrains agricoles, par type de </w:t>
            </w:r>
            <w:r w:rsidR="00C778BA">
              <w:rPr>
                <w:sz w:val="18"/>
                <w:szCs w:val="18"/>
              </w:rPr>
              <w:t>droit</w:t>
            </w:r>
            <w:r>
              <w:rPr>
                <w:sz w:val="18"/>
                <w:szCs w:val="18"/>
              </w:rPr>
              <w:t xml:space="preserve"> (indicateur ODD 5.a.1 (b)) et handicap.</w:t>
            </w:r>
          </w:p>
          <w:p w14:paraId="02A9CB51" w14:textId="7F42C8A2" w:rsidR="00C778BA" w:rsidRPr="001C26EF" w:rsidRDefault="00C778BA" w:rsidP="00C778BA">
            <w:pPr>
              <w:spacing w:after="0" w:line="240" w:lineRule="auto"/>
              <w:jc w:val="both"/>
              <w:rPr>
                <w:sz w:val="18"/>
                <w:szCs w:val="18"/>
              </w:rPr>
            </w:pPr>
          </w:p>
        </w:tc>
      </w:tr>
    </w:tbl>
    <w:p w14:paraId="02BD60B6" w14:textId="77777777" w:rsidR="007B7B52" w:rsidRPr="001C26EF" w:rsidRDefault="007B7B52" w:rsidP="00910483">
      <w:pPr>
        <w:spacing w:after="0" w:line="240" w:lineRule="auto"/>
        <w:jc w:val="center"/>
        <w:rPr>
          <w:rFonts w:cstheme="minorHAnsi"/>
          <w:b/>
          <w:sz w:val="18"/>
          <w:szCs w:val="18"/>
        </w:rPr>
      </w:pPr>
    </w:p>
    <w:p w14:paraId="64DF9488" w14:textId="6923FAA5" w:rsidR="0095779D" w:rsidRPr="00DD242B" w:rsidRDefault="0095779D" w:rsidP="00910483">
      <w:pPr>
        <w:spacing w:after="0" w:line="240" w:lineRule="auto"/>
        <w:rPr>
          <w:rFonts w:cstheme="minorHAnsi"/>
          <w:b/>
          <w:sz w:val="18"/>
          <w:szCs w:val="18"/>
        </w:rPr>
      </w:pPr>
      <w:r>
        <w:br w:type="page"/>
      </w:r>
      <w:r w:rsidR="00DD242B">
        <w:lastRenderedPageBreak/>
        <w:t xml:space="preserve">* </w:t>
      </w:r>
      <w:r w:rsidR="00DD242B">
        <w:rPr>
          <w:sz w:val="18"/>
          <w:szCs w:val="18"/>
        </w:rPr>
        <w:t xml:space="preserve">Veuillez consulter </w:t>
      </w:r>
      <w:hyperlink r:id="rId11" w:history="1">
        <w:r w:rsidR="00DD242B" w:rsidRPr="00123EDF">
          <w:rPr>
            <w:rStyle w:val="Lienhypertexte"/>
            <w:sz w:val="18"/>
            <w:szCs w:val="18"/>
          </w:rPr>
          <w:t xml:space="preserve">l’Observation </w:t>
        </w:r>
        <w:r w:rsidR="006A471B" w:rsidRPr="00123EDF">
          <w:rPr>
            <w:rStyle w:val="Lienhypertexte"/>
            <w:sz w:val="18"/>
            <w:szCs w:val="18"/>
          </w:rPr>
          <w:t>Générale no 3</w:t>
        </w:r>
      </w:hyperlink>
      <w:r w:rsidR="00627FDC">
        <w:rPr>
          <w:sz w:val="18"/>
          <w:szCs w:val="18"/>
        </w:rPr>
        <w:t xml:space="preserve"> du Comité</w:t>
      </w:r>
      <w:r w:rsidR="006A471B">
        <w:rPr>
          <w:sz w:val="18"/>
          <w:szCs w:val="18"/>
        </w:rPr>
        <w:t xml:space="preserve"> </w:t>
      </w:r>
      <w:r w:rsidR="00627FDC">
        <w:rPr>
          <w:sz w:val="18"/>
          <w:szCs w:val="18"/>
        </w:rPr>
        <w:t xml:space="preserve">CDPH </w:t>
      </w:r>
      <w:r w:rsidR="006A471B">
        <w:rPr>
          <w:sz w:val="18"/>
          <w:szCs w:val="18"/>
        </w:rPr>
        <w:t>sur les femmes handicapées.</w:t>
      </w:r>
    </w:p>
    <w:sectPr w:rsidR="0095779D" w:rsidRPr="00DD242B" w:rsidSect="00405C57">
      <w:pgSz w:w="15840" w:h="12240" w:orient="landscape"/>
      <w:pgMar w:top="113" w:right="284" w:bottom="113"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BA8E5" w14:textId="77777777" w:rsidR="0092018F" w:rsidRDefault="0092018F" w:rsidP="00260918">
      <w:pPr>
        <w:spacing w:after="0" w:line="240" w:lineRule="auto"/>
      </w:pPr>
      <w:r>
        <w:separator/>
      </w:r>
    </w:p>
  </w:endnote>
  <w:endnote w:type="continuationSeparator" w:id="0">
    <w:p w14:paraId="12E4E394" w14:textId="77777777" w:rsidR="0092018F" w:rsidRDefault="0092018F" w:rsidP="00260918">
      <w:pPr>
        <w:spacing w:after="0" w:line="240" w:lineRule="auto"/>
      </w:pPr>
      <w:r>
        <w:continuationSeparator/>
      </w:r>
    </w:p>
  </w:endnote>
  <w:endnote w:id="1">
    <w:p w14:paraId="058AB09D" w14:textId="77777777" w:rsidR="00D37179" w:rsidRPr="0095779D" w:rsidRDefault="00D37179" w:rsidP="00D37179">
      <w:pPr>
        <w:pStyle w:val="Notedefin"/>
        <w:jc w:val="both"/>
        <w:rPr>
          <w:sz w:val="18"/>
          <w:szCs w:val="18"/>
        </w:rPr>
      </w:pPr>
      <w:r>
        <w:rPr>
          <w:rStyle w:val="Appeldenotedefin"/>
          <w:sz w:val="18"/>
          <w:szCs w:val="18"/>
        </w:rPr>
        <w:endnoteRef/>
      </w:r>
      <w:r>
        <w:t xml:space="preserve"> </w:t>
      </w:r>
      <w:r>
        <w:rPr>
          <w:sz w:val="18"/>
          <w:szCs w:val="18"/>
        </w:rPr>
        <w:t>Cette législation devrait explicitement :</w:t>
      </w:r>
    </w:p>
    <w:p w14:paraId="34A63035" w14:textId="64BB0F49" w:rsidR="00D37179" w:rsidRPr="0095779D" w:rsidRDefault="00D37179" w:rsidP="00D37179">
      <w:pPr>
        <w:pStyle w:val="Notedefin"/>
        <w:numPr>
          <w:ilvl w:val="0"/>
          <w:numId w:val="11"/>
        </w:numPr>
        <w:jc w:val="both"/>
        <w:rPr>
          <w:sz w:val="18"/>
          <w:szCs w:val="18"/>
        </w:rPr>
      </w:pPr>
      <w:proofErr w:type="gramStart"/>
      <w:r>
        <w:rPr>
          <w:sz w:val="18"/>
          <w:szCs w:val="18"/>
        </w:rPr>
        <w:t>interdire</w:t>
      </w:r>
      <w:proofErr w:type="gramEnd"/>
      <w:r>
        <w:rPr>
          <w:sz w:val="18"/>
          <w:szCs w:val="18"/>
        </w:rPr>
        <w:t xml:space="preserve"> la discrimination fondée sur le handicap et le sexe, y compris la violence sexiste (voir CEDAW/C/GC/35, par. 14), reconnaissant les formes de discrimination multiples et croisées </w:t>
      </w:r>
    </w:p>
    <w:p w14:paraId="66942B6E" w14:textId="6F7A886E" w:rsidR="00D37179" w:rsidRPr="0095779D" w:rsidRDefault="00D37179" w:rsidP="00D37179">
      <w:pPr>
        <w:pStyle w:val="Notedefin"/>
        <w:numPr>
          <w:ilvl w:val="0"/>
          <w:numId w:val="11"/>
        </w:numPr>
        <w:jc w:val="both"/>
        <w:rPr>
          <w:sz w:val="18"/>
          <w:szCs w:val="18"/>
        </w:rPr>
      </w:pPr>
      <w:proofErr w:type="gramStart"/>
      <w:r>
        <w:rPr>
          <w:sz w:val="18"/>
          <w:szCs w:val="18"/>
        </w:rPr>
        <w:t>reconnaître</w:t>
      </w:r>
      <w:proofErr w:type="gramEnd"/>
      <w:r>
        <w:rPr>
          <w:sz w:val="18"/>
          <w:szCs w:val="18"/>
        </w:rPr>
        <w:t xml:space="preserve"> que le refus d'aménagement raisonnable constitue une discrimination fondée sur le handicap</w:t>
      </w:r>
    </w:p>
    <w:p w14:paraId="5D53146B" w14:textId="77777777" w:rsidR="00D37179" w:rsidRPr="009176DC" w:rsidRDefault="00D37179" w:rsidP="00D37179">
      <w:pPr>
        <w:pStyle w:val="Notedefin"/>
        <w:numPr>
          <w:ilvl w:val="0"/>
          <w:numId w:val="11"/>
        </w:numPr>
        <w:jc w:val="both"/>
        <w:rPr>
          <w:rFonts w:cstheme="minorHAnsi"/>
          <w:sz w:val="18"/>
          <w:szCs w:val="18"/>
        </w:rPr>
      </w:pPr>
      <w:proofErr w:type="gramStart"/>
      <w:r w:rsidRPr="009176DC">
        <w:rPr>
          <w:rFonts w:cstheme="minorHAnsi"/>
          <w:sz w:val="18"/>
          <w:szCs w:val="18"/>
        </w:rPr>
        <w:t>prévoir</w:t>
      </w:r>
      <w:proofErr w:type="gramEnd"/>
      <w:r w:rsidRPr="009176DC">
        <w:rPr>
          <w:rFonts w:cstheme="minorHAnsi"/>
          <w:sz w:val="18"/>
          <w:szCs w:val="18"/>
        </w:rPr>
        <w:t xml:space="preserve"> des sanctions et des recours efficaces proportionnels à la violation</w:t>
      </w:r>
    </w:p>
  </w:endnote>
  <w:endnote w:id="2">
    <w:p w14:paraId="35B159D3" w14:textId="0E111357" w:rsidR="00AD588F" w:rsidRPr="009176DC" w:rsidRDefault="00AD588F" w:rsidP="009176DC">
      <w:pPr>
        <w:pStyle w:val="PrformatHTML"/>
        <w:rPr>
          <w:rFonts w:asciiTheme="minorHAnsi" w:hAnsiTheme="minorHAnsi" w:cstheme="minorHAnsi"/>
          <w:sz w:val="18"/>
          <w:szCs w:val="18"/>
        </w:rPr>
      </w:pPr>
      <w:r w:rsidRPr="009176DC">
        <w:rPr>
          <w:rStyle w:val="Appeldenotedefin"/>
          <w:rFonts w:asciiTheme="minorHAnsi" w:hAnsiTheme="minorHAnsi" w:cstheme="minorHAnsi"/>
          <w:sz w:val="18"/>
          <w:szCs w:val="18"/>
        </w:rPr>
        <w:endnoteRef/>
      </w:r>
      <w:r w:rsidRPr="009176DC">
        <w:rPr>
          <w:rFonts w:asciiTheme="minorHAnsi" w:hAnsiTheme="minorHAnsi" w:cstheme="minorHAnsi"/>
          <w:sz w:val="18"/>
          <w:szCs w:val="18"/>
        </w:rPr>
        <w:t xml:space="preserve"> </w:t>
      </w:r>
      <w:r w:rsidR="009176DC" w:rsidRPr="009176DC">
        <w:rPr>
          <w:rFonts w:asciiTheme="minorHAnsi" w:hAnsiTheme="minorHAnsi" w:cstheme="minorHAnsi"/>
          <w:sz w:val="18"/>
          <w:szCs w:val="18"/>
        </w:rPr>
        <w:t>En particulier, en effectuant des évaluations de l'impact sur le genre et le handicap pour déterminer et prévoir l'impact de toute politique, législation, réglementation, budget, investissement ou autre action gouvernementale proposée pour éviter de porter atteinte à l'égalité et à l'inclusion des femmes et des filles,</w:t>
      </w:r>
      <w:r w:rsidR="009176DC">
        <w:rPr>
          <w:rFonts w:asciiTheme="minorHAnsi" w:hAnsiTheme="minorHAnsi" w:cstheme="minorHAnsi"/>
          <w:sz w:val="18"/>
          <w:szCs w:val="18"/>
        </w:rPr>
        <w:t xml:space="preserve"> y</w:t>
      </w:r>
      <w:r w:rsidRPr="009176DC">
        <w:rPr>
          <w:rFonts w:asciiTheme="minorHAnsi" w:hAnsiTheme="minorHAnsi" w:cstheme="minorHAnsi"/>
          <w:sz w:val="18"/>
          <w:szCs w:val="18"/>
        </w:rPr>
        <w:t xml:space="preserve"> compris les personnes vivant dans les zones rurales, les femmes âgées et celles appartenant à des groupes autochtones ou minoritaires.</w:t>
      </w:r>
    </w:p>
  </w:endnote>
  <w:endnote w:id="3">
    <w:p w14:paraId="68D92F31" w14:textId="2AC53B77" w:rsidR="00293A25" w:rsidRPr="0095779D" w:rsidRDefault="00AD588F" w:rsidP="00B77BD7">
      <w:pPr>
        <w:spacing w:after="0" w:line="240" w:lineRule="auto"/>
        <w:jc w:val="both"/>
        <w:rPr>
          <w:rFonts w:cstheme="minorHAnsi"/>
          <w:sz w:val="18"/>
          <w:szCs w:val="18"/>
        </w:rPr>
      </w:pPr>
      <w:r w:rsidRPr="009176DC">
        <w:rPr>
          <w:rStyle w:val="Appeldenotedefin"/>
          <w:rFonts w:cstheme="minorHAnsi"/>
          <w:sz w:val="18"/>
          <w:szCs w:val="18"/>
        </w:rPr>
        <w:endnoteRef/>
      </w:r>
      <w:r w:rsidRPr="009176DC">
        <w:rPr>
          <w:rFonts w:cstheme="minorHAnsi"/>
          <w:sz w:val="18"/>
          <w:szCs w:val="18"/>
        </w:rPr>
        <w:t xml:space="preserve"> Une approche à deux</w:t>
      </w:r>
      <w:r>
        <w:rPr>
          <w:sz w:val="18"/>
          <w:szCs w:val="18"/>
        </w:rPr>
        <w:t xml:space="preserve"> volets combine des programmes généraux inclusifs avec des interventions ciblées pour les femmes et les filles handicap</w:t>
      </w:r>
      <w:r w:rsidR="00B45629">
        <w:rPr>
          <w:sz w:val="18"/>
          <w:szCs w:val="18"/>
        </w:rPr>
        <w:t>ées</w:t>
      </w:r>
      <w:r>
        <w:rPr>
          <w:sz w:val="18"/>
          <w:szCs w:val="18"/>
        </w:rPr>
        <w:t> ; il devrait y avoir des actions explicites et des références aux droits des femmes et des filles handicap</w:t>
      </w:r>
      <w:r w:rsidR="00B45629">
        <w:rPr>
          <w:sz w:val="18"/>
          <w:szCs w:val="18"/>
        </w:rPr>
        <w:t>ées</w:t>
      </w:r>
      <w:r>
        <w:rPr>
          <w:sz w:val="18"/>
          <w:szCs w:val="18"/>
        </w:rPr>
        <w:t xml:space="preserve"> dans tous les plans d'action/stratégies/politiques nationaux généraux concernant les femmes, les enfants, les personnes </w:t>
      </w:r>
      <w:r w:rsidR="00B45629">
        <w:rPr>
          <w:sz w:val="18"/>
          <w:szCs w:val="18"/>
        </w:rPr>
        <w:t>h</w:t>
      </w:r>
      <w:r>
        <w:rPr>
          <w:sz w:val="18"/>
          <w:szCs w:val="18"/>
        </w:rPr>
        <w:t>andicap</w:t>
      </w:r>
      <w:r w:rsidR="00B45629">
        <w:rPr>
          <w:sz w:val="18"/>
          <w:szCs w:val="18"/>
        </w:rPr>
        <w:t>ées</w:t>
      </w:r>
      <w:r>
        <w:rPr>
          <w:sz w:val="18"/>
          <w:szCs w:val="18"/>
        </w:rPr>
        <w:t xml:space="preserve"> et dans les plans sectoriels ; ainsi que des programmes et initiatives ciblés et contrôlés visant spécifiquement les femmes et les filles handicap</w:t>
      </w:r>
      <w:r w:rsidR="00B45629">
        <w:rPr>
          <w:sz w:val="18"/>
          <w:szCs w:val="18"/>
        </w:rPr>
        <w:t>ées</w:t>
      </w:r>
      <w:r>
        <w:rPr>
          <w:sz w:val="18"/>
          <w:szCs w:val="18"/>
        </w:rPr>
        <w:t>.</w:t>
      </w:r>
    </w:p>
  </w:endnote>
  <w:endnote w:id="4">
    <w:p w14:paraId="209D4DB0" w14:textId="64BFB5EE" w:rsidR="00AD588F" w:rsidRPr="0095779D" w:rsidRDefault="00AD588F" w:rsidP="00B77BD7">
      <w:pPr>
        <w:pStyle w:val="Notedefin"/>
        <w:jc w:val="both"/>
        <w:rPr>
          <w:sz w:val="18"/>
          <w:szCs w:val="18"/>
        </w:rPr>
      </w:pPr>
      <w:r>
        <w:rPr>
          <w:rStyle w:val="Appeldenotedefin"/>
          <w:sz w:val="18"/>
          <w:szCs w:val="18"/>
        </w:rPr>
        <w:endnoteRef/>
      </w:r>
      <w:r>
        <w:t xml:space="preserve"> </w:t>
      </w:r>
      <w:r>
        <w:rPr>
          <w:sz w:val="18"/>
          <w:szCs w:val="18"/>
        </w:rPr>
        <w:t xml:space="preserve">Adoption d'un marqueur de genre et de handicap pour suivre le budget alloué et engagé dans tous les secteurs. </w:t>
      </w:r>
    </w:p>
  </w:endnote>
  <w:endnote w:id="5">
    <w:p w14:paraId="4DBA2630" w14:textId="0EF18DA2" w:rsidR="00AD588F" w:rsidRPr="0095779D" w:rsidRDefault="00AD588F" w:rsidP="00ED3D69">
      <w:pPr>
        <w:pStyle w:val="Notedefin"/>
        <w:jc w:val="both"/>
        <w:rPr>
          <w:sz w:val="18"/>
          <w:szCs w:val="18"/>
        </w:rPr>
      </w:pPr>
      <w:r>
        <w:rPr>
          <w:rStyle w:val="Appeldenotedefin"/>
          <w:sz w:val="18"/>
          <w:szCs w:val="18"/>
        </w:rPr>
        <w:endnoteRef/>
      </w:r>
      <w:r>
        <w:t xml:space="preserve"> </w:t>
      </w:r>
      <w:r w:rsidR="0033676A">
        <w:rPr>
          <w:sz w:val="18"/>
          <w:szCs w:val="18"/>
        </w:rPr>
        <w:t>É</w:t>
      </w:r>
      <w:r>
        <w:rPr>
          <w:sz w:val="18"/>
          <w:szCs w:val="18"/>
        </w:rPr>
        <w:t>galement par âge et handicap, entre autres.</w:t>
      </w:r>
    </w:p>
  </w:endnote>
  <w:endnote w:id="6">
    <w:p w14:paraId="688B86D6" w14:textId="653B60F2" w:rsidR="00E0345F" w:rsidRPr="0095779D" w:rsidRDefault="00E0345F">
      <w:pPr>
        <w:pStyle w:val="Notedefin"/>
        <w:rPr>
          <w:sz w:val="18"/>
          <w:szCs w:val="18"/>
        </w:rPr>
      </w:pPr>
      <w:r>
        <w:rPr>
          <w:rStyle w:val="Appeldenotedefin"/>
          <w:sz w:val="18"/>
          <w:szCs w:val="18"/>
        </w:rPr>
        <w:endnoteRef/>
      </w:r>
      <w:r>
        <w:t xml:space="preserve"> </w:t>
      </w:r>
      <w:r>
        <w:rPr>
          <w:sz w:val="18"/>
          <w:szCs w:val="18"/>
        </w:rPr>
        <w:t>Par exemple, la législation et la politique nationales sur l'égalité des sexes, le plan d'action national sur le handicap, le programme sur les droits sexuels et reproductifs des personnes handicap</w:t>
      </w:r>
      <w:r w:rsidR="00B45629">
        <w:rPr>
          <w:sz w:val="18"/>
          <w:szCs w:val="18"/>
        </w:rPr>
        <w:t>ées</w:t>
      </w:r>
      <w:r>
        <w:rPr>
          <w:sz w:val="18"/>
          <w:szCs w:val="18"/>
        </w:rPr>
        <w:t>, etc.</w:t>
      </w:r>
      <w:r w:rsidR="00873851">
        <w:rPr>
          <w:sz w:val="18"/>
          <w:szCs w:val="18"/>
        </w:rPr>
        <w:t xml:space="preserve"> </w:t>
      </w:r>
    </w:p>
  </w:endnote>
  <w:endnote w:id="7">
    <w:p w14:paraId="24410B8E" w14:textId="285B9DAC" w:rsidR="001558C3" w:rsidRPr="0095779D" w:rsidRDefault="001558C3" w:rsidP="00ED3D69">
      <w:pPr>
        <w:pStyle w:val="Notedefin"/>
        <w:jc w:val="both"/>
        <w:rPr>
          <w:sz w:val="18"/>
          <w:szCs w:val="18"/>
        </w:rPr>
      </w:pPr>
      <w:r>
        <w:rPr>
          <w:rStyle w:val="Appeldenotedefin"/>
          <w:sz w:val="18"/>
          <w:szCs w:val="18"/>
        </w:rPr>
        <w:endnoteRef/>
      </w:r>
      <w:r>
        <w:t xml:space="preserve"> </w:t>
      </w:r>
      <w:r>
        <w:rPr>
          <w:sz w:val="18"/>
          <w:szCs w:val="18"/>
        </w:rPr>
        <w:t xml:space="preserve">Y compris liées aux politiques et initiatives </w:t>
      </w:r>
      <w:r w:rsidR="0033676A">
        <w:rPr>
          <w:sz w:val="18"/>
          <w:szCs w:val="18"/>
        </w:rPr>
        <w:t>visant :</w:t>
      </w:r>
      <w:r>
        <w:rPr>
          <w:sz w:val="18"/>
          <w:szCs w:val="18"/>
        </w:rPr>
        <w:t xml:space="preserve"> les femmes et les filles, les personnes handicap</w:t>
      </w:r>
      <w:r w:rsidR="00B45629">
        <w:rPr>
          <w:sz w:val="18"/>
          <w:szCs w:val="18"/>
        </w:rPr>
        <w:t>ées</w:t>
      </w:r>
      <w:r>
        <w:rPr>
          <w:sz w:val="18"/>
          <w:szCs w:val="18"/>
        </w:rPr>
        <w:t>, les enfants, la santé, l'emploi, l'éducation, la justice, la protection sociale, la prévention de la violence, la participation, etc.</w:t>
      </w:r>
    </w:p>
  </w:endnote>
  <w:endnote w:id="8">
    <w:p w14:paraId="23D05FE5" w14:textId="02E37507" w:rsidR="008033D2" w:rsidRPr="005D41E6" w:rsidRDefault="008033D2" w:rsidP="007C50FC">
      <w:pPr>
        <w:pStyle w:val="Notedefin"/>
        <w:jc w:val="both"/>
      </w:pPr>
      <w:r>
        <w:rPr>
          <w:rStyle w:val="Appeldenotedefin"/>
        </w:rPr>
        <w:endnoteRef/>
      </w:r>
      <w:r>
        <w:t xml:space="preserve"> </w:t>
      </w:r>
      <w:r>
        <w:rPr>
          <w:sz w:val="18"/>
          <w:szCs w:val="18"/>
        </w:rPr>
        <w:t>Les activités de formation et de sensibilisation devraient cibler et inclure les femmes handicap</w:t>
      </w:r>
      <w:r w:rsidR="00B45629">
        <w:rPr>
          <w:sz w:val="18"/>
          <w:szCs w:val="18"/>
        </w:rPr>
        <w:t>ées</w:t>
      </w:r>
      <w:r>
        <w:rPr>
          <w:sz w:val="18"/>
          <w:szCs w:val="18"/>
        </w:rPr>
        <w:t xml:space="preserve"> des groupes sous-représentés, telles que les femmes autochtones </w:t>
      </w:r>
      <w:r w:rsidR="00B45629">
        <w:rPr>
          <w:sz w:val="18"/>
          <w:szCs w:val="18"/>
        </w:rPr>
        <w:t>h</w:t>
      </w:r>
      <w:r>
        <w:rPr>
          <w:sz w:val="18"/>
          <w:szCs w:val="18"/>
        </w:rPr>
        <w:t>andicap</w:t>
      </w:r>
      <w:r w:rsidR="00B45629">
        <w:rPr>
          <w:sz w:val="18"/>
          <w:szCs w:val="18"/>
        </w:rPr>
        <w:t>ées</w:t>
      </w:r>
      <w:r>
        <w:rPr>
          <w:sz w:val="18"/>
          <w:szCs w:val="18"/>
        </w:rPr>
        <w:t xml:space="preserve">. Voir Comité CDPH, </w:t>
      </w:r>
      <w:hyperlink r:id="rId1" w:history="1">
        <w:r w:rsidRPr="000C0EAA">
          <w:rPr>
            <w:rStyle w:val="Lienhypertexte"/>
            <w:sz w:val="18"/>
            <w:szCs w:val="18"/>
          </w:rPr>
          <w:t>Observation générale no. 7</w:t>
        </w:r>
      </w:hyperlink>
      <w:r>
        <w:rPr>
          <w:sz w:val="18"/>
          <w:szCs w:val="18"/>
        </w:rPr>
        <w:t>, par. 60.</w:t>
      </w:r>
    </w:p>
  </w:endnote>
  <w:endnote w:id="9">
    <w:p w14:paraId="242B3D27" w14:textId="7771C1F7" w:rsidR="009A1CE3" w:rsidRPr="00AF722C" w:rsidRDefault="009A1CE3" w:rsidP="009A1CE3">
      <w:pPr>
        <w:pStyle w:val="Notedefin"/>
        <w:rPr>
          <w:rFonts w:cstheme="minorHAnsi"/>
          <w:sz w:val="18"/>
          <w:szCs w:val="18"/>
        </w:rPr>
      </w:pPr>
      <w:r>
        <w:rPr>
          <w:rStyle w:val="Appeldenotedefin"/>
          <w:rFonts w:cstheme="minorHAnsi"/>
        </w:rPr>
        <w:endnoteRef/>
      </w:r>
      <w:r>
        <w:t xml:space="preserve"> </w:t>
      </w:r>
      <w:r>
        <w:rPr>
          <w:sz w:val="18"/>
          <w:szCs w:val="18"/>
        </w:rPr>
        <w:t>La formation devrait comprendre :</w:t>
      </w:r>
    </w:p>
    <w:p w14:paraId="00B188D3" w14:textId="560FC8C5" w:rsidR="009A1CE3" w:rsidRPr="009176DC" w:rsidRDefault="009A1CE3" w:rsidP="009A1CE3">
      <w:pPr>
        <w:pStyle w:val="Notedefin"/>
        <w:numPr>
          <w:ilvl w:val="0"/>
          <w:numId w:val="14"/>
        </w:numPr>
        <w:ind w:left="714" w:hanging="357"/>
        <w:rPr>
          <w:rFonts w:cstheme="minorHAnsi"/>
          <w:sz w:val="18"/>
          <w:szCs w:val="18"/>
        </w:rPr>
      </w:pPr>
      <w:r>
        <w:rPr>
          <w:sz w:val="18"/>
          <w:szCs w:val="18"/>
        </w:rPr>
        <w:t xml:space="preserve">L'approche du handicap fondée sur les droits de l'homme ; </w:t>
      </w:r>
    </w:p>
    <w:p w14:paraId="369615A5" w14:textId="5DC127C2" w:rsidR="009176DC" w:rsidRPr="009A1CE3" w:rsidRDefault="009176DC" w:rsidP="009A1CE3">
      <w:pPr>
        <w:pStyle w:val="Notedefin"/>
        <w:numPr>
          <w:ilvl w:val="0"/>
          <w:numId w:val="14"/>
        </w:numPr>
        <w:ind w:left="714" w:hanging="357"/>
        <w:rPr>
          <w:rFonts w:cstheme="minorHAnsi"/>
          <w:sz w:val="18"/>
          <w:szCs w:val="18"/>
        </w:rPr>
      </w:pPr>
      <w:r>
        <w:rPr>
          <w:rFonts w:cstheme="minorHAnsi"/>
          <w:sz w:val="18"/>
          <w:szCs w:val="18"/>
        </w:rPr>
        <w:t>Les é</w:t>
      </w:r>
      <w:r w:rsidRPr="009176DC">
        <w:rPr>
          <w:rFonts w:cstheme="minorHAnsi"/>
          <w:sz w:val="18"/>
          <w:szCs w:val="18"/>
        </w:rPr>
        <w:t>valuations de l'impact sur le genre et le handicap</w:t>
      </w:r>
      <w:r>
        <w:rPr>
          <w:rFonts w:cstheme="minorHAnsi"/>
          <w:sz w:val="18"/>
          <w:szCs w:val="18"/>
        </w:rPr>
        <w:t> ;</w:t>
      </w:r>
    </w:p>
    <w:p w14:paraId="2276DD6C" w14:textId="49845C47" w:rsidR="009A1CE3" w:rsidRPr="009A1CE3" w:rsidRDefault="0033676A" w:rsidP="009A1CE3">
      <w:pPr>
        <w:pStyle w:val="Notedefin"/>
        <w:numPr>
          <w:ilvl w:val="0"/>
          <w:numId w:val="14"/>
        </w:numPr>
        <w:ind w:left="714" w:hanging="357"/>
        <w:rPr>
          <w:rFonts w:cstheme="minorHAnsi"/>
          <w:sz w:val="18"/>
          <w:szCs w:val="18"/>
        </w:rPr>
      </w:pPr>
      <w:r>
        <w:rPr>
          <w:sz w:val="18"/>
          <w:szCs w:val="18"/>
        </w:rPr>
        <w:t>L</w:t>
      </w:r>
      <w:r w:rsidR="00B45629">
        <w:rPr>
          <w:sz w:val="18"/>
          <w:szCs w:val="18"/>
        </w:rPr>
        <w:t xml:space="preserve">'obligation d’apporter </w:t>
      </w:r>
      <w:r w:rsidR="009A1CE3">
        <w:rPr>
          <w:sz w:val="18"/>
          <w:szCs w:val="18"/>
        </w:rPr>
        <w:t>des aménagements raisonnables ;</w:t>
      </w:r>
    </w:p>
    <w:p w14:paraId="3993664E" w14:textId="77777777" w:rsidR="009A1CE3" w:rsidRPr="00AF722C" w:rsidRDefault="009A1CE3" w:rsidP="009A1CE3">
      <w:pPr>
        <w:pStyle w:val="Notedefin"/>
        <w:numPr>
          <w:ilvl w:val="0"/>
          <w:numId w:val="14"/>
        </w:numPr>
        <w:ind w:left="714" w:hanging="357"/>
        <w:rPr>
          <w:rFonts w:cstheme="minorHAnsi"/>
          <w:sz w:val="18"/>
          <w:szCs w:val="18"/>
        </w:rPr>
      </w:pPr>
      <w:r>
        <w:rPr>
          <w:sz w:val="18"/>
          <w:szCs w:val="18"/>
        </w:rPr>
        <w:t xml:space="preserve">Formes de communication accessibles et alternatives ; </w:t>
      </w:r>
    </w:p>
    <w:p w14:paraId="66C88717" w14:textId="77777777" w:rsidR="009A1CE3" w:rsidRPr="00AF722C" w:rsidRDefault="009A1CE3" w:rsidP="009A1CE3">
      <w:pPr>
        <w:pStyle w:val="Notedefin"/>
        <w:numPr>
          <w:ilvl w:val="0"/>
          <w:numId w:val="14"/>
        </w:numPr>
        <w:ind w:left="714" w:hanging="357"/>
        <w:rPr>
          <w:rFonts w:cstheme="minorHAnsi"/>
          <w:sz w:val="18"/>
          <w:szCs w:val="18"/>
        </w:rPr>
      </w:pPr>
      <w:r>
        <w:rPr>
          <w:sz w:val="18"/>
          <w:szCs w:val="18"/>
        </w:rPr>
        <w:t xml:space="preserve">Fourniture d'une assistance adaptée au handicap et à l'âge ; </w:t>
      </w:r>
    </w:p>
    <w:p w14:paraId="35F36582" w14:textId="3C455BFE" w:rsidR="009A1CE3" w:rsidRPr="00AF722C" w:rsidRDefault="00B22525" w:rsidP="009A1CE3">
      <w:pPr>
        <w:pStyle w:val="Notedefin"/>
        <w:numPr>
          <w:ilvl w:val="0"/>
          <w:numId w:val="14"/>
        </w:numPr>
        <w:ind w:left="714" w:hanging="357"/>
        <w:rPr>
          <w:rFonts w:cstheme="minorHAnsi"/>
          <w:sz w:val="18"/>
          <w:szCs w:val="18"/>
        </w:rPr>
      </w:pPr>
      <w:r>
        <w:rPr>
          <w:sz w:val="18"/>
          <w:szCs w:val="18"/>
        </w:rPr>
        <w:t>La participation</w:t>
      </w:r>
      <w:r w:rsidR="009A1CE3">
        <w:rPr>
          <w:sz w:val="18"/>
          <w:szCs w:val="18"/>
        </w:rPr>
        <w:t xml:space="preserve"> des femmes et des filles handicap</w:t>
      </w:r>
      <w:r w:rsidR="00B45629">
        <w:rPr>
          <w:sz w:val="18"/>
          <w:szCs w:val="18"/>
        </w:rPr>
        <w:t>ées</w:t>
      </w:r>
      <w:r w:rsidR="009A1CE3">
        <w:rPr>
          <w:sz w:val="18"/>
          <w:szCs w:val="18"/>
        </w:rPr>
        <w:t xml:space="preserve"> dans la conception, la mise en œuvre et le suivi de la formation.</w:t>
      </w:r>
    </w:p>
  </w:endnote>
  <w:endnote w:id="10">
    <w:p w14:paraId="21538355" w14:textId="04564F9D" w:rsidR="004C13B4" w:rsidRPr="00DD35DD" w:rsidRDefault="00910483" w:rsidP="004C13B4">
      <w:pPr>
        <w:pStyle w:val="Notedefin"/>
        <w:jc w:val="both"/>
        <w:rPr>
          <w:sz w:val="18"/>
          <w:szCs w:val="18"/>
        </w:rPr>
      </w:pPr>
      <w:r>
        <w:rPr>
          <w:rStyle w:val="Appeldenotedefin"/>
          <w:sz w:val="18"/>
          <w:szCs w:val="18"/>
        </w:rPr>
        <w:endnoteRef/>
      </w:r>
      <w:r>
        <w:t xml:space="preserve"> </w:t>
      </w:r>
      <w:r>
        <w:rPr>
          <w:sz w:val="18"/>
          <w:szCs w:val="18"/>
        </w:rPr>
        <w:t xml:space="preserve">Cet indicateur nécessite de vérifier les activités concrètes entreprises par les autorités publiques pour </w:t>
      </w:r>
      <w:r w:rsidR="00B45629">
        <w:rPr>
          <w:sz w:val="18"/>
          <w:szCs w:val="18"/>
        </w:rPr>
        <w:t>faire participer</w:t>
      </w:r>
      <w:r>
        <w:rPr>
          <w:sz w:val="18"/>
          <w:szCs w:val="18"/>
        </w:rPr>
        <w:t xml:space="preserve"> les personnes handicap</w:t>
      </w:r>
      <w:r w:rsidR="00B45629">
        <w:rPr>
          <w:sz w:val="18"/>
          <w:szCs w:val="18"/>
        </w:rPr>
        <w:t>ées</w:t>
      </w:r>
      <w:r>
        <w:rPr>
          <w:sz w:val="18"/>
          <w:szCs w:val="18"/>
        </w:rPr>
        <w:t xml:space="preserve"> dans les processus décisionnels liés aux questions qui les affectent directement ou indirectement conformément à l'article 4.3 de la CDPH et à </w:t>
      </w:r>
      <w:hyperlink r:id="rId2" w:history="1">
        <w:r w:rsidRPr="009F54A4">
          <w:rPr>
            <w:rStyle w:val="Lienhypertexte"/>
            <w:sz w:val="18"/>
            <w:szCs w:val="18"/>
          </w:rPr>
          <w:t>l'Observation générale no. 7</w:t>
        </w:r>
      </w:hyperlink>
      <w:r>
        <w:rPr>
          <w:sz w:val="18"/>
          <w:szCs w:val="18"/>
        </w:rPr>
        <w:t xml:space="preserve"> du Comité CDPH, y compris des réunions de consultation, des séances d'information technique, des enquêtes de consultation en ligne, des appels à commentaires sur des projets de législation et de politiques, entre autres méthodes et mécanismes de participation. À cet égard, les États doivent</w:t>
      </w:r>
    </w:p>
    <w:p w14:paraId="1BE20F3A" w14:textId="77777777" w:rsidR="004C13B4" w:rsidRPr="00DD35DD" w:rsidRDefault="004C13B4" w:rsidP="004C13B4">
      <w:pPr>
        <w:pStyle w:val="Notedefin"/>
        <w:numPr>
          <w:ilvl w:val="0"/>
          <w:numId w:val="5"/>
        </w:numPr>
        <w:ind w:left="714" w:hanging="357"/>
        <w:contextualSpacing/>
        <w:rPr>
          <w:sz w:val="18"/>
          <w:szCs w:val="18"/>
        </w:rPr>
      </w:pPr>
      <w:proofErr w:type="gramStart"/>
      <w:r>
        <w:rPr>
          <w:sz w:val="18"/>
          <w:szCs w:val="18"/>
        </w:rPr>
        <w:t>veiller</w:t>
      </w:r>
      <w:proofErr w:type="gramEnd"/>
      <w:r>
        <w:rPr>
          <w:sz w:val="18"/>
          <w:szCs w:val="18"/>
        </w:rPr>
        <w:t xml:space="preserve"> à ce que les processus de consultation soient transparents et accessibles ;</w:t>
      </w:r>
    </w:p>
    <w:p w14:paraId="4A6ED227" w14:textId="77777777" w:rsidR="004C13B4" w:rsidRPr="00DD35DD" w:rsidRDefault="004C13B4" w:rsidP="004C13B4">
      <w:pPr>
        <w:pStyle w:val="Notedefin"/>
        <w:numPr>
          <w:ilvl w:val="0"/>
          <w:numId w:val="5"/>
        </w:numPr>
        <w:ind w:left="714" w:hanging="357"/>
        <w:contextualSpacing/>
        <w:rPr>
          <w:sz w:val="18"/>
          <w:szCs w:val="18"/>
        </w:rPr>
      </w:pPr>
      <w:proofErr w:type="gramStart"/>
      <w:r>
        <w:rPr>
          <w:sz w:val="18"/>
          <w:szCs w:val="18"/>
        </w:rPr>
        <w:t>assurer</w:t>
      </w:r>
      <w:proofErr w:type="gramEnd"/>
      <w:r>
        <w:rPr>
          <w:sz w:val="18"/>
          <w:szCs w:val="18"/>
        </w:rPr>
        <w:t xml:space="preserve"> la fourniture d'informations appropriées et accessibles ;</w:t>
      </w:r>
    </w:p>
    <w:p w14:paraId="1880F0D8" w14:textId="69F6FADB" w:rsidR="004C13B4" w:rsidRPr="00DD35DD" w:rsidRDefault="004C13B4" w:rsidP="004C13B4">
      <w:pPr>
        <w:pStyle w:val="Notedefin"/>
        <w:numPr>
          <w:ilvl w:val="0"/>
          <w:numId w:val="5"/>
        </w:numPr>
        <w:ind w:left="714" w:hanging="357"/>
        <w:contextualSpacing/>
        <w:rPr>
          <w:sz w:val="18"/>
          <w:szCs w:val="18"/>
        </w:rPr>
      </w:pPr>
      <w:proofErr w:type="gramStart"/>
      <w:r>
        <w:rPr>
          <w:sz w:val="18"/>
          <w:szCs w:val="18"/>
        </w:rPr>
        <w:t>ne</w:t>
      </w:r>
      <w:proofErr w:type="gramEnd"/>
      <w:r>
        <w:rPr>
          <w:sz w:val="18"/>
          <w:szCs w:val="18"/>
        </w:rPr>
        <w:t xml:space="preserve"> pas retenir d'informations, conditionner ou empêcher les organisations de personnes handicap</w:t>
      </w:r>
      <w:r w:rsidR="00B45629">
        <w:rPr>
          <w:sz w:val="18"/>
          <w:szCs w:val="18"/>
        </w:rPr>
        <w:t>ées</w:t>
      </w:r>
      <w:r>
        <w:rPr>
          <w:sz w:val="18"/>
          <w:szCs w:val="18"/>
        </w:rPr>
        <w:t xml:space="preserve"> d'exprimer librement leurs opinions ;</w:t>
      </w:r>
    </w:p>
    <w:p w14:paraId="25A45DAB" w14:textId="77777777" w:rsidR="004C13B4" w:rsidRDefault="004C13B4" w:rsidP="004C13B4">
      <w:pPr>
        <w:pStyle w:val="Notedefin"/>
        <w:numPr>
          <w:ilvl w:val="0"/>
          <w:numId w:val="5"/>
        </w:numPr>
        <w:ind w:left="714" w:hanging="357"/>
        <w:contextualSpacing/>
        <w:rPr>
          <w:sz w:val="18"/>
          <w:szCs w:val="18"/>
        </w:rPr>
      </w:pPr>
      <w:proofErr w:type="gramStart"/>
      <w:r>
        <w:rPr>
          <w:sz w:val="18"/>
          <w:szCs w:val="18"/>
        </w:rPr>
        <w:t>inclure</w:t>
      </w:r>
      <w:proofErr w:type="gramEnd"/>
      <w:r>
        <w:rPr>
          <w:sz w:val="18"/>
          <w:szCs w:val="18"/>
        </w:rPr>
        <w:t xml:space="preserve"> à la fois les organisations enregistrées et non enregistrées ;</w:t>
      </w:r>
    </w:p>
    <w:p w14:paraId="2DAA42BD" w14:textId="35D505B6" w:rsidR="004C13B4" w:rsidRDefault="004C13B4" w:rsidP="004C13B4">
      <w:pPr>
        <w:pStyle w:val="Notedefin"/>
        <w:numPr>
          <w:ilvl w:val="0"/>
          <w:numId w:val="5"/>
        </w:numPr>
        <w:ind w:left="714" w:hanging="357"/>
        <w:contextualSpacing/>
        <w:rPr>
          <w:sz w:val="18"/>
          <w:szCs w:val="18"/>
        </w:rPr>
      </w:pPr>
      <w:proofErr w:type="gramStart"/>
      <w:r>
        <w:rPr>
          <w:sz w:val="18"/>
          <w:szCs w:val="18"/>
        </w:rPr>
        <w:t>assurer</w:t>
      </w:r>
      <w:proofErr w:type="gramEnd"/>
      <w:r>
        <w:rPr>
          <w:sz w:val="18"/>
          <w:szCs w:val="18"/>
        </w:rPr>
        <w:t xml:space="preserve"> un</w:t>
      </w:r>
      <w:r w:rsidR="00B45629">
        <w:rPr>
          <w:sz w:val="18"/>
          <w:szCs w:val="18"/>
        </w:rPr>
        <w:t>e participati</w:t>
      </w:r>
      <w:r>
        <w:rPr>
          <w:sz w:val="18"/>
          <w:szCs w:val="18"/>
        </w:rPr>
        <w:t>on précoce et continue ;</w:t>
      </w:r>
    </w:p>
    <w:p w14:paraId="59A831F0" w14:textId="2B1BE4C7" w:rsidR="00910483" w:rsidRPr="003C1A36" w:rsidRDefault="004C13B4" w:rsidP="003C1A36">
      <w:pPr>
        <w:pStyle w:val="Notedefin"/>
        <w:numPr>
          <w:ilvl w:val="0"/>
          <w:numId w:val="5"/>
        </w:numPr>
        <w:ind w:left="714" w:hanging="357"/>
        <w:contextualSpacing/>
        <w:rPr>
          <w:sz w:val="18"/>
          <w:szCs w:val="18"/>
        </w:rPr>
      </w:pPr>
      <w:proofErr w:type="gramStart"/>
      <w:r>
        <w:rPr>
          <w:sz w:val="18"/>
          <w:szCs w:val="18"/>
        </w:rPr>
        <w:t>couvrir</w:t>
      </w:r>
      <w:proofErr w:type="gramEnd"/>
      <w:r>
        <w:rPr>
          <w:sz w:val="18"/>
          <w:szCs w:val="18"/>
        </w:rPr>
        <w:t xml:space="preserve"> les dépenses connexes des participants.</w:t>
      </w:r>
    </w:p>
  </w:endnote>
  <w:endnote w:id="11">
    <w:p w14:paraId="404A7E19" w14:textId="3C14706A" w:rsidR="00B13D49" w:rsidRPr="0095779D" w:rsidRDefault="00B13D49" w:rsidP="00B13D49">
      <w:pPr>
        <w:pStyle w:val="Notedefin"/>
        <w:jc w:val="both"/>
        <w:rPr>
          <w:sz w:val="18"/>
          <w:szCs w:val="18"/>
        </w:rPr>
      </w:pPr>
      <w:r>
        <w:rPr>
          <w:rStyle w:val="Appeldenotedefin"/>
          <w:sz w:val="18"/>
          <w:szCs w:val="18"/>
        </w:rPr>
        <w:endnoteRef/>
      </w:r>
      <w:r>
        <w:t xml:space="preserve"> </w:t>
      </w:r>
      <w:r>
        <w:rPr>
          <w:sz w:val="18"/>
          <w:szCs w:val="18"/>
        </w:rPr>
        <w:t>Par exemple, cela peut inclure des postes au sein des ministères au niveau de la direction, des membres du parlement, des membres des conseils de village ou locaux, etc.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F8A7B" w14:textId="77777777" w:rsidR="0092018F" w:rsidRDefault="0092018F" w:rsidP="00260918">
      <w:pPr>
        <w:spacing w:after="0" w:line="240" w:lineRule="auto"/>
      </w:pPr>
      <w:r>
        <w:separator/>
      </w:r>
    </w:p>
  </w:footnote>
  <w:footnote w:type="continuationSeparator" w:id="0">
    <w:p w14:paraId="21473BF8" w14:textId="77777777" w:rsidR="0092018F" w:rsidRDefault="0092018F" w:rsidP="002609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5293A"/>
    <w:multiLevelType w:val="hybridMultilevel"/>
    <w:tmpl w:val="9FC02CF4"/>
    <w:lvl w:ilvl="0" w:tplc="219E0EB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B02FD"/>
    <w:multiLevelType w:val="hybridMultilevel"/>
    <w:tmpl w:val="8BB08102"/>
    <w:lvl w:ilvl="0" w:tplc="0944E616">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153F9"/>
    <w:multiLevelType w:val="hybridMultilevel"/>
    <w:tmpl w:val="F6CC8D86"/>
    <w:lvl w:ilvl="0" w:tplc="219E0EB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14EEC"/>
    <w:multiLevelType w:val="multilevel"/>
    <w:tmpl w:val="E2B61A4C"/>
    <w:lvl w:ilvl="0">
      <w:start w:val="6"/>
      <w:numFmt w:val="decimal"/>
      <w:lvlText w:val="%1"/>
      <w:lvlJc w:val="left"/>
      <w:pPr>
        <w:ind w:left="360" w:hanging="360"/>
      </w:pPr>
      <w:rPr>
        <w:rFonts w:hint="default"/>
      </w:rPr>
    </w:lvl>
    <w:lvl w:ilvl="1">
      <w:start w:val="3"/>
      <w:numFmt w:val="decimal"/>
      <w:lvlText w:val="%1.%2"/>
      <w:lvlJc w:val="left"/>
      <w:pPr>
        <w:ind w:left="501"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A234705"/>
    <w:multiLevelType w:val="hybridMultilevel"/>
    <w:tmpl w:val="A11E96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D36385"/>
    <w:multiLevelType w:val="hybridMultilevel"/>
    <w:tmpl w:val="DFF2F5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DB69BE"/>
    <w:multiLevelType w:val="hybridMultilevel"/>
    <w:tmpl w:val="DC983A9C"/>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86717B"/>
    <w:multiLevelType w:val="hybridMultilevel"/>
    <w:tmpl w:val="9780931E"/>
    <w:lvl w:ilvl="0" w:tplc="92ECE194">
      <w:start w:val="3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4BE6AE9"/>
    <w:multiLevelType w:val="hybridMultilevel"/>
    <w:tmpl w:val="9496AC7E"/>
    <w:lvl w:ilvl="0" w:tplc="4A9246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9D10F0"/>
    <w:multiLevelType w:val="hybridMultilevel"/>
    <w:tmpl w:val="1A68730A"/>
    <w:lvl w:ilvl="0" w:tplc="9A042DCA">
      <w:start w:val="16"/>
      <w:numFmt w:val="bullet"/>
      <w:lvlText w:val="-"/>
      <w:lvlJc w:val="left"/>
      <w:pPr>
        <w:ind w:left="1080" w:hanging="360"/>
      </w:pPr>
      <w:rPr>
        <w:rFonts w:ascii="Calibri" w:eastAsiaTheme="minorHAnsi" w:hAnsi="Calibri" w:cstheme="minorHAnsi"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A11282D"/>
    <w:multiLevelType w:val="hybridMultilevel"/>
    <w:tmpl w:val="0D54BB38"/>
    <w:lvl w:ilvl="0" w:tplc="65666EDC">
      <w:start w:val="16"/>
      <w:numFmt w:val="bullet"/>
      <w:lvlText w:val="-"/>
      <w:lvlJc w:val="left"/>
      <w:pPr>
        <w:ind w:left="720" w:hanging="360"/>
      </w:pPr>
      <w:rPr>
        <w:rFonts w:ascii="Calibri" w:eastAsiaTheme="minorHAnsi" w:hAnsi="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10"/>
  </w:num>
  <w:num w:numId="5">
    <w:abstractNumId w:val="9"/>
  </w:num>
  <w:num w:numId="6">
    <w:abstractNumId w:val="2"/>
  </w:num>
  <w:num w:numId="7">
    <w:abstractNumId w:val="3"/>
  </w:num>
  <w:num w:numId="8">
    <w:abstractNumId w:val="7"/>
  </w:num>
  <w:num w:numId="9">
    <w:abstractNumId w:val="12"/>
  </w:num>
  <w:num w:numId="10">
    <w:abstractNumId w:val="0"/>
  </w:num>
  <w:num w:numId="11">
    <w:abstractNumId w:val="13"/>
  </w:num>
  <w:num w:numId="12">
    <w:abstractNumId w:val="11"/>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FB1"/>
    <w:rsid w:val="00012F62"/>
    <w:rsid w:val="000148FF"/>
    <w:rsid w:val="00036BDD"/>
    <w:rsid w:val="000430B7"/>
    <w:rsid w:val="00050155"/>
    <w:rsid w:val="00055435"/>
    <w:rsid w:val="00063840"/>
    <w:rsid w:val="00067BE3"/>
    <w:rsid w:val="00074DF7"/>
    <w:rsid w:val="000870A5"/>
    <w:rsid w:val="000966C1"/>
    <w:rsid w:val="000A6D82"/>
    <w:rsid w:val="000B3585"/>
    <w:rsid w:val="000C0792"/>
    <w:rsid w:val="000C0EAA"/>
    <w:rsid w:val="000C1ADA"/>
    <w:rsid w:val="000C4949"/>
    <w:rsid w:val="000D2C76"/>
    <w:rsid w:val="000E5561"/>
    <w:rsid w:val="000E61D0"/>
    <w:rsid w:val="000F5D0C"/>
    <w:rsid w:val="00107465"/>
    <w:rsid w:val="00123EDF"/>
    <w:rsid w:val="001463F1"/>
    <w:rsid w:val="00147A6B"/>
    <w:rsid w:val="001558C3"/>
    <w:rsid w:val="00177D42"/>
    <w:rsid w:val="001931FE"/>
    <w:rsid w:val="00196454"/>
    <w:rsid w:val="001C26EF"/>
    <w:rsid w:val="001D57BA"/>
    <w:rsid w:val="001E5D04"/>
    <w:rsid w:val="001E7C5C"/>
    <w:rsid w:val="001F42C6"/>
    <w:rsid w:val="002014C2"/>
    <w:rsid w:val="00204F09"/>
    <w:rsid w:val="00211380"/>
    <w:rsid w:val="002165BE"/>
    <w:rsid w:val="00231002"/>
    <w:rsid w:val="00235B74"/>
    <w:rsid w:val="0024023F"/>
    <w:rsid w:val="00260918"/>
    <w:rsid w:val="002907D6"/>
    <w:rsid w:val="00293A25"/>
    <w:rsid w:val="002A772D"/>
    <w:rsid w:val="002B6ECB"/>
    <w:rsid w:val="002C1CAD"/>
    <w:rsid w:val="002C4604"/>
    <w:rsid w:val="002F02D3"/>
    <w:rsid w:val="00306924"/>
    <w:rsid w:val="003133C8"/>
    <w:rsid w:val="0031341F"/>
    <w:rsid w:val="00325293"/>
    <w:rsid w:val="0033503F"/>
    <w:rsid w:val="0033676A"/>
    <w:rsid w:val="00341A20"/>
    <w:rsid w:val="00343838"/>
    <w:rsid w:val="003471E1"/>
    <w:rsid w:val="00350536"/>
    <w:rsid w:val="0035090D"/>
    <w:rsid w:val="00353002"/>
    <w:rsid w:val="003619B3"/>
    <w:rsid w:val="00362D80"/>
    <w:rsid w:val="00370FDF"/>
    <w:rsid w:val="003759C9"/>
    <w:rsid w:val="00383B21"/>
    <w:rsid w:val="00385659"/>
    <w:rsid w:val="003979D7"/>
    <w:rsid w:val="003B1E51"/>
    <w:rsid w:val="003B1FB1"/>
    <w:rsid w:val="003C1A36"/>
    <w:rsid w:val="003C764D"/>
    <w:rsid w:val="003F6489"/>
    <w:rsid w:val="00402B9D"/>
    <w:rsid w:val="00405C57"/>
    <w:rsid w:val="00424B1B"/>
    <w:rsid w:val="00442496"/>
    <w:rsid w:val="0045718A"/>
    <w:rsid w:val="00457E79"/>
    <w:rsid w:val="00460602"/>
    <w:rsid w:val="00484A69"/>
    <w:rsid w:val="004A05C8"/>
    <w:rsid w:val="004A4EBA"/>
    <w:rsid w:val="004A525E"/>
    <w:rsid w:val="004B4A20"/>
    <w:rsid w:val="004C13B4"/>
    <w:rsid w:val="004C732E"/>
    <w:rsid w:val="004C73CB"/>
    <w:rsid w:val="004D353F"/>
    <w:rsid w:val="004E7DF9"/>
    <w:rsid w:val="004F0AF3"/>
    <w:rsid w:val="004F1587"/>
    <w:rsid w:val="004F1B1D"/>
    <w:rsid w:val="005106FE"/>
    <w:rsid w:val="00511571"/>
    <w:rsid w:val="0051418E"/>
    <w:rsid w:val="00524BD8"/>
    <w:rsid w:val="005512A3"/>
    <w:rsid w:val="0055724F"/>
    <w:rsid w:val="005728D8"/>
    <w:rsid w:val="005766A1"/>
    <w:rsid w:val="00590E54"/>
    <w:rsid w:val="005B4BD1"/>
    <w:rsid w:val="005B5B21"/>
    <w:rsid w:val="005C2945"/>
    <w:rsid w:val="005D367D"/>
    <w:rsid w:val="005D41E6"/>
    <w:rsid w:val="005D612B"/>
    <w:rsid w:val="00623332"/>
    <w:rsid w:val="00627FDC"/>
    <w:rsid w:val="00655108"/>
    <w:rsid w:val="006675F9"/>
    <w:rsid w:val="006803F5"/>
    <w:rsid w:val="0069000A"/>
    <w:rsid w:val="00691CCF"/>
    <w:rsid w:val="006A471B"/>
    <w:rsid w:val="006A4C2C"/>
    <w:rsid w:val="006B5CDD"/>
    <w:rsid w:val="006C2EE4"/>
    <w:rsid w:val="006D4713"/>
    <w:rsid w:val="007137DE"/>
    <w:rsid w:val="00731516"/>
    <w:rsid w:val="0073411F"/>
    <w:rsid w:val="007450B8"/>
    <w:rsid w:val="00747E3F"/>
    <w:rsid w:val="0075668C"/>
    <w:rsid w:val="00765C88"/>
    <w:rsid w:val="0077287B"/>
    <w:rsid w:val="00776DED"/>
    <w:rsid w:val="00786018"/>
    <w:rsid w:val="007A046C"/>
    <w:rsid w:val="007A21EA"/>
    <w:rsid w:val="007B55FB"/>
    <w:rsid w:val="007B7B52"/>
    <w:rsid w:val="007C4991"/>
    <w:rsid w:val="007C4EA4"/>
    <w:rsid w:val="007C50FC"/>
    <w:rsid w:val="007F5EF1"/>
    <w:rsid w:val="008033D2"/>
    <w:rsid w:val="008042E8"/>
    <w:rsid w:val="00807013"/>
    <w:rsid w:val="008110DD"/>
    <w:rsid w:val="00821971"/>
    <w:rsid w:val="00827565"/>
    <w:rsid w:val="00827ED5"/>
    <w:rsid w:val="00832DCB"/>
    <w:rsid w:val="00833CED"/>
    <w:rsid w:val="00843079"/>
    <w:rsid w:val="00844945"/>
    <w:rsid w:val="008473A2"/>
    <w:rsid w:val="00873851"/>
    <w:rsid w:val="0087579F"/>
    <w:rsid w:val="0088412C"/>
    <w:rsid w:val="00886B7F"/>
    <w:rsid w:val="00886D17"/>
    <w:rsid w:val="00890566"/>
    <w:rsid w:val="0089352F"/>
    <w:rsid w:val="008B2C85"/>
    <w:rsid w:val="008B7C11"/>
    <w:rsid w:val="008C18BC"/>
    <w:rsid w:val="00903B20"/>
    <w:rsid w:val="00905C08"/>
    <w:rsid w:val="00910483"/>
    <w:rsid w:val="009176DC"/>
    <w:rsid w:val="0092018F"/>
    <w:rsid w:val="00921D32"/>
    <w:rsid w:val="0095779D"/>
    <w:rsid w:val="0097134C"/>
    <w:rsid w:val="00972CB7"/>
    <w:rsid w:val="0099444C"/>
    <w:rsid w:val="00994E33"/>
    <w:rsid w:val="009A1CE3"/>
    <w:rsid w:val="009B26EF"/>
    <w:rsid w:val="009E0D03"/>
    <w:rsid w:val="009E48A4"/>
    <w:rsid w:val="009F4AA6"/>
    <w:rsid w:val="009F54A4"/>
    <w:rsid w:val="009F6E73"/>
    <w:rsid w:val="00A14CAD"/>
    <w:rsid w:val="00A3665E"/>
    <w:rsid w:val="00A46728"/>
    <w:rsid w:val="00A524BA"/>
    <w:rsid w:val="00A53D20"/>
    <w:rsid w:val="00A555DB"/>
    <w:rsid w:val="00A70BA7"/>
    <w:rsid w:val="00A87400"/>
    <w:rsid w:val="00AA18A1"/>
    <w:rsid w:val="00AA6F79"/>
    <w:rsid w:val="00AB1C41"/>
    <w:rsid w:val="00AD2279"/>
    <w:rsid w:val="00AD588F"/>
    <w:rsid w:val="00B10F0A"/>
    <w:rsid w:val="00B13D49"/>
    <w:rsid w:val="00B17E19"/>
    <w:rsid w:val="00B22525"/>
    <w:rsid w:val="00B26CC0"/>
    <w:rsid w:val="00B378E3"/>
    <w:rsid w:val="00B45629"/>
    <w:rsid w:val="00B62A19"/>
    <w:rsid w:val="00B77BD7"/>
    <w:rsid w:val="00B84C54"/>
    <w:rsid w:val="00BA1426"/>
    <w:rsid w:val="00BC35DB"/>
    <w:rsid w:val="00BD6593"/>
    <w:rsid w:val="00BE57B5"/>
    <w:rsid w:val="00C0195A"/>
    <w:rsid w:val="00C0198A"/>
    <w:rsid w:val="00C045AB"/>
    <w:rsid w:val="00C17B68"/>
    <w:rsid w:val="00C20F85"/>
    <w:rsid w:val="00C30E1A"/>
    <w:rsid w:val="00C427C3"/>
    <w:rsid w:val="00C52FB2"/>
    <w:rsid w:val="00C778BA"/>
    <w:rsid w:val="00CA541A"/>
    <w:rsid w:val="00CA7181"/>
    <w:rsid w:val="00CB56B1"/>
    <w:rsid w:val="00CB62C2"/>
    <w:rsid w:val="00CC0B14"/>
    <w:rsid w:val="00CD7496"/>
    <w:rsid w:val="00CF6A3D"/>
    <w:rsid w:val="00D03C7A"/>
    <w:rsid w:val="00D1188D"/>
    <w:rsid w:val="00D277DA"/>
    <w:rsid w:val="00D2794B"/>
    <w:rsid w:val="00D32213"/>
    <w:rsid w:val="00D37179"/>
    <w:rsid w:val="00D6469B"/>
    <w:rsid w:val="00D77A80"/>
    <w:rsid w:val="00D77BAC"/>
    <w:rsid w:val="00D8224C"/>
    <w:rsid w:val="00DC16CA"/>
    <w:rsid w:val="00DD242B"/>
    <w:rsid w:val="00DD2500"/>
    <w:rsid w:val="00E0345F"/>
    <w:rsid w:val="00E67CDC"/>
    <w:rsid w:val="00E72B46"/>
    <w:rsid w:val="00E9280A"/>
    <w:rsid w:val="00E97D21"/>
    <w:rsid w:val="00EB2F03"/>
    <w:rsid w:val="00EB673C"/>
    <w:rsid w:val="00ED0030"/>
    <w:rsid w:val="00ED201B"/>
    <w:rsid w:val="00ED3D69"/>
    <w:rsid w:val="00EF2719"/>
    <w:rsid w:val="00F205C0"/>
    <w:rsid w:val="00F216D2"/>
    <w:rsid w:val="00F23565"/>
    <w:rsid w:val="00F238CA"/>
    <w:rsid w:val="00F25B8A"/>
    <w:rsid w:val="00F268FF"/>
    <w:rsid w:val="00F272FF"/>
    <w:rsid w:val="00F3576D"/>
    <w:rsid w:val="00F3758A"/>
    <w:rsid w:val="00F37F10"/>
    <w:rsid w:val="00F51AC9"/>
    <w:rsid w:val="00F63625"/>
    <w:rsid w:val="00F63784"/>
    <w:rsid w:val="00F9656F"/>
    <w:rsid w:val="00FA1107"/>
    <w:rsid w:val="00FA17CE"/>
    <w:rsid w:val="00FA1824"/>
    <w:rsid w:val="00FA7E20"/>
    <w:rsid w:val="00FC400B"/>
    <w:rsid w:val="00FD1FB4"/>
    <w:rsid w:val="00FF369E"/>
    <w:rsid w:val="00FF3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DBF67"/>
  <w14:defaultImageDpi w14:val="32767"/>
  <w15:chartTrackingRefBased/>
  <w15:docId w15:val="{78408024-FE89-F346-9067-027EDDF5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FB1"/>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B1FB1"/>
    <w:pPr>
      <w:ind w:left="720"/>
      <w:contextualSpacing/>
    </w:pPr>
  </w:style>
  <w:style w:type="table" w:styleId="Grilledutableau">
    <w:name w:val="Table Grid"/>
    <w:basedOn w:val="TableauNormal"/>
    <w:uiPriority w:val="39"/>
    <w:rsid w:val="003B1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Policepardfaut"/>
    <w:rsid w:val="0075668C"/>
  </w:style>
  <w:style w:type="paragraph" w:styleId="Notedebasdepage">
    <w:name w:val="footnote text"/>
    <w:aliases w:val="5_G"/>
    <w:basedOn w:val="Normal"/>
    <w:link w:val="NotedebasdepageCar"/>
    <w:rsid w:val="00260918"/>
    <w:pPr>
      <w:tabs>
        <w:tab w:val="right" w:pos="1021"/>
      </w:tabs>
      <w:suppressAutoHyphens/>
      <w:spacing w:after="0" w:line="220" w:lineRule="exact"/>
      <w:ind w:left="1134" w:right="1134" w:hanging="1134"/>
    </w:pPr>
    <w:rPr>
      <w:rFonts w:ascii="Times New Roman" w:eastAsia="SimSun" w:hAnsi="Times New Roman" w:cs="Times New Roman"/>
      <w:sz w:val="18"/>
      <w:szCs w:val="20"/>
      <w:lang w:eastAsia="zh-CN"/>
    </w:rPr>
  </w:style>
  <w:style w:type="character" w:customStyle="1" w:styleId="NotedebasdepageCar">
    <w:name w:val="Note de bas de page Car"/>
    <w:aliases w:val="5_G Car"/>
    <w:basedOn w:val="Policepardfaut"/>
    <w:link w:val="Notedebasdepage"/>
    <w:rsid w:val="00260918"/>
    <w:rPr>
      <w:rFonts w:ascii="Times New Roman" w:eastAsia="SimSun" w:hAnsi="Times New Roman" w:cs="Times New Roman"/>
      <w:sz w:val="18"/>
      <w:szCs w:val="20"/>
      <w:lang w:val="fr-FR" w:eastAsia="zh-CN"/>
    </w:rPr>
  </w:style>
  <w:style w:type="character" w:styleId="Appelnotedebasdep">
    <w:name w:val="footnote reference"/>
    <w:aliases w:val="4_G,4_G Char Char Char Char,Footnotes refss Char Char Char Char,ftref Char Char Char Char,BVI fnr Char Char Char Char,BVI fnr Car Car Char Char Char Char,BVI fnr Car Char Char Char Char"/>
    <w:link w:val="4GCharCharChar"/>
    <w:uiPriority w:val="99"/>
    <w:rsid w:val="00260918"/>
    <w:rPr>
      <w:rFonts w:ascii="Times New Roman" w:hAnsi="Times New Roman"/>
      <w:sz w:val="18"/>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Appelnotedebasdep"/>
    <w:uiPriority w:val="99"/>
    <w:rsid w:val="00260918"/>
    <w:pPr>
      <w:spacing w:after="160" w:line="240" w:lineRule="exact"/>
      <w:jc w:val="both"/>
    </w:pPr>
    <w:rPr>
      <w:rFonts w:ascii="Times New Roman" w:hAnsi="Times New Roman"/>
      <w:sz w:val="18"/>
      <w:szCs w:val="24"/>
      <w:vertAlign w:val="superscript"/>
    </w:rPr>
  </w:style>
  <w:style w:type="character" w:styleId="Lienhypertexte">
    <w:name w:val="Hyperlink"/>
    <w:basedOn w:val="Policepardfaut"/>
    <w:uiPriority w:val="99"/>
    <w:unhideWhenUsed/>
    <w:rsid w:val="00EB2F03"/>
    <w:rPr>
      <w:color w:val="0563C1" w:themeColor="hyperlink"/>
      <w:u w:val="single"/>
    </w:rPr>
  </w:style>
  <w:style w:type="character" w:styleId="Marquedecommentaire">
    <w:name w:val="annotation reference"/>
    <w:basedOn w:val="Policepardfaut"/>
    <w:uiPriority w:val="99"/>
    <w:semiHidden/>
    <w:unhideWhenUsed/>
    <w:rsid w:val="0035090D"/>
    <w:rPr>
      <w:sz w:val="16"/>
      <w:szCs w:val="16"/>
    </w:rPr>
  </w:style>
  <w:style w:type="paragraph" w:styleId="Commentaire">
    <w:name w:val="annotation text"/>
    <w:basedOn w:val="Normal"/>
    <w:link w:val="CommentaireCar"/>
    <w:uiPriority w:val="99"/>
    <w:unhideWhenUsed/>
    <w:rsid w:val="0035090D"/>
    <w:pPr>
      <w:spacing w:line="240" w:lineRule="auto"/>
    </w:pPr>
    <w:rPr>
      <w:sz w:val="20"/>
      <w:szCs w:val="20"/>
    </w:rPr>
  </w:style>
  <w:style w:type="character" w:customStyle="1" w:styleId="CommentaireCar">
    <w:name w:val="Commentaire Car"/>
    <w:basedOn w:val="Policepardfaut"/>
    <w:link w:val="Commentaire"/>
    <w:uiPriority w:val="99"/>
    <w:rsid w:val="0035090D"/>
    <w:rPr>
      <w:sz w:val="20"/>
      <w:szCs w:val="20"/>
      <w:lang w:val="fr-FR"/>
    </w:rPr>
  </w:style>
  <w:style w:type="paragraph" w:styleId="Objetducommentaire">
    <w:name w:val="annotation subject"/>
    <w:basedOn w:val="Commentaire"/>
    <w:next w:val="Commentaire"/>
    <w:link w:val="ObjetducommentaireCar"/>
    <w:uiPriority w:val="99"/>
    <w:semiHidden/>
    <w:unhideWhenUsed/>
    <w:rsid w:val="0035090D"/>
    <w:rPr>
      <w:b/>
      <w:bCs/>
    </w:rPr>
  </w:style>
  <w:style w:type="character" w:customStyle="1" w:styleId="ObjetducommentaireCar">
    <w:name w:val="Objet du commentaire Car"/>
    <w:basedOn w:val="CommentaireCar"/>
    <w:link w:val="Objetducommentaire"/>
    <w:uiPriority w:val="99"/>
    <w:semiHidden/>
    <w:rsid w:val="0035090D"/>
    <w:rPr>
      <w:b/>
      <w:bCs/>
      <w:sz w:val="20"/>
      <w:szCs w:val="20"/>
      <w:lang w:val="fr-FR"/>
    </w:rPr>
  </w:style>
  <w:style w:type="paragraph" w:styleId="Textedebulles">
    <w:name w:val="Balloon Text"/>
    <w:basedOn w:val="Normal"/>
    <w:link w:val="TextedebullesCar"/>
    <w:uiPriority w:val="99"/>
    <w:semiHidden/>
    <w:unhideWhenUsed/>
    <w:rsid w:val="0035090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090D"/>
    <w:rPr>
      <w:rFonts w:ascii="Segoe UI" w:hAnsi="Segoe UI" w:cs="Segoe UI"/>
      <w:sz w:val="18"/>
      <w:szCs w:val="18"/>
      <w:lang w:val="fr-FR"/>
    </w:rPr>
  </w:style>
  <w:style w:type="paragraph" w:styleId="Notedefin">
    <w:name w:val="endnote text"/>
    <w:basedOn w:val="Normal"/>
    <w:link w:val="NotedefinCar"/>
    <w:uiPriority w:val="99"/>
    <w:unhideWhenUsed/>
    <w:rsid w:val="00821971"/>
    <w:pPr>
      <w:spacing w:after="0" w:line="240" w:lineRule="auto"/>
    </w:pPr>
    <w:rPr>
      <w:sz w:val="20"/>
      <w:szCs w:val="20"/>
    </w:rPr>
  </w:style>
  <w:style w:type="character" w:customStyle="1" w:styleId="NotedefinCar">
    <w:name w:val="Note de fin Car"/>
    <w:basedOn w:val="Policepardfaut"/>
    <w:link w:val="Notedefin"/>
    <w:uiPriority w:val="99"/>
    <w:rsid w:val="00821971"/>
    <w:rPr>
      <w:sz w:val="20"/>
      <w:szCs w:val="20"/>
      <w:lang w:val="fr-FR"/>
    </w:rPr>
  </w:style>
  <w:style w:type="character" w:styleId="Appeldenotedefin">
    <w:name w:val="endnote reference"/>
    <w:basedOn w:val="Policepardfaut"/>
    <w:uiPriority w:val="99"/>
    <w:unhideWhenUsed/>
    <w:rsid w:val="00821971"/>
    <w:rPr>
      <w:vertAlign w:val="superscript"/>
    </w:rPr>
  </w:style>
  <w:style w:type="paragraph" w:styleId="Rvision">
    <w:name w:val="Revision"/>
    <w:hidden/>
    <w:uiPriority w:val="99"/>
    <w:semiHidden/>
    <w:rsid w:val="00405C57"/>
    <w:rPr>
      <w:sz w:val="22"/>
      <w:szCs w:val="22"/>
    </w:rPr>
  </w:style>
  <w:style w:type="paragraph" w:styleId="NormalWeb">
    <w:name w:val="Normal (Web)"/>
    <w:basedOn w:val="Normal"/>
    <w:uiPriority w:val="99"/>
    <w:semiHidden/>
    <w:unhideWhenUsed/>
    <w:rsid w:val="00972CB7"/>
    <w:pPr>
      <w:spacing w:before="100" w:beforeAutospacing="1" w:after="100" w:afterAutospacing="1" w:line="240" w:lineRule="auto"/>
    </w:pPr>
    <w:rPr>
      <w:rFonts w:ascii="Times New Roman" w:hAnsi="Times New Roman" w:cs="Times New Roman"/>
      <w:sz w:val="24"/>
      <w:szCs w:val="24"/>
      <w:lang w:eastAsia="en-GB"/>
    </w:rPr>
  </w:style>
  <w:style w:type="character" w:styleId="Lienhypertextesuivivisit">
    <w:name w:val="FollowedHyperlink"/>
    <w:basedOn w:val="Policepardfaut"/>
    <w:uiPriority w:val="99"/>
    <w:semiHidden/>
    <w:unhideWhenUsed/>
    <w:rsid w:val="00E97D21"/>
    <w:rPr>
      <w:color w:val="954F72" w:themeColor="followedHyperlink"/>
      <w:u w:val="single"/>
    </w:rPr>
  </w:style>
  <w:style w:type="paragraph" w:customStyle="1" w:styleId="Default">
    <w:name w:val="Default"/>
    <w:rsid w:val="00921D32"/>
    <w:pPr>
      <w:autoSpaceDE w:val="0"/>
      <w:autoSpaceDN w:val="0"/>
      <w:adjustRightInd w:val="0"/>
    </w:pPr>
    <w:rPr>
      <w:rFonts w:ascii="Calibri" w:hAnsi="Calibri" w:cs="Calibri"/>
      <w:color w:val="000000"/>
    </w:rPr>
  </w:style>
  <w:style w:type="character" w:customStyle="1" w:styleId="Mentionnonrsolue1">
    <w:name w:val="Mention non résolue1"/>
    <w:basedOn w:val="Policepardfaut"/>
    <w:uiPriority w:val="99"/>
    <w:semiHidden/>
    <w:unhideWhenUsed/>
    <w:rsid w:val="00123EDF"/>
    <w:rPr>
      <w:color w:val="605E5C"/>
      <w:shd w:val="clear" w:color="auto" w:fill="E1DFDD"/>
    </w:rPr>
  </w:style>
  <w:style w:type="paragraph" w:styleId="PrformatHTML">
    <w:name w:val="HTML Preformatted"/>
    <w:basedOn w:val="Normal"/>
    <w:link w:val="PrformatHTMLCar"/>
    <w:uiPriority w:val="99"/>
    <w:unhideWhenUsed/>
    <w:rsid w:val="00917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9176DC"/>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00391">
      <w:bodyDiv w:val="1"/>
      <w:marLeft w:val="0"/>
      <w:marRight w:val="0"/>
      <w:marTop w:val="0"/>
      <w:marBottom w:val="0"/>
      <w:divBdr>
        <w:top w:val="none" w:sz="0" w:space="0" w:color="auto"/>
        <w:left w:val="none" w:sz="0" w:space="0" w:color="auto"/>
        <w:bottom w:val="none" w:sz="0" w:space="0" w:color="auto"/>
        <w:right w:val="none" w:sz="0" w:space="0" w:color="auto"/>
      </w:divBdr>
      <w:divsChild>
        <w:div w:id="1255741712">
          <w:marLeft w:val="0"/>
          <w:marRight w:val="0"/>
          <w:marTop w:val="0"/>
          <w:marBottom w:val="0"/>
          <w:divBdr>
            <w:top w:val="none" w:sz="0" w:space="0" w:color="auto"/>
            <w:left w:val="none" w:sz="0" w:space="0" w:color="auto"/>
            <w:bottom w:val="none" w:sz="0" w:space="0" w:color="auto"/>
            <w:right w:val="none" w:sz="0" w:space="0" w:color="auto"/>
          </w:divBdr>
        </w:div>
      </w:divsChild>
    </w:div>
    <w:div w:id="157623124">
      <w:bodyDiv w:val="1"/>
      <w:marLeft w:val="0"/>
      <w:marRight w:val="0"/>
      <w:marTop w:val="0"/>
      <w:marBottom w:val="0"/>
      <w:divBdr>
        <w:top w:val="none" w:sz="0" w:space="0" w:color="auto"/>
        <w:left w:val="none" w:sz="0" w:space="0" w:color="auto"/>
        <w:bottom w:val="none" w:sz="0" w:space="0" w:color="auto"/>
        <w:right w:val="none" w:sz="0" w:space="0" w:color="auto"/>
      </w:divBdr>
      <w:divsChild>
        <w:div w:id="646009829">
          <w:marLeft w:val="0"/>
          <w:marRight w:val="150"/>
          <w:marTop w:val="0"/>
          <w:marBottom w:val="0"/>
          <w:divBdr>
            <w:top w:val="none" w:sz="0" w:space="0" w:color="auto"/>
            <w:left w:val="none" w:sz="0" w:space="0" w:color="auto"/>
            <w:bottom w:val="none" w:sz="0" w:space="0" w:color="auto"/>
            <w:right w:val="none" w:sz="0" w:space="0" w:color="auto"/>
          </w:divBdr>
          <w:divsChild>
            <w:div w:id="2067413027">
              <w:marLeft w:val="0"/>
              <w:marRight w:val="0"/>
              <w:marTop w:val="0"/>
              <w:marBottom w:val="0"/>
              <w:divBdr>
                <w:top w:val="none" w:sz="0" w:space="0" w:color="auto"/>
                <w:left w:val="none" w:sz="0" w:space="0" w:color="auto"/>
                <w:bottom w:val="none" w:sz="0" w:space="0" w:color="auto"/>
                <w:right w:val="none" w:sz="0" w:space="0" w:color="auto"/>
              </w:divBdr>
            </w:div>
          </w:divsChild>
        </w:div>
        <w:div w:id="109475345">
          <w:marLeft w:val="0"/>
          <w:marRight w:val="0"/>
          <w:marTop w:val="0"/>
          <w:marBottom w:val="0"/>
          <w:divBdr>
            <w:top w:val="none" w:sz="0" w:space="0" w:color="auto"/>
            <w:left w:val="none" w:sz="0" w:space="0" w:color="auto"/>
            <w:bottom w:val="none" w:sz="0" w:space="0" w:color="auto"/>
            <w:right w:val="none" w:sz="0" w:space="0" w:color="auto"/>
          </w:divBdr>
        </w:div>
      </w:divsChild>
    </w:div>
    <w:div w:id="286011758">
      <w:bodyDiv w:val="1"/>
      <w:marLeft w:val="0"/>
      <w:marRight w:val="0"/>
      <w:marTop w:val="0"/>
      <w:marBottom w:val="0"/>
      <w:divBdr>
        <w:top w:val="none" w:sz="0" w:space="0" w:color="auto"/>
        <w:left w:val="none" w:sz="0" w:space="0" w:color="auto"/>
        <w:bottom w:val="none" w:sz="0" w:space="0" w:color="auto"/>
        <w:right w:val="none" w:sz="0" w:space="0" w:color="auto"/>
      </w:divBdr>
      <w:divsChild>
        <w:div w:id="1400517109">
          <w:marLeft w:val="0"/>
          <w:marRight w:val="0"/>
          <w:marTop w:val="0"/>
          <w:marBottom w:val="0"/>
          <w:divBdr>
            <w:top w:val="none" w:sz="0" w:space="0" w:color="auto"/>
            <w:left w:val="none" w:sz="0" w:space="0" w:color="auto"/>
            <w:bottom w:val="none" w:sz="0" w:space="0" w:color="auto"/>
            <w:right w:val="none" w:sz="0" w:space="0" w:color="auto"/>
          </w:divBdr>
          <w:divsChild>
            <w:div w:id="874931526">
              <w:marLeft w:val="0"/>
              <w:marRight w:val="0"/>
              <w:marTop w:val="0"/>
              <w:marBottom w:val="0"/>
              <w:divBdr>
                <w:top w:val="none" w:sz="0" w:space="0" w:color="auto"/>
                <w:left w:val="none" w:sz="0" w:space="0" w:color="auto"/>
                <w:bottom w:val="none" w:sz="0" w:space="0" w:color="auto"/>
                <w:right w:val="none" w:sz="0" w:space="0" w:color="auto"/>
              </w:divBdr>
              <w:divsChild>
                <w:div w:id="17034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00203">
      <w:bodyDiv w:val="1"/>
      <w:marLeft w:val="0"/>
      <w:marRight w:val="0"/>
      <w:marTop w:val="0"/>
      <w:marBottom w:val="0"/>
      <w:divBdr>
        <w:top w:val="none" w:sz="0" w:space="0" w:color="auto"/>
        <w:left w:val="none" w:sz="0" w:space="0" w:color="auto"/>
        <w:bottom w:val="none" w:sz="0" w:space="0" w:color="auto"/>
        <w:right w:val="none" w:sz="0" w:space="0" w:color="auto"/>
      </w:divBdr>
      <w:divsChild>
        <w:div w:id="1660158797">
          <w:marLeft w:val="0"/>
          <w:marRight w:val="0"/>
          <w:marTop w:val="0"/>
          <w:marBottom w:val="0"/>
          <w:divBdr>
            <w:top w:val="none" w:sz="0" w:space="0" w:color="auto"/>
            <w:left w:val="none" w:sz="0" w:space="0" w:color="auto"/>
            <w:bottom w:val="none" w:sz="0" w:space="0" w:color="auto"/>
            <w:right w:val="none" w:sz="0" w:space="0" w:color="auto"/>
          </w:divBdr>
        </w:div>
        <w:div w:id="609510276">
          <w:marLeft w:val="0"/>
          <w:marRight w:val="0"/>
          <w:marTop w:val="0"/>
          <w:marBottom w:val="0"/>
          <w:divBdr>
            <w:top w:val="none" w:sz="0" w:space="0" w:color="auto"/>
            <w:left w:val="none" w:sz="0" w:space="0" w:color="auto"/>
            <w:bottom w:val="none" w:sz="0" w:space="0" w:color="auto"/>
            <w:right w:val="none" w:sz="0" w:space="0" w:color="auto"/>
          </w:divBdr>
        </w:div>
        <w:div w:id="1688869225">
          <w:marLeft w:val="0"/>
          <w:marRight w:val="0"/>
          <w:marTop w:val="0"/>
          <w:marBottom w:val="0"/>
          <w:divBdr>
            <w:top w:val="none" w:sz="0" w:space="0" w:color="auto"/>
            <w:left w:val="none" w:sz="0" w:space="0" w:color="auto"/>
            <w:bottom w:val="none" w:sz="0" w:space="0" w:color="auto"/>
            <w:right w:val="none" w:sz="0" w:space="0" w:color="auto"/>
          </w:divBdr>
        </w:div>
        <w:div w:id="1612473538">
          <w:marLeft w:val="0"/>
          <w:marRight w:val="0"/>
          <w:marTop w:val="0"/>
          <w:marBottom w:val="0"/>
          <w:divBdr>
            <w:top w:val="none" w:sz="0" w:space="0" w:color="auto"/>
            <w:left w:val="none" w:sz="0" w:space="0" w:color="auto"/>
            <w:bottom w:val="none" w:sz="0" w:space="0" w:color="auto"/>
            <w:right w:val="none" w:sz="0" w:space="0" w:color="auto"/>
          </w:divBdr>
        </w:div>
      </w:divsChild>
    </w:div>
    <w:div w:id="408574825">
      <w:bodyDiv w:val="1"/>
      <w:marLeft w:val="0"/>
      <w:marRight w:val="0"/>
      <w:marTop w:val="0"/>
      <w:marBottom w:val="0"/>
      <w:divBdr>
        <w:top w:val="none" w:sz="0" w:space="0" w:color="auto"/>
        <w:left w:val="none" w:sz="0" w:space="0" w:color="auto"/>
        <w:bottom w:val="none" w:sz="0" w:space="0" w:color="auto"/>
        <w:right w:val="none" w:sz="0" w:space="0" w:color="auto"/>
      </w:divBdr>
      <w:divsChild>
        <w:div w:id="150100962">
          <w:marLeft w:val="0"/>
          <w:marRight w:val="0"/>
          <w:marTop w:val="0"/>
          <w:marBottom w:val="0"/>
          <w:divBdr>
            <w:top w:val="none" w:sz="0" w:space="0" w:color="auto"/>
            <w:left w:val="none" w:sz="0" w:space="0" w:color="auto"/>
            <w:bottom w:val="dotted" w:sz="6" w:space="2" w:color="CCCCCC"/>
            <w:right w:val="none" w:sz="0" w:space="0" w:color="auto"/>
          </w:divBdr>
          <w:divsChild>
            <w:div w:id="1302075074">
              <w:marLeft w:val="0"/>
              <w:marRight w:val="150"/>
              <w:marTop w:val="0"/>
              <w:marBottom w:val="0"/>
              <w:divBdr>
                <w:top w:val="none" w:sz="0" w:space="0" w:color="auto"/>
                <w:left w:val="none" w:sz="0" w:space="0" w:color="auto"/>
                <w:bottom w:val="none" w:sz="0" w:space="0" w:color="auto"/>
                <w:right w:val="none" w:sz="0" w:space="0" w:color="auto"/>
              </w:divBdr>
              <w:divsChild>
                <w:div w:id="309990123">
                  <w:marLeft w:val="0"/>
                  <w:marRight w:val="0"/>
                  <w:marTop w:val="0"/>
                  <w:marBottom w:val="0"/>
                  <w:divBdr>
                    <w:top w:val="none" w:sz="0" w:space="0" w:color="auto"/>
                    <w:left w:val="none" w:sz="0" w:space="0" w:color="auto"/>
                    <w:bottom w:val="none" w:sz="0" w:space="0" w:color="auto"/>
                    <w:right w:val="none" w:sz="0" w:space="0" w:color="auto"/>
                  </w:divBdr>
                </w:div>
              </w:divsChild>
            </w:div>
            <w:div w:id="76619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1940">
      <w:bodyDiv w:val="1"/>
      <w:marLeft w:val="0"/>
      <w:marRight w:val="0"/>
      <w:marTop w:val="0"/>
      <w:marBottom w:val="0"/>
      <w:divBdr>
        <w:top w:val="none" w:sz="0" w:space="0" w:color="auto"/>
        <w:left w:val="none" w:sz="0" w:space="0" w:color="auto"/>
        <w:bottom w:val="none" w:sz="0" w:space="0" w:color="auto"/>
        <w:right w:val="none" w:sz="0" w:space="0" w:color="auto"/>
      </w:divBdr>
      <w:divsChild>
        <w:div w:id="671878292">
          <w:marLeft w:val="0"/>
          <w:marRight w:val="150"/>
          <w:marTop w:val="0"/>
          <w:marBottom w:val="0"/>
          <w:divBdr>
            <w:top w:val="none" w:sz="0" w:space="0" w:color="auto"/>
            <w:left w:val="none" w:sz="0" w:space="0" w:color="auto"/>
            <w:bottom w:val="none" w:sz="0" w:space="0" w:color="auto"/>
            <w:right w:val="none" w:sz="0" w:space="0" w:color="auto"/>
          </w:divBdr>
          <w:divsChild>
            <w:div w:id="97071195">
              <w:marLeft w:val="0"/>
              <w:marRight w:val="0"/>
              <w:marTop w:val="0"/>
              <w:marBottom w:val="0"/>
              <w:divBdr>
                <w:top w:val="none" w:sz="0" w:space="0" w:color="auto"/>
                <w:left w:val="none" w:sz="0" w:space="0" w:color="auto"/>
                <w:bottom w:val="none" w:sz="0" w:space="0" w:color="auto"/>
                <w:right w:val="none" w:sz="0" w:space="0" w:color="auto"/>
              </w:divBdr>
            </w:div>
          </w:divsChild>
        </w:div>
        <w:div w:id="83765852">
          <w:marLeft w:val="0"/>
          <w:marRight w:val="0"/>
          <w:marTop w:val="0"/>
          <w:marBottom w:val="0"/>
          <w:divBdr>
            <w:top w:val="none" w:sz="0" w:space="0" w:color="auto"/>
            <w:left w:val="none" w:sz="0" w:space="0" w:color="auto"/>
            <w:bottom w:val="none" w:sz="0" w:space="0" w:color="auto"/>
            <w:right w:val="none" w:sz="0" w:space="0" w:color="auto"/>
          </w:divBdr>
        </w:div>
      </w:divsChild>
    </w:div>
    <w:div w:id="1398674193">
      <w:bodyDiv w:val="1"/>
      <w:marLeft w:val="0"/>
      <w:marRight w:val="0"/>
      <w:marTop w:val="0"/>
      <w:marBottom w:val="0"/>
      <w:divBdr>
        <w:top w:val="none" w:sz="0" w:space="0" w:color="auto"/>
        <w:left w:val="none" w:sz="0" w:space="0" w:color="auto"/>
        <w:bottom w:val="none" w:sz="0" w:space="0" w:color="auto"/>
        <w:right w:val="none" w:sz="0" w:space="0" w:color="auto"/>
      </w:divBdr>
      <w:divsChild>
        <w:div w:id="1208564069">
          <w:marLeft w:val="0"/>
          <w:marRight w:val="0"/>
          <w:marTop w:val="0"/>
          <w:marBottom w:val="0"/>
          <w:divBdr>
            <w:top w:val="none" w:sz="0" w:space="0" w:color="auto"/>
            <w:left w:val="none" w:sz="0" w:space="0" w:color="auto"/>
            <w:bottom w:val="none" w:sz="0" w:space="0" w:color="auto"/>
            <w:right w:val="none" w:sz="0" w:space="0" w:color="auto"/>
          </w:divBdr>
        </w:div>
        <w:div w:id="2136243793">
          <w:marLeft w:val="0"/>
          <w:marRight w:val="0"/>
          <w:marTop w:val="0"/>
          <w:marBottom w:val="0"/>
          <w:divBdr>
            <w:top w:val="none" w:sz="0" w:space="0" w:color="auto"/>
            <w:left w:val="none" w:sz="0" w:space="0" w:color="auto"/>
            <w:bottom w:val="none" w:sz="0" w:space="0" w:color="auto"/>
            <w:right w:val="none" w:sz="0" w:space="0" w:color="auto"/>
          </w:divBdr>
        </w:div>
        <w:div w:id="285896052">
          <w:marLeft w:val="0"/>
          <w:marRight w:val="0"/>
          <w:marTop w:val="0"/>
          <w:marBottom w:val="0"/>
          <w:divBdr>
            <w:top w:val="none" w:sz="0" w:space="0" w:color="auto"/>
            <w:left w:val="none" w:sz="0" w:space="0" w:color="auto"/>
            <w:bottom w:val="none" w:sz="0" w:space="0" w:color="auto"/>
            <w:right w:val="none" w:sz="0" w:space="0" w:color="auto"/>
          </w:divBdr>
        </w:div>
        <w:div w:id="766732761">
          <w:marLeft w:val="0"/>
          <w:marRight w:val="0"/>
          <w:marTop w:val="0"/>
          <w:marBottom w:val="0"/>
          <w:divBdr>
            <w:top w:val="none" w:sz="0" w:space="0" w:color="auto"/>
            <w:left w:val="none" w:sz="0" w:space="0" w:color="auto"/>
            <w:bottom w:val="none" w:sz="0" w:space="0" w:color="auto"/>
            <w:right w:val="none" w:sz="0" w:space="0" w:color="auto"/>
          </w:divBdr>
        </w:div>
        <w:div w:id="1563828095">
          <w:marLeft w:val="0"/>
          <w:marRight w:val="0"/>
          <w:marTop w:val="0"/>
          <w:marBottom w:val="0"/>
          <w:divBdr>
            <w:top w:val="none" w:sz="0" w:space="0" w:color="auto"/>
            <w:left w:val="none" w:sz="0" w:space="0" w:color="auto"/>
            <w:bottom w:val="none" w:sz="0" w:space="0" w:color="auto"/>
            <w:right w:val="none" w:sz="0" w:space="0" w:color="auto"/>
          </w:divBdr>
        </w:div>
        <w:div w:id="1474375203">
          <w:marLeft w:val="0"/>
          <w:marRight w:val="0"/>
          <w:marTop w:val="0"/>
          <w:marBottom w:val="0"/>
          <w:divBdr>
            <w:top w:val="none" w:sz="0" w:space="0" w:color="auto"/>
            <w:left w:val="none" w:sz="0" w:space="0" w:color="auto"/>
            <w:bottom w:val="none" w:sz="0" w:space="0" w:color="auto"/>
            <w:right w:val="none" w:sz="0" w:space="0" w:color="auto"/>
          </w:divBdr>
        </w:div>
        <w:div w:id="208955932">
          <w:marLeft w:val="0"/>
          <w:marRight w:val="0"/>
          <w:marTop w:val="0"/>
          <w:marBottom w:val="0"/>
          <w:divBdr>
            <w:top w:val="none" w:sz="0" w:space="0" w:color="auto"/>
            <w:left w:val="none" w:sz="0" w:space="0" w:color="auto"/>
            <w:bottom w:val="none" w:sz="0" w:space="0" w:color="auto"/>
            <w:right w:val="none" w:sz="0" w:space="0" w:color="auto"/>
          </w:divBdr>
        </w:div>
        <w:div w:id="1406799508">
          <w:marLeft w:val="0"/>
          <w:marRight w:val="0"/>
          <w:marTop w:val="0"/>
          <w:marBottom w:val="0"/>
          <w:divBdr>
            <w:top w:val="none" w:sz="0" w:space="0" w:color="auto"/>
            <w:left w:val="none" w:sz="0" w:space="0" w:color="auto"/>
            <w:bottom w:val="none" w:sz="0" w:space="0" w:color="auto"/>
            <w:right w:val="none" w:sz="0" w:space="0" w:color="auto"/>
          </w:divBdr>
        </w:div>
        <w:div w:id="1065488493">
          <w:marLeft w:val="0"/>
          <w:marRight w:val="0"/>
          <w:marTop w:val="0"/>
          <w:marBottom w:val="0"/>
          <w:divBdr>
            <w:top w:val="none" w:sz="0" w:space="0" w:color="auto"/>
            <w:left w:val="none" w:sz="0" w:space="0" w:color="auto"/>
            <w:bottom w:val="none" w:sz="0" w:space="0" w:color="auto"/>
            <w:right w:val="none" w:sz="0" w:space="0" w:color="auto"/>
          </w:divBdr>
        </w:div>
        <w:div w:id="794324250">
          <w:marLeft w:val="0"/>
          <w:marRight w:val="0"/>
          <w:marTop w:val="0"/>
          <w:marBottom w:val="0"/>
          <w:divBdr>
            <w:top w:val="none" w:sz="0" w:space="0" w:color="auto"/>
            <w:left w:val="none" w:sz="0" w:space="0" w:color="auto"/>
            <w:bottom w:val="none" w:sz="0" w:space="0" w:color="auto"/>
            <w:right w:val="none" w:sz="0" w:space="0" w:color="auto"/>
          </w:divBdr>
        </w:div>
        <w:div w:id="407503084">
          <w:marLeft w:val="0"/>
          <w:marRight w:val="0"/>
          <w:marTop w:val="0"/>
          <w:marBottom w:val="0"/>
          <w:divBdr>
            <w:top w:val="none" w:sz="0" w:space="0" w:color="auto"/>
            <w:left w:val="none" w:sz="0" w:space="0" w:color="auto"/>
            <w:bottom w:val="none" w:sz="0" w:space="0" w:color="auto"/>
            <w:right w:val="none" w:sz="0" w:space="0" w:color="auto"/>
          </w:divBdr>
        </w:div>
        <w:div w:id="1728262143">
          <w:marLeft w:val="0"/>
          <w:marRight w:val="0"/>
          <w:marTop w:val="0"/>
          <w:marBottom w:val="0"/>
          <w:divBdr>
            <w:top w:val="none" w:sz="0" w:space="0" w:color="auto"/>
            <w:left w:val="none" w:sz="0" w:space="0" w:color="auto"/>
            <w:bottom w:val="none" w:sz="0" w:space="0" w:color="auto"/>
            <w:right w:val="none" w:sz="0" w:space="0" w:color="auto"/>
          </w:divBdr>
        </w:div>
      </w:divsChild>
    </w:div>
    <w:div w:id="1498960058">
      <w:bodyDiv w:val="1"/>
      <w:marLeft w:val="0"/>
      <w:marRight w:val="0"/>
      <w:marTop w:val="0"/>
      <w:marBottom w:val="0"/>
      <w:divBdr>
        <w:top w:val="none" w:sz="0" w:space="0" w:color="auto"/>
        <w:left w:val="none" w:sz="0" w:space="0" w:color="auto"/>
        <w:bottom w:val="none" w:sz="0" w:space="0" w:color="auto"/>
        <w:right w:val="none" w:sz="0" w:space="0" w:color="auto"/>
      </w:divBdr>
      <w:divsChild>
        <w:div w:id="1063455730">
          <w:marLeft w:val="0"/>
          <w:marRight w:val="0"/>
          <w:marTop w:val="0"/>
          <w:marBottom w:val="0"/>
          <w:divBdr>
            <w:top w:val="none" w:sz="0" w:space="0" w:color="auto"/>
            <w:left w:val="none" w:sz="0" w:space="0" w:color="auto"/>
            <w:bottom w:val="dotted" w:sz="6" w:space="2" w:color="CCCCCC"/>
            <w:right w:val="none" w:sz="0" w:space="0" w:color="auto"/>
          </w:divBdr>
          <w:divsChild>
            <w:div w:id="718437198">
              <w:marLeft w:val="0"/>
              <w:marRight w:val="150"/>
              <w:marTop w:val="0"/>
              <w:marBottom w:val="0"/>
              <w:divBdr>
                <w:top w:val="none" w:sz="0" w:space="0" w:color="auto"/>
                <w:left w:val="none" w:sz="0" w:space="0" w:color="auto"/>
                <w:bottom w:val="none" w:sz="0" w:space="0" w:color="auto"/>
                <w:right w:val="none" w:sz="0" w:space="0" w:color="auto"/>
              </w:divBdr>
              <w:divsChild>
                <w:div w:id="297145934">
                  <w:marLeft w:val="0"/>
                  <w:marRight w:val="0"/>
                  <w:marTop w:val="0"/>
                  <w:marBottom w:val="0"/>
                  <w:divBdr>
                    <w:top w:val="none" w:sz="0" w:space="0" w:color="auto"/>
                    <w:left w:val="none" w:sz="0" w:space="0" w:color="auto"/>
                    <w:bottom w:val="none" w:sz="0" w:space="0" w:color="auto"/>
                    <w:right w:val="none" w:sz="0" w:space="0" w:color="auto"/>
                  </w:divBdr>
                </w:div>
              </w:divsChild>
            </w:div>
            <w:div w:id="3518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86693">
      <w:bodyDiv w:val="1"/>
      <w:marLeft w:val="0"/>
      <w:marRight w:val="0"/>
      <w:marTop w:val="0"/>
      <w:marBottom w:val="0"/>
      <w:divBdr>
        <w:top w:val="none" w:sz="0" w:space="0" w:color="auto"/>
        <w:left w:val="none" w:sz="0" w:space="0" w:color="auto"/>
        <w:bottom w:val="none" w:sz="0" w:space="0" w:color="auto"/>
        <w:right w:val="none" w:sz="0" w:space="0" w:color="auto"/>
      </w:divBdr>
      <w:divsChild>
        <w:div w:id="1241059355">
          <w:marLeft w:val="0"/>
          <w:marRight w:val="0"/>
          <w:marTop w:val="0"/>
          <w:marBottom w:val="0"/>
          <w:divBdr>
            <w:top w:val="none" w:sz="0" w:space="0" w:color="auto"/>
            <w:left w:val="none" w:sz="0" w:space="0" w:color="auto"/>
            <w:bottom w:val="none" w:sz="0" w:space="0" w:color="auto"/>
            <w:right w:val="none" w:sz="0" w:space="0" w:color="auto"/>
          </w:divBdr>
        </w:div>
        <w:div w:id="1938783606">
          <w:marLeft w:val="0"/>
          <w:marRight w:val="0"/>
          <w:marTop w:val="0"/>
          <w:marBottom w:val="0"/>
          <w:divBdr>
            <w:top w:val="none" w:sz="0" w:space="0" w:color="auto"/>
            <w:left w:val="none" w:sz="0" w:space="0" w:color="auto"/>
            <w:bottom w:val="none" w:sz="0" w:space="0" w:color="auto"/>
            <w:right w:val="none" w:sz="0" w:space="0" w:color="auto"/>
          </w:divBdr>
        </w:div>
        <w:div w:id="1278025558">
          <w:marLeft w:val="0"/>
          <w:marRight w:val="0"/>
          <w:marTop w:val="0"/>
          <w:marBottom w:val="0"/>
          <w:divBdr>
            <w:top w:val="none" w:sz="0" w:space="0" w:color="auto"/>
            <w:left w:val="none" w:sz="0" w:space="0" w:color="auto"/>
            <w:bottom w:val="none" w:sz="0" w:space="0" w:color="auto"/>
            <w:right w:val="none" w:sz="0" w:space="0" w:color="auto"/>
          </w:divBdr>
        </w:div>
        <w:div w:id="896354582">
          <w:marLeft w:val="0"/>
          <w:marRight w:val="0"/>
          <w:marTop w:val="0"/>
          <w:marBottom w:val="0"/>
          <w:divBdr>
            <w:top w:val="none" w:sz="0" w:space="0" w:color="auto"/>
            <w:left w:val="none" w:sz="0" w:space="0" w:color="auto"/>
            <w:bottom w:val="none" w:sz="0" w:space="0" w:color="auto"/>
            <w:right w:val="none" w:sz="0" w:space="0" w:color="auto"/>
          </w:divBdr>
        </w:div>
        <w:div w:id="2138984546">
          <w:marLeft w:val="0"/>
          <w:marRight w:val="0"/>
          <w:marTop w:val="0"/>
          <w:marBottom w:val="0"/>
          <w:divBdr>
            <w:top w:val="none" w:sz="0" w:space="0" w:color="auto"/>
            <w:left w:val="none" w:sz="0" w:space="0" w:color="auto"/>
            <w:bottom w:val="none" w:sz="0" w:space="0" w:color="auto"/>
            <w:right w:val="none" w:sz="0" w:space="0" w:color="auto"/>
          </w:divBdr>
        </w:div>
        <w:div w:id="1406610652">
          <w:marLeft w:val="0"/>
          <w:marRight w:val="0"/>
          <w:marTop w:val="0"/>
          <w:marBottom w:val="0"/>
          <w:divBdr>
            <w:top w:val="none" w:sz="0" w:space="0" w:color="auto"/>
            <w:left w:val="none" w:sz="0" w:space="0" w:color="auto"/>
            <w:bottom w:val="none" w:sz="0" w:space="0" w:color="auto"/>
            <w:right w:val="none" w:sz="0" w:space="0" w:color="auto"/>
          </w:divBdr>
        </w:div>
        <w:div w:id="391192804">
          <w:marLeft w:val="0"/>
          <w:marRight w:val="0"/>
          <w:marTop w:val="0"/>
          <w:marBottom w:val="0"/>
          <w:divBdr>
            <w:top w:val="none" w:sz="0" w:space="0" w:color="auto"/>
            <w:left w:val="none" w:sz="0" w:space="0" w:color="auto"/>
            <w:bottom w:val="none" w:sz="0" w:space="0" w:color="auto"/>
            <w:right w:val="none" w:sz="0" w:space="0" w:color="auto"/>
          </w:divBdr>
        </w:div>
      </w:divsChild>
    </w:div>
    <w:div w:id="1770850684">
      <w:bodyDiv w:val="1"/>
      <w:marLeft w:val="0"/>
      <w:marRight w:val="0"/>
      <w:marTop w:val="0"/>
      <w:marBottom w:val="0"/>
      <w:divBdr>
        <w:top w:val="none" w:sz="0" w:space="0" w:color="auto"/>
        <w:left w:val="none" w:sz="0" w:space="0" w:color="auto"/>
        <w:bottom w:val="none" w:sz="0" w:space="0" w:color="auto"/>
        <w:right w:val="none" w:sz="0" w:space="0" w:color="auto"/>
      </w:divBdr>
      <w:divsChild>
        <w:div w:id="694504275">
          <w:marLeft w:val="0"/>
          <w:marRight w:val="150"/>
          <w:marTop w:val="0"/>
          <w:marBottom w:val="0"/>
          <w:divBdr>
            <w:top w:val="none" w:sz="0" w:space="0" w:color="auto"/>
            <w:left w:val="none" w:sz="0" w:space="0" w:color="auto"/>
            <w:bottom w:val="none" w:sz="0" w:space="0" w:color="auto"/>
            <w:right w:val="none" w:sz="0" w:space="0" w:color="auto"/>
          </w:divBdr>
          <w:divsChild>
            <w:div w:id="1397624921">
              <w:marLeft w:val="0"/>
              <w:marRight w:val="0"/>
              <w:marTop w:val="0"/>
              <w:marBottom w:val="0"/>
              <w:divBdr>
                <w:top w:val="none" w:sz="0" w:space="0" w:color="auto"/>
                <w:left w:val="none" w:sz="0" w:space="0" w:color="auto"/>
                <w:bottom w:val="none" w:sz="0" w:space="0" w:color="auto"/>
                <w:right w:val="none" w:sz="0" w:space="0" w:color="auto"/>
              </w:divBdr>
            </w:div>
          </w:divsChild>
        </w:div>
        <w:div w:id="1566180028">
          <w:marLeft w:val="0"/>
          <w:marRight w:val="0"/>
          <w:marTop w:val="0"/>
          <w:marBottom w:val="0"/>
          <w:divBdr>
            <w:top w:val="none" w:sz="0" w:space="0" w:color="auto"/>
            <w:left w:val="none" w:sz="0" w:space="0" w:color="auto"/>
            <w:bottom w:val="none" w:sz="0" w:space="0" w:color="auto"/>
            <w:right w:val="none" w:sz="0" w:space="0" w:color="auto"/>
          </w:divBdr>
        </w:div>
      </w:divsChild>
    </w:div>
    <w:div w:id="1867910737">
      <w:bodyDiv w:val="1"/>
      <w:marLeft w:val="0"/>
      <w:marRight w:val="0"/>
      <w:marTop w:val="0"/>
      <w:marBottom w:val="0"/>
      <w:divBdr>
        <w:top w:val="none" w:sz="0" w:space="0" w:color="auto"/>
        <w:left w:val="none" w:sz="0" w:space="0" w:color="auto"/>
        <w:bottom w:val="none" w:sz="0" w:space="0" w:color="auto"/>
        <w:right w:val="none" w:sz="0" w:space="0" w:color="auto"/>
      </w:divBdr>
    </w:div>
    <w:div w:id="1894924153">
      <w:bodyDiv w:val="1"/>
      <w:marLeft w:val="0"/>
      <w:marRight w:val="0"/>
      <w:marTop w:val="0"/>
      <w:marBottom w:val="0"/>
      <w:divBdr>
        <w:top w:val="none" w:sz="0" w:space="0" w:color="auto"/>
        <w:left w:val="none" w:sz="0" w:space="0" w:color="auto"/>
        <w:bottom w:val="none" w:sz="0" w:space="0" w:color="auto"/>
        <w:right w:val="none" w:sz="0" w:space="0" w:color="auto"/>
      </w:divBdr>
      <w:divsChild>
        <w:div w:id="1282223162">
          <w:marLeft w:val="0"/>
          <w:marRight w:val="0"/>
          <w:marTop w:val="0"/>
          <w:marBottom w:val="0"/>
          <w:divBdr>
            <w:top w:val="none" w:sz="0" w:space="0" w:color="auto"/>
            <w:left w:val="none" w:sz="0" w:space="0" w:color="auto"/>
            <w:bottom w:val="dotted" w:sz="6" w:space="2" w:color="CCCCCC"/>
            <w:right w:val="none" w:sz="0" w:space="0" w:color="auto"/>
          </w:divBdr>
          <w:divsChild>
            <w:div w:id="1023826896">
              <w:marLeft w:val="0"/>
              <w:marRight w:val="150"/>
              <w:marTop w:val="0"/>
              <w:marBottom w:val="0"/>
              <w:divBdr>
                <w:top w:val="none" w:sz="0" w:space="0" w:color="auto"/>
                <w:left w:val="none" w:sz="0" w:space="0" w:color="auto"/>
                <w:bottom w:val="none" w:sz="0" w:space="0" w:color="auto"/>
                <w:right w:val="none" w:sz="0" w:space="0" w:color="auto"/>
              </w:divBdr>
              <w:divsChild>
                <w:div w:id="547646740">
                  <w:marLeft w:val="0"/>
                  <w:marRight w:val="0"/>
                  <w:marTop w:val="0"/>
                  <w:marBottom w:val="0"/>
                  <w:divBdr>
                    <w:top w:val="none" w:sz="0" w:space="0" w:color="auto"/>
                    <w:left w:val="none" w:sz="0" w:space="0" w:color="auto"/>
                    <w:bottom w:val="none" w:sz="0" w:space="0" w:color="auto"/>
                    <w:right w:val="none" w:sz="0" w:space="0" w:color="auto"/>
                  </w:divBdr>
                </w:div>
              </w:divsChild>
            </w:div>
            <w:div w:id="1538469426">
              <w:marLeft w:val="0"/>
              <w:marRight w:val="0"/>
              <w:marTop w:val="0"/>
              <w:marBottom w:val="0"/>
              <w:divBdr>
                <w:top w:val="none" w:sz="0" w:space="0" w:color="auto"/>
                <w:left w:val="none" w:sz="0" w:space="0" w:color="auto"/>
                <w:bottom w:val="none" w:sz="0" w:space="0" w:color="auto"/>
                <w:right w:val="none" w:sz="0" w:space="0" w:color="auto"/>
              </w:divBdr>
            </w:div>
          </w:divsChild>
        </w:div>
        <w:div w:id="933707653">
          <w:marLeft w:val="0"/>
          <w:marRight w:val="0"/>
          <w:marTop w:val="0"/>
          <w:marBottom w:val="0"/>
          <w:divBdr>
            <w:top w:val="none" w:sz="0" w:space="0" w:color="auto"/>
            <w:left w:val="none" w:sz="0" w:space="0" w:color="auto"/>
            <w:bottom w:val="dotted" w:sz="6" w:space="2" w:color="CCCCCC"/>
            <w:right w:val="none" w:sz="0" w:space="0" w:color="auto"/>
          </w:divBdr>
          <w:divsChild>
            <w:div w:id="2121760058">
              <w:marLeft w:val="0"/>
              <w:marRight w:val="150"/>
              <w:marTop w:val="0"/>
              <w:marBottom w:val="0"/>
              <w:divBdr>
                <w:top w:val="none" w:sz="0" w:space="0" w:color="auto"/>
                <w:left w:val="none" w:sz="0" w:space="0" w:color="auto"/>
                <w:bottom w:val="none" w:sz="0" w:space="0" w:color="auto"/>
                <w:right w:val="none" w:sz="0" w:space="0" w:color="auto"/>
              </w:divBdr>
              <w:divsChild>
                <w:div w:id="1163473900">
                  <w:marLeft w:val="0"/>
                  <w:marRight w:val="0"/>
                  <w:marTop w:val="0"/>
                  <w:marBottom w:val="0"/>
                  <w:divBdr>
                    <w:top w:val="none" w:sz="0" w:space="0" w:color="auto"/>
                    <w:left w:val="none" w:sz="0" w:space="0" w:color="auto"/>
                    <w:bottom w:val="none" w:sz="0" w:space="0" w:color="auto"/>
                    <w:right w:val="none" w:sz="0" w:space="0" w:color="auto"/>
                  </w:divBdr>
                </w:div>
              </w:divsChild>
            </w:div>
            <w:div w:id="133032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15969">
      <w:bodyDiv w:val="1"/>
      <w:marLeft w:val="0"/>
      <w:marRight w:val="0"/>
      <w:marTop w:val="0"/>
      <w:marBottom w:val="0"/>
      <w:divBdr>
        <w:top w:val="none" w:sz="0" w:space="0" w:color="auto"/>
        <w:left w:val="none" w:sz="0" w:space="0" w:color="auto"/>
        <w:bottom w:val="none" w:sz="0" w:space="0" w:color="auto"/>
        <w:right w:val="none" w:sz="0" w:space="0" w:color="auto"/>
      </w:divBdr>
      <w:divsChild>
        <w:div w:id="1263030471">
          <w:marLeft w:val="0"/>
          <w:marRight w:val="0"/>
          <w:marTop w:val="0"/>
          <w:marBottom w:val="0"/>
          <w:divBdr>
            <w:top w:val="none" w:sz="0" w:space="0" w:color="auto"/>
            <w:left w:val="none" w:sz="0" w:space="0" w:color="auto"/>
            <w:bottom w:val="dotted" w:sz="6" w:space="2" w:color="CCCCCC"/>
            <w:right w:val="none" w:sz="0" w:space="0" w:color="auto"/>
          </w:divBdr>
          <w:divsChild>
            <w:div w:id="1426879433">
              <w:marLeft w:val="0"/>
              <w:marRight w:val="150"/>
              <w:marTop w:val="0"/>
              <w:marBottom w:val="0"/>
              <w:divBdr>
                <w:top w:val="none" w:sz="0" w:space="0" w:color="auto"/>
                <w:left w:val="none" w:sz="0" w:space="0" w:color="auto"/>
                <w:bottom w:val="none" w:sz="0" w:space="0" w:color="auto"/>
                <w:right w:val="none" w:sz="0" w:space="0" w:color="auto"/>
              </w:divBdr>
              <w:divsChild>
                <w:div w:id="1495073584">
                  <w:marLeft w:val="0"/>
                  <w:marRight w:val="0"/>
                  <w:marTop w:val="0"/>
                  <w:marBottom w:val="0"/>
                  <w:divBdr>
                    <w:top w:val="none" w:sz="0" w:space="0" w:color="auto"/>
                    <w:left w:val="none" w:sz="0" w:space="0" w:color="auto"/>
                    <w:bottom w:val="none" w:sz="0" w:space="0" w:color="auto"/>
                    <w:right w:val="none" w:sz="0" w:space="0" w:color="auto"/>
                  </w:divBdr>
                </w:div>
              </w:divsChild>
            </w:div>
            <w:div w:id="36617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binternet.ohchr.org/_layouts/15/treatybodyexternal/Download.aspx?symbolno=CRPD/C/GC/3&amp;Lang=f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2" Type="http://schemas.openxmlformats.org/officeDocument/2006/relationships/hyperlink" Target="https://tbinternet.ohchr.org/_layouts/treatybodyexternal/Download.aspx?symbolno=CRPD/C/GC/7&amp;Lang=fr" TargetMode="External"/><Relationship Id="rId1" Type="http://schemas.openxmlformats.org/officeDocument/2006/relationships/hyperlink" Target="https://tbinternet.ohchr.org/_layouts/treatybodyexternal/Download.aspx?symbolno=CRPD/C/GC/7&amp;Lang=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4B3AE-835F-4002-BE39-14E74A082519}"/>
</file>

<file path=customXml/itemProps2.xml><?xml version="1.0" encoding="utf-8"?>
<ds:datastoreItem xmlns:ds="http://schemas.openxmlformats.org/officeDocument/2006/customXml" ds:itemID="{6FAC4ADB-7430-4DFB-ACE4-6741EA780468}">
  <ds:schemaRefs>
    <ds:schemaRef ds:uri="http://schemas.microsoft.com/office/2006/metadata/properties"/>
    <ds:schemaRef ds:uri="http://schemas.microsoft.com/office/infopath/2007/PartnerControls"/>
    <ds:schemaRef ds:uri="d30915c5-2446-46fd-befc-6cc3f62684cc"/>
    <ds:schemaRef ds:uri="43e275e3-8228-4251-95de-18700895d8e8"/>
  </ds:schemaRefs>
</ds:datastoreItem>
</file>

<file path=customXml/itemProps3.xml><?xml version="1.0" encoding="utf-8"?>
<ds:datastoreItem xmlns:ds="http://schemas.openxmlformats.org/officeDocument/2006/customXml" ds:itemID="{3B6B3F8B-1684-4D77-9171-CBF0DC789A69}">
  <ds:schemaRefs>
    <ds:schemaRef ds:uri="http://schemas.microsoft.com/sharepoint/v3/contenttype/forms"/>
  </ds:schemaRefs>
</ds:datastoreItem>
</file>

<file path=customXml/itemProps4.xml><?xml version="1.0" encoding="utf-8"?>
<ds:datastoreItem xmlns:ds="http://schemas.openxmlformats.org/officeDocument/2006/customXml" ds:itemID="{733B167A-0191-2D43-87A1-AD93363D9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860</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victoria lee</cp:lastModifiedBy>
  <cp:revision>11</cp:revision>
  <dcterms:created xsi:type="dcterms:W3CDTF">2020-02-27T14:56:00Z</dcterms:created>
  <dcterms:modified xsi:type="dcterms:W3CDTF">2020-10-23T16:38:00Z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palabrasclaveempresa">
    <vt:lpwstr/>
  </property>
  <property fmtid="{D5CDD505-2E9C-101B-9397-08002B2CF9AE}" pid="4" name="palabrasclavesitio">
    <vt:lpwstr/>
  </property>
</Properties>
</file>