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6BDAE" w14:textId="77777777" w:rsidR="000A3694" w:rsidRPr="005F460C" w:rsidRDefault="000A3694" w:rsidP="00981308">
      <w:pPr>
        <w:pStyle w:val="Heading1"/>
      </w:pPr>
      <w:r w:rsidRPr="005F460C">
        <w:t xml:space="preserve">Article 8 – </w:t>
      </w:r>
      <w:r w:rsidRPr="00981308">
        <w:t>Illustrative</w:t>
      </w:r>
      <w:r w:rsidRPr="005F460C">
        <w:t xml:space="preserve"> indicators on awareness-raising</w:t>
      </w:r>
    </w:p>
    <w:p w14:paraId="3DB7B78B" w14:textId="77777777" w:rsidR="000A3694" w:rsidRPr="005F460C" w:rsidDel="009D5D68" w:rsidRDefault="000A3694" w:rsidP="00981308">
      <w:pPr>
        <w:pStyle w:val="Heading1"/>
      </w:pPr>
      <w:r w:rsidRPr="005F460C">
        <w:t>Raising awareness throughout society to respect the rights of persons with disabilities</w:t>
      </w:r>
    </w:p>
    <w:p w14:paraId="4C0928BC" w14:textId="5676F865" w:rsidR="000A3694" w:rsidRPr="005F460C" w:rsidRDefault="00291A44" w:rsidP="00981308">
      <w:pPr>
        <w:pStyle w:val="Heading2"/>
      </w:pPr>
      <w:r w:rsidRPr="00981308">
        <w:t>Attributes</w:t>
      </w:r>
    </w:p>
    <w:p w14:paraId="166C9AF4" w14:textId="77777777" w:rsidR="000A3694" w:rsidRPr="000A3694" w:rsidRDefault="000A3694" w:rsidP="000A3694">
      <w:pPr>
        <w:pStyle w:val="ListParagraph"/>
        <w:numPr>
          <w:ilvl w:val="0"/>
          <w:numId w:val="13"/>
        </w:numPr>
        <w:spacing w:after="0" w:line="240" w:lineRule="auto"/>
        <w:rPr>
          <w:rFonts w:cstheme="minorHAnsi"/>
          <w:b/>
          <w:sz w:val="18"/>
          <w:szCs w:val="18"/>
        </w:rPr>
      </w:pPr>
      <w:r w:rsidRPr="000A3694">
        <w:rPr>
          <w:rFonts w:cstheme="minorHAnsi"/>
          <w:b/>
          <w:sz w:val="18"/>
          <w:szCs w:val="18"/>
        </w:rPr>
        <w:t xml:space="preserve">Combat stereotypes, prejudices and harmful practices </w:t>
      </w:r>
    </w:p>
    <w:p w14:paraId="5F813045" w14:textId="77777777" w:rsidR="000A3694" w:rsidRPr="000A3694" w:rsidRDefault="000A3694" w:rsidP="000A3694">
      <w:pPr>
        <w:pStyle w:val="ListParagraph"/>
        <w:numPr>
          <w:ilvl w:val="0"/>
          <w:numId w:val="13"/>
        </w:numPr>
        <w:spacing w:after="0" w:line="240" w:lineRule="auto"/>
        <w:rPr>
          <w:rFonts w:cstheme="minorHAnsi"/>
          <w:b/>
          <w:sz w:val="18"/>
          <w:szCs w:val="18"/>
        </w:rPr>
      </w:pPr>
      <w:r w:rsidRPr="000A3694">
        <w:rPr>
          <w:rFonts w:cstheme="minorHAnsi"/>
          <w:b/>
          <w:sz w:val="18"/>
          <w:szCs w:val="18"/>
        </w:rPr>
        <w:t>Foster respect for the rights and dignity of persons with disabilities</w:t>
      </w:r>
    </w:p>
    <w:p w14:paraId="7A25B8A8" w14:textId="1907D863" w:rsidR="000A3694" w:rsidRDefault="000A3694" w:rsidP="000A3694">
      <w:pPr>
        <w:pStyle w:val="ListParagraph"/>
        <w:numPr>
          <w:ilvl w:val="0"/>
          <w:numId w:val="13"/>
        </w:numPr>
        <w:spacing w:after="0" w:line="240" w:lineRule="auto"/>
        <w:rPr>
          <w:rFonts w:cstheme="minorHAnsi"/>
          <w:b/>
          <w:sz w:val="18"/>
          <w:szCs w:val="18"/>
        </w:rPr>
      </w:pPr>
      <w:r w:rsidRPr="000A3694">
        <w:rPr>
          <w:rFonts w:cstheme="minorHAnsi"/>
          <w:b/>
          <w:sz w:val="18"/>
          <w:szCs w:val="18"/>
        </w:rPr>
        <w:t>Promote awareness of the contributions of persons with disabilities</w:t>
      </w:r>
    </w:p>
    <w:p w14:paraId="5D050D47" w14:textId="77777777" w:rsidR="000A3694" w:rsidRPr="000A3694" w:rsidRDefault="000A3694" w:rsidP="000A3694">
      <w:pPr>
        <w:pStyle w:val="ListParagraph"/>
        <w:spacing w:after="0" w:line="240" w:lineRule="auto"/>
        <w:rPr>
          <w:rFonts w:cstheme="minorHAnsi"/>
          <w:b/>
          <w:sz w:val="18"/>
          <w:szCs w:val="18"/>
        </w:rPr>
      </w:pPr>
    </w:p>
    <w:p w14:paraId="1429ECF6" w14:textId="5BDE3AF5" w:rsidR="000A3694" w:rsidRPr="005F460C" w:rsidRDefault="000A3694" w:rsidP="00981308">
      <w:pPr>
        <w:pStyle w:val="Heading2"/>
      </w:pPr>
      <w:r w:rsidRPr="005F460C">
        <w:t>Structure</w:t>
      </w:r>
      <w:r w:rsidR="00291A44">
        <w:t xml:space="preserve"> </w:t>
      </w:r>
      <w:r w:rsidR="00291A44" w:rsidRPr="001C26EF">
        <w:rPr>
          <w:rFonts w:cs="Arial"/>
        </w:rPr>
        <w:t>Indicators</w:t>
      </w:r>
    </w:p>
    <w:p w14:paraId="27744A72" w14:textId="77777777" w:rsidR="000A3694" w:rsidRPr="005F460C" w:rsidRDefault="000A3694" w:rsidP="00220976">
      <w:pPr>
        <w:spacing w:after="0" w:line="240" w:lineRule="auto"/>
        <w:jc w:val="both"/>
        <w:rPr>
          <w:rFonts w:eastAsia="Times New Roman" w:cstheme="minorHAnsi"/>
          <w:color w:val="212121"/>
          <w:sz w:val="18"/>
          <w:szCs w:val="18"/>
          <w:lang w:eastAsia="en-GB"/>
        </w:rPr>
      </w:pPr>
      <w:r w:rsidRPr="005F460C">
        <w:rPr>
          <w:rFonts w:eastAsia="Times New Roman" w:cstheme="minorHAnsi"/>
          <w:color w:val="212121"/>
          <w:sz w:val="18"/>
          <w:szCs w:val="18"/>
          <w:lang w:eastAsia="en-GB"/>
        </w:rPr>
        <w:t>8.1 No provision in legislation and policies that perpetuates stigma and discrimination against persons with disabilities.</w:t>
      </w:r>
      <w:r w:rsidRPr="005F460C">
        <w:rPr>
          <w:rStyle w:val="EndnoteReference"/>
          <w:rFonts w:eastAsia="Times New Roman" w:cstheme="minorHAnsi"/>
          <w:color w:val="212121"/>
          <w:sz w:val="18"/>
          <w:szCs w:val="18"/>
          <w:lang w:eastAsia="en-GB"/>
        </w:rPr>
        <w:endnoteReference w:id="1"/>
      </w:r>
    </w:p>
    <w:p w14:paraId="3358D048" w14:textId="77777777" w:rsidR="000A3694" w:rsidRPr="005F460C" w:rsidRDefault="000A3694" w:rsidP="00220976">
      <w:pPr>
        <w:spacing w:after="0" w:line="240" w:lineRule="auto"/>
        <w:jc w:val="both"/>
        <w:rPr>
          <w:rFonts w:eastAsia="Times New Roman" w:cstheme="minorHAnsi"/>
          <w:color w:val="212121"/>
          <w:sz w:val="18"/>
          <w:szCs w:val="18"/>
          <w:lang w:eastAsia="en-GB"/>
        </w:rPr>
      </w:pPr>
      <w:r>
        <w:rPr>
          <w:rFonts w:eastAsia="Times New Roman" w:cstheme="minorHAnsi"/>
          <w:color w:val="212121"/>
          <w:sz w:val="18"/>
          <w:szCs w:val="18"/>
          <w:lang w:eastAsia="en-GB"/>
        </w:rPr>
        <w:t>8.2</w:t>
      </w:r>
      <w:r w:rsidRPr="005F460C">
        <w:rPr>
          <w:rFonts w:eastAsia="Times New Roman" w:cstheme="minorHAnsi"/>
          <w:color w:val="212121"/>
          <w:sz w:val="18"/>
          <w:szCs w:val="18"/>
          <w:lang w:eastAsia="en-GB"/>
        </w:rPr>
        <w:t xml:space="preserve"> Existence of comprehensive national disability awareness raising strategy and/or plan aimed at combating stereotypes against persons with disabilities and promoting awareness about persons with disabilities and their rights.</w:t>
      </w:r>
      <w:r w:rsidRPr="005F460C">
        <w:rPr>
          <w:rStyle w:val="EndnoteReference"/>
          <w:rFonts w:eastAsia="Times New Roman" w:cstheme="minorHAnsi"/>
          <w:color w:val="212121"/>
          <w:sz w:val="18"/>
          <w:szCs w:val="18"/>
          <w:lang w:eastAsia="en-GB"/>
        </w:rPr>
        <w:endnoteReference w:id="2"/>
      </w:r>
    </w:p>
    <w:p w14:paraId="713B1DF7" w14:textId="77777777" w:rsidR="000A3694" w:rsidRPr="005F460C" w:rsidRDefault="000A3694" w:rsidP="00220976">
      <w:pPr>
        <w:pStyle w:val="xmsonormal"/>
        <w:shd w:val="clear" w:color="auto" w:fill="FFFFFF"/>
        <w:spacing w:before="0" w:beforeAutospacing="0" w:after="0" w:afterAutospacing="0"/>
        <w:jc w:val="both"/>
        <w:rPr>
          <w:rFonts w:asciiTheme="minorHAnsi" w:hAnsiTheme="minorHAnsi" w:cstheme="minorHAnsi"/>
          <w:color w:val="212121"/>
          <w:sz w:val="18"/>
          <w:szCs w:val="18"/>
        </w:rPr>
      </w:pPr>
      <w:r>
        <w:rPr>
          <w:rFonts w:asciiTheme="minorHAnsi" w:hAnsiTheme="minorHAnsi" w:cstheme="minorHAnsi"/>
          <w:color w:val="212121"/>
          <w:sz w:val="18"/>
          <w:szCs w:val="18"/>
        </w:rPr>
        <w:t>8.3</w:t>
      </w:r>
      <w:r w:rsidRPr="005F460C">
        <w:rPr>
          <w:rFonts w:asciiTheme="minorHAnsi" w:hAnsiTheme="minorHAnsi" w:cstheme="minorHAnsi"/>
          <w:color w:val="212121"/>
          <w:sz w:val="18"/>
          <w:szCs w:val="18"/>
        </w:rPr>
        <w:t xml:space="preserve"> Specific plan by media regulatory authorities to encourage the adoption by mass media and media outlets of:</w:t>
      </w:r>
    </w:p>
    <w:p w14:paraId="03F97556" w14:textId="77777777" w:rsidR="000A3694" w:rsidRPr="005F460C" w:rsidRDefault="000A3694"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sidRPr="005F460C">
        <w:rPr>
          <w:rFonts w:asciiTheme="minorHAnsi" w:hAnsiTheme="minorHAnsi" w:cstheme="minorHAnsi"/>
          <w:color w:val="212121"/>
          <w:sz w:val="18"/>
          <w:szCs w:val="18"/>
        </w:rPr>
        <w:t>Inclusive and accessible guidelines for the workplace and human resource procedures to welcome diversity;</w:t>
      </w:r>
    </w:p>
    <w:p w14:paraId="1417073D" w14:textId="77777777" w:rsidR="000A3694" w:rsidRPr="005F460C" w:rsidRDefault="000A3694"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sidRPr="005F460C">
        <w:rPr>
          <w:rFonts w:asciiTheme="minorHAnsi" w:hAnsiTheme="minorHAnsi" w:cstheme="minorHAnsi"/>
          <w:color w:val="212121"/>
          <w:sz w:val="18"/>
          <w:szCs w:val="18"/>
        </w:rPr>
        <w:t>Guidelines for journalists on reporting on persons with disabilities.</w:t>
      </w:r>
      <w:r w:rsidRPr="005F460C">
        <w:rPr>
          <w:rStyle w:val="EndnoteReference"/>
          <w:rFonts w:asciiTheme="minorHAnsi" w:hAnsiTheme="minorHAnsi" w:cstheme="minorHAnsi"/>
          <w:color w:val="212121"/>
          <w:sz w:val="18"/>
          <w:szCs w:val="18"/>
        </w:rPr>
        <w:endnoteReference w:id="3"/>
      </w:r>
    </w:p>
    <w:p w14:paraId="2E3E0466" w14:textId="2BF7E488" w:rsidR="000A3694" w:rsidRPr="000A3694" w:rsidRDefault="000A3694" w:rsidP="00220976">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sidRPr="005F460C">
        <w:rPr>
          <w:rFonts w:asciiTheme="minorHAnsi" w:hAnsiTheme="minorHAnsi" w:cstheme="minorHAnsi"/>
          <w:color w:val="212121"/>
          <w:sz w:val="18"/>
          <w:szCs w:val="18"/>
        </w:rPr>
        <w:t>Mechanisms for consultation with persons with disabilities, notably thro</w:t>
      </w:r>
      <w:r>
        <w:rPr>
          <w:rFonts w:asciiTheme="minorHAnsi" w:hAnsiTheme="minorHAnsi" w:cstheme="minorHAnsi"/>
          <w:color w:val="212121"/>
          <w:sz w:val="18"/>
          <w:szCs w:val="18"/>
        </w:rPr>
        <w:t>ugh their representative organiz</w:t>
      </w:r>
      <w:r w:rsidRPr="005F460C">
        <w:rPr>
          <w:rFonts w:asciiTheme="minorHAnsi" w:hAnsiTheme="minorHAnsi" w:cstheme="minorHAnsi"/>
          <w:color w:val="212121"/>
          <w:sz w:val="18"/>
          <w:szCs w:val="18"/>
        </w:rPr>
        <w:t>ations, in the design</w:t>
      </w:r>
      <w:r>
        <w:rPr>
          <w:rFonts w:asciiTheme="minorHAnsi" w:hAnsiTheme="minorHAnsi" w:cstheme="minorHAnsi"/>
          <w:color w:val="212121"/>
          <w:sz w:val="18"/>
          <w:szCs w:val="18"/>
        </w:rPr>
        <w:t xml:space="preserve">, </w:t>
      </w:r>
      <w:r w:rsidRPr="005F460C">
        <w:rPr>
          <w:rFonts w:asciiTheme="minorHAnsi" w:hAnsiTheme="minorHAnsi" w:cstheme="minorHAnsi"/>
          <w:color w:val="212121"/>
          <w:sz w:val="18"/>
          <w:szCs w:val="18"/>
        </w:rPr>
        <w:t>development</w:t>
      </w:r>
      <w:r>
        <w:rPr>
          <w:rFonts w:asciiTheme="minorHAnsi" w:hAnsiTheme="minorHAnsi" w:cstheme="minorHAnsi"/>
          <w:color w:val="212121"/>
          <w:sz w:val="18"/>
          <w:szCs w:val="18"/>
        </w:rPr>
        <w:t xml:space="preserve"> and monitoring</w:t>
      </w:r>
      <w:r w:rsidRPr="005F460C">
        <w:rPr>
          <w:rFonts w:asciiTheme="minorHAnsi" w:hAnsiTheme="minorHAnsi" w:cstheme="minorHAnsi"/>
          <w:color w:val="212121"/>
          <w:sz w:val="18"/>
          <w:szCs w:val="18"/>
        </w:rPr>
        <w:t xml:space="preserve"> of their policies</w:t>
      </w:r>
      <w:r>
        <w:rPr>
          <w:rFonts w:asciiTheme="minorHAnsi" w:hAnsiTheme="minorHAnsi" w:cstheme="minorHAnsi"/>
          <w:color w:val="212121"/>
          <w:sz w:val="18"/>
          <w:szCs w:val="18"/>
        </w:rPr>
        <w:t xml:space="preserve"> and practices</w:t>
      </w:r>
      <w:r w:rsidRPr="005F460C">
        <w:rPr>
          <w:rFonts w:asciiTheme="minorHAnsi" w:hAnsiTheme="minorHAnsi" w:cstheme="minorHAnsi"/>
          <w:color w:val="212121"/>
          <w:sz w:val="18"/>
          <w:szCs w:val="18"/>
        </w:rPr>
        <w:t>.</w:t>
      </w:r>
    </w:p>
    <w:p w14:paraId="1C3B8596" w14:textId="77777777" w:rsidR="000A3694" w:rsidRPr="005F460C" w:rsidRDefault="000A3694" w:rsidP="00BB271F">
      <w:pPr>
        <w:pStyle w:val="xmsonormal"/>
        <w:shd w:val="clear" w:color="auto" w:fill="FFFFFF"/>
        <w:spacing w:before="0" w:beforeAutospacing="0" w:after="0" w:afterAutospacing="0"/>
        <w:jc w:val="both"/>
        <w:rPr>
          <w:rFonts w:asciiTheme="minorHAnsi" w:hAnsiTheme="minorHAnsi" w:cstheme="minorHAnsi"/>
          <w:sz w:val="18"/>
          <w:szCs w:val="18"/>
        </w:rPr>
      </w:pPr>
      <w:r w:rsidRPr="005F460C">
        <w:rPr>
          <w:rFonts w:asciiTheme="minorHAnsi" w:hAnsiTheme="minorHAnsi" w:cstheme="minorHAnsi"/>
          <w:sz w:val="18"/>
          <w:szCs w:val="18"/>
        </w:rPr>
        <w:t>8.</w:t>
      </w:r>
      <w:r>
        <w:rPr>
          <w:rFonts w:asciiTheme="minorHAnsi" w:hAnsiTheme="minorHAnsi" w:cstheme="minorHAnsi"/>
          <w:sz w:val="18"/>
          <w:szCs w:val="18"/>
        </w:rPr>
        <w:t>4</w:t>
      </w:r>
      <w:r w:rsidRPr="005F460C">
        <w:rPr>
          <w:rFonts w:asciiTheme="minorHAnsi" w:hAnsiTheme="minorHAnsi" w:cstheme="minorHAnsi"/>
          <w:sz w:val="18"/>
          <w:szCs w:val="18"/>
        </w:rPr>
        <w:t xml:space="preserve"> Enactment of legal measures that address hate crimes, hate speech and harmful practices</w:t>
      </w:r>
      <w:r w:rsidRPr="005F460C">
        <w:rPr>
          <w:rStyle w:val="EndnoteReference"/>
          <w:rFonts w:asciiTheme="minorHAnsi" w:hAnsiTheme="minorHAnsi" w:cstheme="minorHAnsi"/>
          <w:sz w:val="18"/>
          <w:szCs w:val="18"/>
        </w:rPr>
        <w:endnoteReference w:id="4"/>
      </w:r>
      <w:r w:rsidRPr="005F460C">
        <w:rPr>
          <w:rFonts w:asciiTheme="minorHAnsi" w:hAnsiTheme="minorHAnsi" w:cstheme="minorHAnsi"/>
          <w:sz w:val="18"/>
          <w:szCs w:val="18"/>
        </w:rPr>
        <w:t xml:space="preserve"> against persons with disabilities</w:t>
      </w:r>
      <w:r>
        <w:rPr>
          <w:rFonts w:asciiTheme="minorHAnsi" w:hAnsiTheme="minorHAnsi" w:cstheme="minorHAnsi"/>
          <w:sz w:val="18"/>
          <w:szCs w:val="18"/>
        </w:rPr>
        <w:t>, including</w:t>
      </w:r>
      <w:r w:rsidRPr="005F460C">
        <w:rPr>
          <w:rFonts w:asciiTheme="minorHAnsi" w:hAnsiTheme="minorHAnsi" w:cstheme="minorHAnsi"/>
          <w:sz w:val="18"/>
          <w:szCs w:val="18"/>
        </w:rPr>
        <w:t xml:space="preserve"> through criminally enforceable sanctions.</w:t>
      </w:r>
      <w:r w:rsidRPr="005F460C">
        <w:rPr>
          <w:rStyle w:val="EndnoteReference"/>
          <w:rFonts w:asciiTheme="minorHAnsi" w:hAnsiTheme="minorHAnsi" w:cstheme="minorHAnsi"/>
          <w:sz w:val="18"/>
          <w:szCs w:val="18"/>
        </w:rPr>
        <w:endnoteReference w:id="5"/>
      </w:r>
    </w:p>
    <w:p w14:paraId="32809EBD" w14:textId="77777777" w:rsidR="000A3694" w:rsidRPr="005F460C" w:rsidRDefault="000A3694" w:rsidP="00BB271F">
      <w:pPr>
        <w:spacing w:after="0" w:line="240" w:lineRule="auto"/>
        <w:jc w:val="both"/>
        <w:rPr>
          <w:rFonts w:cstheme="minorHAnsi"/>
          <w:sz w:val="18"/>
          <w:szCs w:val="18"/>
        </w:rPr>
      </w:pPr>
      <w:r w:rsidRPr="005F460C">
        <w:rPr>
          <w:rFonts w:cstheme="minorHAnsi"/>
          <w:sz w:val="18"/>
          <w:szCs w:val="18"/>
        </w:rPr>
        <w:t>8.</w:t>
      </w:r>
      <w:r>
        <w:rPr>
          <w:rFonts w:cstheme="minorHAnsi"/>
          <w:sz w:val="18"/>
          <w:szCs w:val="18"/>
        </w:rPr>
        <w:t>5</w:t>
      </w:r>
      <w:r w:rsidRPr="005F460C">
        <w:rPr>
          <w:rFonts w:cstheme="minorHAnsi"/>
          <w:sz w:val="18"/>
          <w:szCs w:val="18"/>
        </w:rPr>
        <w:t xml:space="preserve"> Enactment of legal measures that address the use of derogatory language and behaviour through proportionate sanctions. </w:t>
      </w:r>
    </w:p>
    <w:p w14:paraId="0B568AEF" w14:textId="6006EF8D" w:rsidR="000A3694" w:rsidRDefault="000A3694" w:rsidP="00DF1BDB">
      <w:pPr>
        <w:spacing w:after="0" w:line="240" w:lineRule="auto"/>
        <w:jc w:val="both"/>
        <w:rPr>
          <w:rStyle w:val="EndnoteReference"/>
          <w:rFonts w:cstheme="minorHAnsi"/>
          <w:sz w:val="18"/>
          <w:szCs w:val="18"/>
        </w:rPr>
      </w:pPr>
      <w:r>
        <w:rPr>
          <w:rFonts w:cstheme="minorHAnsi"/>
          <w:sz w:val="18"/>
          <w:szCs w:val="18"/>
        </w:rPr>
        <w:t xml:space="preserve">8.6 </w:t>
      </w:r>
      <w:r w:rsidRPr="005F460C">
        <w:rPr>
          <w:rFonts w:cstheme="minorHAnsi"/>
          <w:sz w:val="18"/>
          <w:szCs w:val="18"/>
        </w:rPr>
        <w:t xml:space="preserve">Human rights education and training programmes include </w:t>
      </w:r>
      <w:r>
        <w:rPr>
          <w:rFonts w:cstheme="minorHAnsi"/>
          <w:sz w:val="18"/>
          <w:szCs w:val="18"/>
        </w:rPr>
        <w:t xml:space="preserve">the </w:t>
      </w:r>
      <w:r w:rsidRPr="005F460C">
        <w:rPr>
          <w:rFonts w:cstheme="minorHAnsi"/>
          <w:sz w:val="18"/>
          <w:szCs w:val="18"/>
        </w:rPr>
        <w:t>rights of persons with disabilities and involve organizations of persons with disabilities</w:t>
      </w:r>
      <w:r>
        <w:rPr>
          <w:rFonts w:cstheme="minorHAnsi"/>
          <w:sz w:val="18"/>
          <w:szCs w:val="18"/>
        </w:rPr>
        <w:t xml:space="preserve"> representative of diverse constituencies</w:t>
      </w:r>
      <w:r w:rsidRPr="005F460C">
        <w:rPr>
          <w:rFonts w:cstheme="minorHAnsi"/>
          <w:sz w:val="18"/>
          <w:szCs w:val="18"/>
        </w:rPr>
        <w:t>.</w:t>
      </w:r>
      <w:r w:rsidRPr="005F460C">
        <w:rPr>
          <w:rStyle w:val="EndnoteReference"/>
          <w:rFonts w:cstheme="minorHAnsi"/>
          <w:sz w:val="18"/>
          <w:szCs w:val="18"/>
        </w:rPr>
        <w:t xml:space="preserve"> </w:t>
      </w:r>
      <w:r w:rsidRPr="005F460C">
        <w:rPr>
          <w:rStyle w:val="EndnoteReference"/>
          <w:rFonts w:cstheme="minorHAnsi"/>
          <w:sz w:val="18"/>
          <w:szCs w:val="18"/>
        </w:rPr>
        <w:endnoteReference w:id="6"/>
      </w:r>
    </w:p>
    <w:p w14:paraId="0520CC44" w14:textId="77777777" w:rsidR="000A3694" w:rsidRPr="005F460C" w:rsidRDefault="000A3694" w:rsidP="00DF1BDB">
      <w:pPr>
        <w:spacing w:after="0" w:line="240" w:lineRule="auto"/>
        <w:jc w:val="both"/>
        <w:rPr>
          <w:rFonts w:cstheme="minorHAnsi"/>
          <w:sz w:val="18"/>
          <w:szCs w:val="18"/>
        </w:rPr>
      </w:pPr>
    </w:p>
    <w:p w14:paraId="121CB73D" w14:textId="51127C2C" w:rsidR="000A3694" w:rsidRPr="005F460C" w:rsidRDefault="000A3694" w:rsidP="00981308">
      <w:pPr>
        <w:pStyle w:val="Heading2"/>
      </w:pPr>
      <w:r w:rsidRPr="005F460C">
        <w:t>Process</w:t>
      </w:r>
      <w:r w:rsidR="00291A44">
        <w:t xml:space="preserve"> </w:t>
      </w:r>
      <w:r w:rsidR="00291A44" w:rsidRPr="001C26EF">
        <w:t>Indicators</w:t>
      </w:r>
    </w:p>
    <w:p w14:paraId="72AE4C6A" w14:textId="77777777" w:rsidR="000A3694" w:rsidRPr="005F460C" w:rsidRDefault="000A3694" w:rsidP="00220976">
      <w:pPr>
        <w:spacing w:after="0" w:line="240" w:lineRule="auto"/>
        <w:jc w:val="both"/>
        <w:rPr>
          <w:rFonts w:cstheme="minorHAnsi"/>
          <w:sz w:val="18"/>
          <w:szCs w:val="18"/>
        </w:rPr>
      </w:pPr>
      <w:r w:rsidRPr="005F460C">
        <w:rPr>
          <w:rFonts w:cstheme="minorHAnsi"/>
          <w:sz w:val="18"/>
          <w:szCs w:val="18"/>
        </w:rPr>
        <w:t>8.</w:t>
      </w:r>
      <w:r>
        <w:rPr>
          <w:rFonts w:cstheme="minorHAnsi"/>
          <w:sz w:val="18"/>
          <w:szCs w:val="18"/>
        </w:rPr>
        <w:t>7</w:t>
      </w:r>
      <w:r w:rsidRPr="005F460C">
        <w:rPr>
          <w:rFonts w:cstheme="minorHAnsi"/>
          <w:sz w:val="18"/>
          <w:szCs w:val="18"/>
        </w:rPr>
        <w:t xml:space="preserve"> Number and type of multimedia awareness-raising activities about the rights of persons with disabilities and their contributions, disaggregated by type, duration and target group.</w:t>
      </w:r>
      <w:r w:rsidRPr="005F460C">
        <w:rPr>
          <w:rStyle w:val="EndnoteReference"/>
          <w:rFonts w:cstheme="minorHAnsi"/>
          <w:sz w:val="18"/>
          <w:szCs w:val="18"/>
        </w:rPr>
        <w:endnoteReference w:id="7"/>
      </w:r>
    </w:p>
    <w:p w14:paraId="23B6739F" w14:textId="77777777" w:rsidR="000A3694" w:rsidRPr="005F460C" w:rsidRDefault="000A3694" w:rsidP="00220976">
      <w:pPr>
        <w:spacing w:after="0" w:line="240" w:lineRule="auto"/>
        <w:jc w:val="both"/>
        <w:rPr>
          <w:rFonts w:cstheme="minorHAnsi"/>
          <w:sz w:val="18"/>
          <w:szCs w:val="18"/>
        </w:rPr>
      </w:pPr>
      <w:r w:rsidRPr="005F460C">
        <w:rPr>
          <w:rFonts w:cstheme="minorHAnsi"/>
          <w:sz w:val="18"/>
          <w:szCs w:val="18"/>
        </w:rPr>
        <w:t>8.</w:t>
      </w:r>
      <w:r>
        <w:rPr>
          <w:rFonts w:cstheme="minorHAnsi"/>
          <w:sz w:val="18"/>
          <w:szCs w:val="18"/>
        </w:rPr>
        <w:t>8</w:t>
      </w:r>
      <w:r w:rsidRPr="005F460C">
        <w:rPr>
          <w:rFonts w:cstheme="minorHAnsi"/>
          <w:sz w:val="18"/>
          <w:szCs w:val="18"/>
        </w:rPr>
        <w:t xml:space="preserve"> Number and type of accessible and inclusive outreach activities targeting persons with disabilities</w:t>
      </w:r>
      <w:r w:rsidRPr="005F460C">
        <w:rPr>
          <w:rStyle w:val="EndnoteReference"/>
          <w:rFonts w:cstheme="minorHAnsi"/>
          <w:sz w:val="18"/>
          <w:szCs w:val="18"/>
        </w:rPr>
        <w:endnoteReference w:id="8"/>
      </w:r>
      <w:r w:rsidRPr="005F460C">
        <w:rPr>
          <w:rFonts w:cstheme="minorHAnsi"/>
          <w:sz w:val="18"/>
          <w:szCs w:val="18"/>
        </w:rPr>
        <w:t xml:space="preserve"> and informing them of their rights under the CRPD, the Optional Protocol, and national legal framework, disaggregated by type and geographical coverage of activities</w:t>
      </w:r>
    </w:p>
    <w:p w14:paraId="297E7102" w14:textId="77777777" w:rsidR="000A3694" w:rsidRPr="005F460C" w:rsidRDefault="000A3694" w:rsidP="00220976">
      <w:pPr>
        <w:spacing w:after="0" w:line="240" w:lineRule="auto"/>
        <w:jc w:val="both"/>
        <w:rPr>
          <w:rFonts w:cstheme="minorHAnsi"/>
          <w:sz w:val="18"/>
          <w:szCs w:val="18"/>
        </w:rPr>
      </w:pPr>
      <w:r>
        <w:rPr>
          <w:rFonts w:cstheme="minorHAnsi"/>
          <w:sz w:val="18"/>
          <w:szCs w:val="18"/>
        </w:rPr>
        <w:t>8.9</w:t>
      </w:r>
      <w:r w:rsidRPr="005F460C">
        <w:rPr>
          <w:rFonts w:cstheme="minorHAnsi"/>
          <w:sz w:val="18"/>
          <w:szCs w:val="18"/>
        </w:rPr>
        <w:t xml:space="preserve"> Number of persons trained under State-run awareness-r</w:t>
      </w:r>
      <w:r>
        <w:rPr>
          <w:rFonts w:cstheme="minorHAnsi"/>
          <w:sz w:val="18"/>
          <w:szCs w:val="18"/>
        </w:rPr>
        <w:t>a</w:t>
      </w:r>
      <w:r w:rsidRPr="005F460C">
        <w:rPr>
          <w:rFonts w:cstheme="minorHAnsi"/>
          <w:sz w:val="18"/>
          <w:szCs w:val="18"/>
        </w:rPr>
        <w:t>ising program</w:t>
      </w:r>
      <w:r>
        <w:rPr>
          <w:rFonts w:cstheme="minorHAnsi"/>
          <w:sz w:val="18"/>
          <w:szCs w:val="18"/>
        </w:rPr>
        <w:t>me</w:t>
      </w:r>
      <w:r w:rsidRPr="005F460C">
        <w:rPr>
          <w:rFonts w:cstheme="minorHAnsi"/>
          <w:sz w:val="18"/>
          <w:szCs w:val="18"/>
        </w:rPr>
        <w:t>s for different actors</w:t>
      </w:r>
      <w:r w:rsidRPr="005F460C">
        <w:rPr>
          <w:rStyle w:val="EndnoteReference"/>
          <w:rFonts w:cstheme="minorHAnsi"/>
          <w:sz w:val="18"/>
          <w:szCs w:val="18"/>
        </w:rPr>
        <w:endnoteReference w:id="9"/>
      </w:r>
      <w:r w:rsidRPr="005F460C">
        <w:rPr>
          <w:rFonts w:cstheme="minorHAnsi"/>
          <w:sz w:val="18"/>
          <w:szCs w:val="18"/>
        </w:rPr>
        <w:t xml:space="preserve"> to foster respect for</w:t>
      </w:r>
      <w:r>
        <w:rPr>
          <w:rFonts w:cstheme="minorHAnsi"/>
          <w:sz w:val="18"/>
          <w:szCs w:val="18"/>
        </w:rPr>
        <w:t>,</w:t>
      </w:r>
      <w:r w:rsidRPr="005F460C">
        <w:rPr>
          <w:rFonts w:cstheme="minorHAnsi"/>
          <w:sz w:val="18"/>
          <w:szCs w:val="18"/>
        </w:rPr>
        <w:t xml:space="preserve"> and inform them of the righ</w:t>
      </w:r>
      <w:r>
        <w:rPr>
          <w:rFonts w:cstheme="minorHAnsi"/>
          <w:sz w:val="18"/>
          <w:szCs w:val="18"/>
        </w:rPr>
        <w:t>ts of persons with disabilities, including on c</w:t>
      </w:r>
      <w:r w:rsidRPr="00C9536F">
        <w:rPr>
          <w:rFonts w:cstheme="minorHAnsi"/>
          <w:sz w:val="18"/>
          <w:szCs w:val="18"/>
        </w:rPr>
        <w:t>ombat</w:t>
      </w:r>
      <w:r>
        <w:rPr>
          <w:rFonts w:cstheme="minorHAnsi"/>
          <w:sz w:val="18"/>
          <w:szCs w:val="18"/>
        </w:rPr>
        <w:t>ting</w:t>
      </w:r>
      <w:r w:rsidRPr="00C9536F">
        <w:rPr>
          <w:rFonts w:cstheme="minorHAnsi"/>
          <w:sz w:val="18"/>
          <w:szCs w:val="18"/>
        </w:rPr>
        <w:t xml:space="preserve"> stereotypes, prejudices and harmful practices</w:t>
      </w:r>
      <w:r>
        <w:rPr>
          <w:rFonts w:cstheme="minorHAnsi"/>
          <w:sz w:val="18"/>
          <w:szCs w:val="18"/>
        </w:rPr>
        <w:t>.</w:t>
      </w:r>
      <w:r w:rsidRPr="005F460C">
        <w:rPr>
          <w:rFonts w:cstheme="minorHAnsi"/>
          <w:sz w:val="18"/>
          <w:szCs w:val="18"/>
        </w:rPr>
        <w:t xml:space="preserve"> </w:t>
      </w:r>
    </w:p>
    <w:p w14:paraId="72C20FD2" w14:textId="77777777" w:rsidR="000A3694" w:rsidRPr="005F460C" w:rsidRDefault="000A3694" w:rsidP="00220976">
      <w:pPr>
        <w:spacing w:after="0" w:line="240" w:lineRule="auto"/>
        <w:rPr>
          <w:rFonts w:eastAsia="Times New Roman" w:cstheme="minorHAnsi"/>
          <w:sz w:val="18"/>
          <w:szCs w:val="18"/>
          <w:lang w:eastAsia="en-GB"/>
        </w:rPr>
      </w:pPr>
      <w:r>
        <w:rPr>
          <w:rFonts w:cstheme="minorHAnsi"/>
          <w:sz w:val="18"/>
          <w:szCs w:val="18"/>
        </w:rPr>
        <w:t>8.10</w:t>
      </w:r>
      <w:r w:rsidRPr="005F460C">
        <w:rPr>
          <w:rFonts w:cstheme="minorHAnsi"/>
          <w:sz w:val="18"/>
          <w:szCs w:val="18"/>
        </w:rPr>
        <w:t xml:space="preserve"> </w:t>
      </w:r>
      <w:r w:rsidRPr="005F460C">
        <w:rPr>
          <w:rFonts w:eastAsia="Times New Roman" w:cstheme="minorHAnsi"/>
          <w:sz w:val="18"/>
          <w:szCs w:val="18"/>
          <w:lang w:eastAsia="en-GB"/>
        </w:rPr>
        <w:t>Existence of content specifically addressing the inclusion of persons with disabilities</w:t>
      </w:r>
      <w:r>
        <w:rPr>
          <w:rFonts w:eastAsia="Times New Roman" w:cstheme="minorHAnsi"/>
          <w:sz w:val="18"/>
          <w:szCs w:val="18"/>
          <w:lang w:eastAsia="en-GB"/>
        </w:rPr>
        <w:t xml:space="preserve"> and respect for their human rights as guaranteed under the CPRD,</w:t>
      </w:r>
      <w:r w:rsidRPr="005F460C">
        <w:rPr>
          <w:rFonts w:eastAsia="Times New Roman" w:cstheme="minorHAnsi"/>
          <w:sz w:val="18"/>
          <w:szCs w:val="18"/>
          <w:lang w:eastAsia="en-GB"/>
        </w:rPr>
        <w:t xml:space="preserve"> and the existence of gender mainstreaming</w:t>
      </w:r>
      <w:r w:rsidRPr="005F460C">
        <w:rPr>
          <w:rStyle w:val="EndnoteReference"/>
          <w:rFonts w:eastAsia="Times New Roman" w:cstheme="minorHAnsi"/>
          <w:sz w:val="18"/>
          <w:szCs w:val="18"/>
          <w:lang w:eastAsia="en-GB"/>
        </w:rPr>
        <w:endnoteReference w:id="10"/>
      </w:r>
      <w:r w:rsidRPr="005F460C">
        <w:rPr>
          <w:rFonts w:eastAsia="Times New Roman" w:cstheme="minorHAnsi"/>
          <w:sz w:val="18"/>
          <w:szCs w:val="18"/>
          <w:lang w:eastAsia="en-GB"/>
        </w:rPr>
        <w:t xml:space="preserve"> in the curricula of schools and universities of journalism/communication industry.</w:t>
      </w:r>
    </w:p>
    <w:p w14:paraId="19E5F10A" w14:textId="77777777" w:rsidR="000A3694" w:rsidRPr="005F460C" w:rsidRDefault="000A3694" w:rsidP="00220976">
      <w:pPr>
        <w:spacing w:after="0" w:line="240" w:lineRule="auto"/>
        <w:jc w:val="both"/>
        <w:rPr>
          <w:rFonts w:cstheme="minorHAnsi"/>
          <w:sz w:val="18"/>
          <w:szCs w:val="18"/>
        </w:rPr>
      </w:pPr>
      <w:r w:rsidRPr="005F460C">
        <w:rPr>
          <w:rFonts w:eastAsia="Times New Roman" w:cstheme="minorHAnsi"/>
          <w:sz w:val="18"/>
          <w:szCs w:val="18"/>
          <w:lang w:eastAsia="en-GB"/>
        </w:rPr>
        <w:t>8</w:t>
      </w:r>
      <w:r>
        <w:rPr>
          <w:rFonts w:eastAsia="Times New Roman" w:cstheme="minorHAnsi"/>
          <w:sz w:val="18"/>
          <w:szCs w:val="18"/>
          <w:lang w:eastAsia="en-GB"/>
        </w:rPr>
        <w:t>.11</w:t>
      </w:r>
      <w:r w:rsidRPr="005F460C">
        <w:rPr>
          <w:rFonts w:eastAsia="Times New Roman" w:cstheme="minorHAnsi"/>
          <w:sz w:val="18"/>
          <w:szCs w:val="18"/>
          <w:lang w:eastAsia="en-GB"/>
        </w:rPr>
        <w:t xml:space="preserve"> Number and proportion </w:t>
      </w:r>
      <w:r>
        <w:rPr>
          <w:rFonts w:eastAsia="Times New Roman" w:cstheme="minorHAnsi"/>
          <w:sz w:val="18"/>
          <w:szCs w:val="18"/>
          <w:lang w:eastAsia="en-GB"/>
        </w:rPr>
        <w:t xml:space="preserve">of </w:t>
      </w:r>
      <w:r w:rsidRPr="005F460C">
        <w:rPr>
          <w:rFonts w:eastAsia="Times New Roman" w:cstheme="minorHAnsi"/>
          <w:sz w:val="18"/>
          <w:szCs w:val="18"/>
          <w:lang w:eastAsia="en-GB"/>
        </w:rPr>
        <w:t>public and private media companies that have adopted written policies, such as the code of ethics on reporting, addressing persons with disabilities.</w:t>
      </w:r>
    </w:p>
    <w:p w14:paraId="255CC8F4" w14:textId="77777777" w:rsidR="000A3694" w:rsidRPr="005F460C" w:rsidRDefault="000A3694" w:rsidP="00220976">
      <w:pPr>
        <w:spacing w:after="0" w:line="240" w:lineRule="auto"/>
        <w:rPr>
          <w:rFonts w:cstheme="minorHAnsi"/>
          <w:sz w:val="18"/>
          <w:szCs w:val="18"/>
          <w:lang w:eastAsia="en-GB"/>
        </w:rPr>
      </w:pPr>
      <w:r w:rsidRPr="005F460C">
        <w:rPr>
          <w:rFonts w:cstheme="minorHAnsi"/>
          <w:sz w:val="18"/>
          <w:szCs w:val="18"/>
        </w:rPr>
        <w:t>8.</w:t>
      </w:r>
      <w:r>
        <w:rPr>
          <w:rFonts w:cstheme="minorHAnsi"/>
          <w:sz w:val="18"/>
          <w:szCs w:val="18"/>
        </w:rPr>
        <w:t>12</w:t>
      </w:r>
      <w:r w:rsidRPr="005F460C">
        <w:rPr>
          <w:rFonts w:cstheme="minorHAnsi"/>
          <w:sz w:val="18"/>
          <w:szCs w:val="18"/>
        </w:rPr>
        <w:t xml:space="preserve"> Consultation processes undertaken to ensure active involvement of persons with disabilities, </w:t>
      </w:r>
      <w:r w:rsidRPr="005F460C">
        <w:rPr>
          <w:rFonts w:cstheme="minorHAnsi"/>
          <w:b/>
          <w:color w:val="444444"/>
          <w:sz w:val="18"/>
          <w:szCs w:val="18"/>
        </w:rPr>
        <w:t>including</w:t>
      </w:r>
      <w:r w:rsidRPr="005F460C">
        <w:rPr>
          <w:rFonts w:cstheme="minorHAnsi"/>
          <w:sz w:val="18"/>
          <w:szCs w:val="18"/>
        </w:rPr>
        <w:t xml:space="preserve"> through their representative organizations, in the design, implementation and monitoring of laws, regulations, policies and program</w:t>
      </w:r>
      <w:r>
        <w:rPr>
          <w:rFonts w:cstheme="minorHAnsi"/>
          <w:sz w:val="18"/>
          <w:szCs w:val="18"/>
        </w:rPr>
        <w:t>me</w:t>
      </w:r>
      <w:r w:rsidRPr="005F460C">
        <w:rPr>
          <w:rFonts w:cstheme="minorHAnsi"/>
          <w:sz w:val="18"/>
          <w:szCs w:val="18"/>
        </w:rPr>
        <w:t>s, concerning raising awareness throughout society to respect the rights of persons with disabilities.</w:t>
      </w:r>
      <w:r w:rsidRPr="005F460C">
        <w:rPr>
          <w:rStyle w:val="EndnoteReference"/>
          <w:rFonts w:cstheme="minorHAnsi"/>
          <w:sz w:val="18"/>
          <w:szCs w:val="18"/>
        </w:rPr>
        <w:endnoteReference w:id="11"/>
      </w:r>
      <w:r w:rsidRPr="005F460C">
        <w:rPr>
          <w:rFonts w:cstheme="minorHAnsi"/>
          <w:sz w:val="18"/>
          <w:szCs w:val="18"/>
          <w:lang w:eastAsia="en-GB"/>
        </w:rPr>
        <w:t xml:space="preserve"> </w:t>
      </w:r>
    </w:p>
    <w:p w14:paraId="5AD4DDF5" w14:textId="4C0E3A0F" w:rsidR="000A3694" w:rsidRPr="000A3694" w:rsidRDefault="000A3694" w:rsidP="00220976">
      <w:pPr>
        <w:spacing w:after="0" w:line="240" w:lineRule="auto"/>
        <w:jc w:val="both"/>
        <w:rPr>
          <w:sz w:val="18"/>
          <w:szCs w:val="18"/>
        </w:rPr>
      </w:pPr>
      <w:r>
        <w:rPr>
          <w:sz w:val="18"/>
          <w:szCs w:val="18"/>
        </w:rPr>
        <w:t xml:space="preserve">8.13 Proportion </w:t>
      </w:r>
      <w:r w:rsidRPr="000421B4">
        <w:rPr>
          <w:sz w:val="18"/>
          <w:szCs w:val="18"/>
        </w:rPr>
        <w:t>of received complaints concerning portrayal of persons of disabilities that have been</w:t>
      </w:r>
      <w:r>
        <w:rPr>
          <w:sz w:val="18"/>
          <w:szCs w:val="18"/>
        </w:rPr>
        <w:t xml:space="preserve"> investigated and adjudicated; proportion of those found in favour of the complainant; and proportion of the latter that have been complied with by the government and/or duty bearer;</w:t>
      </w:r>
      <w:r>
        <w:rPr>
          <w:rFonts w:cstheme="minorHAnsi"/>
          <w:sz w:val="18"/>
          <w:szCs w:val="18"/>
        </w:rPr>
        <w:t xml:space="preserve"> each disaggregated by kind of mechanism.</w:t>
      </w:r>
    </w:p>
    <w:p w14:paraId="3353D426" w14:textId="77777777" w:rsidR="000A3694" w:rsidRPr="005121B0" w:rsidRDefault="000A3694" w:rsidP="00BB271F">
      <w:pPr>
        <w:spacing w:after="0" w:line="240" w:lineRule="auto"/>
        <w:jc w:val="both"/>
        <w:rPr>
          <w:rFonts w:cstheme="minorHAnsi"/>
          <w:sz w:val="18"/>
          <w:szCs w:val="18"/>
        </w:rPr>
      </w:pPr>
      <w:r w:rsidRPr="005121B0">
        <w:rPr>
          <w:rFonts w:cstheme="minorHAnsi"/>
          <w:sz w:val="18"/>
          <w:szCs w:val="18"/>
        </w:rPr>
        <w:t>8.14 Proportion of justice, administration and law enforcement personnel having received training on disability hate crimes, and on combating harmful practices and disability stereotypes.</w:t>
      </w:r>
    </w:p>
    <w:p w14:paraId="31FE8EF8" w14:textId="77777777" w:rsidR="000A3694" w:rsidRPr="005121B0" w:rsidRDefault="000A3694" w:rsidP="00BB271F">
      <w:pPr>
        <w:spacing w:after="0" w:line="240" w:lineRule="auto"/>
        <w:jc w:val="both"/>
        <w:rPr>
          <w:rFonts w:cstheme="minorHAnsi"/>
          <w:sz w:val="18"/>
          <w:szCs w:val="18"/>
        </w:rPr>
      </w:pPr>
      <w:r w:rsidRPr="005121B0">
        <w:rPr>
          <w:rFonts w:cstheme="minorHAnsi"/>
          <w:sz w:val="18"/>
          <w:szCs w:val="18"/>
        </w:rPr>
        <w:t>8.15 Number and proportion of hate crime and hate speech incidents reported, investigated and resulting in conviction, disaggregated by the victim’s sex, age and disability, where applicable.</w:t>
      </w:r>
    </w:p>
    <w:p w14:paraId="0DBF9FC8" w14:textId="77777777" w:rsidR="000A3694" w:rsidRPr="005121B0" w:rsidRDefault="000A3694" w:rsidP="00BB271F">
      <w:pPr>
        <w:spacing w:after="0" w:line="240" w:lineRule="auto"/>
        <w:rPr>
          <w:rFonts w:cstheme="minorHAnsi"/>
          <w:sz w:val="18"/>
          <w:szCs w:val="18"/>
        </w:rPr>
      </w:pPr>
      <w:r w:rsidRPr="005121B0">
        <w:rPr>
          <w:rFonts w:cstheme="minorHAnsi"/>
          <w:sz w:val="18"/>
          <w:szCs w:val="18"/>
        </w:rPr>
        <w:t xml:space="preserve">8.16 Proportion of incidents of harmful practices reported, prosecuted and the proportion which led to conviction, disaggregated by the victim’s sex, age and disability. </w:t>
      </w:r>
    </w:p>
    <w:p w14:paraId="0B616D6A" w14:textId="77777777" w:rsidR="000A3694" w:rsidRPr="005121B0" w:rsidRDefault="000A3694" w:rsidP="00BB271F">
      <w:pPr>
        <w:spacing w:after="0" w:line="240" w:lineRule="auto"/>
        <w:jc w:val="both"/>
        <w:rPr>
          <w:rFonts w:cstheme="minorHAnsi"/>
          <w:sz w:val="18"/>
          <w:szCs w:val="18"/>
        </w:rPr>
      </w:pPr>
      <w:r w:rsidRPr="005121B0">
        <w:rPr>
          <w:rFonts w:cstheme="minorHAnsi"/>
          <w:sz w:val="18"/>
          <w:szCs w:val="18"/>
        </w:rPr>
        <w:t xml:space="preserve"> 8.17 Proportion of human rights education and training programmes that include rights of persons with disabilities, disaggregated by general programmes or disability specific programmes. </w:t>
      </w:r>
    </w:p>
    <w:p w14:paraId="2DF0C8E8" w14:textId="77777777" w:rsidR="000A3694" w:rsidRDefault="000A3694" w:rsidP="00220976">
      <w:pPr>
        <w:spacing w:after="0" w:line="240" w:lineRule="auto"/>
        <w:jc w:val="both"/>
        <w:rPr>
          <w:rFonts w:cstheme="minorHAnsi"/>
          <w:b/>
          <w:sz w:val="18"/>
          <w:szCs w:val="18"/>
        </w:rPr>
      </w:pPr>
    </w:p>
    <w:p w14:paraId="33AF2000" w14:textId="2750BF76" w:rsidR="000A3694" w:rsidRPr="005F460C" w:rsidRDefault="000A3694" w:rsidP="00981308">
      <w:pPr>
        <w:pStyle w:val="Heading2"/>
      </w:pPr>
      <w:r w:rsidRPr="005F460C">
        <w:t>Outcome</w:t>
      </w:r>
      <w:r w:rsidR="00291A44">
        <w:t xml:space="preserve"> </w:t>
      </w:r>
      <w:r w:rsidR="00291A44" w:rsidRPr="001C26EF">
        <w:t>Indicators</w:t>
      </w:r>
    </w:p>
    <w:p w14:paraId="606B6515" w14:textId="77777777" w:rsidR="000A3694" w:rsidRPr="005121B0" w:rsidRDefault="000A3694" w:rsidP="00220976">
      <w:pPr>
        <w:spacing w:after="0" w:line="240" w:lineRule="auto"/>
        <w:jc w:val="both"/>
        <w:rPr>
          <w:rFonts w:cstheme="minorHAnsi"/>
          <w:sz w:val="18"/>
          <w:szCs w:val="18"/>
        </w:rPr>
      </w:pPr>
      <w:r w:rsidRPr="005121B0">
        <w:rPr>
          <w:rFonts w:cstheme="minorHAnsi"/>
          <w:sz w:val="18"/>
          <w:szCs w:val="18"/>
        </w:rPr>
        <w:t xml:space="preserve">8.18 </w:t>
      </w:r>
      <w:r w:rsidRPr="005121B0">
        <w:rPr>
          <w:rFonts w:cstheme="minorHAnsi"/>
          <w:color w:val="000000"/>
          <w:sz w:val="18"/>
          <w:szCs w:val="18"/>
        </w:rPr>
        <w:t>Proportion of the population reporting having personally felt discriminated against or harassed within the previous 12 months on the basis of a ground of discrimination prohibited under international human rights law (SDG 10.3.1)</w:t>
      </w:r>
      <w:r>
        <w:rPr>
          <w:rFonts w:cstheme="minorHAnsi"/>
          <w:color w:val="000000"/>
          <w:sz w:val="18"/>
          <w:szCs w:val="18"/>
        </w:rPr>
        <w:t xml:space="preserve">, disaggregated by </w:t>
      </w:r>
      <w:r w:rsidRPr="005121B0">
        <w:rPr>
          <w:rFonts w:cstheme="minorHAnsi"/>
          <w:color w:val="000000"/>
          <w:sz w:val="18"/>
          <w:szCs w:val="18"/>
        </w:rPr>
        <w:t>sex</w:t>
      </w:r>
      <w:r>
        <w:rPr>
          <w:rFonts w:cstheme="minorHAnsi"/>
          <w:color w:val="000000"/>
          <w:sz w:val="18"/>
          <w:szCs w:val="18"/>
        </w:rPr>
        <w:t>, age</w:t>
      </w:r>
      <w:r w:rsidRPr="005121B0">
        <w:rPr>
          <w:rFonts w:cstheme="minorHAnsi"/>
          <w:color w:val="000000"/>
          <w:sz w:val="18"/>
          <w:szCs w:val="18"/>
        </w:rPr>
        <w:t xml:space="preserve"> and disability.</w:t>
      </w:r>
    </w:p>
    <w:p w14:paraId="2B635DF8" w14:textId="17D2241B" w:rsidR="000A3694" w:rsidRPr="000A3694" w:rsidRDefault="000A3694" w:rsidP="00220976">
      <w:pPr>
        <w:spacing w:after="0" w:line="240" w:lineRule="auto"/>
        <w:jc w:val="both"/>
        <w:rPr>
          <w:rFonts w:cstheme="minorHAnsi"/>
          <w:sz w:val="18"/>
          <w:szCs w:val="18"/>
        </w:rPr>
      </w:pPr>
      <w:r w:rsidRPr="005121B0">
        <w:rPr>
          <w:rFonts w:eastAsia="Times New Roman" w:cstheme="minorHAnsi"/>
          <w:sz w:val="18"/>
          <w:szCs w:val="18"/>
          <w:lang w:eastAsia="en-GB"/>
        </w:rPr>
        <w:t>8.19 Percentage of students experiencing bullying, corporal punishment, harassment, violence, sexual discrimination and abuse by sex,</w:t>
      </w:r>
      <w:r>
        <w:rPr>
          <w:rFonts w:eastAsia="Times New Roman" w:cstheme="minorHAnsi"/>
          <w:sz w:val="18"/>
          <w:szCs w:val="18"/>
          <w:lang w:eastAsia="en-GB"/>
        </w:rPr>
        <w:t xml:space="preserve"> age,</w:t>
      </w:r>
      <w:r w:rsidRPr="005121B0">
        <w:rPr>
          <w:rFonts w:eastAsia="Times New Roman" w:cstheme="minorHAnsi"/>
          <w:sz w:val="18"/>
          <w:szCs w:val="18"/>
          <w:lang w:eastAsia="en-GB"/>
        </w:rPr>
        <w:t xml:space="preserve"> disability, type of educational institution public/private, primary/secondary/tertiary/vocational (based on UNESCO indicator).</w:t>
      </w:r>
    </w:p>
    <w:p w14:paraId="1E18CCA3" w14:textId="77777777" w:rsidR="000A3694" w:rsidRPr="005121B0" w:rsidRDefault="000A3694" w:rsidP="009D5334">
      <w:pPr>
        <w:spacing w:after="0" w:line="240" w:lineRule="auto"/>
        <w:jc w:val="both"/>
        <w:rPr>
          <w:rFonts w:cstheme="minorHAnsi"/>
          <w:sz w:val="18"/>
          <w:szCs w:val="18"/>
        </w:rPr>
      </w:pPr>
      <w:r w:rsidRPr="005121B0">
        <w:rPr>
          <w:rFonts w:cstheme="minorHAnsi"/>
          <w:sz w:val="18"/>
          <w:szCs w:val="18"/>
        </w:rPr>
        <w:t>8.20 Proportion of persons within the general population reporting a negative perception of persons with disabilities, disaggregated by disability.</w:t>
      </w:r>
      <w:r w:rsidRPr="005121B0">
        <w:rPr>
          <w:rStyle w:val="EndnoteReference"/>
          <w:rFonts w:cstheme="minorHAnsi"/>
          <w:sz w:val="18"/>
          <w:szCs w:val="18"/>
        </w:rPr>
        <w:endnoteReference w:id="12"/>
      </w:r>
    </w:p>
    <w:p w14:paraId="386F3F04" w14:textId="77777777" w:rsidR="000A3694" w:rsidRPr="005121B0" w:rsidRDefault="000A3694" w:rsidP="009D5334">
      <w:pPr>
        <w:autoSpaceDE w:val="0"/>
        <w:autoSpaceDN w:val="0"/>
        <w:adjustRightInd w:val="0"/>
        <w:spacing w:after="0" w:line="240" w:lineRule="auto"/>
        <w:jc w:val="both"/>
        <w:rPr>
          <w:rFonts w:cstheme="minorHAnsi"/>
          <w:sz w:val="18"/>
          <w:szCs w:val="18"/>
        </w:rPr>
      </w:pPr>
      <w:r w:rsidRPr="005121B0">
        <w:rPr>
          <w:rFonts w:cstheme="minorHAnsi"/>
          <w:sz w:val="18"/>
          <w:szCs w:val="18"/>
        </w:rPr>
        <w:t xml:space="preserve">8.21 Number and proportion of persons with disabilities in the media appearing as news anchors, spokespersons, experts, and </w:t>
      </w:r>
      <w:r>
        <w:rPr>
          <w:rFonts w:cstheme="minorHAnsi"/>
          <w:sz w:val="18"/>
          <w:szCs w:val="18"/>
        </w:rPr>
        <w:t>‘</w:t>
      </w:r>
      <w:r w:rsidRPr="005121B0">
        <w:rPr>
          <w:rFonts w:cstheme="minorHAnsi"/>
          <w:sz w:val="18"/>
          <w:szCs w:val="18"/>
        </w:rPr>
        <w:t>ordi</w:t>
      </w:r>
      <w:r>
        <w:rPr>
          <w:rFonts w:cstheme="minorHAnsi"/>
          <w:sz w:val="18"/>
          <w:szCs w:val="18"/>
        </w:rPr>
        <w:t>nary’</w:t>
      </w:r>
      <w:r w:rsidRPr="005121B0">
        <w:rPr>
          <w:rFonts w:cstheme="minorHAnsi"/>
          <w:sz w:val="18"/>
          <w:szCs w:val="18"/>
        </w:rPr>
        <w:t xml:space="preserve"> citizens/vox pop in news and current affairs content, disaggregated</w:t>
      </w:r>
      <w:r>
        <w:rPr>
          <w:rFonts w:cstheme="minorHAnsi"/>
          <w:sz w:val="18"/>
          <w:szCs w:val="18"/>
        </w:rPr>
        <w:t xml:space="preserve"> by sex, age </w:t>
      </w:r>
      <w:r w:rsidRPr="005121B0">
        <w:rPr>
          <w:rFonts w:cstheme="minorHAnsi"/>
          <w:sz w:val="18"/>
          <w:szCs w:val="18"/>
        </w:rPr>
        <w:t>and disability.</w:t>
      </w:r>
    </w:p>
    <w:p w14:paraId="020E2D01" w14:textId="77777777" w:rsidR="00220976" w:rsidRDefault="00220976" w:rsidP="00A90FDE">
      <w:pPr>
        <w:jc w:val="center"/>
        <w:rPr>
          <w:rFonts w:cstheme="minorHAnsi"/>
          <w:b/>
          <w:sz w:val="18"/>
          <w:szCs w:val="18"/>
        </w:rPr>
      </w:pPr>
    </w:p>
    <w:p w14:paraId="001D2020" w14:textId="77777777" w:rsidR="00220976" w:rsidRDefault="00220976" w:rsidP="00A90FDE">
      <w:pPr>
        <w:jc w:val="center"/>
        <w:rPr>
          <w:rFonts w:cstheme="minorHAnsi"/>
          <w:b/>
          <w:sz w:val="18"/>
          <w:szCs w:val="18"/>
        </w:rPr>
      </w:pPr>
    </w:p>
    <w:p w14:paraId="38936430" w14:textId="77777777" w:rsidR="005121B0" w:rsidRDefault="005121B0" w:rsidP="00F55A04">
      <w:pPr>
        <w:jc w:val="center"/>
        <w:outlineLvl w:val="0"/>
        <w:rPr>
          <w:rFonts w:cstheme="minorHAnsi"/>
          <w:b/>
          <w:sz w:val="18"/>
          <w:szCs w:val="18"/>
        </w:rPr>
      </w:pPr>
    </w:p>
    <w:p w14:paraId="09775158" w14:textId="77777777" w:rsidR="005121B0" w:rsidRDefault="005121B0" w:rsidP="00F55A04">
      <w:pPr>
        <w:jc w:val="center"/>
        <w:outlineLvl w:val="0"/>
        <w:rPr>
          <w:rFonts w:cstheme="minorHAnsi"/>
          <w:b/>
          <w:sz w:val="18"/>
          <w:szCs w:val="18"/>
        </w:rPr>
      </w:pPr>
    </w:p>
    <w:p w14:paraId="41785085" w14:textId="77777777" w:rsidR="005121B0" w:rsidRDefault="005121B0" w:rsidP="00F55A04">
      <w:pPr>
        <w:jc w:val="center"/>
        <w:outlineLvl w:val="0"/>
        <w:rPr>
          <w:rFonts w:cstheme="minorHAnsi"/>
          <w:b/>
          <w:sz w:val="18"/>
          <w:szCs w:val="18"/>
        </w:rPr>
      </w:pPr>
    </w:p>
    <w:p w14:paraId="1CF75C5B" w14:textId="323AA606" w:rsidR="00D84842" w:rsidRPr="005F460C" w:rsidRDefault="00D84842" w:rsidP="00981308">
      <w:pPr>
        <w:pStyle w:val="Heading1"/>
      </w:pPr>
      <w:r w:rsidRPr="005F460C">
        <w:t>ANNEX</w:t>
      </w:r>
    </w:p>
    <w:sectPr w:rsidR="00D84842" w:rsidRPr="005F460C" w:rsidSect="0035689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FB7A9" w14:textId="77777777" w:rsidR="00270F48" w:rsidRDefault="00270F48" w:rsidP="009D5D68">
      <w:pPr>
        <w:spacing w:after="0" w:line="240" w:lineRule="auto"/>
      </w:pPr>
      <w:r>
        <w:separator/>
      </w:r>
    </w:p>
  </w:endnote>
  <w:endnote w:type="continuationSeparator" w:id="0">
    <w:p w14:paraId="6FEED492" w14:textId="77777777" w:rsidR="00270F48" w:rsidRDefault="00270F48" w:rsidP="009D5D68">
      <w:pPr>
        <w:spacing w:after="0" w:line="240" w:lineRule="auto"/>
      </w:pPr>
      <w:r>
        <w:continuationSeparator/>
      </w:r>
    </w:p>
  </w:endnote>
  <w:endnote w:id="1">
    <w:p w14:paraId="1ED13FF7" w14:textId="720AB165" w:rsidR="000A3694" w:rsidRPr="005F460C" w:rsidRDefault="000A3694" w:rsidP="0025389C">
      <w:pPr>
        <w:pStyle w:val="EndnoteText"/>
        <w:jc w:val="both"/>
        <w:rPr>
          <w:sz w:val="18"/>
          <w:szCs w:val="18"/>
        </w:rPr>
      </w:pPr>
      <w:r>
        <w:rPr>
          <w:rStyle w:val="EndnoteReference"/>
        </w:rPr>
        <w:endnoteRef/>
      </w:r>
      <w:r>
        <w:t xml:space="preserve"> </w:t>
      </w:r>
      <w:r w:rsidRPr="005F460C">
        <w:rPr>
          <w:sz w:val="18"/>
          <w:szCs w:val="18"/>
        </w:rPr>
        <w:t>This requires repealing provisions with derogatory language,</w:t>
      </w:r>
      <w:r>
        <w:rPr>
          <w:sz w:val="18"/>
          <w:szCs w:val="18"/>
        </w:rPr>
        <w:t xml:space="preserve"> concepts and premises,</w:t>
      </w:r>
      <w:r w:rsidRPr="005F460C">
        <w:rPr>
          <w:sz w:val="18"/>
          <w:szCs w:val="18"/>
        </w:rPr>
        <w:t xml:space="preserve"> based on ableism </w:t>
      </w:r>
      <w:r>
        <w:rPr>
          <w:sz w:val="18"/>
          <w:szCs w:val="18"/>
        </w:rPr>
        <w:t xml:space="preserve">including eugenics, </w:t>
      </w:r>
      <w:r w:rsidRPr="005F460C">
        <w:rPr>
          <w:sz w:val="18"/>
          <w:szCs w:val="18"/>
        </w:rPr>
        <w:t>or any other discourse that diminishes the equal dignity and value of life of persons with disabilities as part of human diversity</w:t>
      </w:r>
      <w:r>
        <w:rPr>
          <w:sz w:val="18"/>
          <w:szCs w:val="18"/>
        </w:rPr>
        <w:t xml:space="preserve"> and/or maintains </w:t>
      </w:r>
      <w:r w:rsidRPr="003529B9">
        <w:rPr>
          <w:sz w:val="18"/>
          <w:szCs w:val="18"/>
        </w:rPr>
        <w:t xml:space="preserve">inequality, exclusion, and </w:t>
      </w:r>
      <w:r>
        <w:rPr>
          <w:sz w:val="18"/>
          <w:szCs w:val="18"/>
        </w:rPr>
        <w:t xml:space="preserve">the </w:t>
      </w:r>
      <w:r w:rsidRPr="003529B9">
        <w:rPr>
          <w:sz w:val="18"/>
          <w:szCs w:val="18"/>
        </w:rPr>
        <w:t xml:space="preserve">justification of </w:t>
      </w:r>
      <w:r>
        <w:rPr>
          <w:sz w:val="18"/>
          <w:szCs w:val="18"/>
        </w:rPr>
        <w:t>discriminatory</w:t>
      </w:r>
      <w:r w:rsidRPr="003529B9">
        <w:rPr>
          <w:sz w:val="18"/>
          <w:szCs w:val="18"/>
        </w:rPr>
        <w:t xml:space="preserve"> practices</w:t>
      </w:r>
      <w:r>
        <w:rPr>
          <w:sz w:val="18"/>
          <w:szCs w:val="18"/>
        </w:rPr>
        <w:t xml:space="preserve"> against them;</w:t>
      </w:r>
      <w:r w:rsidRPr="005F460C">
        <w:rPr>
          <w:sz w:val="18"/>
          <w:szCs w:val="18"/>
        </w:rPr>
        <w:t xml:space="preserve"> </w:t>
      </w:r>
      <w:r>
        <w:rPr>
          <w:sz w:val="18"/>
          <w:szCs w:val="18"/>
        </w:rPr>
        <w:t>f</w:t>
      </w:r>
      <w:r w:rsidRPr="005F460C">
        <w:rPr>
          <w:sz w:val="18"/>
          <w:szCs w:val="18"/>
        </w:rPr>
        <w:t xml:space="preserve">or </w:t>
      </w:r>
      <w:r>
        <w:rPr>
          <w:sz w:val="18"/>
          <w:szCs w:val="18"/>
        </w:rPr>
        <w:t>example</w:t>
      </w:r>
      <w:r w:rsidRPr="005F460C">
        <w:rPr>
          <w:sz w:val="18"/>
          <w:szCs w:val="18"/>
        </w:rPr>
        <w:t xml:space="preserve">, provisions allowing for forced treatment, forced sterilization, institutionalisation and medical experimentation </w:t>
      </w:r>
      <w:r>
        <w:rPr>
          <w:sz w:val="18"/>
          <w:szCs w:val="18"/>
        </w:rPr>
        <w:t>on</w:t>
      </w:r>
      <w:r w:rsidRPr="005F460C">
        <w:rPr>
          <w:sz w:val="18"/>
          <w:szCs w:val="18"/>
        </w:rPr>
        <w:t xml:space="preserve"> </w:t>
      </w:r>
      <w:r>
        <w:rPr>
          <w:sz w:val="18"/>
          <w:szCs w:val="18"/>
        </w:rPr>
        <w:t xml:space="preserve">persons with </w:t>
      </w:r>
      <w:r w:rsidRPr="005F460C">
        <w:rPr>
          <w:sz w:val="18"/>
          <w:szCs w:val="18"/>
        </w:rPr>
        <w:t>disabilities</w:t>
      </w:r>
      <w:r>
        <w:rPr>
          <w:sz w:val="18"/>
          <w:szCs w:val="18"/>
        </w:rPr>
        <w:t>.</w:t>
      </w:r>
      <w:r w:rsidRPr="005F460C">
        <w:rPr>
          <w:sz w:val="18"/>
          <w:szCs w:val="18"/>
        </w:rPr>
        <w:t xml:space="preserve"> </w:t>
      </w:r>
      <w:r>
        <w:rPr>
          <w:sz w:val="18"/>
          <w:szCs w:val="18"/>
        </w:rPr>
        <w:t xml:space="preserve">See report of the Special Rapporteur on the impact of ableism </w:t>
      </w:r>
      <w:r w:rsidRPr="00161753">
        <w:rPr>
          <w:sz w:val="18"/>
          <w:szCs w:val="18"/>
        </w:rPr>
        <w:t>in medical and scientific practic</w:t>
      </w:r>
      <w:r>
        <w:rPr>
          <w:sz w:val="18"/>
          <w:szCs w:val="18"/>
        </w:rPr>
        <w:t xml:space="preserve">e, </w:t>
      </w:r>
      <w:hyperlink r:id="rId1" w:history="1">
        <w:r w:rsidRPr="00F42CD7">
          <w:rPr>
            <w:rStyle w:val="Hyperlink"/>
            <w:sz w:val="18"/>
            <w:szCs w:val="18"/>
          </w:rPr>
          <w:t>A/HRC/43/41</w:t>
        </w:r>
      </w:hyperlink>
      <w:r>
        <w:rPr>
          <w:sz w:val="18"/>
          <w:szCs w:val="18"/>
        </w:rPr>
        <w:t xml:space="preserve"> and OHCHR’s report on awareness-raising, </w:t>
      </w:r>
      <w:hyperlink r:id="rId2" w:history="1">
        <w:r w:rsidRPr="00B46CAE">
          <w:rPr>
            <w:rStyle w:val="Hyperlink"/>
            <w:sz w:val="18"/>
            <w:szCs w:val="18"/>
          </w:rPr>
          <w:t>A/HRC/43/27</w:t>
        </w:r>
      </w:hyperlink>
      <w:r>
        <w:rPr>
          <w:sz w:val="18"/>
          <w:szCs w:val="18"/>
        </w:rPr>
        <w:t>.</w:t>
      </w:r>
    </w:p>
  </w:endnote>
  <w:endnote w:id="2">
    <w:p w14:paraId="5C8FB375" w14:textId="77777777" w:rsidR="000A3694" w:rsidRPr="005F460C" w:rsidRDefault="000A3694" w:rsidP="0025389C">
      <w:pPr>
        <w:pStyle w:val="EndnoteText"/>
        <w:jc w:val="both"/>
        <w:rPr>
          <w:sz w:val="18"/>
          <w:szCs w:val="18"/>
        </w:rPr>
      </w:pPr>
      <w:r w:rsidRPr="005F460C">
        <w:rPr>
          <w:rStyle w:val="EndnoteReference"/>
          <w:sz w:val="18"/>
          <w:szCs w:val="18"/>
        </w:rPr>
        <w:endnoteRef/>
      </w:r>
      <w:r w:rsidRPr="005F460C">
        <w:rPr>
          <w:sz w:val="18"/>
          <w:szCs w:val="18"/>
        </w:rPr>
        <w:t xml:space="preserve"> This should include provisions on:</w:t>
      </w:r>
    </w:p>
    <w:p w14:paraId="0FE46959" w14:textId="77777777" w:rsidR="000A3694" w:rsidRPr="005F460C" w:rsidRDefault="000A369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Pr>
          <w:rFonts w:eastAsia="Times New Roman" w:cs="Calibri"/>
          <w:color w:val="212121"/>
          <w:sz w:val="18"/>
          <w:szCs w:val="18"/>
          <w:lang w:eastAsia="en-GB"/>
        </w:rPr>
        <w:t>Combating s</w:t>
      </w:r>
      <w:r w:rsidRPr="005F460C">
        <w:rPr>
          <w:rFonts w:eastAsia="Times New Roman" w:cs="Calibri"/>
          <w:color w:val="212121"/>
          <w:sz w:val="18"/>
          <w:szCs w:val="18"/>
          <w:lang w:eastAsia="en-GB"/>
        </w:rPr>
        <w:t>tigmatisation</w:t>
      </w:r>
      <w:r>
        <w:rPr>
          <w:rFonts w:eastAsia="Times New Roman" w:cs="Calibri"/>
          <w:color w:val="212121"/>
          <w:sz w:val="18"/>
          <w:szCs w:val="18"/>
          <w:lang w:eastAsia="en-GB"/>
        </w:rPr>
        <w:t xml:space="preserve"> and exclusion</w:t>
      </w:r>
      <w:r w:rsidRPr="005F460C">
        <w:rPr>
          <w:rFonts w:eastAsia="Times New Roman" w:cs="Calibri"/>
          <w:color w:val="212121"/>
          <w:sz w:val="18"/>
          <w:szCs w:val="18"/>
          <w:lang w:eastAsia="en-GB"/>
        </w:rPr>
        <w:t xml:space="preserve"> based on negative beliefs </w:t>
      </w:r>
      <w:r>
        <w:rPr>
          <w:rFonts w:eastAsia="Times New Roman" w:cs="Calibri"/>
          <w:color w:val="212121"/>
          <w:sz w:val="18"/>
          <w:szCs w:val="18"/>
          <w:lang w:eastAsia="en-GB"/>
        </w:rPr>
        <w:t xml:space="preserve">or attitudes concerning </w:t>
      </w:r>
      <w:r w:rsidRPr="005F460C">
        <w:rPr>
          <w:rFonts w:eastAsia="Times New Roman" w:cs="Calibri"/>
          <w:color w:val="212121"/>
          <w:sz w:val="18"/>
          <w:szCs w:val="18"/>
          <w:lang w:eastAsia="en-GB"/>
        </w:rPr>
        <w:t>persons with disabilities, including those based on customary, religious or medical worldviews;</w:t>
      </w:r>
    </w:p>
    <w:p w14:paraId="48AA26A4" w14:textId="77777777" w:rsidR="000A3694" w:rsidRPr="005F460C" w:rsidRDefault="000A3694" w:rsidP="008E3C98">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5F460C">
        <w:rPr>
          <w:rFonts w:eastAsia="Times New Roman" w:cs="Calibri"/>
          <w:color w:val="212121"/>
          <w:sz w:val="18"/>
          <w:szCs w:val="18"/>
          <w:lang w:eastAsia="en-GB"/>
        </w:rPr>
        <w:t xml:space="preserve">training </w:t>
      </w:r>
      <w:r>
        <w:rPr>
          <w:rFonts w:eastAsia="Times New Roman" w:cs="Calibri"/>
          <w:color w:val="212121"/>
          <w:sz w:val="18"/>
          <w:szCs w:val="18"/>
          <w:lang w:eastAsia="en-GB"/>
        </w:rPr>
        <w:t>and education for</w:t>
      </w:r>
      <w:r w:rsidRPr="005F460C">
        <w:rPr>
          <w:rFonts w:eastAsia="Times New Roman" w:cs="Calibri"/>
          <w:color w:val="212121"/>
          <w:sz w:val="18"/>
          <w:szCs w:val="18"/>
          <w:lang w:eastAsia="en-GB"/>
        </w:rPr>
        <w:t xml:space="preserve"> communication and media professionals on </w:t>
      </w:r>
      <w:r>
        <w:rPr>
          <w:rFonts w:eastAsia="Times New Roman" w:cs="Calibri"/>
          <w:color w:val="212121"/>
          <w:sz w:val="18"/>
          <w:szCs w:val="18"/>
          <w:lang w:eastAsia="en-GB"/>
        </w:rPr>
        <w:t xml:space="preserve">the </w:t>
      </w:r>
      <w:r w:rsidRPr="005F460C">
        <w:rPr>
          <w:rFonts w:eastAsia="Times New Roman" w:cs="Calibri"/>
          <w:color w:val="212121"/>
          <w:sz w:val="18"/>
          <w:szCs w:val="18"/>
          <w:lang w:eastAsia="en-GB"/>
        </w:rPr>
        <w:t>human-rights based approach to disability;</w:t>
      </w:r>
    </w:p>
    <w:p w14:paraId="42993AF8" w14:textId="77777777" w:rsidR="000A3694" w:rsidRPr="00F55A04" w:rsidRDefault="000A369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F55A04">
        <w:rPr>
          <w:rFonts w:eastAsia="Times New Roman" w:cs="Calibri"/>
          <w:color w:val="212121"/>
          <w:sz w:val="18"/>
          <w:szCs w:val="18"/>
          <w:lang w:eastAsia="en-GB"/>
        </w:rPr>
        <w:t>media coverage to raise the visibility of persons with disabilities in society which foster their positive image and capabilities in inclusive settings;</w:t>
      </w:r>
    </w:p>
    <w:p w14:paraId="0B780A53" w14:textId="77777777" w:rsidR="000A3694" w:rsidRPr="00F55A04" w:rsidRDefault="000A369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F55A04">
        <w:rPr>
          <w:rFonts w:eastAsia="Times New Roman" w:cs="Calibri"/>
          <w:color w:val="212121"/>
          <w:sz w:val="18"/>
          <w:szCs w:val="18"/>
          <w:lang w:eastAsia="en-GB"/>
        </w:rPr>
        <w:t>media coverage to raise awareness about systemic or pervasive human rights violations against persons with disabilities;</w:t>
      </w:r>
    </w:p>
    <w:p w14:paraId="1730B78B" w14:textId="77777777" w:rsidR="000A3694" w:rsidRPr="005F460C" w:rsidRDefault="000A369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lang w:eastAsia="en-GB"/>
        </w:rPr>
      </w:pPr>
      <w:r w:rsidRPr="005F460C">
        <w:rPr>
          <w:rFonts w:eastAsia="Times New Roman" w:cs="Calibri"/>
          <w:color w:val="212121"/>
          <w:sz w:val="18"/>
          <w:szCs w:val="18"/>
          <w:lang w:eastAsia="en-GB"/>
        </w:rPr>
        <w:t>securing the support of public officials, including the legislative, executive and judicial branches of government, with regard to</w:t>
      </w:r>
      <w:r>
        <w:rPr>
          <w:rFonts w:eastAsia="Times New Roman" w:cs="Calibri"/>
          <w:color w:val="212121"/>
          <w:sz w:val="18"/>
          <w:szCs w:val="18"/>
          <w:lang w:eastAsia="en-GB"/>
        </w:rPr>
        <w:t xml:space="preserve"> awareness raising on the rights of persons with disabilities concerning and in line with </w:t>
      </w:r>
      <w:r w:rsidRPr="005F460C">
        <w:rPr>
          <w:rFonts w:eastAsia="Times New Roman" w:cs="Calibri"/>
          <w:color w:val="212121"/>
          <w:sz w:val="18"/>
          <w:szCs w:val="18"/>
          <w:lang w:eastAsia="en-GB"/>
        </w:rPr>
        <w:t>the Convention and its Optional Protocol</w:t>
      </w:r>
      <w:r>
        <w:rPr>
          <w:rFonts w:eastAsia="Times New Roman" w:cs="Calibri"/>
          <w:color w:val="212121"/>
          <w:sz w:val="18"/>
          <w:szCs w:val="18"/>
          <w:lang w:eastAsia="en-GB"/>
        </w:rPr>
        <w:t>, including refraining from supporting and funding campaigns, publicly or privately run, based on the charity or medical models of disability</w:t>
      </w:r>
      <w:r w:rsidRPr="005F460C">
        <w:rPr>
          <w:rFonts w:eastAsia="Times New Roman" w:cs="Calibri"/>
          <w:color w:val="212121"/>
          <w:sz w:val="18"/>
          <w:szCs w:val="18"/>
          <w:lang w:eastAsia="en-GB"/>
        </w:rPr>
        <w:t>;</w:t>
      </w:r>
    </w:p>
    <w:p w14:paraId="42FE1B79" w14:textId="77777777" w:rsidR="000A3694" w:rsidRPr="005F460C" w:rsidRDefault="000A3694" w:rsidP="0025389C">
      <w:pPr>
        <w:pStyle w:val="ListParagraph"/>
        <w:numPr>
          <w:ilvl w:val="0"/>
          <w:numId w:val="2"/>
        </w:numPr>
        <w:spacing w:after="0" w:line="240" w:lineRule="auto"/>
        <w:ind w:left="714" w:hanging="357"/>
        <w:jc w:val="both"/>
        <w:rPr>
          <w:rFonts w:eastAsia="Times New Roman" w:cs="Calibri"/>
          <w:color w:val="212121"/>
          <w:sz w:val="18"/>
          <w:szCs w:val="18"/>
          <w:lang w:eastAsia="en-GB"/>
        </w:rPr>
      </w:pPr>
      <w:r w:rsidRPr="005F460C">
        <w:rPr>
          <w:bCs/>
          <w:sz w:val="18"/>
          <w:szCs w:val="18"/>
          <w:lang w:val="en-US"/>
        </w:rPr>
        <w:t xml:space="preserve">making the Convention available in </w:t>
      </w:r>
      <w:r>
        <w:rPr>
          <w:bCs/>
          <w:sz w:val="18"/>
          <w:szCs w:val="18"/>
          <w:lang w:val="en-US"/>
        </w:rPr>
        <w:t xml:space="preserve">national languages, including sign language, indigenous/minority languages and </w:t>
      </w:r>
      <w:r w:rsidRPr="005F460C">
        <w:rPr>
          <w:bCs/>
          <w:sz w:val="18"/>
          <w:szCs w:val="18"/>
          <w:lang w:val="en-US"/>
        </w:rPr>
        <w:t>a variety of formats,</w:t>
      </w:r>
      <w:r>
        <w:rPr>
          <w:bCs/>
          <w:sz w:val="18"/>
          <w:szCs w:val="18"/>
          <w:lang w:val="en-US"/>
        </w:rPr>
        <w:t xml:space="preserve"> such as</w:t>
      </w:r>
      <w:r w:rsidRPr="005F460C">
        <w:rPr>
          <w:bCs/>
          <w:sz w:val="18"/>
          <w:szCs w:val="18"/>
          <w:lang w:val="en-US"/>
        </w:rPr>
        <w:t xml:space="preserve"> Easy-to-Read and child-friendly versions. </w:t>
      </w:r>
    </w:p>
  </w:endnote>
  <w:endnote w:id="3">
    <w:p w14:paraId="2970D1D7" w14:textId="77777777" w:rsidR="000A3694" w:rsidRPr="005F460C" w:rsidRDefault="000A3694" w:rsidP="0025389C">
      <w:pPr>
        <w:pStyle w:val="EndnoteText"/>
        <w:jc w:val="both"/>
        <w:rPr>
          <w:sz w:val="18"/>
          <w:szCs w:val="18"/>
        </w:rPr>
      </w:pPr>
      <w:r w:rsidRPr="005F460C">
        <w:rPr>
          <w:rStyle w:val="EndnoteReference"/>
          <w:sz w:val="18"/>
          <w:szCs w:val="18"/>
        </w:rPr>
        <w:endnoteRef/>
      </w:r>
      <w:r w:rsidRPr="005F460C">
        <w:rPr>
          <w:sz w:val="18"/>
          <w:szCs w:val="18"/>
        </w:rPr>
        <w:t xml:space="preserve"> </w:t>
      </w:r>
      <w:r>
        <w:rPr>
          <w:sz w:val="18"/>
          <w:szCs w:val="18"/>
        </w:rPr>
        <w:t>With the objective of preventing</w:t>
      </w:r>
      <w:r>
        <w:rPr>
          <w:color w:val="212121"/>
          <w:sz w:val="18"/>
          <w:szCs w:val="18"/>
        </w:rPr>
        <w:t xml:space="preserve"> the</w:t>
      </w:r>
      <w:r w:rsidRPr="005F460C">
        <w:rPr>
          <w:color w:val="212121"/>
          <w:sz w:val="18"/>
          <w:szCs w:val="18"/>
        </w:rPr>
        <w:t xml:space="preserve"> perpetuation of negative stereotypes, debunking myths, combatting attitudes of intolerance and discrimination against persons with disabilities, ensuring respect for </w:t>
      </w:r>
      <w:r w:rsidRPr="005F460C">
        <w:rPr>
          <w:sz w:val="18"/>
          <w:szCs w:val="18"/>
        </w:rPr>
        <w:t>the equal dignity and value of life of persons with disabilities as part of human diversity</w:t>
      </w:r>
      <w:r w:rsidRPr="005F460C">
        <w:rPr>
          <w:color w:val="212121"/>
          <w:sz w:val="18"/>
          <w:szCs w:val="18"/>
        </w:rPr>
        <w:t>; and seeking a multiplicity of sources and voices of persons with disabilities.</w:t>
      </w:r>
    </w:p>
  </w:endnote>
  <w:endnote w:id="4">
    <w:p w14:paraId="682EF99F" w14:textId="5AEDCA8A" w:rsidR="000A3694" w:rsidRPr="005F460C" w:rsidRDefault="000A3694" w:rsidP="00BB271F">
      <w:pPr>
        <w:pStyle w:val="EndnoteText"/>
        <w:jc w:val="both"/>
        <w:rPr>
          <w:sz w:val="18"/>
          <w:szCs w:val="18"/>
        </w:rPr>
      </w:pPr>
      <w:r w:rsidRPr="005F460C">
        <w:rPr>
          <w:rStyle w:val="EndnoteReference"/>
          <w:sz w:val="18"/>
          <w:szCs w:val="18"/>
        </w:rPr>
        <w:endnoteRef/>
      </w:r>
      <w:r w:rsidRPr="005F460C">
        <w:rPr>
          <w:sz w:val="18"/>
          <w:szCs w:val="18"/>
        </w:rPr>
        <w:t xml:space="preserve"> </w:t>
      </w:r>
      <w:r>
        <w:rPr>
          <w:sz w:val="18"/>
          <w:szCs w:val="18"/>
        </w:rPr>
        <w:t xml:space="preserve">Harmful practices </w:t>
      </w:r>
      <w:r w:rsidRPr="005F460C">
        <w:rPr>
          <w:sz w:val="18"/>
          <w:szCs w:val="18"/>
        </w:rPr>
        <w:t xml:space="preserve">are those that “are persistent practices and forms of behaviour that are grounded in discrimination on the basis of, among other things, sex, gender and age, in addition to multiple and/or intersecting forms of discrimination that often involve violence and cause physical and/or psychological harm or suffering.” For further information, see </w:t>
      </w:r>
      <w:hyperlink r:id="rId3" w:history="1">
        <w:r w:rsidRPr="005F460C">
          <w:rPr>
            <w:rStyle w:val="Hyperlink"/>
            <w:sz w:val="18"/>
            <w:szCs w:val="18"/>
          </w:rPr>
          <w:t>Joint General Recommendation No. 31 by the Committee on the Elimination of Discrimination against Women/General Comment No. 18 of the Committee on the Rights of the Child on harmful practices</w:t>
        </w:r>
      </w:hyperlink>
      <w:r w:rsidRPr="005F460C">
        <w:rPr>
          <w:sz w:val="18"/>
          <w:szCs w:val="18"/>
        </w:rPr>
        <w:t>.</w:t>
      </w:r>
      <w:r>
        <w:rPr>
          <w:sz w:val="18"/>
          <w:szCs w:val="18"/>
        </w:rPr>
        <w:t xml:space="preserve"> </w:t>
      </w:r>
      <w:r w:rsidRPr="005F460C">
        <w:rPr>
          <w:sz w:val="18"/>
          <w:szCs w:val="18"/>
        </w:rPr>
        <w:t xml:space="preserve">Harmful practices </w:t>
      </w:r>
      <w:r>
        <w:rPr>
          <w:sz w:val="18"/>
          <w:szCs w:val="18"/>
        </w:rPr>
        <w:t xml:space="preserve">against persons with disabilities can be based on disability as well as other factors.  See </w:t>
      </w:r>
      <w:r w:rsidRPr="005F460C">
        <w:rPr>
          <w:sz w:val="18"/>
          <w:szCs w:val="18"/>
        </w:rPr>
        <w:t>the 2009 Interim Report by the Special Rapporteur on torture and other cruel, inhuman and degrading treatment or punishment on forced psychiatric interventions as an example of harmful practices (</w:t>
      </w:r>
      <w:hyperlink r:id="rId4" w:history="1">
        <w:r w:rsidRPr="005F460C">
          <w:rPr>
            <w:rStyle w:val="Hyperlink"/>
            <w:sz w:val="18"/>
            <w:szCs w:val="18"/>
          </w:rPr>
          <w:t>A/63/175</w:t>
        </w:r>
      </w:hyperlink>
      <w:r w:rsidRPr="005F460C">
        <w:rPr>
          <w:sz w:val="18"/>
          <w:szCs w:val="18"/>
        </w:rPr>
        <w:t>).</w:t>
      </w:r>
    </w:p>
  </w:endnote>
  <w:endnote w:id="5">
    <w:p w14:paraId="6D2B44C4" w14:textId="77777777" w:rsidR="000A3694" w:rsidRPr="005F460C" w:rsidRDefault="000A3694" w:rsidP="00BB271F">
      <w:pPr>
        <w:pStyle w:val="EndnoteText"/>
        <w:jc w:val="both"/>
        <w:rPr>
          <w:sz w:val="18"/>
          <w:szCs w:val="18"/>
        </w:rPr>
      </w:pPr>
      <w:r w:rsidRPr="005F460C">
        <w:rPr>
          <w:rStyle w:val="EndnoteReference"/>
          <w:sz w:val="18"/>
          <w:szCs w:val="18"/>
        </w:rPr>
        <w:endnoteRef/>
      </w:r>
      <w:r w:rsidRPr="005F460C">
        <w:rPr>
          <w:sz w:val="18"/>
          <w:szCs w:val="18"/>
        </w:rPr>
        <w:t xml:space="preserve"> The legislation should specifically include:</w:t>
      </w:r>
    </w:p>
    <w:p w14:paraId="2FFA04A5" w14:textId="77777777" w:rsidR="000A3694" w:rsidRPr="005F460C" w:rsidRDefault="000A3694"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r w:rsidRPr="005F460C">
        <w:rPr>
          <w:rFonts w:asciiTheme="minorHAnsi" w:hAnsiTheme="minorHAnsi" w:cstheme="minorHAnsi"/>
          <w:sz w:val="18"/>
          <w:szCs w:val="18"/>
        </w:rPr>
        <w:t>provisions on disability hate crimes</w:t>
      </w:r>
      <w:r>
        <w:rPr>
          <w:rFonts w:asciiTheme="minorHAnsi" w:hAnsiTheme="minorHAnsi" w:cstheme="minorHAnsi"/>
          <w:sz w:val="18"/>
          <w:szCs w:val="18"/>
        </w:rPr>
        <w:t>, including disability-based violence, bullying, harassment and harmful practices, by public or private actors,</w:t>
      </w:r>
      <w:r w:rsidRPr="005F460C">
        <w:rPr>
          <w:rFonts w:asciiTheme="minorHAnsi" w:hAnsiTheme="minorHAnsi" w:cstheme="minorHAnsi"/>
          <w:sz w:val="18"/>
          <w:szCs w:val="18"/>
        </w:rPr>
        <w:t xml:space="preserve"> to be applicable under criminal law </w:t>
      </w:r>
    </w:p>
    <w:p w14:paraId="25910815" w14:textId="77777777" w:rsidR="000A3694" w:rsidRPr="005F460C" w:rsidRDefault="000A3694"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r w:rsidRPr="005F460C">
        <w:rPr>
          <w:rFonts w:asciiTheme="minorHAnsi" w:hAnsiTheme="minorHAnsi" w:cstheme="minorHAnsi"/>
          <w:color w:val="000000" w:themeColor="text1"/>
          <w:sz w:val="18"/>
          <w:szCs w:val="18"/>
        </w:rPr>
        <w:t xml:space="preserve">sanctions </w:t>
      </w:r>
      <w:r w:rsidRPr="005F460C">
        <w:rPr>
          <w:rFonts w:asciiTheme="minorHAnsi" w:hAnsiTheme="minorHAnsi" w:cstheme="minorHAnsi"/>
          <w:sz w:val="18"/>
          <w:szCs w:val="18"/>
        </w:rPr>
        <w:t>against inciting discrimination against persons with disabilities in the media</w:t>
      </w:r>
      <w:r>
        <w:rPr>
          <w:rFonts w:asciiTheme="minorHAnsi" w:hAnsiTheme="minorHAnsi" w:cstheme="minorHAnsi"/>
          <w:sz w:val="18"/>
          <w:szCs w:val="18"/>
        </w:rPr>
        <w:t>, including by promoting and/or inciting harmful practices</w:t>
      </w:r>
    </w:p>
    <w:p w14:paraId="47EFD4D0" w14:textId="77777777" w:rsidR="000A3694" w:rsidRPr="005F460C" w:rsidRDefault="000A3694" w:rsidP="00BB271F">
      <w:pPr>
        <w:pStyle w:val="xmsonormal"/>
        <w:numPr>
          <w:ilvl w:val="0"/>
          <w:numId w:val="2"/>
        </w:numPr>
        <w:shd w:val="clear" w:color="auto" w:fill="FFFFFF"/>
        <w:spacing w:before="0" w:beforeAutospacing="0" w:after="0" w:afterAutospacing="0"/>
        <w:jc w:val="both"/>
        <w:rPr>
          <w:rFonts w:cstheme="minorHAnsi"/>
          <w:sz w:val="18"/>
          <w:szCs w:val="18"/>
        </w:rPr>
      </w:pPr>
      <w:r w:rsidRPr="005F460C">
        <w:rPr>
          <w:rFonts w:asciiTheme="minorHAnsi" w:hAnsiTheme="minorHAnsi" w:cstheme="minorHAnsi"/>
          <w:sz w:val="18"/>
          <w:szCs w:val="18"/>
        </w:rPr>
        <w:t>provisions abolishing harmful practices against persons with disabilities, including women and children, in particular invasive and irreversible involuntary treatments</w:t>
      </w:r>
      <w:r>
        <w:rPr>
          <w:rFonts w:asciiTheme="minorHAnsi" w:hAnsiTheme="minorHAnsi" w:cstheme="minorHAnsi"/>
          <w:sz w:val="18"/>
          <w:szCs w:val="18"/>
        </w:rPr>
        <w:t xml:space="preserve">, </w:t>
      </w:r>
      <w:r w:rsidRPr="005F460C">
        <w:rPr>
          <w:rFonts w:asciiTheme="minorHAnsi" w:hAnsiTheme="minorHAnsi" w:cstheme="minorHAnsi"/>
          <w:sz w:val="18"/>
          <w:szCs w:val="18"/>
        </w:rPr>
        <w:t>and practices linked to witchcraft accusations</w:t>
      </w:r>
    </w:p>
    <w:p w14:paraId="56C3F877" w14:textId="77777777" w:rsidR="000A3694" w:rsidRPr="005F460C" w:rsidRDefault="000A3694" w:rsidP="00BB271F">
      <w:pPr>
        <w:pStyle w:val="xmsonormal"/>
        <w:numPr>
          <w:ilvl w:val="0"/>
          <w:numId w:val="2"/>
        </w:numPr>
        <w:shd w:val="clear" w:color="auto" w:fill="FFFFFF"/>
        <w:spacing w:before="0" w:beforeAutospacing="0" w:after="0" w:afterAutospacing="0"/>
        <w:ind w:left="714" w:hanging="357"/>
        <w:jc w:val="both"/>
        <w:rPr>
          <w:rFonts w:cstheme="minorHAnsi"/>
          <w:sz w:val="18"/>
          <w:szCs w:val="18"/>
        </w:rPr>
      </w:pPr>
      <w:r w:rsidRPr="005F460C">
        <w:rPr>
          <w:rFonts w:asciiTheme="minorHAnsi" w:hAnsiTheme="minorHAnsi" w:cstheme="minorHAnsi"/>
          <w:sz w:val="18"/>
          <w:szCs w:val="18"/>
        </w:rPr>
        <w:t>provisions to abolish and eliminate derogatory language on persons with disabilities within laws, policies and government discourse</w:t>
      </w:r>
    </w:p>
  </w:endnote>
  <w:endnote w:id="6">
    <w:p w14:paraId="371FE351" w14:textId="77777777" w:rsidR="000A3694" w:rsidRPr="005F460C" w:rsidRDefault="000A3694" w:rsidP="00BB271F">
      <w:pPr>
        <w:pStyle w:val="EndnoteText"/>
        <w:jc w:val="both"/>
        <w:rPr>
          <w:sz w:val="18"/>
          <w:szCs w:val="18"/>
        </w:rPr>
      </w:pPr>
      <w:r w:rsidRPr="005F460C">
        <w:rPr>
          <w:rStyle w:val="EndnoteReference"/>
          <w:sz w:val="18"/>
          <w:szCs w:val="18"/>
        </w:rPr>
        <w:endnoteRef/>
      </w:r>
      <w:r w:rsidRPr="005F460C">
        <w:rPr>
          <w:sz w:val="18"/>
          <w:szCs w:val="18"/>
        </w:rPr>
        <w:t xml:space="preserve"> For more information on human rights education and training and specific indicators, see </w:t>
      </w:r>
      <w:hyperlink r:id="rId5" w:history="1">
        <w:r w:rsidRPr="005F460C">
          <w:rPr>
            <w:rStyle w:val="Hyperlink"/>
            <w:sz w:val="18"/>
            <w:szCs w:val="18"/>
          </w:rPr>
          <w:t>http://www.hre2020.org/indicator-framework</w:t>
        </w:r>
      </w:hyperlink>
      <w:r w:rsidRPr="005F460C">
        <w:rPr>
          <w:sz w:val="18"/>
          <w:szCs w:val="18"/>
        </w:rPr>
        <w:t xml:space="preserve">. </w:t>
      </w:r>
    </w:p>
  </w:endnote>
  <w:endnote w:id="7">
    <w:p w14:paraId="5D607E74" w14:textId="77777777" w:rsidR="000A3694" w:rsidRPr="005F460C" w:rsidRDefault="000A3694" w:rsidP="0025389C">
      <w:pPr>
        <w:pStyle w:val="EndnoteText"/>
        <w:jc w:val="both"/>
        <w:rPr>
          <w:sz w:val="18"/>
          <w:szCs w:val="18"/>
        </w:rPr>
      </w:pPr>
      <w:r w:rsidRPr="005F460C">
        <w:rPr>
          <w:rStyle w:val="EndnoteReference"/>
          <w:sz w:val="18"/>
          <w:szCs w:val="18"/>
        </w:rPr>
        <w:endnoteRef/>
      </w:r>
      <w:r w:rsidRPr="005F460C">
        <w:rPr>
          <w:sz w:val="18"/>
          <w:szCs w:val="18"/>
        </w:rPr>
        <w:t xml:space="preserve"> Such as</w:t>
      </w:r>
      <w:r>
        <w:rPr>
          <w:sz w:val="18"/>
          <w:szCs w:val="18"/>
        </w:rPr>
        <w:t xml:space="preserve"> the</w:t>
      </w:r>
      <w:r w:rsidRPr="005F460C">
        <w:rPr>
          <w:sz w:val="18"/>
          <w:szCs w:val="18"/>
        </w:rPr>
        <w:t xml:space="preserve"> general public, public officials, media outlets, journalists, private sector, community and religious leaders, women and girls with disabilities, marginalised groups of persons with disabilities, etc.</w:t>
      </w:r>
    </w:p>
  </w:endnote>
  <w:endnote w:id="8">
    <w:p w14:paraId="59E014C9" w14:textId="77777777" w:rsidR="000A3694" w:rsidRPr="005F460C" w:rsidRDefault="000A3694" w:rsidP="0025389C">
      <w:pPr>
        <w:pStyle w:val="EndnoteText"/>
        <w:jc w:val="both"/>
        <w:rPr>
          <w:sz w:val="18"/>
          <w:szCs w:val="18"/>
        </w:rPr>
      </w:pPr>
      <w:r w:rsidRPr="005F460C">
        <w:rPr>
          <w:rStyle w:val="EndnoteReference"/>
          <w:sz w:val="18"/>
          <w:szCs w:val="18"/>
        </w:rPr>
        <w:endnoteRef/>
      </w:r>
      <w:r w:rsidRPr="005F460C">
        <w:rPr>
          <w:sz w:val="18"/>
          <w:szCs w:val="18"/>
        </w:rPr>
        <w:t xml:space="preserve"> Including women with disabilities, </w:t>
      </w:r>
      <w:r>
        <w:rPr>
          <w:sz w:val="18"/>
          <w:szCs w:val="18"/>
        </w:rPr>
        <w:t xml:space="preserve">children and youth with disabilities, </w:t>
      </w:r>
      <w:r w:rsidRPr="005F460C">
        <w:rPr>
          <w:sz w:val="18"/>
          <w:szCs w:val="18"/>
        </w:rPr>
        <w:t>persons with disabilities from marginalised and excluded communities and those living in rural areas.</w:t>
      </w:r>
    </w:p>
  </w:endnote>
  <w:endnote w:id="9">
    <w:p w14:paraId="048A4B66" w14:textId="77777777" w:rsidR="000A3694" w:rsidRPr="005F460C" w:rsidRDefault="000A3694" w:rsidP="0025389C">
      <w:pPr>
        <w:pStyle w:val="EndnoteText"/>
        <w:jc w:val="both"/>
        <w:rPr>
          <w:sz w:val="18"/>
          <w:szCs w:val="18"/>
        </w:rPr>
      </w:pPr>
      <w:r w:rsidRPr="005F460C">
        <w:rPr>
          <w:rStyle w:val="EndnoteReference"/>
          <w:sz w:val="18"/>
          <w:szCs w:val="18"/>
        </w:rPr>
        <w:endnoteRef/>
      </w:r>
      <w:r w:rsidRPr="005F460C">
        <w:rPr>
          <w:sz w:val="18"/>
          <w:szCs w:val="18"/>
        </w:rPr>
        <w:t xml:space="preserve"> Such as</w:t>
      </w:r>
      <w:r>
        <w:rPr>
          <w:sz w:val="18"/>
          <w:szCs w:val="18"/>
        </w:rPr>
        <w:t xml:space="preserve"> the</w:t>
      </w:r>
      <w:r w:rsidRPr="005F460C">
        <w:rPr>
          <w:sz w:val="18"/>
          <w:szCs w:val="18"/>
        </w:rPr>
        <w:t xml:space="preserve"> general public, public officials,</w:t>
      </w:r>
      <w:r>
        <w:rPr>
          <w:sz w:val="18"/>
          <w:szCs w:val="18"/>
        </w:rPr>
        <w:t xml:space="preserve"> members of media monitoring bodies,</w:t>
      </w:r>
      <w:r w:rsidRPr="005F460C">
        <w:rPr>
          <w:sz w:val="18"/>
          <w:szCs w:val="18"/>
        </w:rPr>
        <w:t xml:space="preserve"> media outlets, journalists, private sector, community and religious leaders, women and girls with disabilities, marginalised groups of persons with disabilities, etc.</w:t>
      </w:r>
    </w:p>
  </w:endnote>
  <w:endnote w:id="10">
    <w:p w14:paraId="487B3C81" w14:textId="77777777" w:rsidR="000A3694" w:rsidRPr="005F460C" w:rsidRDefault="000A3694" w:rsidP="0025389C">
      <w:pPr>
        <w:spacing w:after="0" w:line="240" w:lineRule="auto"/>
        <w:jc w:val="both"/>
        <w:rPr>
          <w:sz w:val="18"/>
          <w:szCs w:val="18"/>
        </w:rPr>
      </w:pPr>
      <w:r w:rsidRPr="005F460C">
        <w:rPr>
          <w:rStyle w:val="EndnoteReference"/>
          <w:sz w:val="18"/>
          <w:szCs w:val="18"/>
        </w:rPr>
        <w:endnoteRef/>
      </w:r>
      <w:r w:rsidRPr="005F460C">
        <w:rPr>
          <w:sz w:val="18"/>
          <w:szCs w:val="18"/>
        </w:rPr>
        <w:t xml:space="preserve"> Information regarding gender sensitivity could be derived from the Gender-Sensitive Indicators for Media (</w:t>
      </w:r>
      <w:hyperlink r:id="rId6" w:history="1">
        <w:r w:rsidRPr="005F460C">
          <w:rPr>
            <w:rStyle w:val="Hyperlink"/>
            <w:rFonts w:cstheme="minorHAnsi"/>
            <w:sz w:val="18"/>
            <w:szCs w:val="18"/>
          </w:rPr>
          <w:t>http://www.media-diversity.org/en/additional-files/Gender-Sensitive_Indicators_for_Media_EN.pdf</w:t>
        </w:r>
      </w:hyperlink>
      <w:r w:rsidRPr="005F460C">
        <w:rPr>
          <w:rFonts w:cstheme="minorHAnsi"/>
          <w:sz w:val="18"/>
          <w:szCs w:val="18"/>
        </w:rPr>
        <w:t xml:space="preserve">). </w:t>
      </w:r>
    </w:p>
  </w:endnote>
  <w:endnote w:id="11">
    <w:p w14:paraId="3ACD0066" w14:textId="2E1644F8" w:rsidR="000A3694" w:rsidRPr="00DD35DD" w:rsidRDefault="000A3694" w:rsidP="005121B0">
      <w:pPr>
        <w:pStyle w:val="EndnoteText"/>
        <w:jc w:val="both"/>
        <w:rPr>
          <w:sz w:val="18"/>
          <w:szCs w:val="18"/>
        </w:rPr>
      </w:pPr>
      <w:r w:rsidRPr="005F460C">
        <w:rPr>
          <w:rStyle w:val="EndnoteReference"/>
          <w:sz w:val="18"/>
          <w:szCs w:val="18"/>
        </w:rPr>
        <w:endnoteRef/>
      </w:r>
      <w:r w:rsidRPr="005F460C">
        <w:rPr>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w:t>
      </w:r>
      <w:r>
        <w:rPr>
          <w:sz w:val="18"/>
          <w:szCs w:val="18"/>
        </w:rPr>
        <w:t>(</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7" w:history="1">
        <w:r w:rsidRPr="00132310">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6595133B" w14:textId="77777777" w:rsidR="000A3694" w:rsidRPr="00DD35DD" w:rsidRDefault="000A3694" w:rsidP="005121B0">
      <w:pPr>
        <w:pStyle w:val="EndnoteText"/>
        <w:numPr>
          <w:ilvl w:val="0"/>
          <w:numId w:val="7"/>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230FB7E5" w14:textId="77777777" w:rsidR="000A3694" w:rsidRPr="00DD35DD" w:rsidRDefault="000A3694" w:rsidP="005121B0">
      <w:pPr>
        <w:pStyle w:val="EndnoteText"/>
        <w:numPr>
          <w:ilvl w:val="0"/>
          <w:numId w:val="7"/>
        </w:numPr>
        <w:ind w:left="714" w:hanging="357"/>
        <w:contextualSpacing/>
        <w:rPr>
          <w:sz w:val="18"/>
          <w:szCs w:val="18"/>
        </w:rPr>
      </w:pPr>
      <w:r w:rsidRPr="00DD35DD">
        <w:rPr>
          <w:sz w:val="18"/>
          <w:szCs w:val="18"/>
        </w:rPr>
        <w:t>ensure provision of appropriate and accessible information</w:t>
      </w:r>
      <w:r>
        <w:rPr>
          <w:sz w:val="18"/>
          <w:szCs w:val="18"/>
        </w:rPr>
        <w:t>;</w:t>
      </w:r>
    </w:p>
    <w:p w14:paraId="2D0E9087" w14:textId="77777777" w:rsidR="000A3694" w:rsidRPr="00DD35DD" w:rsidRDefault="000A3694" w:rsidP="005121B0">
      <w:pPr>
        <w:pStyle w:val="EndnoteText"/>
        <w:numPr>
          <w:ilvl w:val="0"/>
          <w:numId w:val="7"/>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22CB57B2" w14:textId="77777777" w:rsidR="000A3694" w:rsidRPr="00DD35DD" w:rsidRDefault="000A3694" w:rsidP="005121B0">
      <w:pPr>
        <w:pStyle w:val="EndnoteText"/>
        <w:numPr>
          <w:ilvl w:val="0"/>
          <w:numId w:val="7"/>
        </w:numPr>
        <w:ind w:left="714" w:hanging="357"/>
        <w:contextualSpacing/>
        <w:rPr>
          <w:sz w:val="18"/>
          <w:szCs w:val="18"/>
        </w:rPr>
      </w:pPr>
      <w:r w:rsidRPr="00DD35DD">
        <w:rPr>
          <w:sz w:val="18"/>
          <w:szCs w:val="18"/>
        </w:rPr>
        <w:t>include both registered and unregistered organ</w:t>
      </w:r>
      <w:r>
        <w:rPr>
          <w:sz w:val="18"/>
          <w:szCs w:val="18"/>
        </w:rPr>
        <w:t>izations;</w:t>
      </w:r>
    </w:p>
    <w:p w14:paraId="6DF01A88" w14:textId="77777777" w:rsidR="000A3694" w:rsidRDefault="000A3694" w:rsidP="005121B0">
      <w:pPr>
        <w:pStyle w:val="EndnoteText"/>
        <w:numPr>
          <w:ilvl w:val="0"/>
          <w:numId w:val="7"/>
        </w:numPr>
        <w:ind w:left="714" w:hanging="357"/>
        <w:contextualSpacing/>
        <w:rPr>
          <w:sz w:val="18"/>
          <w:szCs w:val="18"/>
        </w:rPr>
      </w:pPr>
      <w:r w:rsidRPr="00DD35DD">
        <w:rPr>
          <w:sz w:val="18"/>
          <w:szCs w:val="18"/>
        </w:rPr>
        <w:t>ensure ea</w:t>
      </w:r>
      <w:r>
        <w:rPr>
          <w:sz w:val="18"/>
          <w:szCs w:val="18"/>
        </w:rPr>
        <w:t>rly and continuous involvement;</w:t>
      </w:r>
    </w:p>
    <w:p w14:paraId="2F36CF90" w14:textId="77777777" w:rsidR="000A3694" w:rsidRPr="005121B0" w:rsidRDefault="000A3694" w:rsidP="005121B0">
      <w:pPr>
        <w:pStyle w:val="EndnoteText"/>
        <w:numPr>
          <w:ilvl w:val="0"/>
          <w:numId w:val="7"/>
        </w:numPr>
        <w:ind w:left="714" w:hanging="357"/>
        <w:contextualSpacing/>
        <w:rPr>
          <w:sz w:val="18"/>
          <w:szCs w:val="18"/>
        </w:rPr>
      </w:pPr>
      <w:r w:rsidRPr="005121B0">
        <w:rPr>
          <w:rFonts w:cstheme="minorHAnsi"/>
          <w:sz w:val="18"/>
          <w:szCs w:val="18"/>
        </w:rPr>
        <w:t>cover related expenses of participants.</w:t>
      </w:r>
    </w:p>
  </w:endnote>
  <w:endnote w:id="12">
    <w:p w14:paraId="64C5A066" w14:textId="77777777" w:rsidR="000A3694" w:rsidRDefault="000A3694" w:rsidP="0025389C">
      <w:pPr>
        <w:pStyle w:val="EndnoteText"/>
        <w:jc w:val="both"/>
      </w:pPr>
      <w:r w:rsidRPr="005F460C">
        <w:rPr>
          <w:rStyle w:val="EndnoteReference"/>
          <w:sz w:val="18"/>
          <w:szCs w:val="18"/>
        </w:rPr>
        <w:endnoteRef/>
      </w:r>
      <w:r w:rsidRPr="005F460C">
        <w:rPr>
          <w:sz w:val="18"/>
          <w:szCs w:val="18"/>
        </w:rPr>
        <w:t xml:space="preserve"> This could be assessed through the use of the specific perception surveys, such as those based on the “</w:t>
      </w:r>
      <w:hyperlink r:id="rId8" w:history="1">
        <w:r w:rsidRPr="005F460C">
          <w:rPr>
            <w:rStyle w:val="Hyperlink"/>
            <w:sz w:val="18"/>
            <w:szCs w:val="18"/>
          </w:rPr>
          <w:t>Social Distance Scale”</w:t>
        </w:r>
      </w:hyperlink>
      <w:r w:rsidRPr="005F460C">
        <w:rPr>
          <w:sz w:val="18"/>
          <w:szCs w:val="18"/>
        </w:rPr>
        <w:t>. See for instance, Council on the prevention and elimination of discrimination and ensuring equality of Moldova, OHCHR and U</w:t>
      </w:r>
      <w:r>
        <w:t>NDP “Study on equality perceptions and attitudes in the Republic of Moldova”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3F076" w14:textId="77777777" w:rsidR="00270F48" w:rsidRDefault="00270F48" w:rsidP="009D5D68">
      <w:pPr>
        <w:spacing w:after="0" w:line="240" w:lineRule="auto"/>
      </w:pPr>
      <w:r>
        <w:separator/>
      </w:r>
    </w:p>
  </w:footnote>
  <w:footnote w:type="continuationSeparator" w:id="0">
    <w:p w14:paraId="204BEBC2" w14:textId="77777777" w:rsidR="00270F48" w:rsidRDefault="00270F48" w:rsidP="009D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0D52"/>
    <w:multiLevelType w:val="hybridMultilevel"/>
    <w:tmpl w:val="74320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77CBA"/>
    <w:multiLevelType w:val="multilevel"/>
    <w:tmpl w:val="A3988CF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EC457F"/>
    <w:multiLevelType w:val="hybridMultilevel"/>
    <w:tmpl w:val="B120A682"/>
    <w:lvl w:ilvl="0" w:tplc="657E2BE0">
      <w:start w:val="2"/>
      <w:numFmt w:val="bullet"/>
      <w:lvlText w:val="-"/>
      <w:lvlJc w:val="left"/>
      <w:pPr>
        <w:ind w:left="720" w:hanging="360"/>
      </w:pPr>
      <w:rPr>
        <w:rFonts w:ascii="Calibri" w:eastAsiaTheme="minorHAnsi" w:hAnsi="Calibri" w:cs="Calibr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0A552A"/>
    <w:multiLevelType w:val="hybridMultilevel"/>
    <w:tmpl w:val="DEC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A504EB"/>
    <w:multiLevelType w:val="hybridMultilevel"/>
    <w:tmpl w:val="91806CF2"/>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15B64"/>
    <w:multiLevelType w:val="hybridMultilevel"/>
    <w:tmpl w:val="C9FAF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183C87"/>
    <w:multiLevelType w:val="multilevel"/>
    <w:tmpl w:val="A34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224C6"/>
    <w:multiLevelType w:val="hybridMultilevel"/>
    <w:tmpl w:val="704C7094"/>
    <w:lvl w:ilvl="0" w:tplc="657E2BE0">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4"/>
  </w:num>
  <w:num w:numId="4">
    <w:abstractNumId w:val="10"/>
  </w:num>
  <w:num w:numId="5">
    <w:abstractNumId w:val="5"/>
  </w:num>
  <w:num w:numId="6">
    <w:abstractNumId w:val="8"/>
  </w:num>
  <w:num w:numId="7">
    <w:abstractNumId w:val="7"/>
  </w:num>
  <w:num w:numId="8">
    <w:abstractNumId w:val="1"/>
  </w:num>
  <w:num w:numId="9">
    <w:abstractNumId w:val="2"/>
  </w:num>
  <w:num w:numId="10">
    <w:abstractNumId w:val="6"/>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06CBA"/>
    <w:rsid w:val="00006D9A"/>
    <w:rsid w:val="0001126F"/>
    <w:rsid w:val="00022B72"/>
    <w:rsid w:val="00037FF1"/>
    <w:rsid w:val="00040B43"/>
    <w:rsid w:val="000421B4"/>
    <w:rsid w:val="0006608C"/>
    <w:rsid w:val="0008240D"/>
    <w:rsid w:val="00082624"/>
    <w:rsid w:val="00083D9B"/>
    <w:rsid w:val="00086EF4"/>
    <w:rsid w:val="000A1483"/>
    <w:rsid w:val="000A3694"/>
    <w:rsid w:val="000C3232"/>
    <w:rsid w:val="000C6EF2"/>
    <w:rsid w:val="001014E7"/>
    <w:rsid w:val="001256F1"/>
    <w:rsid w:val="00132310"/>
    <w:rsid w:val="00161753"/>
    <w:rsid w:val="001753BD"/>
    <w:rsid w:val="001B33BE"/>
    <w:rsid w:val="001C1286"/>
    <w:rsid w:val="001C7235"/>
    <w:rsid w:val="001D259C"/>
    <w:rsid w:val="001E062C"/>
    <w:rsid w:val="002022CF"/>
    <w:rsid w:val="00202CEC"/>
    <w:rsid w:val="00211BCA"/>
    <w:rsid w:val="00212603"/>
    <w:rsid w:val="00220976"/>
    <w:rsid w:val="00241F27"/>
    <w:rsid w:val="00243772"/>
    <w:rsid w:val="00247EB8"/>
    <w:rsid w:val="0025389C"/>
    <w:rsid w:val="002664B9"/>
    <w:rsid w:val="00270F48"/>
    <w:rsid w:val="00282D27"/>
    <w:rsid w:val="00291A44"/>
    <w:rsid w:val="00295E3A"/>
    <w:rsid w:val="002A3808"/>
    <w:rsid w:val="002C26A5"/>
    <w:rsid w:val="0032161D"/>
    <w:rsid w:val="003216F0"/>
    <w:rsid w:val="003259B9"/>
    <w:rsid w:val="003259EB"/>
    <w:rsid w:val="00342704"/>
    <w:rsid w:val="00342B36"/>
    <w:rsid w:val="003529B9"/>
    <w:rsid w:val="00356894"/>
    <w:rsid w:val="003759C9"/>
    <w:rsid w:val="00383D86"/>
    <w:rsid w:val="003905C4"/>
    <w:rsid w:val="003A1529"/>
    <w:rsid w:val="003B1FB1"/>
    <w:rsid w:val="003D0456"/>
    <w:rsid w:val="003F021E"/>
    <w:rsid w:val="003F48F0"/>
    <w:rsid w:val="004226B5"/>
    <w:rsid w:val="004229F8"/>
    <w:rsid w:val="00433281"/>
    <w:rsid w:val="004654AD"/>
    <w:rsid w:val="004826F5"/>
    <w:rsid w:val="00483AEC"/>
    <w:rsid w:val="004874C2"/>
    <w:rsid w:val="004A04C5"/>
    <w:rsid w:val="004D418A"/>
    <w:rsid w:val="004D6799"/>
    <w:rsid w:val="004E2192"/>
    <w:rsid w:val="004F21E5"/>
    <w:rsid w:val="004F2DCA"/>
    <w:rsid w:val="004F4737"/>
    <w:rsid w:val="004F6F5E"/>
    <w:rsid w:val="005121B0"/>
    <w:rsid w:val="0051422F"/>
    <w:rsid w:val="00530BF7"/>
    <w:rsid w:val="00540DD7"/>
    <w:rsid w:val="005465E4"/>
    <w:rsid w:val="00554502"/>
    <w:rsid w:val="0056112A"/>
    <w:rsid w:val="00571829"/>
    <w:rsid w:val="00594817"/>
    <w:rsid w:val="005F460C"/>
    <w:rsid w:val="00624322"/>
    <w:rsid w:val="006275BA"/>
    <w:rsid w:val="00630454"/>
    <w:rsid w:val="006332BF"/>
    <w:rsid w:val="00642309"/>
    <w:rsid w:val="00642904"/>
    <w:rsid w:val="006436C5"/>
    <w:rsid w:val="0064490D"/>
    <w:rsid w:val="00665DEC"/>
    <w:rsid w:val="00667AB6"/>
    <w:rsid w:val="00687C51"/>
    <w:rsid w:val="00693D38"/>
    <w:rsid w:val="006B1CBD"/>
    <w:rsid w:val="006B5CDD"/>
    <w:rsid w:val="006E2CF5"/>
    <w:rsid w:val="006F35AA"/>
    <w:rsid w:val="007336F5"/>
    <w:rsid w:val="00736F98"/>
    <w:rsid w:val="007373F6"/>
    <w:rsid w:val="00737C7D"/>
    <w:rsid w:val="0074340B"/>
    <w:rsid w:val="00757F63"/>
    <w:rsid w:val="00764C17"/>
    <w:rsid w:val="00773F31"/>
    <w:rsid w:val="00786018"/>
    <w:rsid w:val="007A6048"/>
    <w:rsid w:val="007A682A"/>
    <w:rsid w:val="007C1F7E"/>
    <w:rsid w:val="007C69E0"/>
    <w:rsid w:val="007D3822"/>
    <w:rsid w:val="007D4D25"/>
    <w:rsid w:val="007E0D9F"/>
    <w:rsid w:val="00833CED"/>
    <w:rsid w:val="00846BE1"/>
    <w:rsid w:val="0085746D"/>
    <w:rsid w:val="008708BE"/>
    <w:rsid w:val="0087567F"/>
    <w:rsid w:val="00876401"/>
    <w:rsid w:val="00885386"/>
    <w:rsid w:val="00886FB8"/>
    <w:rsid w:val="00895F76"/>
    <w:rsid w:val="008A2C81"/>
    <w:rsid w:val="008B1850"/>
    <w:rsid w:val="008B6CC8"/>
    <w:rsid w:val="008D18E0"/>
    <w:rsid w:val="008D33C7"/>
    <w:rsid w:val="008E3C98"/>
    <w:rsid w:val="008F2CA8"/>
    <w:rsid w:val="00915A31"/>
    <w:rsid w:val="0094751F"/>
    <w:rsid w:val="00947DF0"/>
    <w:rsid w:val="00957478"/>
    <w:rsid w:val="0096783D"/>
    <w:rsid w:val="00981308"/>
    <w:rsid w:val="009820D4"/>
    <w:rsid w:val="0098688F"/>
    <w:rsid w:val="009911D3"/>
    <w:rsid w:val="009A0EC3"/>
    <w:rsid w:val="009B6963"/>
    <w:rsid w:val="009D05F4"/>
    <w:rsid w:val="009D1190"/>
    <w:rsid w:val="009D4B92"/>
    <w:rsid w:val="009D5334"/>
    <w:rsid w:val="009D5D68"/>
    <w:rsid w:val="009E4453"/>
    <w:rsid w:val="009E78D6"/>
    <w:rsid w:val="009F6E73"/>
    <w:rsid w:val="00A037B7"/>
    <w:rsid w:val="00A2699A"/>
    <w:rsid w:val="00A33D9E"/>
    <w:rsid w:val="00A34440"/>
    <w:rsid w:val="00A440B1"/>
    <w:rsid w:val="00A54B07"/>
    <w:rsid w:val="00A851A9"/>
    <w:rsid w:val="00A85FE4"/>
    <w:rsid w:val="00A904CB"/>
    <w:rsid w:val="00A90FDE"/>
    <w:rsid w:val="00AA01C4"/>
    <w:rsid w:val="00AA2A41"/>
    <w:rsid w:val="00AA629F"/>
    <w:rsid w:val="00AC103E"/>
    <w:rsid w:val="00AC35D2"/>
    <w:rsid w:val="00AF2B0A"/>
    <w:rsid w:val="00B01B14"/>
    <w:rsid w:val="00B075C9"/>
    <w:rsid w:val="00B10DBA"/>
    <w:rsid w:val="00B22C03"/>
    <w:rsid w:val="00B46CAE"/>
    <w:rsid w:val="00B64FE5"/>
    <w:rsid w:val="00B67B01"/>
    <w:rsid w:val="00BA73F7"/>
    <w:rsid w:val="00BB271F"/>
    <w:rsid w:val="00BD6E9F"/>
    <w:rsid w:val="00C526FA"/>
    <w:rsid w:val="00C54556"/>
    <w:rsid w:val="00C56860"/>
    <w:rsid w:val="00C57B80"/>
    <w:rsid w:val="00C63AB2"/>
    <w:rsid w:val="00C66DDB"/>
    <w:rsid w:val="00C818E7"/>
    <w:rsid w:val="00C8363D"/>
    <w:rsid w:val="00C9536F"/>
    <w:rsid w:val="00CB0A36"/>
    <w:rsid w:val="00CC0A66"/>
    <w:rsid w:val="00CC6831"/>
    <w:rsid w:val="00CE40E8"/>
    <w:rsid w:val="00CF2B66"/>
    <w:rsid w:val="00CF2FFC"/>
    <w:rsid w:val="00D04FDE"/>
    <w:rsid w:val="00D074DE"/>
    <w:rsid w:val="00D15B7B"/>
    <w:rsid w:val="00D30AEE"/>
    <w:rsid w:val="00D3275A"/>
    <w:rsid w:val="00D32F52"/>
    <w:rsid w:val="00D670BA"/>
    <w:rsid w:val="00D77390"/>
    <w:rsid w:val="00D83381"/>
    <w:rsid w:val="00D84791"/>
    <w:rsid w:val="00D84842"/>
    <w:rsid w:val="00D918F3"/>
    <w:rsid w:val="00DC1184"/>
    <w:rsid w:val="00DF1BDB"/>
    <w:rsid w:val="00DF5AC6"/>
    <w:rsid w:val="00E12F5E"/>
    <w:rsid w:val="00E24B12"/>
    <w:rsid w:val="00E25F55"/>
    <w:rsid w:val="00E30B9B"/>
    <w:rsid w:val="00E463A9"/>
    <w:rsid w:val="00E509D6"/>
    <w:rsid w:val="00E55122"/>
    <w:rsid w:val="00E607EE"/>
    <w:rsid w:val="00E72B46"/>
    <w:rsid w:val="00E772BA"/>
    <w:rsid w:val="00E77DA5"/>
    <w:rsid w:val="00E83577"/>
    <w:rsid w:val="00E924D4"/>
    <w:rsid w:val="00E96D8C"/>
    <w:rsid w:val="00EC26AF"/>
    <w:rsid w:val="00ED2FAE"/>
    <w:rsid w:val="00EE00E5"/>
    <w:rsid w:val="00EE057C"/>
    <w:rsid w:val="00EE75D6"/>
    <w:rsid w:val="00EE7A4C"/>
    <w:rsid w:val="00EF173D"/>
    <w:rsid w:val="00F21E3C"/>
    <w:rsid w:val="00F22FD6"/>
    <w:rsid w:val="00F410F6"/>
    <w:rsid w:val="00F42CD7"/>
    <w:rsid w:val="00F55A04"/>
    <w:rsid w:val="00F63625"/>
    <w:rsid w:val="00F63F2B"/>
    <w:rsid w:val="00F77486"/>
    <w:rsid w:val="00FC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09EA"/>
  <w14:defaultImageDpi w14:val="32767"/>
  <w15:chartTrackingRefBased/>
  <w15:docId w15:val="{BF5F6789-5F11-40CF-8A86-1BDC31BA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981308"/>
    <w:pPr>
      <w:spacing w:before="120" w:after="120" w:line="240" w:lineRule="auto"/>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981308"/>
    <w:pPr>
      <w:spacing w:after="0" w:line="240" w:lineRule="auto"/>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6F5"/>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826F5"/>
    <w:rPr>
      <w:rFonts w:ascii="Times New Roman" w:hAnsi="Times New Roman" w:cs="Times New Roman"/>
      <w:sz w:val="26"/>
      <w:szCs w:val="26"/>
      <w:lang w:val="en-GB"/>
    </w:rPr>
  </w:style>
  <w:style w:type="paragraph" w:customStyle="1" w:styleId="xmsonormal">
    <w:name w:val="x_msonormal"/>
    <w:basedOn w:val="Normal"/>
    <w:rsid w:val="00037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35D2"/>
    <w:rPr>
      <w:sz w:val="16"/>
      <w:szCs w:val="16"/>
    </w:rPr>
  </w:style>
  <w:style w:type="paragraph" w:styleId="CommentText">
    <w:name w:val="annotation text"/>
    <w:basedOn w:val="Normal"/>
    <w:link w:val="CommentTextChar"/>
    <w:uiPriority w:val="99"/>
    <w:semiHidden/>
    <w:unhideWhenUsed/>
    <w:rsid w:val="00AC35D2"/>
    <w:pPr>
      <w:spacing w:line="240" w:lineRule="auto"/>
    </w:pPr>
    <w:rPr>
      <w:sz w:val="20"/>
      <w:szCs w:val="20"/>
    </w:rPr>
  </w:style>
  <w:style w:type="character" w:customStyle="1" w:styleId="CommentTextChar">
    <w:name w:val="Comment Text Char"/>
    <w:basedOn w:val="DefaultParagraphFont"/>
    <w:link w:val="CommentText"/>
    <w:uiPriority w:val="99"/>
    <w:semiHidden/>
    <w:rsid w:val="00AC35D2"/>
    <w:rPr>
      <w:sz w:val="20"/>
      <w:szCs w:val="20"/>
      <w:lang w:val="en-GB"/>
    </w:rPr>
  </w:style>
  <w:style w:type="paragraph" w:styleId="CommentSubject">
    <w:name w:val="annotation subject"/>
    <w:basedOn w:val="CommentText"/>
    <w:next w:val="CommentText"/>
    <w:link w:val="CommentSubjectChar"/>
    <w:uiPriority w:val="99"/>
    <w:semiHidden/>
    <w:unhideWhenUsed/>
    <w:rsid w:val="00AC35D2"/>
    <w:rPr>
      <w:b/>
      <w:bCs/>
    </w:rPr>
  </w:style>
  <w:style w:type="character" w:customStyle="1" w:styleId="CommentSubjectChar">
    <w:name w:val="Comment Subject Char"/>
    <w:basedOn w:val="CommentTextChar"/>
    <w:link w:val="CommentSubject"/>
    <w:uiPriority w:val="99"/>
    <w:semiHidden/>
    <w:rsid w:val="00AC35D2"/>
    <w:rPr>
      <w:b/>
      <w:bCs/>
      <w:sz w:val="20"/>
      <w:szCs w:val="20"/>
      <w:lang w:val="en-GB"/>
    </w:rPr>
  </w:style>
  <w:style w:type="paragraph" w:styleId="EndnoteText">
    <w:name w:val="endnote text"/>
    <w:basedOn w:val="Normal"/>
    <w:link w:val="EndnoteTextChar"/>
    <w:uiPriority w:val="99"/>
    <w:unhideWhenUsed/>
    <w:rsid w:val="009D5D68"/>
    <w:pPr>
      <w:spacing w:after="0" w:line="240" w:lineRule="auto"/>
    </w:pPr>
    <w:rPr>
      <w:sz w:val="20"/>
      <w:szCs w:val="20"/>
    </w:rPr>
  </w:style>
  <w:style w:type="character" w:customStyle="1" w:styleId="EndnoteTextChar">
    <w:name w:val="Endnote Text Char"/>
    <w:basedOn w:val="DefaultParagraphFont"/>
    <w:link w:val="EndnoteText"/>
    <w:uiPriority w:val="99"/>
    <w:rsid w:val="009D5D68"/>
    <w:rPr>
      <w:sz w:val="20"/>
      <w:szCs w:val="20"/>
      <w:lang w:val="en-GB"/>
    </w:rPr>
  </w:style>
  <w:style w:type="character" w:styleId="EndnoteReference">
    <w:name w:val="endnote reference"/>
    <w:basedOn w:val="DefaultParagraphFont"/>
    <w:uiPriority w:val="99"/>
    <w:unhideWhenUsed/>
    <w:rsid w:val="009D5D68"/>
    <w:rPr>
      <w:vertAlign w:val="superscript"/>
    </w:rPr>
  </w:style>
  <w:style w:type="character" w:styleId="Hyperlink">
    <w:name w:val="Hyperlink"/>
    <w:basedOn w:val="DefaultParagraphFont"/>
    <w:uiPriority w:val="99"/>
    <w:unhideWhenUsed/>
    <w:rsid w:val="00C56860"/>
    <w:rPr>
      <w:color w:val="0563C1" w:themeColor="hyperlink"/>
      <w:u w:val="single"/>
    </w:rPr>
  </w:style>
  <w:style w:type="paragraph" w:styleId="FootnoteText">
    <w:name w:val="footnote text"/>
    <w:basedOn w:val="Normal"/>
    <w:link w:val="FootnoteTextChar"/>
    <w:uiPriority w:val="99"/>
    <w:semiHidden/>
    <w:unhideWhenUsed/>
    <w:rsid w:val="00642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09"/>
    <w:rPr>
      <w:sz w:val="20"/>
      <w:szCs w:val="20"/>
      <w:lang w:val="en-GB"/>
    </w:rPr>
  </w:style>
  <w:style w:type="character" w:styleId="FootnoteReference">
    <w:name w:val="footnote reference"/>
    <w:basedOn w:val="DefaultParagraphFont"/>
    <w:uiPriority w:val="99"/>
    <w:semiHidden/>
    <w:unhideWhenUsed/>
    <w:rsid w:val="00642309"/>
    <w:rPr>
      <w:vertAlign w:val="superscript"/>
    </w:rPr>
  </w:style>
  <w:style w:type="paragraph" w:styleId="Revision">
    <w:name w:val="Revision"/>
    <w:hidden/>
    <w:uiPriority w:val="99"/>
    <w:semiHidden/>
    <w:rsid w:val="00356894"/>
    <w:rPr>
      <w:sz w:val="22"/>
      <w:szCs w:val="22"/>
      <w:lang w:val="en-GB"/>
    </w:rPr>
  </w:style>
  <w:style w:type="character" w:customStyle="1" w:styleId="UnresolvedMention1">
    <w:name w:val="Unresolved Mention1"/>
    <w:basedOn w:val="DefaultParagraphFont"/>
    <w:uiPriority w:val="99"/>
    <w:semiHidden/>
    <w:unhideWhenUsed/>
    <w:rsid w:val="00132310"/>
    <w:rPr>
      <w:color w:val="605E5C"/>
      <w:shd w:val="clear" w:color="auto" w:fill="E1DFDD"/>
    </w:rPr>
  </w:style>
  <w:style w:type="character" w:styleId="FollowedHyperlink">
    <w:name w:val="FollowedHyperlink"/>
    <w:basedOn w:val="DefaultParagraphFont"/>
    <w:uiPriority w:val="99"/>
    <w:semiHidden/>
    <w:unhideWhenUsed/>
    <w:rsid w:val="0094751F"/>
    <w:rPr>
      <w:color w:val="954F72" w:themeColor="followedHyperlink"/>
      <w:u w:val="single"/>
    </w:rPr>
  </w:style>
  <w:style w:type="character" w:customStyle="1" w:styleId="Heading1Char">
    <w:name w:val="Heading 1 Char"/>
    <w:basedOn w:val="DefaultParagraphFont"/>
    <w:link w:val="Heading1"/>
    <w:uiPriority w:val="9"/>
    <w:rsid w:val="00981308"/>
    <w:rPr>
      <w:rFonts w:cstheme="minorHAnsi"/>
      <w:b/>
      <w:sz w:val="18"/>
      <w:szCs w:val="18"/>
      <w:lang w:val="en-GB"/>
    </w:rPr>
  </w:style>
  <w:style w:type="character" w:customStyle="1" w:styleId="Heading2Char">
    <w:name w:val="Heading 2 Char"/>
    <w:basedOn w:val="DefaultParagraphFont"/>
    <w:link w:val="Heading2"/>
    <w:uiPriority w:val="9"/>
    <w:rsid w:val="00981308"/>
    <w:rPr>
      <w:rFonts w:cstheme="minorHAnsi"/>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29052">
      <w:bodyDiv w:val="1"/>
      <w:marLeft w:val="0"/>
      <w:marRight w:val="0"/>
      <w:marTop w:val="0"/>
      <w:marBottom w:val="0"/>
      <w:divBdr>
        <w:top w:val="none" w:sz="0" w:space="0" w:color="auto"/>
        <w:left w:val="none" w:sz="0" w:space="0" w:color="auto"/>
        <w:bottom w:val="none" w:sz="0" w:space="0" w:color="auto"/>
        <w:right w:val="none" w:sz="0" w:space="0" w:color="auto"/>
      </w:divBdr>
      <w:divsChild>
        <w:div w:id="540628412">
          <w:marLeft w:val="0"/>
          <w:marRight w:val="0"/>
          <w:marTop w:val="0"/>
          <w:marBottom w:val="0"/>
          <w:divBdr>
            <w:top w:val="none" w:sz="0" w:space="0" w:color="auto"/>
            <w:left w:val="none" w:sz="0" w:space="0" w:color="auto"/>
            <w:bottom w:val="none" w:sz="0" w:space="0" w:color="auto"/>
            <w:right w:val="none" w:sz="0" w:space="0" w:color="auto"/>
          </w:divBdr>
        </w:div>
        <w:div w:id="870650435">
          <w:marLeft w:val="0"/>
          <w:marRight w:val="0"/>
          <w:marTop w:val="0"/>
          <w:marBottom w:val="0"/>
          <w:divBdr>
            <w:top w:val="none" w:sz="0" w:space="0" w:color="auto"/>
            <w:left w:val="none" w:sz="0" w:space="0" w:color="auto"/>
            <w:bottom w:val="none" w:sz="0" w:space="0" w:color="auto"/>
            <w:right w:val="none" w:sz="0" w:space="0" w:color="auto"/>
          </w:divBdr>
        </w:div>
        <w:div w:id="985940177">
          <w:marLeft w:val="0"/>
          <w:marRight w:val="0"/>
          <w:marTop w:val="0"/>
          <w:marBottom w:val="0"/>
          <w:divBdr>
            <w:top w:val="none" w:sz="0" w:space="0" w:color="auto"/>
            <w:left w:val="none" w:sz="0" w:space="0" w:color="auto"/>
            <w:bottom w:val="none" w:sz="0" w:space="0" w:color="auto"/>
            <w:right w:val="none" w:sz="0" w:space="0" w:color="auto"/>
          </w:divBdr>
        </w:div>
      </w:divsChild>
    </w:div>
    <w:div w:id="751394599">
      <w:bodyDiv w:val="1"/>
      <w:marLeft w:val="0"/>
      <w:marRight w:val="0"/>
      <w:marTop w:val="0"/>
      <w:marBottom w:val="0"/>
      <w:divBdr>
        <w:top w:val="none" w:sz="0" w:space="0" w:color="auto"/>
        <w:left w:val="none" w:sz="0" w:space="0" w:color="auto"/>
        <w:bottom w:val="none" w:sz="0" w:space="0" w:color="auto"/>
        <w:right w:val="none" w:sz="0" w:space="0" w:color="auto"/>
      </w:divBdr>
    </w:div>
    <w:div w:id="870530587">
      <w:bodyDiv w:val="1"/>
      <w:marLeft w:val="0"/>
      <w:marRight w:val="0"/>
      <w:marTop w:val="0"/>
      <w:marBottom w:val="0"/>
      <w:divBdr>
        <w:top w:val="none" w:sz="0" w:space="0" w:color="auto"/>
        <w:left w:val="none" w:sz="0" w:space="0" w:color="auto"/>
        <w:bottom w:val="none" w:sz="0" w:space="0" w:color="auto"/>
        <w:right w:val="none" w:sz="0" w:space="0" w:color="auto"/>
      </w:divBdr>
    </w:div>
    <w:div w:id="930236995">
      <w:bodyDiv w:val="1"/>
      <w:marLeft w:val="0"/>
      <w:marRight w:val="0"/>
      <w:marTop w:val="0"/>
      <w:marBottom w:val="0"/>
      <w:divBdr>
        <w:top w:val="none" w:sz="0" w:space="0" w:color="auto"/>
        <w:left w:val="none" w:sz="0" w:space="0" w:color="auto"/>
        <w:bottom w:val="none" w:sz="0" w:space="0" w:color="auto"/>
        <w:right w:val="none" w:sz="0" w:space="0" w:color="auto"/>
      </w:divBdr>
    </w:div>
    <w:div w:id="1847673760">
      <w:bodyDiv w:val="1"/>
      <w:marLeft w:val="0"/>
      <w:marRight w:val="0"/>
      <w:marTop w:val="0"/>
      <w:marBottom w:val="0"/>
      <w:divBdr>
        <w:top w:val="none" w:sz="0" w:space="0" w:color="auto"/>
        <w:left w:val="none" w:sz="0" w:space="0" w:color="auto"/>
        <w:bottom w:val="none" w:sz="0" w:space="0" w:color="auto"/>
        <w:right w:val="none" w:sz="0" w:space="0" w:color="auto"/>
      </w:divBdr>
    </w:div>
    <w:div w:id="1974014833">
      <w:bodyDiv w:val="1"/>
      <w:marLeft w:val="0"/>
      <w:marRight w:val="0"/>
      <w:marTop w:val="0"/>
      <w:marBottom w:val="0"/>
      <w:divBdr>
        <w:top w:val="none" w:sz="0" w:space="0" w:color="auto"/>
        <w:left w:val="none" w:sz="0" w:space="0" w:color="auto"/>
        <w:bottom w:val="none" w:sz="0" w:space="0" w:color="auto"/>
        <w:right w:val="none" w:sz="0" w:space="0" w:color="auto"/>
      </w:divBdr>
      <w:divsChild>
        <w:div w:id="198587094">
          <w:marLeft w:val="0"/>
          <w:marRight w:val="0"/>
          <w:marTop w:val="0"/>
          <w:marBottom w:val="0"/>
          <w:divBdr>
            <w:top w:val="none" w:sz="0" w:space="0" w:color="auto"/>
            <w:left w:val="none" w:sz="0" w:space="0" w:color="auto"/>
            <w:bottom w:val="none" w:sz="0" w:space="0" w:color="auto"/>
            <w:right w:val="none" w:sz="0" w:space="0" w:color="auto"/>
          </w:divBdr>
        </w:div>
        <w:div w:id="311328266">
          <w:marLeft w:val="0"/>
          <w:marRight w:val="0"/>
          <w:marTop w:val="0"/>
          <w:marBottom w:val="0"/>
          <w:divBdr>
            <w:top w:val="none" w:sz="0" w:space="0" w:color="auto"/>
            <w:left w:val="none" w:sz="0" w:space="0" w:color="auto"/>
            <w:bottom w:val="none" w:sz="0" w:space="0" w:color="auto"/>
            <w:right w:val="none" w:sz="0" w:space="0" w:color="auto"/>
          </w:divBdr>
        </w:div>
        <w:div w:id="421802418">
          <w:marLeft w:val="0"/>
          <w:marRight w:val="0"/>
          <w:marTop w:val="0"/>
          <w:marBottom w:val="0"/>
          <w:divBdr>
            <w:top w:val="none" w:sz="0" w:space="0" w:color="auto"/>
            <w:left w:val="none" w:sz="0" w:space="0" w:color="auto"/>
            <w:bottom w:val="none" w:sz="0" w:space="0" w:color="auto"/>
            <w:right w:val="none" w:sz="0" w:space="0" w:color="auto"/>
          </w:divBdr>
        </w:div>
        <w:div w:id="565267127">
          <w:marLeft w:val="0"/>
          <w:marRight w:val="0"/>
          <w:marTop w:val="0"/>
          <w:marBottom w:val="0"/>
          <w:divBdr>
            <w:top w:val="none" w:sz="0" w:space="0" w:color="auto"/>
            <w:left w:val="none" w:sz="0" w:space="0" w:color="auto"/>
            <w:bottom w:val="none" w:sz="0" w:space="0" w:color="auto"/>
            <w:right w:val="none" w:sz="0" w:space="0" w:color="auto"/>
          </w:divBdr>
        </w:div>
        <w:div w:id="1027683936">
          <w:marLeft w:val="0"/>
          <w:marRight w:val="0"/>
          <w:marTop w:val="0"/>
          <w:marBottom w:val="0"/>
          <w:divBdr>
            <w:top w:val="none" w:sz="0" w:space="0" w:color="auto"/>
            <w:left w:val="none" w:sz="0" w:space="0" w:color="auto"/>
            <w:bottom w:val="none" w:sz="0" w:space="0" w:color="auto"/>
            <w:right w:val="none" w:sz="0" w:space="0" w:color="auto"/>
          </w:divBdr>
        </w:div>
        <w:div w:id="1323894957">
          <w:marLeft w:val="0"/>
          <w:marRight w:val="0"/>
          <w:marTop w:val="0"/>
          <w:marBottom w:val="0"/>
          <w:divBdr>
            <w:top w:val="none" w:sz="0" w:space="0" w:color="auto"/>
            <w:left w:val="none" w:sz="0" w:space="0" w:color="auto"/>
            <w:bottom w:val="none" w:sz="0" w:space="0" w:color="auto"/>
            <w:right w:val="none" w:sz="0" w:space="0" w:color="auto"/>
          </w:divBdr>
        </w:div>
        <w:div w:id="1445416907">
          <w:marLeft w:val="0"/>
          <w:marRight w:val="0"/>
          <w:marTop w:val="0"/>
          <w:marBottom w:val="0"/>
          <w:divBdr>
            <w:top w:val="none" w:sz="0" w:space="0" w:color="auto"/>
            <w:left w:val="none" w:sz="0" w:space="0" w:color="auto"/>
            <w:bottom w:val="none" w:sz="0" w:space="0" w:color="auto"/>
            <w:right w:val="none" w:sz="0" w:space="0" w:color="auto"/>
          </w:divBdr>
        </w:div>
        <w:div w:id="1518151303">
          <w:marLeft w:val="0"/>
          <w:marRight w:val="0"/>
          <w:marTop w:val="0"/>
          <w:marBottom w:val="0"/>
          <w:divBdr>
            <w:top w:val="none" w:sz="0" w:space="0" w:color="auto"/>
            <w:left w:val="none" w:sz="0" w:space="0" w:color="auto"/>
            <w:bottom w:val="none" w:sz="0" w:space="0" w:color="auto"/>
            <w:right w:val="none" w:sz="0" w:space="0" w:color="auto"/>
          </w:divBdr>
        </w:div>
        <w:div w:id="1609924602">
          <w:marLeft w:val="0"/>
          <w:marRight w:val="0"/>
          <w:marTop w:val="0"/>
          <w:marBottom w:val="0"/>
          <w:divBdr>
            <w:top w:val="none" w:sz="0" w:space="0" w:color="auto"/>
            <w:left w:val="none" w:sz="0" w:space="0" w:color="auto"/>
            <w:bottom w:val="none" w:sz="0" w:space="0" w:color="auto"/>
            <w:right w:val="none" w:sz="0" w:space="0" w:color="auto"/>
          </w:divBdr>
        </w:div>
        <w:div w:id="1697802969">
          <w:marLeft w:val="0"/>
          <w:marRight w:val="0"/>
          <w:marTop w:val="0"/>
          <w:marBottom w:val="0"/>
          <w:divBdr>
            <w:top w:val="none" w:sz="0" w:space="0" w:color="auto"/>
            <w:left w:val="none" w:sz="0" w:space="0" w:color="auto"/>
            <w:bottom w:val="none" w:sz="0" w:space="0" w:color="auto"/>
            <w:right w:val="none" w:sz="0" w:space="0" w:color="auto"/>
          </w:divBdr>
        </w:div>
      </w:divsChild>
    </w:div>
    <w:div w:id="2009794958">
      <w:bodyDiv w:val="1"/>
      <w:marLeft w:val="0"/>
      <w:marRight w:val="0"/>
      <w:marTop w:val="0"/>
      <w:marBottom w:val="0"/>
      <w:divBdr>
        <w:top w:val="none" w:sz="0" w:space="0" w:color="auto"/>
        <w:left w:val="none" w:sz="0" w:space="0" w:color="auto"/>
        <w:bottom w:val="none" w:sz="0" w:space="0" w:color="auto"/>
        <w:right w:val="none" w:sz="0" w:space="0" w:color="auto"/>
      </w:divBdr>
    </w:div>
    <w:div w:id="2067023925">
      <w:bodyDiv w:val="1"/>
      <w:marLeft w:val="0"/>
      <w:marRight w:val="0"/>
      <w:marTop w:val="0"/>
      <w:marBottom w:val="0"/>
      <w:divBdr>
        <w:top w:val="none" w:sz="0" w:space="0" w:color="auto"/>
        <w:left w:val="none" w:sz="0" w:space="0" w:color="auto"/>
        <w:bottom w:val="none" w:sz="0" w:space="0" w:color="auto"/>
        <w:right w:val="none" w:sz="0" w:space="0" w:color="auto"/>
      </w:divBdr>
    </w:div>
    <w:div w:id="2126149438">
      <w:bodyDiv w:val="1"/>
      <w:marLeft w:val="0"/>
      <w:marRight w:val="0"/>
      <w:marTop w:val="0"/>
      <w:marBottom w:val="0"/>
      <w:divBdr>
        <w:top w:val="none" w:sz="0" w:space="0" w:color="auto"/>
        <w:left w:val="none" w:sz="0" w:space="0" w:color="auto"/>
        <w:bottom w:val="none" w:sz="0" w:space="0" w:color="auto"/>
        <w:right w:val="none" w:sz="0" w:space="0" w:color="auto"/>
      </w:divBdr>
    </w:div>
    <w:div w:id="2135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md.one.un.org/content/unct/moldova/en/home/publications/joint-publications/studiul-privind-percepiile-i-atitudinile-fa-de-egalitate-in-repu.html" TargetMode="External"/><Relationship Id="rId3" Type="http://schemas.openxmlformats.org/officeDocument/2006/relationships/hyperlink" Target="https://documents-dds-ny.un.org/doc/UNDOC/GEN/N14/627/78/PDF/N1462778.pdf?OpenElement" TargetMode="External"/><Relationship Id="rId7"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undocs.org/en/A/HRC/43/27" TargetMode="External"/><Relationship Id="rId1" Type="http://schemas.openxmlformats.org/officeDocument/2006/relationships/hyperlink" Target="https://undocs.org/en/A/HRC/43/41" TargetMode="External"/><Relationship Id="rId6" Type="http://schemas.openxmlformats.org/officeDocument/2006/relationships/hyperlink" Target="http://www.media-diversity.org/en/additional-files/Gender-Sensitive_Indicators_for_Media_EN.pdf" TargetMode="External"/><Relationship Id="rId5" Type="http://schemas.openxmlformats.org/officeDocument/2006/relationships/hyperlink" Target="http://www.hre2020.org/indicator-framework" TargetMode="External"/><Relationship Id="rId4" Type="http://schemas.openxmlformats.org/officeDocument/2006/relationships/hyperlink" Target="https://documents-dds-ny.un.org/doc/UNDOC/GEN/N08/440/75/PDF/N0844075.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2B4E3B-C20B-4CAD-A371-7A7A1E9C9CCA}">
  <ds:schemaRefs>
    <ds:schemaRef ds:uri="http://schemas.openxmlformats.org/officeDocument/2006/bibliography"/>
  </ds:schemaRefs>
</ds:datastoreItem>
</file>

<file path=customXml/itemProps2.xml><?xml version="1.0" encoding="utf-8"?>
<ds:datastoreItem xmlns:ds="http://schemas.openxmlformats.org/officeDocument/2006/customXml" ds:itemID="{E0D77CB3-FBD6-4A00-8D4A-C88B96670EA9}"/>
</file>

<file path=customXml/itemProps3.xml><?xml version="1.0" encoding="utf-8"?>
<ds:datastoreItem xmlns:ds="http://schemas.openxmlformats.org/officeDocument/2006/customXml" ds:itemID="{A2E7B850-76B5-4E67-A480-015963B73BD5}"/>
</file>

<file path=customXml/itemProps4.xml><?xml version="1.0" encoding="utf-8"?>
<ds:datastoreItem xmlns:ds="http://schemas.openxmlformats.org/officeDocument/2006/customXml" ds:itemID="{2EA6B883-3F8E-4FEB-B227-E1EC380697DF}"/>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dcterms:created xsi:type="dcterms:W3CDTF">2020-08-24T12:36:00Z</dcterms:created>
  <dcterms:modified xsi:type="dcterms:W3CDTF">2021-01-30T20:30:00Z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