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9" w:type="dxa"/>
        <w:tblInd w:w="-5" w:type="dxa"/>
        <w:tblLook w:val="04A0" w:firstRow="1" w:lastRow="0" w:firstColumn="1" w:lastColumn="0" w:noHBand="0" w:noVBand="1"/>
      </w:tblPr>
      <w:tblGrid>
        <w:gridCol w:w="1054"/>
        <w:gridCol w:w="7779"/>
        <w:gridCol w:w="3216"/>
        <w:gridCol w:w="3260"/>
      </w:tblGrid>
      <w:tr w:rsidR="009D5D68" w:rsidRPr="005F460C" w14:paraId="1CFAE95B" w14:textId="77777777" w:rsidTr="00D83381">
        <w:trPr>
          <w:trHeight w:val="131"/>
        </w:trPr>
        <w:tc>
          <w:tcPr>
            <w:tcW w:w="15309" w:type="dxa"/>
            <w:gridSpan w:val="4"/>
            <w:shd w:val="clear" w:color="auto" w:fill="D0CECE" w:themeFill="background2" w:themeFillShade="E6"/>
          </w:tcPr>
          <w:p w14:paraId="75E994B5" w14:textId="7B53E448" w:rsidR="009D5D68" w:rsidRPr="005F460C" w:rsidRDefault="009D5D68" w:rsidP="00B10DBA">
            <w:pPr>
              <w:spacing w:before="120" w:after="120" w:line="240" w:lineRule="auto"/>
              <w:jc w:val="center"/>
              <w:rPr>
                <w:rFonts w:cstheme="minorHAnsi"/>
                <w:b/>
                <w:sz w:val="18"/>
                <w:szCs w:val="18"/>
              </w:rPr>
            </w:pPr>
            <w:r>
              <w:rPr>
                <w:b/>
                <w:sz w:val="18"/>
                <w:szCs w:val="18"/>
              </w:rPr>
              <w:t>Article 8 – Indicateurs illustratifs de sensibilisation</w:t>
            </w:r>
          </w:p>
        </w:tc>
      </w:tr>
      <w:tr w:rsidR="009D5D68" w:rsidRPr="005F460C" w14:paraId="2E2C536C" w14:textId="77777777" w:rsidTr="00D83381">
        <w:tc>
          <w:tcPr>
            <w:tcW w:w="15309" w:type="dxa"/>
            <w:gridSpan w:val="4"/>
          </w:tcPr>
          <w:p w14:paraId="201058D3" w14:textId="3F8E2147" w:rsidR="009D5D68" w:rsidRPr="005F460C" w:rsidDel="009D5D68" w:rsidRDefault="00356894" w:rsidP="00220976">
            <w:pPr>
              <w:spacing w:after="0" w:line="240" w:lineRule="auto"/>
              <w:jc w:val="center"/>
              <w:rPr>
                <w:rFonts w:cstheme="minorHAnsi"/>
                <w:b/>
                <w:sz w:val="18"/>
                <w:szCs w:val="18"/>
              </w:rPr>
            </w:pPr>
            <w:r>
              <w:rPr>
                <w:b/>
                <w:sz w:val="18"/>
                <w:szCs w:val="18"/>
              </w:rPr>
              <w:t xml:space="preserve">Sensibiliser l'ensemble de la société au respect des droits des </w:t>
            </w:r>
            <w:r w:rsidR="007B7A6F">
              <w:rPr>
                <w:b/>
                <w:sz w:val="18"/>
                <w:szCs w:val="18"/>
              </w:rPr>
              <w:t>personnes handicapées</w:t>
            </w:r>
          </w:p>
        </w:tc>
      </w:tr>
      <w:tr w:rsidR="005121B0" w:rsidRPr="005F460C" w14:paraId="237C8CAA" w14:textId="77777777" w:rsidTr="005121B0">
        <w:trPr>
          <w:trHeight w:val="478"/>
        </w:trPr>
        <w:tc>
          <w:tcPr>
            <w:tcW w:w="1054" w:type="dxa"/>
          </w:tcPr>
          <w:p w14:paraId="1FB30168" w14:textId="2C5AEF69" w:rsidR="009D5D68" w:rsidRPr="005F460C" w:rsidRDefault="009D5D68" w:rsidP="00220976">
            <w:pPr>
              <w:spacing w:after="0" w:line="240" w:lineRule="auto"/>
              <w:rPr>
                <w:rFonts w:cstheme="minorHAnsi"/>
                <w:b/>
                <w:sz w:val="18"/>
                <w:szCs w:val="18"/>
              </w:rPr>
            </w:pPr>
            <w:r>
              <w:rPr>
                <w:b/>
                <w:sz w:val="18"/>
                <w:szCs w:val="18"/>
              </w:rPr>
              <w:t>Attributs/ Indicateurs</w:t>
            </w:r>
          </w:p>
        </w:tc>
        <w:tc>
          <w:tcPr>
            <w:tcW w:w="7779" w:type="dxa"/>
          </w:tcPr>
          <w:p w14:paraId="3149BE89" w14:textId="5FC036D2" w:rsidR="009D5D68" w:rsidRPr="005F460C" w:rsidRDefault="00BB271F" w:rsidP="00BB271F">
            <w:pPr>
              <w:spacing w:after="0" w:line="240" w:lineRule="auto"/>
              <w:jc w:val="center"/>
              <w:rPr>
                <w:rFonts w:cstheme="minorHAnsi"/>
                <w:b/>
                <w:sz w:val="18"/>
                <w:szCs w:val="18"/>
              </w:rPr>
            </w:pPr>
            <w:r>
              <w:rPr>
                <w:b/>
                <w:sz w:val="18"/>
                <w:szCs w:val="18"/>
              </w:rPr>
              <w:t xml:space="preserve">Combattre les stéréotypes, les préjugés et les pratiques néfastes </w:t>
            </w:r>
          </w:p>
        </w:tc>
        <w:tc>
          <w:tcPr>
            <w:tcW w:w="3216" w:type="dxa"/>
          </w:tcPr>
          <w:p w14:paraId="751F59BE" w14:textId="62199711" w:rsidR="009D5D68" w:rsidRPr="005F460C" w:rsidRDefault="00BB271F" w:rsidP="00220976">
            <w:pPr>
              <w:spacing w:after="0" w:line="240" w:lineRule="auto"/>
              <w:jc w:val="center"/>
              <w:rPr>
                <w:rFonts w:cstheme="minorHAnsi"/>
                <w:b/>
                <w:sz w:val="18"/>
                <w:szCs w:val="18"/>
              </w:rPr>
            </w:pPr>
            <w:r>
              <w:rPr>
                <w:b/>
                <w:sz w:val="18"/>
                <w:szCs w:val="18"/>
              </w:rPr>
              <w:t xml:space="preserve">Favoriser le respect des droits et de la dignité des </w:t>
            </w:r>
            <w:r w:rsidR="007B7A6F">
              <w:rPr>
                <w:b/>
                <w:sz w:val="18"/>
                <w:szCs w:val="18"/>
              </w:rPr>
              <w:t>personnes handicapées</w:t>
            </w:r>
          </w:p>
        </w:tc>
        <w:tc>
          <w:tcPr>
            <w:tcW w:w="3260" w:type="dxa"/>
          </w:tcPr>
          <w:p w14:paraId="4EC2D545" w14:textId="4EB4CD18" w:rsidR="009D5D68" w:rsidRPr="005F460C" w:rsidRDefault="009D5D68" w:rsidP="00220976">
            <w:pPr>
              <w:spacing w:after="0" w:line="240" w:lineRule="auto"/>
              <w:jc w:val="center"/>
              <w:rPr>
                <w:rFonts w:cstheme="minorHAnsi"/>
                <w:b/>
                <w:sz w:val="18"/>
                <w:szCs w:val="18"/>
              </w:rPr>
            </w:pPr>
            <w:r>
              <w:rPr>
                <w:b/>
                <w:sz w:val="18"/>
                <w:szCs w:val="18"/>
              </w:rPr>
              <w:t xml:space="preserve">Encourager la sensibilisation aux contributions des </w:t>
            </w:r>
            <w:r w:rsidR="007B7A6F">
              <w:rPr>
                <w:b/>
                <w:sz w:val="18"/>
                <w:szCs w:val="18"/>
              </w:rPr>
              <w:t>personnes handicapées</w:t>
            </w:r>
          </w:p>
        </w:tc>
      </w:tr>
      <w:tr w:rsidR="00C526FA" w:rsidRPr="005F460C" w14:paraId="6A8440A8" w14:textId="77777777" w:rsidTr="00D83381">
        <w:tc>
          <w:tcPr>
            <w:tcW w:w="1054" w:type="dxa"/>
            <w:vMerge w:val="restart"/>
          </w:tcPr>
          <w:p w14:paraId="6A0FA932" w14:textId="040CDCB9" w:rsidR="00C526FA" w:rsidRPr="005F460C" w:rsidRDefault="00C526FA" w:rsidP="00220976">
            <w:pPr>
              <w:spacing w:after="0" w:line="240" w:lineRule="auto"/>
              <w:jc w:val="both"/>
              <w:rPr>
                <w:rFonts w:cstheme="minorHAnsi"/>
                <w:b/>
                <w:sz w:val="18"/>
                <w:szCs w:val="18"/>
              </w:rPr>
            </w:pPr>
            <w:r>
              <w:rPr>
                <w:b/>
                <w:sz w:val="18"/>
                <w:szCs w:val="18"/>
              </w:rPr>
              <w:t>Structure</w:t>
            </w:r>
          </w:p>
        </w:tc>
        <w:tc>
          <w:tcPr>
            <w:tcW w:w="14255" w:type="dxa"/>
            <w:gridSpan w:val="3"/>
          </w:tcPr>
          <w:p w14:paraId="6CA0AE90" w14:textId="1E6C1B0F" w:rsidR="00AC103E" w:rsidRPr="005F460C" w:rsidRDefault="00AC103E" w:rsidP="00220976">
            <w:pPr>
              <w:spacing w:after="0" w:line="240" w:lineRule="auto"/>
              <w:jc w:val="both"/>
              <w:rPr>
                <w:rFonts w:eastAsia="Times New Roman" w:cstheme="minorHAnsi"/>
                <w:color w:val="212121"/>
                <w:sz w:val="18"/>
                <w:szCs w:val="18"/>
              </w:rPr>
            </w:pPr>
            <w:r>
              <w:rPr>
                <w:color w:val="212121"/>
                <w:sz w:val="18"/>
                <w:szCs w:val="18"/>
              </w:rPr>
              <w:t xml:space="preserve">8.1 Aucune disposition de la législation et des politiques ne perpétue la stigmatisation et la discrimination à l'égard des </w:t>
            </w:r>
            <w:r w:rsidR="007B7A6F">
              <w:rPr>
                <w:color w:val="212121"/>
                <w:sz w:val="18"/>
                <w:szCs w:val="18"/>
              </w:rPr>
              <w:t>personnes handicapées</w:t>
            </w:r>
            <w:r>
              <w:rPr>
                <w:color w:val="212121"/>
                <w:sz w:val="18"/>
                <w:szCs w:val="18"/>
              </w:rPr>
              <w:t>.</w:t>
            </w:r>
            <w:r w:rsidRPr="005F460C">
              <w:rPr>
                <w:rStyle w:val="EndnoteReference"/>
                <w:rFonts w:eastAsia="Times New Roman" w:cstheme="minorHAnsi"/>
                <w:color w:val="212121"/>
                <w:sz w:val="18"/>
                <w:szCs w:val="18"/>
                <w:lang w:eastAsia="en-GB"/>
              </w:rPr>
              <w:endnoteReference w:id="1"/>
            </w:r>
          </w:p>
          <w:p w14:paraId="4D4978CC" w14:textId="69506EBA" w:rsidR="00C526FA" w:rsidRPr="005F460C" w:rsidRDefault="009D5334" w:rsidP="00220976">
            <w:pPr>
              <w:spacing w:after="0" w:line="240" w:lineRule="auto"/>
              <w:jc w:val="both"/>
              <w:rPr>
                <w:rFonts w:eastAsia="Times New Roman" w:cstheme="minorHAnsi"/>
                <w:color w:val="212121"/>
                <w:sz w:val="18"/>
                <w:szCs w:val="18"/>
              </w:rPr>
            </w:pPr>
            <w:r>
              <w:rPr>
                <w:color w:val="212121"/>
                <w:sz w:val="18"/>
                <w:szCs w:val="18"/>
              </w:rPr>
              <w:t xml:space="preserve">8.2 Existence d'une stratégie et/ou d'un plan national complet de sensibilisation au handicap visant à lutter contre les stéréotypes à l'égard des </w:t>
            </w:r>
            <w:r w:rsidR="007B7A6F">
              <w:rPr>
                <w:color w:val="212121"/>
                <w:sz w:val="18"/>
                <w:szCs w:val="18"/>
              </w:rPr>
              <w:t>personnes handicapées</w:t>
            </w:r>
            <w:r>
              <w:rPr>
                <w:color w:val="212121"/>
                <w:sz w:val="18"/>
                <w:szCs w:val="18"/>
              </w:rPr>
              <w:t xml:space="preserve"> et à promouvoir la sensibilisation aux </w:t>
            </w:r>
            <w:r w:rsidR="007B7A6F">
              <w:rPr>
                <w:color w:val="212121"/>
                <w:sz w:val="18"/>
                <w:szCs w:val="18"/>
              </w:rPr>
              <w:t>personnes handicapées</w:t>
            </w:r>
            <w:r>
              <w:rPr>
                <w:color w:val="212121"/>
                <w:sz w:val="18"/>
                <w:szCs w:val="18"/>
              </w:rPr>
              <w:t xml:space="preserve"> et à leurs droits.</w:t>
            </w:r>
            <w:r w:rsidR="009D5D68" w:rsidRPr="005F460C">
              <w:rPr>
                <w:rStyle w:val="EndnoteReference"/>
                <w:rFonts w:eastAsia="Times New Roman" w:cstheme="minorHAnsi"/>
                <w:color w:val="212121"/>
                <w:sz w:val="18"/>
                <w:szCs w:val="18"/>
                <w:lang w:eastAsia="en-GB"/>
              </w:rPr>
              <w:endnoteReference w:id="2"/>
            </w:r>
          </w:p>
          <w:p w14:paraId="3EEC9BE5" w14:textId="184F0602" w:rsidR="00737C7D" w:rsidRPr="005F460C" w:rsidRDefault="009D5334" w:rsidP="00220976">
            <w:pPr>
              <w:pStyle w:val="xmsonormal"/>
              <w:shd w:val="clear" w:color="auto" w:fill="FFFFFF"/>
              <w:spacing w:before="0" w:beforeAutospacing="0" w:after="0" w:afterAutospacing="0"/>
              <w:jc w:val="both"/>
              <w:rPr>
                <w:rFonts w:asciiTheme="minorHAnsi" w:hAnsiTheme="minorHAnsi" w:cstheme="minorHAnsi"/>
                <w:color w:val="212121"/>
                <w:sz w:val="18"/>
                <w:szCs w:val="18"/>
              </w:rPr>
            </w:pPr>
            <w:r>
              <w:rPr>
                <w:rFonts w:asciiTheme="minorHAnsi" w:hAnsiTheme="minorHAnsi"/>
                <w:color w:val="212121"/>
                <w:sz w:val="18"/>
                <w:szCs w:val="18"/>
              </w:rPr>
              <w:t>8.3 Plan spécifique des autorités de régulation des médias pour encourager l'adoption par les médias de masse et les organes de presse de :</w:t>
            </w:r>
          </w:p>
          <w:p w14:paraId="5E5F6DD1" w14:textId="77777777" w:rsidR="00737C7D" w:rsidRPr="005F460C" w:rsidRDefault="00737C7D"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Lignes directrices inclusives et accessibles pour le lieu de travail et les procédures de ressources humaines pour accueillir la diversité ;</w:t>
            </w:r>
          </w:p>
          <w:p w14:paraId="64EA83E1" w14:textId="2C602B47" w:rsidR="00737C7D" w:rsidRPr="005F460C" w:rsidRDefault="00737C7D" w:rsidP="007336F5">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 xml:space="preserve">Lignes directrices pour les journalistes sur les reportages sur les </w:t>
            </w:r>
            <w:r w:rsidR="007B7A6F">
              <w:rPr>
                <w:rFonts w:asciiTheme="minorHAnsi" w:hAnsiTheme="minorHAnsi"/>
                <w:color w:val="212121"/>
                <w:sz w:val="18"/>
                <w:szCs w:val="18"/>
              </w:rPr>
              <w:t>personnes handicapées</w:t>
            </w:r>
            <w:r>
              <w:rPr>
                <w:rFonts w:asciiTheme="minorHAnsi" w:hAnsiTheme="minorHAnsi"/>
                <w:color w:val="212121"/>
                <w:sz w:val="18"/>
                <w:szCs w:val="18"/>
              </w:rPr>
              <w:t>.</w:t>
            </w:r>
            <w:r w:rsidRPr="005F460C">
              <w:rPr>
                <w:rStyle w:val="EndnoteReference"/>
                <w:rFonts w:asciiTheme="minorHAnsi" w:hAnsiTheme="minorHAnsi" w:cstheme="minorHAnsi"/>
                <w:color w:val="212121"/>
                <w:sz w:val="18"/>
                <w:szCs w:val="18"/>
              </w:rPr>
              <w:endnoteReference w:id="3"/>
            </w:r>
          </w:p>
          <w:p w14:paraId="6B4C55CB" w14:textId="62A9331C" w:rsidR="009D4B92" w:rsidRPr="005F460C" w:rsidRDefault="009D4B92" w:rsidP="007B7A6F">
            <w:pPr>
              <w:pStyle w:val="xmsonormal"/>
              <w:numPr>
                <w:ilvl w:val="0"/>
                <w:numId w:val="2"/>
              </w:numPr>
              <w:shd w:val="clear" w:color="auto" w:fill="FFFFFF"/>
              <w:spacing w:before="0" w:beforeAutospacing="0" w:after="0" w:afterAutospacing="0"/>
              <w:ind w:left="396" w:hanging="284"/>
              <w:jc w:val="both"/>
              <w:rPr>
                <w:rFonts w:asciiTheme="minorHAnsi" w:hAnsiTheme="minorHAnsi" w:cstheme="minorHAnsi"/>
                <w:color w:val="212121"/>
                <w:sz w:val="18"/>
                <w:szCs w:val="18"/>
              </w:rPr>
            </w:pPr>
            <w:r>
              <w:rPr>
                <w:rFonts w:asciiTheme="minorHAnsi" w:hAnsiTheme="minorHAnsi"/>
                <w:color w:val="212121"/>
                <w:sz w:val="18"/>
                <w:szCs w:val="18"/>
              </w:rPr>
              <w:t xml:space="preserve">Mécanismes de consultation des </w:t>
            </w:r>
            <w:r w:rsidR="007B7A6F">
              <w:rPr>
                <w:rFonts w:asciiTheme="minorHAnsi" w:hAnsiTheme="minorHAnsi"/>
                <w:color w:val="212121"/>
                <w:sz w:val="18"/>
                <w:szCs w:val="18"/>
              </w:rPr>
              <w:t xml:space="preserve">personnes handicapées, notamment par l’intermédiaire </w:t>
            </w:r>
            <w:r>
              <w:rPr>
                <w:rFonts w:asciiTheme="minorHAnsi" w:hAnsiTheme="minorHAnsi"/>
                <w:color w:val="212121"/>
                <w:sz w:val="18"/>
                <w:szCs w:val="18"/>
              </w:rPr>
              <w:t>de</w:t>
            </w:r>
            <w:r w:rsidR="007B7A6F">
              <w:rPr>
                <w:rFonts w:asciiTheme="minorHAnsi" w:hAnsiTheme="minorHAnsi"/>
                <w:color w:val="212121"/>
                <w:sz w:val="18"/>
                <w:szCs w:val="18"/>
              </w:rPr>
              <w:t>s</w:t>
            </w:r>
            <w:r>
              <w:rPr>
                <w:rFonts w:asciiTheme="minorHAnsi" w:hAnsiTheme="minorHAnsi"/>
                <w:color w:val="212121"/>
                <w:sz w:val="18"/>
                <w:szCs w:val="18"/>
              </w:rPr>
              <w:t xml:space="preserve"> organisations</w:t>
            </w:r>
            <w:r w:rsidR="007B7A6F">
              <w:rPr>
                <w:rFonts w:asciiTheme="minorHAnsi" w:hAnsiTheme="minorHAnsi"/>
                <w:color w:val="212121"/>
                <w:sz w:val="18"/>
                <w:szCs w:val="18"/>
              </w:rPr>
              <w:t xml:space="preserve"> qui les</w:t>
            </w:r>
            <w:r>
              <w:rPr>
                <w:rFonts w:asciiTheme="minorHAnsi" w:hAnsiTheme="minorHAnsi"/>
                <w:color w:val="212121"/>
                <w:sz w:val="18"/>
                <w:szCs w:val="18"/>
              </w:rPr>
              <w:t xml:space="preserve"> représent</w:t>
            </w:r>
            <w:r w:rsidR="007B7A6F">
              <w:rPr>
                <w:rFonts w:asciiTheme="minorHAnsi" w:hAnsiTheme="minorHAnsi"/>
                <w:color w:val="212121"/>
                <w:sz w:val="18"/>
                <w:szCs w:val="18"/>
              </w:rPr>
              <w:t>ent</w:t>
            </w:r>
            <w:r>
              <w:rPr>
                <w:rFonts w:asciiTheme="minorHAnsi" w:hAnsiTheme="minorHAnsi"/>
                <w:color w:val="212121"/>
                <w:sz w:val="18"/>
                <w:szCs w:val="18"/>
              </w:rPr>
              <w:t>, dans la conception, l'élaboration et le suivi de leurs politiques et pratiques.</w:t>
            </w:r>
          </w:p>
        </w:tc>
      </w:tr>
      <w:tr w:rsidR="003259EB" w:rsidRPr="005F460C" w14:paraId="771CE7AB" w14:textId="77777777" w:rsidTr="005121B0">
        <w:tc>
          <w:tcPr>
            <w:tcW w:w="1054" w:type="dxa"/>
            <w:vMerge/>
          </w:tcPr>
          <w:p w14:paraId="6EB16D3B" w14:textId="77777777" w:rsidR="00BB271F" w:rsidRPr="005F460C" w:rsidRDefault="00BB271F" w:rsidP="00220976">
            <w:pPr>
              <w:spacing w:after="0" w:line="240" w:lineRule="auto"/>
              <w:jc w:val="both"/>
              <w:rPr>
                <w:rFonts w:cstheme="minorHAnsi"/>
                <w:b/>
                <w:sz w:val="18"/>
                <w:szCs w:val="18"/>
              </w:rPr>
            </w:pPr>
          </w:p>
        </w:tc>
        <w:tc>
          <w:tcPr>
            <w:tcW w:w="7779" w:type="dxa"/>
          </w:tcPr>
          <w:p w14:paraId="2E18AB1D" w14:textId="7631B6DD" w:rsidR="00BB271F" w:rsidRPr="005F460C" w:rsidRDefault="00BB271F" w:rsidP="00BB271F">
            <w:pPr>
              <w:pStyle w:val="xmsonormal"/>
              <w:shd w:val="clear" w:color="auto" w:fill="FFFFFF"/>
              <w:spacing w:before="0" w:beforeAutospacing="0" w:after="0" w:afterAutospacing="0"/>
              <w:jc w:val="both"/>
              <w:rPr>
                <w:rFonts w:asciiTheme="minorHAnsi" w:hAnsiTheme="minorHAnsi" w:cstheme="minorHAnsi"/>
                <w:sz w:val="18"/>
                <w:szCs w:val="18"/>
              </w:rPr>
            </w:pPr>
            <w:r>
              <w:rPr>
                <w:rFonts w:asciiTheme="minorHAnsi" w:hAnsiTheme="minorHAnsi"/>
                <w:sz w:val="18"/>
                <w:szCs w:val="18"/>
              </w:rPr>
              <w:t>8.4 Adoption de mesures juridiques contre les crimes de haine, les discours de haine et les pratiques préjudiciables</w:t>
            </w:r>
            <w:r w:rsidRPr="005F460C">
              <w:rPr>
                <w:rStyle w:val="EndnoteReference"/>
                <w:rFonts w:asciiTheme="minorHAnsi" w:hAnsiTheme="minorHAnsi" w:cstheme="minorHAnsi"/>
                <w:sz w:val="18"/>
                <w:szCs w:val="18"/>
              </w:rPr>
              <w:endnoteReference w:id="4"/>
            </w:r>
            <w:r>
              <w:rPr>
                <w:rFonts w:asciiTheme="minorHAnsi" w:hAnsiTheme="minorHAnsi"/>
                <w:sz w:val="18"/>
                <w:szCs w:val="18"/>
              </w:rPr>
              <w:t xml:space="preserve"> contre les </w:t>
            </w:r>
            <w:r w:rsidR="007B7A6F">
              <w:rPr>
                <w:rFonts w:asciiTheme="minorHAnsi" w:hAnsiTheme="minorHAnsi"/>
                <w:sz w:val="18"/>
                <w:szCs w:val="18"/>
              </w:rPr>
              <w:t>personnes handicapées</w:t>
            </w:r>
            <w:r>
              <w:rPr>
                <w:rFonts w:asciiTheme="minorHAnsi" w:hAnsiTheme="minorHAnsi"/>
                <w:sz w:val="18"/>
                <w:szCs w:val="18"/>
              </w:rPr>
              <w:t>, notamment par le biais de sanctions pénales.</w:t>
            </w:r>
            <w:r w:rsidRPr="005F460C">
              <w:rPr>
                <w:rStyle w:val="EndnoteReference"/>
                <w:rFonts w:asciiTheme="minorHAnsi" w:hAnsiTheme="minorHAnsi" w:cstheme="minorHAnsi"/>
                <w:sz w:val="18"/>
                <w:szCs w:val="18"/>
              </w:rPr>
              <w:endnoteReference w:id="5"/>
            </w:r>
          </w:p>
          <w:p w14:paraId="27B86878" w14:textId="3AEE5842" w:rsidR="00BB271F" w:rsidRPr="005F460C" w:rsidRDefault="00BB271F" w:rsidP="00BB271F">
            <w:pPr>
              <w:spacing w:after="0" w:line="240" w:lineRule="auto"/>
              <w:jc w:val="both"/>
              <w:rPr>
                <w:rFonts w:cstheme="minorHAnsi"/>
                <w:sz w:val="18"/>
                <w:szCs w:val="18"/>
              </w:rPr>
            </w:pPr>
            <w:r>
              <w:rPr>
                <w:sz w:val="18"/>
                <w:szCs w:val="18"/>
              </w:rPr>
              <w:t xml:space="preserve">8.5 Adoption de mesures juridiques qui traitent de l'utilisation d'un langage et d'un comportement désobligeants par le biais de sanctions proportionnées. </w:t>
            </w:r>
          </w:p>
        </w:tc>
        <w:tc>
          <w:tcPr>
            <w:tcW w:w="6476" w:type="dxa"/>
            <w:gridSpan w:val="2"/>
          </w:tcPr>
          <w:p w14:paraId="68469707" w14:textId="4520D060" w:rsidR="00BB271F" w:rsidRPr="005F460C" w:rsidRDefault="00BB271F" w:rsidP="00DF1BDB">
            <w:pPr>
              <w:spacing w:after="0" w:line="240" w:lineRule="auto"/>
              <w:jc w:val="both"/>
              <w:rPr>
                <w:rFonts w:cstheme="minorHAnsi"/>
                <w:sz w:val="18"/>
                <w:szCs w:val="18"/>
              </w:rPr>
            </w:pPr>
            <w:r>
              <w:rPr>
                <w:sz w:val="18"/>
                <w:szCs w:val="18"/>
              </w:rPr>
              <w:t xml:space="preserve">8.6 Les programmes d'éducation et de formation aux droits de l'homme incluent les droits des </w:t>
            </w:r>
            <w:r w:rsidR="007B7A6F">
              <w:rPr>
                <w:sz w:val="18"/>
                <w:szCs w:val="18"/>
              </w:rPr>
              <w:t>personnes handicapées</w:t>
            </w:r>
            <w:r>
              <w:rPr>
                <w:sz w:val="18"/>
                <w:szCs w:val="18"/>
              </w:rPr>
              <w:t xml:space="preserve"> et impliquent des organisations de </w:t>
            </w:r>
            <w:r w:rsidR="007B7A6F">
              <w:rPr>
                <w:sz w:val="18"/>
                <w:szCs w:val="18"/>
              </w:rPr>
              <w:t>personnes handicapées</w:t>
            </w:r>
            <w:r>
              <w:rPr>
                <w:sz w:val="18"/>
                <w:szCs w:val="18"/>
              </w:rPr>
              <w:t xml:space="preserve"> représentatives de divers groupes.</w:t>
            </w:r>
            <w:r>
              <w:rPr>
                <w:rStyle w:val="EndnoteReference"/>
                <w:sz w:val="18"/>
                <w:szCs w:val="18"/>
              </w:rPr>
              <w:t xml:space="preserve"> </w:t>
            </w:r>
            <w:r w:rsidRPr="005F460C">
              <w:rPr>
                <w:rStyle w:val="EndnoteReference"/>
                <w:rFonts w:cstheme="minorHAnsi"/>
                <w:sz w:val="18"/>
                <w:szCs w:val="18"/>
              </w:rPr>
              <w:endnoteReference w:id="6"/>
            </w:r>
          </w:p>
        </w:tc>
      </w:tr>
      <w:tr w:rsidR="008D18E0" w:rsidRPr="005F460C" w14:paraId="732428DE" w14:textId="77777777" w:rsidTr="00D83381">
        <w:trPr>
          <w:trHeight w:val="1229"/>
        </w:trPr>
        <w:tc>
          <w:tcPr>
            <w:tcW w:w="1054" w:type="dxa"/>
            <w:vMerge w:val="restart"/>
          </w:tcPr>
          <w:p w14:paraId="2730ED28" w14:textId="30C6B1BE" w:rsidR="008D18E0" w:rsidRPr="005F460C" w:rsidRDefault="008D18E0" w:rsidP="00220976">
            <w:pPr>
              <w:spacing w:after="0" w:line="240" w:lineRule="auto"/>
              <w:jc w:val="both"/>
              <w:rPr>
                <w:rFonts w:cstheme="minorHAnsi"/>
                <w:b/>
                <w:sz w:val="18"/>
                <w:szCs w:val="18"/>
              </w:rPr>
            </w:pPr>
            <w:r>
              <w:rPr>
                <w:b/>
                <w:sz w:val="18"/>
                <w:szCs w:val="18"/>
              </w:rPr>
              <w:t>Processus</w:t>
            </w:r>
          </w:p>
        </w:tc>
        <w:tc>
          <w:tcPr>
            <w:tcW w:w="14255" w:type="dxa"/>
            <w:gridSpan w:val="3"/>
          </w:tcPr>
          <w:p w14:paraId="6645F5D3" w14:textId="2D76AF1B" w:rsidR="008D18E0" w:rsidRPr="005F460C" w:rsidRDefault="00737C7D" w:rsidP="00220976">
            <w:pPr>
              <w:spacing w:after="0" w:line="240" w:lineRule="auto"/>
              <w:jc w:val="both"/>
              <w:rPr>
                <w:rFonts w:cstheme="minorHAnsi"/>
                <w:sz w:val="18"/>
                <w:szCs w:val="18"/>
              </w:rPr>
            </w:pPr>
            <w:r>
              <w:rPr>
                <w:sz w:val="18"/>
                <w:szCs w:val="18"/>
              </w:rPr>
              <w:t xml:space="preserve">8.7 Nombre et type d'activités de sensibilisation multimédia sur les droits des </w:t>
            </w:r>
            <w:r w:rsidR="007B7A6F">
              <w:rPr>
                <w:sz w:val="18"/>
                <w:szCs w:val="18"/>
              </w:rPr>
              <w:t>personnes handicapées</w:t>
            </w:r>
            <w:r>
              <w:rPr>
                <w:sz w:val="18"/>
                <w:szCs w:val="18"/>
              </w:rPr>
              <w:t xml:space="preserve"> et leurs contributions, ventilées par type, durée et groupe cible.</w:t>
            </w:r>
            <w:r w:rsidR="001753BD" w:rsidRPr="005F460C">
              <w:rPr>
                <w:rStyle w:val="EndnoteReference"/>
                <w:rFonts w:cstheme="minorHAnsi"/>
                <w:sz w:val="18"/>
                <w:szCs w:val="18"/>
              </w:rPr>
              <w:endnoteReference w:id="7"/>
            </w:r>
          </w:p>
          <w:p w14:paraId="7E9D214E" w14:textId="51287253" w:rsidR="001753BD" w:rsidRPr="005F460C" w:rsidRDefault="001753BD" w:rsidP="00220976">
            <w:pPr>
              <w:spacing w:after="0" w:line="240" w:lineRule="auto"/>
              <w:jc w:val="both"/>
              <w:rPr>
                <w:rFonts w:cstheme="minorHAnsi"/>
                <w:sz w:val="18"/>
                <w:szCs w:val="18"/>
              </w:rPr>
            </w:pPr>
            <w:r>
              <w:rPr>
                <w:sz w:val="18"/>
                <w:szCs w:val="18"/>
              </w:rPr>
              <w:t xml:space="preserve">8.8 Nombre et type d'activités de sensibilisation accessibles et inclusives ciblant les </w:t>
            </w:r>
            <w:r w:rsidR="007B7A6F">
              <w:rPr>
                <w:sz w:val="18"/>
                <w:szCs w:val="18"/>
              </w:rPr>
              <w:t>personnes handicapées</w:t>
            </w:r>
            <w:r w:rsidRPr="005F460C">
              <w:rPr>
                <w:rStyle w:val="EndnoteReference"/>
                <w:rFonts w:cstheme="minorHAnsi"/>
                <w:sz w:val="18"/>
                <w:szCs w:val="18"/>
              </w:rPr>
              <w:endnoteReference w:id="8"/>
            </w:r>
            <w:r>
              <w:rPr>
                <w:sz w:val="18"/>
                <w:szCs w:val="18"/>
              </w:rPr>
              <w:t xml:space="preserve"> et les informant de leurs droits en vertu de la CDPH, du Protocole facultatif et du cadre juridique national, ventilées par type et couverture géographique des activités</w:t>
            </w:r>
          </w:p>
          <w:p w14:paraId="2CAA6761" w14:textId="5A098794" w:rsidR="001753BD" w:rsidRPr="005F460C" w:rsidRDefault="009D5334" w:rsidP="00220976">
            <w:pPr>
              <w:spacing w:after="0" w:line="240" w:lineRule="auto"/>
              <w:jc w:val="both"/>
              <w:rPr>
                <w:rFonts w:cstheme="minorHAnsi"/>
                <w:sz w:val="18"/>
                <w:szCs w:val="18"/>
              </w:rPr>
            </w:pPr>
            <w:r>
              <w:rPr>
                <w:sz w:val="18"/>
                <w:szCs w:val="18"/>
              </w:rPr>
              <w:t>8.9 Nombre de personnes formées dans le cadre de programmes de sensibilisation gérés par l'État pour différents acteurs</w:t>
            </w:r>
            <w:r w:rsidR="001753BD" w:rsidRPr="005F460C">
              <w:rPr>
                <w:rStyle w:val="EndnoteReference"/>
                <w:rFonts w:cstheme="minorHAnsi"/>
                <w:sz w:val="18"/>
                <w:szCs w:val="18"/>
              </w:rPr>
              <w:endnoteReference w:id="9"/>
            </w:r>
            <w:r>
              <w:rPr>
                <w:sz w:val="18"/>
                <w:szCs w:val="18"/>
              </w:rPr>
              <w:t xml:space="preserve"> afin de favoriser le respect des droits des </w:t>
            </w:r>
            <w:r w:rsidR="007B7A6F">
              <w:rPr>
                <w:sz w:val="18"/>
                <w:szCs w:val="18"/>
              </w:rPr>
              <w:t>personnes handicapées</w:t>
            </w:r>
            <w:r>
              <w:rPr>
                <w:sz w:val="18"/>
                <w:szCs w:val="18"/>
              </w:rPr>
              <w:t xml:space="preserve"> et de les informer sur ces droits, notamment sur la lutte contre les stéréotypes, les préjugés et les pratiques préjudiciables. </w:t>
            </w:r>
          </w:p>
          <w:p w14:paraId="204CCC48" w14:textId="1EA003E1" w:rsidR="001753BD" w:rsidRPr="005F460C" w:rsidRDefault="009D5334" w:rsidP="00220976">
            <w:pPr>
              <w:spacing w:after="0" w:line="240" w:lineRule="auto"/>
              <w:rPr>
                <w:rFonts w:eastAsia="Times New Roman" w:cstheme="minorHAnsi"/>
                <w:sz w:val="18"/>
                <w:szCs w:val="18"/>
              </w:rPr>
            </w:pPr>
            <w:r>
              <w:rPr>
                <w:sz w:val="18"/>
                <w:szCs w:val="18"/>
              </w:rPr>
              <w:t xml:space="preserve">8.10 Existence de contenu traitant spécifiquement de l'inclusion des </w:t>
            </w:r>
            <w:r w:rsidR="007B7A6F">
              <w:rPr>
                <w:sz w:val="18"/>
                <w:szCs w:val="18"/>
              </w:rPr>
              <w:t>personnes handicapées</w:t>
            </w:r>
            <w:r>
              <w:rPr>
                <w:sz w:val="18"/>
                <w:szCs w:val="18"/>
              </w:rPr>
              <w:t xml:space="preserve"> et du respect de leurs droits humains tels que garantis par la CDPH, et existence de l'intégration de la dimension de genre</w:t>
            </w:r>
            <w:r w:rsidR="001753BD" w:rsidRPr="005F460C">
              <w:rPr>
                <w:rStyle w:val="EndnoteReference"/>
                <w:rFonts w:eastAsia="Times New Roman" w:cstheme="minorHAnsi"/>
                <w:sz w:val="18"/>
                <w:szCs w:val="18"/>
                <w:lang w:eastAsia="en-GB"/>
              </w:rPr>
              <w:endnoteReference w:id="10"/>
            </w:r>
            <w:r>
              <w:rPr>
                <w:sz w:val="18"/>
                <w:szCs w:val="18"/>
              </w:rPr>
              <w:t xml:space="preserve"> dans les programmes des écoles et universités de journalisme/industrie de la communication.</w:t>
            </w:r>
          </w:p>
          <w:p w14:paraId="38493722" w14:textId="49628D04" w:rsidR="001753BD" w:rsidRPr="005F460C" w:rsidRDefault="001753BD" w:rsidP="00220976">
            <w:pPr>
              <w:spacing w:after="0" w:line="240" w:lineRule="auto"/>
              <w:jc w:val="both"/>
              <w:rPr>
                <w:rFonts w:cstheme="minorHAnsi"/>
                <w:sz w:val="18"/>
                <w:szCs w:val="18"/>
              </w:rPr>
            </w:pPr>
            <w:r>
              <w:rPr>
                <w:sz w:val="18"/>
                <w:szCs w:val="18"/>
              </w:rPr>
              <w:t xml:space="preserve">8.11 Nombre et proportion d'entreprises de médias publics et privés qui ont adopté des politiques écrites, telles que le code d'éthique sur les reportages, s'adressant aux </w:t>
            </w:r>
            <w:r w:rsidR="007B7A6F">
              <w:rPr>
                <w:sz w:val="18"/>
                <w:szCs w:val="18"/>
              </w:rPr>
              <w:t>personnes handicapées</w:t>
            </w:r>
            <w:r>
              <w:rPr>
                <w:sz w:val="18"/>
                <w:szCs w:val="18"/>
              </w:rPr>
              <w:t>.</w:t>
            </w:r>
          </w:p>
          <w:p w14:paraId="1463EF68" w14:textId="03F8122F" w:rsidR="00F21E3C" w:rsidRPr="005F460C" w:rsidRDefault="00D04FDE" w:rsidP="00220976">
            <w:pPr>
              <w:spacing w:after="0" w:line="240" w:lineRule="auto"/>
              <w:rPr>
                <w:rFonts w:cstheme="minorHAnsi"/>
                <w:sz w:val="18"/>
                <w:szCs w:val="18"/>
              </w:rPr>
            </w:pPr>
            <w:r>
              <w:rPr>
                <w:sz w:val="18"/>
                <w:szCs w:val="18"/>
              </w:rPr>
              <w:t xml:space="preserve">8.12 Processus de consultation entrepris pour assurer la participation active des </w:t>
            </w:r>
            <w:r w:rsidR="007B7A6F">
              <w:rPr>
                <w:sz w:val="18"/>
                <w:szCs w:val="18"/>
              </w:rPr>
              <w:t>personnes handicapées</w:t>
            </w:r>
            <w:r>
              <w:rPr>
                <w:sz w:val="18"/>
                <w:szCs w:val="18"/>
              </w:rPr>
              <w:t>,</w:t>
            </w:r>
            <w:r w:rsidRPr="007B7A6F">
              <w:rPr>
                <w:sz w:val="18"/>
                <w:szCs w:val="18"/>
              </w:rPr>
              <w:t xml:space="preserve"> </w:t>
            </w:r>
            <w:r w:rsidRPr="007B7A6F">
              <w:rPr>
                <w:color w:val="444444"/>
                <w:sz w:val="18"/>
                <w:szCs w:val="18"/>
              </w:rPr>
              <w:t>y compris</w:t>
            </w:r>
            <w:r>
              <w:rPr>
                <w:sz w:val="18"/>
                <w:szCs w:val="18"/>
              </w:rPr>
              <w:t xml:space="preserve"> par </w:t>
            </w:r>
            <w:r w:rsidR="007B7A6F">
              <w:rPr>
                <w:sz w:val="18"/>
                <w:szCs w:val="18"/>
              </w:rPr>
              <w:t>l’intermédiaire des</w:t>
            </w:r>
            <w:r>
              <w:rPr>
                <w:sz w:val="18"/>
                <w:szCs w:val="18"/>
              </w:rPr>
              <w:t xml:space="preserve"> organisations</w:t>
            </w:r>
            <w:r w:rsidR="007B7A6F">
              <w:rPr>
                <w:sz w:val="18"/>
                <w:szCs w:val="18"/>
              </w:rPr>
              <w:t xml:space="preserve"> qui les</w:t>
            </w:r>
            <w:r>
              <w:rPr>
                <w:sz w:val="18"/>
                <w:szCs w:val="18"/>
              </w:rPr>
              <w:t xml:space="preserve"> représent</w:t>
            </w:r>
            <w:r w:rsidR="007B7A6F">
              <w:rPr>
                <w:sz w:val="18"/>
                <w:szCs w:val="18"/>
              </w:rPr>
              <w:t>ent</w:t>
            </w:r>
            <w:r>
              <w:rPr>
                <w:sz w:val="18"/>
                <w:szCs w:val="18"/>
              </w:rPr>
              <w:t xml:space="preserve">, à la conception, à la mise en œuvre et au suivi des lois, réglementations, politiques et programmes, concernant la sensibilisation de la société au respect des droits des </w:t>
            </w:r>
            <w:r w:rsidR="007B7A6F">
              <w:rPr>
                <w:sz w:val="18"/>
                <w:szCs w:val="18"/>
              </w:rPr>
              <w:t>personnes handicapées</w:t>
            </w:r>
            <w:r>
              <w:rPr>
                <w:sz w:val="18"/>
                <w:szCs w:val="18"/>
              </w:rPr>
              <w:t>.</w:t>
            </w:r>
            <w:r w:rsidR="00F21E3C" w:rsidRPr="005F460C">
              <w:rPr>
                <w:rStyle w:val="EndnoteReference"/>
                <w:rFonts w:cstheme="minorHAnsi"/>
                <w:sz w:val="18"/>
                <w:szCs w:val="18"/>
              </w:rPr>
              <w:endnoteReference w:id="11"/>
            </w:r>
            <w:r>
              <w:rPr>
                <w:sz w:val="18"/>
                <w:szCs w:val="18"/>
              </w:rPr>
              <w:t xml:space="preserve"> </w:t>
            </w:r>
          </w:p>
          <w:p w14:paraId="67F312C6" w14:textId="050F2C17" w:rsidR="00D918F3" w:rsidRPr="000421B4" w:rsidRDefault="00D918F3" w:rsidP="00D918F3">
            <w:pPr>
              <w:spacing w:after="0" w:line="240" w:lineRule="auto"/>
              <w:jc w:val="both"/>
              <w:rPr>
                <w:sz w:val="18"/>
                <w:szCs w:val="18"/>
              </w:rPr>
            </w:pPr>
            <w:r>
              <w:rPr>
                <w:sz w:val="18"/>
                <w:szCs w:val="18"/>
              </w:rPr>
              <w:t xml:space="preserve">8.13 Proportion de plaintes reçues concernant la représentation de </w:t>
            </w:r>
            <w:r w:rsidR="007B7A6F">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3259EB" w:rsidRPr="005F460C" w14:paraId="50AD9DAB" w14:textId="77777777" w:rsidTr="005121B0">
        <w:tc>
          <w:tcPr>
            <w:tcW w:w="1054" w:type="dxa"/>
            <w:vMerge/>
          </w:tcPr>
          <w:p w14:paraId="577EDA96" w14:textId="77777777" w:rsidR="00BB271F" w:rsidRPr="005F460C" w:rsidRDefault="00BB271F" w:rsidP="00220976">
            <w:pPr>
              <w:spacing w:after="0" w:line="240" w:lineRule="auto"/>
              <w:jc w:val="both"/>
              <w:rPr>
                <w:rFonts w:cstheme="minorHAnsi"/>
                <w:b/>
                <w:sz w:val="18"/>
                <w:szCs w:val="18"/>
              </w:rPr>
            </w:pPr>
          </w:p>
        </w:tc>
        <w:tc>
          <w:tcPr>
            <w:tcW w:w="7779" w:type="dxa"/>
          </w:tcPr>
          <w:p w14:paraId="0B390DD3" w14:textId="60EB164F" w:rsidR="00BB271F" w:rsidRPr="005121B0" w:rsidRDefault="00BB271F" w:rsidP="00BB271F">
            <w:pPr>
              <w:spacing w:after="0" w:line="240" w:lineRule="auto"/>
              <w:jc w:val="both"/>
              <w:rPr>
                <w:rFonts w:cstheme="minorHAnsi"/>
                <w:sz w:val="18"/>
                <w:szCs w:val="18"/>
              </w:rPr>
            </w:pPr>
            <w:r>
              <w:rPr>
                <w:sz w:val="18"/>
                <w:szCs w:val="18"/>
              </w:rPr>
              <w:t>8.14 Proportion du personnel de la justice, de l'administration et des forces de l'ordre ayant reçu une formation sur les crimes haineux liés au handicap et sur la lutte contre les pratiques préjudiciables et les stéréotypes liés au handicap.</w:t>
            </w:r>
          </w:p>
          <w:p w14:paraId="26D41E89" w14:textId="0A35718F" w:rsidR="00BB271F" w:rsidRPr="005121B0" w:rsidRDefault="00BB271F" w:rsidP="00BB271F">
            <w:pPr>
              <w:spacing w:after="0" w:line="240" w:lineRule="auto"/>
              <w:jc w:val="both"/>
              <w:rPr>
                <w:rFonts w:cstheme="minorHAnsi"/>
                <w:sz w:val="18"/>
                <w:szCs w:val="18"/>
              </w:rPr>
            </w:pPr>
            <w:r>
              <w:rPr>
                <w:sz w:val="18"/>
                <w:szCs w:val="18"/>
              </w:rPr>
              <w:t>8.15 Nombre et proportion d'incidents de crimes et de discours de haine signalés, faisant l'objet d'une enquête et aboutissant à une condamnation, ventilés par sexe, âge et handicap de la victime, le cas échéant.</w:t>
            </w:r>
          </w:p>
          <w:p w14:paraId="38948728" w14:textId="0309C281" w:rsidR="00BB271F" w:rsidRPr="005121B0" w:rsidRDefault="00BB271F" w:rsidP="00BB271F">
            <w:pPr>
              <w:spacing w:after="0" w:line="240" w:lineRule="auto"/>
              <w:rPr>
                <w:rFonts w:cstheme="minorHAnsi"/>
                <w:sz w:val="18"/>
                <w:szCs w:val="18"/>
              </w:rPr>
            </w:pPr>
            <w:r>
              <w:rPr>
                <w:sz w:val="18"/>
                <w:szCs w:val="18"/>
              </w:rPr>
              <w:t xml:space="preserve">8.16 Proportion d'incidents de pratiques préjudiciables signalés, poursuivis et proportion ayant conduit à une condamnation, ventilés par sexe, âge et handicap de la victime. </w:t>
            </w:r>
          </w:p>
        </w:tc>
        <w:tc>
          <w:tcPr>
            <w:tcW w:w="6476" w:type="dxa"/>
            <w:gridSpan w:val="2"/>
          </w:tcPr>
          <w:p w14:paraId="49AB6E27" w14:textId="5677B3D8" w:rsidR="00BB271F" w:rsidRPr="005121B0" w:rsidRDefault="00BB271F" w:rsidP="00BB271F">
            <w:pPr>
              <w:spacing w:after="0" w:line="240" w:lineRule="auto"/>
              <w:jc w:val="both"/>
              <w:rPr>
                <w:rFonts w:cstheme="minorHAnsi"/>
                <w:sz w:val="18"/>
                <w:szCs w:val="18"/>
              </w:rPr>
            </w:pPr>
            <w:r>
              <w:rPr>
                <w:sz w:val="18"/>
                <w:szCs w:val="18"/>
              </w:rPr>
              <w:t xml:space="preserve"> 8.17 Proportion de programmes d'éducation et de formation aux droits de l'homme qui incluent les droits des </w:t>
            </w:r>
            <w:r w:rsidR="007B7A6F">
              <w:rPr>
                <w:sz w:val="18"/>
                <w:szCs w:val="18"/>
              </w:rPr>
              <w:t>personnes handicapées</w:t>
            </w:r>
            <w:r>
              <w:rPr>
                <w:sz w:val="18"/>
                <w:szCs w:val="18"/>
              </w:rPr>
              <w:t xml:space="preserve">, ventilés par programmes généraux ou programmes spécifiques au handicap. </w:t>
            </w:r>
          </w:p>
        </w:tc>
      </w:tr>
      <w:tr w:rsidR="00086EF4" w:rsidRPr="005F460C" w14:paraId="5F55D7A8" w14:textId="77777777" w:rsidTr="00D83381">
        <w:tc>
          <w:tcPr>
            <w:tcW w:w="1054" w:type="dxa"/>
            <w:vMerge w:val="restart"/>
          </w:tcPr>
          <w:p w14:paraId="2F86783F" w14:textId="77777777" w:rsidR="00086EF4" w:rsidRPr="005F460C" w:rsidRDefault="00086EF4" w:rsidP="00220976">
            <w:pPr>
              <w:spacing w:after="0" w:line="240" w:lineRule="auto"/>
              <w:jc w:val="both"/>
              <w:rPr>
                <w:rFonts w:cstheme="minorHAnsi"/>
                <w:b/>
                <w:sz w:val="18"/>
                <w:szCs w:val="18"/>
              </w:rPr>
            </w:pPr>
            <w:r>
              <w:rPr>
                <w:b/>
                <w:sz w:val="18"/>
                <w:szCs w:val="18"/>
              </w:rPr>
              <w:t>Résultats</w:t>
            </w:r>
          </w:p>
        </w:tc>
        <w:tc>
          <w:tcPr>
            <w:tcW w:w="14255" w:type="dxa"/>
            <w:gridSpan w:val="3"/>
          </w:tcPr>
          <w:p w14:paraId="7AAFD58C" w14:textId="74E6A29E" w:rsidR="00CC0A66" w:rsidRPr="007B7A6F" w:rsidRDefault="009D5334" w:rsidP="00220976">
            <w:pPr>
              <w:spacing w:after="0" w:line="240" w:lineRule="auto"/>
              <w:jc w:val="both"/>
              <w:rPr>
                <w:rFonts w:cstheme="minorHAnsi"/>
                <w:sz w:val="18"/>
                <w:szCs w:val="18"/>
              </w:rPr>
            </w:pPr>
            <w:r>
              <w:rPr>
                <w:sz w:val="18"/>
                <w:szCs w:val="18"/>
              </w:rPr>
              <w:t xml:space="preserve">8.18 </w:t>
            </w:r>
            <w:r w:rsidR="007B7A6F" w:rsidRPr="007B7A6F">
              <w:rPr>
                <w:rFonts w:cstheme="minorHAnsi"/>
                <w:sz w:val="18"/>
                <w:szCs w:val="18"/>
              </w:rPr>
              <w:t>Proportion de la population ayant déclaré avoir personnellement fait l’objet de discrimination ou de harcèlement au cours des 12 mois précédents pour des motifs interdits par le droit international des droits de l’homme</w:t>
            </w:r>
            <w:r w:rsidR="007B7A6F">
              <w:rPr>
                <w:rFonts w:cstheme="minorHAnsi"/>
                <w:sz w:val="18"/>
                <w:szCs w:val="18"/>
              </w:rPr>
              <w:t xml:space="preserve"> </w:t>
            </w:r>
            <w:r>
              <w:rPr>
                <w:color w:val="000000"/>
                <w:sz w:val="18"/>
                <w:szCs w:val="18"/>
              </w:rPr>
              <w:t>(ODD 10.3.1), ventilée par sexe, âge et handicap.</w:t>
            </w:r>
          </w:p>
          <w:p w14:paraId="54BFDB88" w14:textId="248F6CDF" w:rsidR="001B33BE" w:rsidRPr="005121B0" w:rsidRDefault="009D5334" w:rsidP="00383D86">
            <w:pPr>
              <w:spacing w:after="0" w:line="240" w:lineRule="auto"/>
              <w:jc w:val="both"/>
              <w:rPr>
                <w:rFonts w:cstheme="minorHAnsi"/>
                <w:sz w:val="18"/>
                <w:szCs w:val="18"/>
              </w:rPr>
            </w:pPr>
            <w:r>
              <w:rPr>
                <w:sz w:val="18"/>
                <w:szCs w:val="18"/>
              </w:rPr>
              <w:t>8.19 Pourcentage d'élèves victimes d'intimidation, de châtiments corporels, de harcèlement, de violence, de discrimination sexuelle et d'abus par sexe, âge, handicap, type d'établissement d'enseignement public/privé, primaire/secondaire/tertiaire/professionnel (basé sur l'indicateur de l'UNESCO).</w:t>
            </w:r>
          </w:p>
        </w:tc>
      </w:tr>
      <w:tr w:rsidR="005121B0" w:rsidRPr="005F460C" w14:paraId="2D247B21" w14:textId="77777777" w:rsidTr="005121B0">
        <w:trPr>
          <w:trHeight w:val="758"/>
        </w:trPr>
        <w:tc>
          <w:tcPr>
            <w:tcW w:w="1054" w:type="dxa"/>
            <w:vMerge/>
          </w:tcPr>
          <w:p w14:paraId="7B3F2D68" w14:textId="77777777" w:rsidR="00D3275A" w:rsidRPr="005F460C" w:rsidRDefault="00D3275A" w:rsidP="00220976">
            <w:pPr>
              <w:spacing w:after="0" w:line="240" w:lineRule="auto"/>
              <w:jc w:val="both"/>
              <w:rPr>
                <w:rFonts w:cstheme="minorHAnsi"/>
                <w:b/>
                <w:sz w:val="18"/>
                <w:szCs w:val="18"/>
              </w:rPr>
            </w:pPr>
          </w:p>
        </w:tc>
        <w:tc>
          <w:tcPr>
            <w:tcW w:w="7779" w:type="dxa"/>
          </w:tcPr>
          <w:p w14:paraId="46D10163" w14:textId="0001567F" w:rsidR="00D3275A" w:rsidRPr="005121B0" w:rsidRDefault="00D3275A" w:rsidP="009D5334">
            <w:pPr>
              <w:spacing w:after="0" w:line="240" w:lineRule="auto"/>
              <w:jc w:val="both"/>
              <w:rPr>
                <w:rFonts w:cstheme="minorHAnsi"/>
                <w:sz w:val="18"/>
                <w:szCs w:val="18"/>
              </w:rPr>
            </w:pPr>
            <w:r>
              <w:rPr>
                <w:sz w:val="18"/>
                <w:szCs w:val="18"/>
              </w:rPr>
              <w:t xml:space="preserve">8.20 Proportion de personnes au sein de la population générale déclarant une perception négative des </w:t>
            </w:r>
            <w:r w:rsidR="007B7A6F">
              <w:rPr>
                <w:sz w:val="18"/>
                <w:szCs w:val="18"/>
              </w:rPr>
              <w:t>personnes handicapées</w:t>
            </w:r>
            <w:r>
              <w:rPr>
                <w:sz w:val="18"/>
                <w:szCs w:val="18"/>
              </w:rPr>
              <w:t>, ventilée par handicap.</w:t>
            </w:r>
            <w:r w:rsidRPr="005121B0">
              <w:rPr>
                <w:rStyle w:val="EndnoteReference"/>
                <w:rFonts w:cstheme="minorHAnsi"/>
                <w:sz w:val="18"/>
                <w:szCs w:val="18"/>
              </w:rPr>
              <w:endnoteReference w:id="12"/>
            </w:r>
          </w:p>
        </w:tc>
        <w:tc>
          <w:tcPr>
            <w:tcW w:w="6476" w:type="dxa"/>
            <w:gridSpan w:val="2"/>
          </w:tcPr>
          <w:p w14:paraId="41BDE5C5" w14:textId="54453EB5" w:rsidR="00D3275A" w:rsidRPr="005121B0" w:rsidRDefault="00D3275A" w:rsidP="009D5334">
            <w:pPr>
              <w:autoSpaceDE w:val="0"/>
              <w:autoSpaceDN w:val="0"/>
              <w:adjustRightInd w:val="0"/>
              <w:spacing w:after="0" w:line="240" w:lineRule="auto"/>
              <w:jc w:val="both"/>
              <w:rPr>
                <w:rFonts w:cstheme="minorHAnsi"/>
                <w:sz w:val="18"/>
                <w:szCs w:val="18"/>
              </w:rPr>
            </w:pPr>
            <w:r>
              <w:rPr>
                <w:sz w:val="18"/>
                <w:szCs w:val="18"/>
              </w:rPr>
              <w:t xml:space="preserve">8.21 Nombre et proportion de </w:t>
            </w:r>
            <w:r w:rsidR="007B7A6F">
              <w:rPr>
                <w:sz w:val="18"/>
                <w:szCs w:val="18"/>
              </w:rPr>
              <w:t>personnes handicapées</w:t>
            </w:r>
            <w:r>
              <w:rPr>
                <w:sz w:val="18"/>
                <w:szCs w:val="18"/>
              </w:rPr>
              <w:t xml:space="preserve"> dans les médias apparaissant comme présentateurs de journaux d'actualités, porte-parole, experts et citoyens « ordinaires »/vox pop dans le contenu des actualités et des affaires courantes, ventilées par sexe, âge et handicap.</w:t>
            </w:r>
          </w:p>
        </w:tc>
      </w:tr>
    </w:tbl>
    <w:p w14:paraId="020E2D01" w14:textId="77777777" w:rsidR="00220976" w:rsidRDefault="00220976" w:rsidP="00A90FDE">
      <w:pPr>
        <w:jc w:val="center"/>
        <w:rPr>
          <w:rFonts w:cstheme="minorHAnsi"/>
          <w:b/>
          <w:sz w:val="18"/>
          <w:szCs w:val="18"/>
        </w:rPr>
      </w:pPr>
    </w:p>
    <w:p w14:paraId="001D2020" w14:textId="77777777" w:rsidR="00220976" w:rsidRDefault="00220976" w:rsidP="00A90FDE">
      <w:pPr>
        <w:jc w:val="center"/>
        <w:rPr>
          <w:rFonts w:cstheme="minorHAnsi"/>
          <w:b/>
          <w:sz w:val="18"/>
          <w:szCs w:val="18"/>
        </w:rPr>
      </w:pPr>
    </w:p>
    <w:p w14:paraId="024528CB" w14:textId="77777777" w:rsidR="00220976" w:rsidRDefault="00220976" w:rsidP="00A90FDE">
      <w:pPr>
        <w:jc w:val="center"/>
        <w:rPr>
          <w:rFonts w:cstheme="minorHAnsi"/>
          <w:b/>
          <w:sz w:val="18"/>
          <w:szCs w:val="18"/>
        </w:rPr>
      </w:pPr>
    </w:p>
    <w:p w14:paraId="41785085" w14:textId="77777777" w:rsidR="005121B0" w:rsidRDefault="005121B0" w:rsidP="00F55A04">
      <w:pPr>
        <w:jc w:val="center"/>
        <w:outlineLvl w:val="0"/>
        <w:rPr>
          <w:rFonts w:cstheme="minorHAnsi"/>
          <w:b/>
          <w:sz w:val="18"/>
          <w:szCs w:val="18"/>
        </w:rPr>
      </w:pPr>
    </w:p>
    <w:sectPr w:rsidR="005121B0" w:rsidSect="00356894">
      <w:pgSz w:w="15840" w:h="12240" w:orient="landscape"/>
      <w:pgMar w:top="113"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B8F69" w14:textId="77777777" w:rsidR="00CD34E2" w:rsidRDefault="00CD34E2" w:rsidP="009D5D68">
      <w:pPr>
        <w:spacing w:after="0" w:line="240" w:lineRule="auto"/>
      </w:pPr>
      <w:r>
        <w:separator/>
      </w:r>
    </w:p>
  </w:endnote>
  <w:endnote w:type="continuationSeparator" w:id="0">
    <w:p w14:paraId="6C2D5CA0" w14:textId="77777777" w:rsidR="00CD34E2" w:rsidRDefault="00CD34E2" w:rsidP="009D5D68">
      <w:pPr>
        <w:spacing w:after="0" w:line="240" w:lineRule="auto"/>
      </w:pPr>
      <w:r>
        <w:continuationSeparator/>
      </w:r>
    </w:p>
  </w:endnote>
  <w:endnote w:id="1">
    <w:p w14:paraId="7B5E3B61" w14:textId="7C2EE9C6" w:rsidR="00AC103E" w:rsidRPr="005F460C" w:rsidRDefault="00AC103E" w:rsidP="0025389C">
      <w:pPr>
        <w:pStyle w:val="EndnoteText"/>
        <w:jc w:val="both"/>
        <w:rPr>
          <w:sz w:val="18"/>
          <w:szCs w:val="18"/>
        </w:rPr>
      </w:pPr>
      <w:r>
        <w:rPr>
          <w:rStyle w:val="EndnoteReference"/>
        </w:rPr>
        <w:endnoteRef/>
      </w:r>
      <w:r>
        <w:t xml:space="preserve"> </w:t>
      </w:r>
      <w:r>
        <w:rPr>
          <w:sz w:val="18"/>
          <w:szCs w:val="18"/>
        </w:rPr>
        <w:t xml:space="preserve">Cela nécessite l'abrogation des dispositions avec un langage, des concepts et des prémisses désobligeants, basés sur le </w:t>
      </w:r>
      <w:proofErr w:type="spellStart"/>
      <w:r>
        <w:rPr>
          <w:sz w:val="18"/>
          <w:szCs w:val="18"/>
        </w:rPr>
        <w:t>capacitisme</w:t>
      </w:r>
      <w:proofErr w:type="spellEnd"/>
      <w:r>
        <w:rPr>
          <w:sz w:val="18"/>
          <w:szCs w:val="18"/>
        </w:rPr>
        <w:t xml:space="preserve">, y compris l'eugénisme, ou tout autre discours qui diminue l'égale dignité et la valeur de la vie des </w:t>
      </w:r>
      <w:r w:rsidR="007B7A6F">
        <w:rPr>
          <w:sz w:val="18"/>
          <w:szCs w:val="18"/>
        </w:rPr>
        <w:t>personnes handicapées</w:t>
      </w:r>
      <w:r>
        <w:rPr>
          <w:sz w:val="18"/>
          <w:szCs w:val="18"/>
        </w:rPr>
        <w:t xml:space="preserve"> dans le cadre de la diversité humaine et/ou maintient l'inégalité, l'exclusion et la justification des pratiques discriminatoires à leur encontre; par exemple, des dispositions autorisant le traitement forcé, la stérilisation forcée, l'institutionnalisation et l'expérimentation médicale des </w:t>
      </w:r>
      <w:r w:rsidR="007B7A6F">
        <w:rPr>
          <w:sz w:val="18"/>
          <w:szCs w:val="18"/>
        </w:rPr>
        <w:t>personnes handicapées</w:t>
      </w:r>
      <w:r>
        <w:rPr>
          <w:sz w:val="18"/>
          <w:szCs w:val="18"/>
        </w:rPr>
        <w:t>. Voir le rapport d</w:t>
      </w:r>
      <w:r w:rsidR="00A87969">
        <w:rPr>
          <w:sz w:val="18"/>
          <w:szCs w:val="18"/>
        </w:rPr>
        <w:t>e la</w:t>
      </w:r>
      <w:r>
        <w:rPr>
          <w:sz w:val="18"/>
          <w:szCs w:val="18"/>
        </w:rPr>
        <w:t xml:space="preserve"> Rapporteu</w:t>
      </w:r>
      <w:r w:rsidR="00A87969">
        <w:rPr>
          <w:sz w:val="18"/>
          <w:szCs w:val="18"/>
        </w:rPr>
        <w:t xml:space="preserve">se </w:t>
      </w:r>
      <w:r>
        <w:rPr>
          <w:sz w:val="18"/>
          <w:szCs w:val="18"/>
        </w:rPr>
        <w:t>spécial</w:t>
      </w:r>
      <w:r w:rsidR="00A87969">
        <w:rPr>
          <w:sz w:val="18"/>
          <w:szCs w:val="18"/>
        </w:rPr>
        <w:t>e</w:t>
      </w:r>
      <w:r>
        <w:rPr>
          <w:sz w:val="18"/>
          <w:szCs w:val="18"/>
        </w:rPr>
        <w:t xml:space="preserve"> sur l'impact du </w:t>
      </w:r>
      <w:proofErr w:type="spellStart"/>
      <w:r>
        <w:rPr>
          <w:sz w:val="18"/>
          <w:szCs w:val="18"/>
        </w:rPr>
        <w:t>capacitisme</w:t>
      </w:r>
      <w:proofErr w:type="spellEnd"/>
      <w:r>
        <w:rPr>
          <w:sz w:val="18"/>
          <w:szCs w:val="18"/>
        </w:rPr>
        <w:t xml:space="preserve"> dans la pratique médicale et scientifique, </w:t>
      </w:r>
      <w:hyperlink r:id="rId1" w:history="1">
        <w:r w:rsidRPr="007B7A6F">
          <w:rPr>
            <w:rStyle w:val="Hyperlink"/>
            <w:sz w:val="18"/>
            <w:szCs w:val="18"/>
          </w:rPr>
          <w:t>A/HRC/43/41</w:t>
        </w:r>
      </w:hyperlink>
      <w:r>
        <w:rPr>
          <w:sz w:val="18"/>
          <w:szCs w:val="18"/>
        </w:rPr>
        <w:t xml:space="preserve"> et le rapport du HCDH sur la sensibilisation, </w:t>
      </w:r>
      <w:hyperlink r:id="rId2" w:history="1">
        <w:r w:rsidRPr="007B7A6F">
          <w:rPr>
            <w:rStyle w:val="Hyperlink"/>
            <w:sz w:val="18"/>
            <w:szCs w:val="18"/>
          </w:rPr>
          <w:t>A/HRC/43/27</w:t>
        </w:r>
      </w:hyperlink>
      <w:r>
        <w:rPr>
          <w:sz w:val="18"/>
          <w:szCs w:val="18"/>
        </w:rPr>
        <w:t>.</w:t>
      </w:r>
    </w:p>
  </w:endnote>
  <w:endnote w:id="2">
    <w:p w14:paraId="13C5D921" w14:textId="72AE1ABF" w:rsidR="009D5D68" w:rsidRPr="005F460C" w:rsidRDefault="009D5D68" w:rsidP="0025389C">
      <w:pPr>
        <w:pStyle w:val="EndnoteText"/>
        <w:jc w:val="both"/>
        <w:rPr>
          <w:sz w:val="18"/>
          <w:szCs w:val="18"/>
        </w:rPr>
      </w:pPr>
      <w:r>
        <w:rPr>
          <w:rStyle w:val="EndnoteReference"/>
          <w:sz w:val="18"/>
          <w:szCs w:val="18"/>
        </w:rPr>
        <w:endnoteRef/>
      </w:r>
      <w:r>
        <w:t xml:space="preserve"> </w:t>
      </w:r>
      <w:r>
        <w:rPr>
          <w:sz w:val="18"/>
          <w:szCs w:val="18"/>
        </w:rPr>
        <w:t xml:space="preserve">Cela devrait inclure </w:t>
      </w:r>
      <w:proofErr w:type="gramStart"/>
      <w:r>
        <w:rPr>
          <w:sz w:val="18"/>
          <w:szCs w:val="18"/>
        </w:rPr>
        <w:t>des dispositions sur</w:t>
      </w:r>
      <w:proofErr w:type="gramEnd"/>
      <w:r>
        <w:rPr>
          <w:sz w:val="18"/>
          <w:szCs w:val="18"/>
        </w:rPr>
        <w:t> :</w:t>
      </w:r>
    </w:p>
    <w:p w14:paraId="4410C67E" w14:textId="1FEA8927" w:rsidR="009D5D68" w:rsidRPr="005F460C" w:rsidRDefault="00A86C57"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w:t>
      </w:r>
      <w:r w:rsidR="00642904">
        <w:rPr>
          <w:color w:val="212121"/>
          <w:sz w:val="18"/>
          <w:szCs w:val="18"/>
        </w:rPr>
        <w:t>ombattre</w:t>
      </w:r>
      <w:proofErr w:type="gramEnd"/>
      <w:r w:rsidR="00642904">
        <w:rPr>
          <w:color w:val="212121"/>
          <w:sz w:val="18"/>
          <w:szCs w:val="18"/>
        </w:rPr>
        <w:t xml:space="preserve"> la stigmatisation et l'exclusion fondées sur des croyances ou des attitudes négatives concernant les </w:t>
      </w:r>
      <w:r w:rsidR="007B7A6F">
        <w:rPr>
          <w:color w:val="212121"/>
          <w:sz w:val="18"/>
          <w:szCs w:val="18"/>
        </w:rPr>
        <w:t>personnes handicapées</w:t>
      </w:r>
      <w:r w:rsidR="00642904">
        <w:rPr>
          <w:color w:val="212121"/>
          <w:sz w:val="18"/>
          <w:szCs w:val="18"/>
        </w:rPr>
        <w:t>, y compris celles fondées sur des visions du monde coutumières, religieuses ou médicales ;</w:t>
      </w:r>
    </w:p>
    <w:p w14:paraId="1C130C25" w14:textId="77777777" w:rsidR="008E3C98" w:rsidRPr="005F460C" w:rsidRDefault="008E3C98" w:rsidP="008E3C98">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formation</w:t>
      </w:r>
      <w:proofErr w:type="gramEnd"/>
      <w:r>
        <w:rPr>
          <w:color w:val="212121"/>
          <w:sz w:val="18"/>
          <w:szCs w:val="18"/>
        </w:rPr>
        <w:t xml:space="preserve"> et éducation des professionnels de la communication et des médias à l'approche du handicap fondée sur les droits de l'homme ;</w:t>
      </w:r>
    </w:p>
    <w:p w14:paraId="529BB7D9" w14:textId="20A32689" w:rsidR="009D5D68" w:rsidRPr="00F55A04" w:rsidRDefault="009D5D68"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couverture</w:t>
      </w:r>
      <w:proofErr w:type="gramEnd"/>
      <w:r>
        <w:rPr>
          <w:color w:val="212121"/>
          <w:sz w:val="18"/>
          <w:szCs w:val="18"/>
        </w:rPr>
        <w:t xml:space="preserve"> médiatique pour accroître la visibilité des </w:t>
      </w:r>
      <w:r w:rsidR="007B7A6F">
        <w:rPr>
          <w:color w:val="212121"/>
          <w:sz w:val="18"/>
          <w:szCs w:val="18"/>
        </w:rPr>
        <w:t>personnes handicapées</w:t>
      </w:r>
      <w:r>
        <w:rPr>
          <w:color w:val="212121"/>
          <w:sz w:val="18"/>
          <w:szCs w:val="18"/>
        </w:rPr>
        <w:t xml:space="preserve"> dans la société, ce qui favorise leur image positive et leurs capacités dans des environnements inclusifs ;</w:t>
      </w:r>
    </w:p>
    <w:p w14:paraId="700AD072" w14:textId="54D1C7DF" w:rsidR="00342704" w:rsidRPr="00F55A04" w:rsidRDefault="00342704"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couverture</w:t>
      </w:r>
      <w:proofErr w:type="gramEnd"/>
      <w:r>
        <w:rPr>
          <w:color w:val="212121"/>
          <w:sz w:val="18"/>
          <w:szCs w:val="18"/>
        </w:rPr>
        <w:t xml:space="preserve"> médiatique pour sensibiliser aux violations systémiques ou généralisées des droits de l'homme à l'encontre des </w:t>
      </w:r>
      <w:r w:rsidR="007B7A6F">
        <w:rPr>
          <w:color w:val="212121"/>
          <w:sz w:val="18"/>
          <w:szCs w:val="18"/>
        </w:rPr>
        <w:t>personnes handicapées</w:t>
      </w:r>
      <w:r>
        <w:rPr>
          <w:color w:val="212121"/>
          <w:sz w:val="18"/>
          <w:szCs w:val="18"/>
        </w:rPr>
        <w:t> ;</w:t>
      </w:r>
    </w:p>
    <w:p w14:paraId="13AB395F" w14:textId="4E8E6382" w:rsidR="009D5D68" w:rsidRPr="005F460C" w:rsidRDefault="009D5D68" w:rsidP="0025389C">
      <w:pPr>
        <w:pStyle w:val="ListParagraph"/>
        <w:numPr>
          <w:ilvl w:val="0"/>
          <w:numId w:val="2"/>
        </w:numPr>
        <w:spacing w:after="0" w:line="240" w:lineRule="auto"/>
        <w:ind w:left="714" w:hanging="357"/>
        <w:contextualSpacing w:val="0"/>
        <w:jc w:val="both"/>
        <w:rPr>
          <w:rFonts w:eastAsia="Times New Roman" w:cs="Calibri"/>
          <w:color w:val="212121"/>
          <w:sz w:val="18"/>
          <w:szCs w:val="18"/>
        </w:rPr>
      </w:pPr>
      <w:proofErr w:type="gramStart"/>
      <w:r>
        <w:rPr>
          <w:color w:val="212121"/>
          <w:sz w:val="18"/>
          <w:szCs w:val="18"/>
        </w:rPr>
        <w:t>obtenir</w:t>
      </w:r>
      <w:proofErr w:type="gramEnd"/>
      <w:r>
        <w:rPr>
          <w:color w:val="212121"/>
          <w:sz w:val="18"/>
          <w:szCs w:val="18"/>
        </w:rPr>
        <w:t xml:space="preserve"> le soutien des agents publics, y compris des pouvoirs législatif, exécutif et judiciaire du gouvernement, en ce qui concerne la sensibilisation aux droits des </w:t>
      </w:r>
      <w:r w:rsidR="007B7A6F">
        <w:rPr>
          <w:color w:val="212121"/>
          <w:sz w:val="18"/>
          <w:szCs w:val="18"/>
        </w:rPr>
        <w:t>personnes handicapées</w:t>
      </w:r>
      <w:r>
        <w:rPr>
          <w:color w:val="212121"/>
          <w:sz w:val="18"/>
          <w:szCs w:val="18"/>
        </w:rPr>
        <w:t xml:space="preserve"> concernant et conformément à la Convention et à son Protocole facultatif, notamment en s'abstenant de soutenir et de financer des campagnes, de manière publique ou privée, basées sur les modèles caritatifs ou médicaux de handicap ;</w:t>
      </w:r>
    </w:p>
    <w:p w14:paraId="1C450A66" w14:textId="0A5F0AE0" w:rsidR="009D5D68" w:rsidRPr="005F460C" w:rsidRDefault="009D5D68" w:rsidP="0025389C">
      <w:pPr>
        <w:pStyle w:val="ListParagraph"/>
        <w:numPr>
          <w:ilvl w:val="0"/>
          <w:numId w:val="2"/>
        </w:numPr>
        <w:spacing w:after="0" w:line="240" w:lineRule="auto"/>
        <w:ind w:left="714" w:hanging="357"/>
        <w:jc w:val="both"/>
        <w:rPr>
          <w:rFonts w:eastAsia="Times New Roman" w:cs="Calibri"/>
          <w:color w:val="212121"/>
          <w:sz w:val="18"/>
          <w:szCs w:val="18"/>
        </w:rPr>
      </w:pPr>
      <w:proofErr w:type="gramStart"/>
      <w:r>
        <w:rPr>
          <w:bCs/>
          <w:sz w:val="18"/>
          <w:szCs w:val="18"/>
        </w:rPr>
        <w:t>rendre</w:t>
      </w:r>
      <w:proofErr w:type="gramEnd"/>
      <w:r>
        <w:rPr>
          <w:bCs/>
          <w:sz w:val="18"/>
          <w:szCs w:val="18"/>
        </w:rPr>
        <w:t xml:space="preserve"> la Convention disponible dans les langues nationales, y compris la langue des signes, les langues autochtones/minoritaires et une variété de formats, tels que des versions faciles à lire et adaptées aux enfants. </w:t>
      </w:r>
    </w:p>
  </w:endnote>
  <w:endnote w:id="3">
    <w:p w14:paraId="305B18FE" w14:textId="285EC4B2" w:rsidR="00737C7D" w:rsidRPr="005F460C" w:rsidRDefault="00737C7D" w:rsidP="0025389C">
      <w:pPr>
        <w:pStyle w:val="EndnoteText"/>
        <w:jc w:val="both"/>
        <w:rPr>
          <w:sz w:val="18"/>
          <w:szCs w:val="18"/>
        </w:rPr>
      </w:pPr>
      <w:r>
        <w:rPr>
          <w:rStyle w:val="EndnoteReference"/>
          <w:sz w:val="18"/>
          <w:szCs w:val="18"/>
        </w:rPr>
        <w:endnoteRef/>
      </w:r>
      <w:r>
        <w:t xml:space="preserve"> </w:t>
      </w:r>
      <w:r>
        <w:rPr>
          <w:sz w:val="18"/>
          <w:szCs w:val="18"/>
        </w:rPr>
        <w:t xml:space="preserve">Dans le but de prévenir </w:t>
      </w:r>
      <w:r>
        <w:rPr>
          <w:color w:val="212121"/>
          <w:sz w:val="18"/>
          <w:szCs w:val="18"/>
        </w:rPr>
        <w:t xml:space="preserve">la perpétuation des stéréotypes négatifs, de démystifier les mythes, de combattre les attitudes d'intolérance et de discrimination à l'égard des </w:t>
      </w:r>
      <w:r w:rsidR="007B7A6F">
        <w:rPr>
          <w:color w:val="212121"/>
          <w:sz w:val="18"/>
          <w:szCs w:val="18"/>
        </w:rPr>
        <w:t>personnes handicapées</w:t>
      </w:r>
      <w:r>
        <w:rPr>
          <w:color w:val="212121"/>
          <w:sz w:val="18"/>
          <w:szCs w:val="18"/>
        </w:rPr>
        <w:t>, de garantir le respect de</w:t>
      </w:r>
      <w:r>
        <w:rPr>
          <w:sz w:val="18"/>
          <w:szCs w:val="18"/>
        </w:rPr>
        <w:t xml:space="preserve"> l'égalité de dignité et de valeur de la vie des </w:t>
      </w:r>
      <w:r w:rsidR="007B7A6F">
        <w:rPr>
          <w:sz w:val="18"/>
          <w:szCs w:val="18"/>
        </w:rPr>
        <w:t>personnes handicapées</w:t>
      </w:r>
      <w:r>
        <w:rPr>
          <w:sz w:val="18"/>
          <w:szCs w:val="18"/>
        </w:rPr>
        <w:t xml:space="preserve"> dans le cadre de la diversité humaine </w:t>
      </w:r>
      <w:r>
        <w:rPr>
          <w:color w:val="212121"/>
          <w:sz w:val="18"/>
          <w:szCs w:val="18"/>
        </w:rPr>
        <w:t xml:space="preserve">; et à de rechercher une multiplicité de sources et de voix de </w:t>
      </w:r>
      <w:r w:rsidR="007B7A6F">
        <w:rPr>
          <w:color w:val="212121"/>
          <w:sz w:val="18"/>
          <w:szCs w:val="18"/>
        </w:rPr>
        <w:t>personnes handicapées</w:t>
      </w:r>
      <w:r>
        <w:rPr>
          <w:color w:val="212121"/>
          <w:sz w:val="18"/>
          <w:szCs w:val="18"/>
        </w:rPr>
        <w:t>.</w:t>
      </w:r>
    </w:p>
  </w:endnote>
  <w:endnote w:id="4">
    <w:p w14:paraId="7713BEB3" w14:textId="6D6FF83A" w:rsidR="00BB271F" w:rsidRPr="005F460C" w:rsidRDefault="00BB271F" w:rsidP="005146B7">
      <w:pPr>
        <w:pStyle w:val="EndnoteText"/>
        <w:rPr>
          <w:sz w:val="18"/>
          <w:szCs w:val="18"/>
        </w:rPr>
      </w:pPr>
      <w:r>
        <w:rPr>
          <w:rStyle w:val="EndnoteReference"/>
          <w:sz w:val="18"/>
          <w:szCs w:val="18"/>
        </w:rPr>
        <w:endnoteRef/>
      </w:r>
      <w:r>
        <w:t xml:space="preserve"> </w:t>
      </w:r>
      <w:r>
        <w:rPr>
          <w:sz w:val="18"/>
          <w:szCs w:val="18"/>
        </w:rPr>
        <w:t>Les pratiques néfastes sont celles qui « sont des pratiques persistantes et des formes de comportement fondées sur la discrimination fondée, entre autres, sur le sexe, le genre et l'âge, en plus des formes de discrimination multiples et/ou croisées qui impliquent souvent la violence et provoquent préjudice ou souffrance physique et/ou psychologique. » Pour plus d'informations, voir</w:t>
      </w:r>
      <w:r>
        <w:t xml:space="preserve"> </w:t>
      </w:r>
      <w:hyperlink r:id="rId3" w:history="1">
        <w:r>
          <w:rPr>
            <w:rStyle w:val="Hyperlink"/>
            <w:sz w:val="18"/>
            <w:szCs w:val="18"/>
          </w:rPr>
          <w:t>la Recommandation générale conjointe n° 31 du Comité pour l'élimination de la discrimination à l'égard des femmes/Observation générale n° 18 du Comité des droits de l'enfant sur les pratiques préjudiciables</w:t>
        </w:r>
      </w:hyperlink>
      <w:r>
        <w:rPr>
          <w:sz w:val="18"/>
          <w:szCs w:val="18"/>
        </w:rPr>
        <w:t xml:space="preserve">. Les pratiques préjudiciables contre les </w:t>
      </w:r>
      <w:r w:rsidR="007B7A6F">
        <w:rPr>
          <w:sz w:val="18"/>
          <w:szCs w:val="18"/>
        </w:rPr>
        <w:t>personnes handicapées</w:t>
      </w:r>
      <w:r>
        <w:rPr>
          <w:sz w:val="18"/>
          <w:szCs w:val="18"/>
        </w:rPr>
        <w:t xml:space="preserve"> peuvent être fondées sur le handicap ainsi que sur d'autres facteurs.</w:t>
      </w:r>
      <w:r w:rsidR="00F950BB">
        <w:rPr>
          <w:sz w:val="18"/>
          <w:szCs w:val="18"/>
        </w:rPr>
        <w:t xml:space="preserve"> </w:t>
      </w:r>
      <w:r>
        <w:rPr>
          <w:sz w:val="18"/>
          <w:szCs w:val="18"/>
        </w:rPr>
        <w:t>Voir le rapport intérimaire de 2009 du Rapporteur spécial sur la torture et autres peines ou traitements cruels, inhumains et dégradants sur les interventions psychiatriques forcées comme exemple de pratiques préjudiciables (</w:t>
      </w:r>
      <w:hyperlink r:id="rId4" w:history="1">
        <w:r>
          <w:rPr>
            <w:rStyle w:val="Hyperlink"/>
            <w:sz w:val="18"/>
            <w:szCs w:val="18"/>
          </w:rPr>
          <w:t>A/6</w:t>
        </w:r>
        <w:r>
          <w:rPr>
            <w:rStyle w:val="Hyperlink"/>
            <w:sz w:val="18"/>
            <w:szCs w:val="18"/>
          </w:rPr>
          <w:t>3</w:t>
        </w:r>
        <w:r>
          <w:rPr>
            <w:rStyle w:val="Hyperlink"/>
            <w:sz w:val="18"/>
            <w:szCs w:val="18"/>
          </w:rPr>
          <w:t>/175</w:t>
        </w:r>
      </w:hyperlink>
      <w:r>
        <w:rPr>
          <w:sz w:val="18"/>
          <w:szCs w:val="18"/>
        </w:rPr>
        <w:t>).</w:t>
      </w:r>
    </w:p>
  </w:endnote>
  <w:endnote w:id="5">
    <w:p w14:paraId="4B87C3CD" w14:textId="77777777" w:rsidR="00BB271F" w:rsidRPr="005F460C" w:rsidRDefault="00BB271F" w:rsidP="00BB271F">
      <w:pPr>
        <w:pStyle w:val="EndnoteText"/>
        <w:jc w:val="both"/>
        <w:rPr>
          <w:sz w:val="18"/>
          <w:szCs w:val="18"/>
        </w:rPr>
      </w:pPr>
      <w:r>
        <w:rPr>
          <w:rStyle w:val="EndnoteReference"/>
          <w:sz w:val="18"/>
          <w:szCs w:val="18"/>
        </w:rPr>
        <w:endnoteRef/>
      </w:r>
      <w:r>
        <w:t xml:space="preserve"> </w:t>
      </w:r>
      <w:r>
        <w:rPr>
          <w:sz w:val="18"/>
          <w:szCs w:val="18"/>
        </w:rPr>
        <w:t>La législation devrait inclure spécifiquement :</w:t>
      </w:r>
    </w:p>
    <w:p w14:paraId="326F632B" w14:textId="405BCDED" w:rsidR="00BB271F" w:rsidRPr="005F460C" w:rsidRDefault="00BB271F"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sur les délits motivés par la haine, y compris la violence fondée sur le handicap, l'intimidation, le harcèlement et les pratiques préjudiciables, par des acteurs publics ou privés, applicables en droit pénal </w:t>
      </w:r>
    </w:p>
    <w:p w14:paraId="763C3E56" w14:textId="738C5C6C" w:rsidR="00BB271F" w:rsidRPr="005F460C" w:rsidRDefault="00BB271F" w:rsidP="00BB271F">
      <w:pPr>
        <w:pStyle w:val="xmsonormal"/>
        <w:numPr>
          <w:ilvl w:val="0"/>
          <w:numId w:val="2"/>
        </w:numPr>
        <w:shd w:val="clear" w:color="auto" w:fill="FFFFFF"/>
        <w:spacing w:before="0" w:beforeAutospacing="0" w:after="0" w:afterAutospacing="0"/>
        <w:jc w:val="both"/>
        <w:rPr>
          <w:rFonts w:asciiTheme="minorHAnsi" w:hAnsiTheme="minorHAnsi"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w:t>
      </w:r>
      <w:r>
        <w:rPr>
          <w:rFonts w:asciiTheme="minorHAnsi" w:hAnsiTheme="minorHAnsi"/>
          <w:color w:val="000000" w:themeColor="text1"/>
          <w:sz w:val="18"/>
          <w:szCs w:val="18"/>
        </w:rPr>
        <w:t>sanctions</w:t>
      </w:r>
      <w:r>
        <w:rPr>
          <w:rFonts w:asciiTheme="minorHAnsi" w:hAnsiTheme="minorHAnsi"/>
          <w:sz w:val="18"/>
          <w:szCs w:val="18"/>
        </w:rPr>
        <w:t xml:space="preserve"> contre l'incitation à la discrimination à l'encontre des </w:t>
      </w:r>
      <w:r w:rsidR="007B7A6F">
        <w:rPr>
          <w:rFonts w:asciiTheme="minorHAnsi" w:hAnsiTheme="minorHAnsi"/>
          <w:sz w:val="18"/>
          <w:szCs w:val="18"/>
        </w:rPr>
        <w:t>personnes handicapées</w:t>
      </w:r>
      <w:r>
        <w:rPr>
          <w:rFonts w:asciiTheme="minorHAnsi" w:hAnsiTheme="minorHAnsi"/>
          <w:sz w:val="18"/>
          <w:szCs w:val="18"/>
        </w:rPr>
        <w:t xml:space="preserve"> dans les médias, notamment en encourageant et/ou en incitant à des pratiques préjudiciables</w:t>
      </w:r>
    </w:p>
    <w:p w14:paraId="003061A8" w14:textId="444286EC" w:rsidR="00BB271F" w:rsidRPr="005F460C" w:rsidRDefault="00BB271F" w:rsidP="00BB271F">
      <w:pPr>
        <w:pStyle w:val="xmsonormal"/>
        <w:numPr>
          <w:ilvl w:val="0"/>
          <w:numId w:val="2"/>
        </w:numPr>
        <w:shd w:val="clear" w:color="auto" w:fill="FFFFFF"/>
        <w:spacing w:before="0" w:beforeAutospacing="0" w:after="0" w:afterAutospacing="0"/>
        <w:jc w:val="both"/>
        <w:rPr>
          <w:rFonts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abolissant les pratiques préjudiciables à l’encontre des </w:t>
      </w:r>
      <w:r w:rsidR="007B7A6F">
        <w:rPr>
          <w:rFonts w:asciiTheme="minorHAnsi" w:hAnsiTheme="minorHAnsi"/>
          <w:sz w:val="18"/>
          <w:szCs w:val="18"/>
        </w:rPr>
        <w:t>personnes handicapées</w:t>
      </w:r>
      <w:r>
        <w:rPr>
          <w:rFonts w:asciiTheme="minorHAnsi" w:hAnsiTheme="minorHAnsi"/>
          <w:sz w:val="18"/>
          <w:szCs w:val="18"/>
        </w:rPr>
        <w:t>, y compris les femmes et les enfants, en particulier les traitements involontaires invasifs et irréversibles, et les pratiques liées aux accusations de sorcellerie</w:t>
      </w:r>
    </w:p>
    <w:p w14:paraId="5B1F199C" w14:textId="5108C072" w:rsidR="00BB271F" w:rsidRPr="005F460C" w:rsidRDefault="00BB271F" w:rsidP="00BB271F">
      <w:pPr>
        <w:pStyle w:val="xmsonormal"/>
        <w:numPr>
          <w:ilvl w:val="0"/>
          <w:numId w:val="2"/>
        </w:numPr>
        <w:shd w:val="clear" w:color="auto" w:fill="FFFFFF"/>
        <w:spacing w:before="0" w:beforeAutospacing="0" w:after="0" w:afterAutospacing="0"/>
        <w:ind w:left="714" w:hanging="357"/>
        <w:jc w:val="both"/>
        <w:rPr>
          <w:rFonts w:cstheme="minorHAnsi"/>
          <w:sz w:val="18"/>
          <w:szCs w:val="18"/>
        </w:rPr>
      </w:pPr>
      <w:proofErr w:type="gramStart"/>
      <w:r>
        <w:rPr>
          <w:rFonts w:asciiTheme="minorHAnsi" w:hAnsiTheme="minorHAnsi"/>
          <w:sz w:val="18"/>
          <w:szCs w:val="18"/>
        </w:rPr>
        <w:t>des</w:t>
      </w:r>
      <w:proofErr w:type="gramEnd"/>
      <w:r>
        <w:rPr>
          <w:rFonts w:asciiTheme="minorHAnsi" w:hAnsiTheme="minorHAnsi"/>
          <w:sz w:val="18"/>
          <w:szCs w:val="18"/>
        </w:rPr>
        <w:t xml:space="preserve"> dispositions visant à abolir et à éliminer le langage désobligeant à l'égard des </w:t>
      </w:r>
      <w:r w:rsidR="007B7A6F">
        <w:rPr>
          <w:rFonts w:asciiTheme="minorHAnsi" w:hAnsiTheme="minorHAnsi"/>
          <w:sz w:val="18"/>
          <w:szCs w:val="18"/>
        </w:rPr>
        <w:t>personnes handicapées</w:t>
      </w:r>
      <w:r>
        <w:rPr>
          <w:rFonts w:asciiTheme="minorHAnsi" w:hAnsiTheme="minorHAnsi"/>
          <w:sz w:val="18"/>
          <w:szCs w:val="18"/>
        </w:rPr>
        <w:t xml:space="preserve"> dans les lois, politiques et discours du gouvernement</w:t>
      </w:r>
    </w:p>
  </w:endnote>
  <w:endnote w:id="6">
    <w:p w14:paraId="1FAC1F25" w14:textId="77777777" w:rsidR="00BB271F" w:rsidRPr="005F460C" w:rsidRDefault="00BB271F" w:rsidP="00BB271F">
      <w:pPr>
        <w:pStyle w:val="EndnoteText"/>
        <w:jc w:val="both"/>
        <w:rPr>
          <w:sz w:val="18"/>
          <w:szCs w:val="18"/>
        </w:rPr>
      </w:pPr>
      <w:r>
        <w:rPr>
          <w:rStyle w:val="EndnoteReference"/>
          <w:sz w:val="18"/>
          <w:szCs w:val="18"/>
        </w:rPr>
        <w:endnoteRef/>
      </w:r>
      <w:r>
        <w:t xml:space="preserve"> </w:t>
      </w:r>
      <w:r>
        <w:rPr>
          <w:sz w:val="18"/>
          <w:szCs w:val="18"/>
        </w:rPr>
        <w:t>Pour plus d'informations sur l'éducation et la formation aux droits de l'homme et des indicateurs spécifiques, voir</w:t>
      </w:r>
      <w:r>
        <w:t xml:space="preserve"> </w:t>
      </w:r>
      <w:hyperlink r:id="rId5" w:history="1">
        <w:r>
          <w:rPr>
            <w:rStyle w:val="Hyperlink"/>
            <w:sz w:val="18"/>
            <w:szCs w:val="18"/>
          </w:rPr>
          <w:t>http://www.hre2020.org/indicator-framework</w:t>
        </w:r>
      </w:hyperlink>
      <w:r>
        <w:rPr>
          <w:sz w:val="18"/>
          <w:szCs w:val="18"/>
        </w:rPr>
        <w:t xml:space="preserve">. </w:t>
      </w:r>
    </w:p>
  </w:endnote>
  <w:endnote w:id="7">
    <w:p w14:paraId="53A6A2E8" w14:textId="50A6C1ED" w:rsidR="001753BD" w:rsidRPr="005F460C" w:rsidRDefault="001753BD" w:rsidP="0025389C">
      <w:pPr>
        <w:pStyle w:val="EndnoteText"/>
        <w:jc w:val="both"/>
        <w:rPr>
          <w:sz w:val="18"/>
          <w:szCs w:val="18"/>
        </w:rPr>
      </w:pPr>
      <w:r>
        <w:rPr>
          <w:rStyle w:val="EndnoteReference"/>
          <w:sz w:val="18"/>
          <w:szCs w:val="18"/>
        </w:rPr>
        <w:endnoteRef/>
      </w:r>
      <w:r>
        <w:t xml:space="preserve"> </w:t>
      </w:r>
      <w:r>
        <w:rPr>
          <w:sz w:val="18"/>
          <w:szCs w:val="18"/>
        </w:rPr>
        <w:t>Tels que le grand public, les fonctionnaires, les médias, les journalistes, le secteur privé, les chefs communautaires et religieux, les femmes et les filles handicap</w:t>
      </w:r>
      <w:r w:rsidR="007B7A6F">
        <w:rPr>
          <w:sz w:val="18"/>
          <w:szCs w:val="18"/>
        </w:rPr>
        <w:t>ées</w:t>
      </w:r>
      <w:r>
        <w:rPr>
          <w:sz w:val="18"/>
          <w:szCs w:val="18"/>
        </w:rPr>
        <w:t xml:space="preserve">, les groupes marginalisés de </w:t>
      </w:r>
      <w:r w:rsidR="007B7A6F">
        <w:rPr>
          <w:sz w:val="18"/>
          <w:szCs w:val="18"/>
        </w:rPr>
        <w:t>personnes handicapées</w:t>
      </w:r>
      <w:r>
        <w:rPr>
          <w:sz w:val="18"/>
          <w:szCs w:val="18"/>
        </w:rPr>
        <w:t>, etc.</w:t>
      </w:r>
    </w:p>
  </w:endnote>
  <w:endnote w:id="8">
    <w:p w14:paraId="21E89912" w14:textId="5184E98F" w:rsidR="001753BD" w:rsidRPr="005F460C" w:rsidRDefault="001753BD" w:rsidP="0025389C">
      <w:pPr>
        <w:pStyle w:val="EndnoteText"/>
        <w:jc w:val="both"/>
        <w:rPr>
          <w:sz w:val="18"/>
          <w:szCs w:val="18"/>
        </w:rPr>
      </w:pPr>
      <w:r>
        <w:rPr>
          <w:rStyle w:val="EndnoteReference"/>
          <w:sz w:val="18"/>
          <w:szCs w:val="18"/>
        </w:rPr>
        <w:endnoteRef/>
      </w:r>
      <w:r>
        <w:t xml:space="preserve"> </w:t>
      </w:r>
      <w:r>
        <w:rPr>
          <w:sz w:val="18"/>
          <w:szCs w:val="18"/>
        </w:rPr>
        <w:t>Y compris les femmes handicap</w:t>
      </w:r>
      <w:r w:rsidR="007B7A6F">
        <w:rPr>
          <w:sz w:val="18"/>
          <w:szCs w:val="18"/>
        </w:rPr>
        <w:t>ées</w:t>
      </w:r>
      <w:r>
        <w:rPr>
          <w:sz w:val="18"/>
          <w:szCs w:val="18"/>
        </w:rPr>
        <w:t>, les enfants et les jeunes handicap</w:t>
      </w:r>
      <w:r w:rsidR="007B7A6F">
        <w:rPr>
          <w:sz w:val="18"/>
          <w:szCs w:val="18"/>
        </w:rPr>
        <w:t>és</w:t>
      </w:r>
      <w:r>
        <w:rPr>
          <w:sz w:val="18"/>
          <w:szCs w:val="18"/>
        </w:rPr>
        <w:t xml:space="preserve">, les </w:t>
      </w:r>
      <w:r w:rsidR="007B7A6F">
        <w:rPr>
          <w:sz w:val="18"/>
          <w:szCs w:val="18"/>
        </w:rPr>
        <w:t>personnes handicapées</w:t>
      </w:r>
      <w:r>
        <w:rPr>
          <w:sz w:val="18"/>
          <w:szCs w:val="18"/>
        </w:rPr>
        <w:t xml:space="preserve"> des communautés marginalisées et exclues et celles vivant dans les zones rurales.</w:t>
      </w:r>
    </w:p>
  </w:endnote>
  <w:endnote w:id="9">
    <w:p w14:paraId="735E682B" w14:textId="3C52FA6A" w:rsidR="001753BD" w:rsidRPr="005F460C" w:rsidRDefault="001753BD" w:rsidP="0025389C">
      <w:pPr>
        <w:pStyle w:val="EndnoteText"/>
        <w:jc w:val="both"/>
        <w:rPr>
          <w:sz w:val="18"/>
          <w:szCs w:val="18"/>
        </w:rPr>
      </w:pPr>
      <w:r>
        <w:rPr>
          <w:rStyle w:val="EndnoteReference"/>
          <w:sz w:val="18"/>
          <w:szCs w:val="18"/>
        </w:rPr>
        <w:endnoteRef/>
      </w:r>
      <w:r>
        <w:t xml:space="preserve"> </w:t>
      </w:r>
      <w:r>
        <w:rPr>
          <w:sz w:val="18"/>
          <w:szCs w:val="18"/>
        </w:rPr>
        <w:t>Tels que le grand public, les fonctionnaires, les membres des organes de surveillance des médias, les médias, les journalistes, le secteur privé, les chefs religieux et communautaires, les femmes et les filles handicap</w:t>
      </w:r>
      <w:r w:rsidR="007B7A6F">
        <w:rPr>
          <w:sz w:val="18"/>
          <w:szCs w:val="18"/>
        </w:rPr>
        <w:t>ées</w:t>
      </w:r>
      <w:r>
        <w:rPr>
          <w:sz w:val="18"/>
          <w:szCs w:val="18"/>
        </w:rPr>
        <w:t xml:space="preserve">, les groupes marginalisés de </w:t>
      </w:r>
      <w:r w:rsidR="007B7A6F">
        <w:rPr>
          <w:sz w:val="18"/>
          <w:szCs w:val="18"/>
        </w:rPr>
        <w:t>personnes handicapées</w:t>
      </w:r>
      <w:r>
        <w:rPr>
          <w:sz w:val="18"/>
          <w:szCs w:val="18"/>
        </w:rPr>
        <w:t>, etc.</w:t>
      </w:r>
    </w:p>
  </w:endnote>
  <w:endnote w:id="10">
    <w:p w14:paraId="07CF27D8" w14:textId="77777777" w:rsidR="001753BD" w:rsidRPr="005F460C" w:rsidRDefault="001753BD" w:rsidP="0025389C">
      <w:pPr>
        <w:spacing w:after="0" w:line="240" w:lineRule="auto"/>
        <w:jc w:val="both"/>
        <w:rPr>
          <w:sz w:val="18"/>
          <w:szCs w:val="18"/>
        </w:rPr>
      </w:pPr>
      <w:r>
        <w:rPr>
          <w:rStyle w:val="EndnoteReference"/>
          <w:sz w:val="18"/>
          <w:szCs w:val="18"/>
        </w:rPr>
        <w:endnoteRef/>
      </w:r>
      <w:r>
        <w:t xml:space="preserve"> </w:t>
      </w:r>
      <w:r>
        <w:rPr>
          <w:sz w:val="18"/>
          <w:szCs w:val="18"/>
        </w:rPr>
        <w:t>Les informations concernant la sensibilité au genre pourraient être dérivées des Indicateurs sensibles au genre pour les médias (</w:t>
      </w:r>
      <w:hyperlink r:id="rId6" w:history="1">
        <w:r>
          <w:rPr>
            <w:rStyle w:val="Hyperlink"/>
            <w:sz w:val="18"/>
            <w:szCs w:val="18"/>
          </w:rPr>
          <w:t>http://www.media-diversity.org/en/additional-files/Gender-Sensitive_Indicators_for_Media_EN.pdf</w:t>
        </w:r>
      </w:hyperlink>
      <w:r>
        <w:rPr>
          <w:sz w:val="18"/>
          <w:szCs w:val="18"/>
        </w:rPr>
        <w:t xml:space="preserve">). </w:t>
      </w:r>
    </w:p>
  </w:endnote>
  <w:endnote w:id="11">
    <w:p w14:paraId="668E95F4" w14:textId="4E0EEABD" w:rsidR="005121B0" w:rsidRPr="00DD35DD" w:rsidRDefault="00F21E3C" w:rsidP="005121B0">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7B7A6F">
        <w:rPr>
          <w:sz w:val="18"/>
          <w:szCs w:val="18"/>
        </w:rPr>
        <w:t>faire participer</w:t>
      </w:r>
      <w:r>
        <w:rPr>
          <w:sz w:val="18"/>
          <w:szCs w:val="18"/>
        </w:rPr>
        <w:t xml:space="preserve"> les </w:t>
      </w:r>
      <w:r w:rsidR="007B7A6F">
        <w:rPr>
          <w:sz w:val="18"/>
          <w:szCs w:val="18"/>
        </w:rPr>
        <w:t>personnes handicapées</w:t>
      </w:r>
      <w:r>
        <w:rPr>
          <w:sz w:val="18"/>
          <w:szCs w:val="18"/>
        </w:rPr>
        <w:t xml:space="preserve"> dans les processus décisionnels liés aux questions qui les affectent directement ou indirectement conformément à l'article 4 (3) de la CDPH et </w:t>
      </w:r>
      <w:hyperlink r:id="rId7" w:history="1">
        <w:r w:rsidRPr="005146B7">
          <w:rPr>
            <w:rStyle w:val="Hyperlink"/>
            <w:sz w:val="18"/>
            <w:szCs w:val="18"/>
          </w:rPr>
          <w:t>à l'Observation g</w:t>
        </w:r>
        <w:bookmarkStart w:id="0" w:name="_GoBack"/>
        <w:bookmarkEnd w:id="0"/>
        <w:r w:rsidRPr="005146B7">
          <w:rPr>
            <w:rStyle w:val="Hyperlink"/>
            <w:sz w:val="18"/>
            <w:szCs w:val="18"/>
          </w:rPr>
          <w:t>é</w:t>
        </w:r>
        <w:r w:rsidRPr="005146B7">
          <w:rPr>
            <w:rStyle w:val="Hyperlink"/>
            <w:sz w:val="18"/>
            <w:szCs w:val="18"/>
          </w:rPr>
          <w:t>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071BA8A1" w14:textId="77777777" w:rsidR="005121B0" w:rsidRPr="00DD35DD" w:rsidRDefault="005121B0" w:rsidP="005121B0">
      <w:pPr>
        <w:pStyle w:val="EndnoteText"/>
        <w:numPr>
          <w:ilvl w:val="0"/>
          <w:numId w:val="7"/>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4B20ED0C" w14:textId="77777777" w:rsidR="005121B0" w:rsidRPr="00DD35DD" w:rsidRDefault="005121B0" w:rsidP="005121B0">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4932C6EA" w14:textId="7C0F96A6" w:rsidR="005121B0" w:rsidRPr="00DD35DD" w:rsidRDefault="005121B0" w:rsidP="005121B0">
      <w:pPr>
        <w:pStyle w:val="EndnoteText"/>
        <w:numPr>
          <w:ilvl w:val="0"/>
          <w:numId w:val="7"/>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7B7A6F">
        <w:rPr>
          <w:sz w:val="18"/>
          <w:szCs w:val="18"/>
        </w:rPr>
        <w:t>personnes handicapées</w:t>
      </w:r>
      <w:r>
        <w:rPr>
          <w:sz w:val="18"/>
          <w:szCs w:val="18"/>
        </w:rPr>
        <w:t xml:space="preserve"> d'exprimer librement leurs opinions ;</w:t>
      </w:r>
    </w:p>
    <w:p w14:paraId="3C05EBE1" w14:textId="77777777" w:rsidR="005121B0" w:rsidRPr="00DD35DD" w:rsidRDefault="005121B0" w:rsidP="005121B0">
      <w:pPr>
        <w:pStyle w:val="EndnoteText"/>
        <w:numPr>
          <w:ilvl w:val="0"/>
          <w:numId w:val="7"/>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2827D7F8" w14:textId="00AF36C0" w:rsidR="005121B0" w:rsidRDefault="005121B0" w:rsidP="005121B0">
      <w:pPr>
        <w:pStyle w:val="EndnoteText"/>
        <w:numPr>
          <w:ilvl w:val="0"/>
          <w:numId w:val="7"/>
        </w:numPr>
        <w:ind w:left="714" w:hanging="357"/>
        <w:contextualSpacing/>
        <w:rPr>
          <w:sz w:val="18"/>
          <w:szCs w:val="18"/>
        </w:rPr>
      </w:pPr>
      <w:proofErr w:type="gramStart"/>
      <w:r>
        <w:rPr>
          <w:sz w:val="18"/>
          <w:szCs w:val="18"/>
        </w:rPr>
        <w:t>assurer</w:t>
      </w:r>
      <w:proofErr w:type="gramEnd"/>
      <w:r>
        <w:rPr>
          <w:sz w:val="18"/>
          <w:szCs w:val="18"/>
        </w:rPr>
        <w:t xml:space="preserve"> une </w:t>
      </w:r>
      <w:r w:rsidR="007B7A6F">
        <w:rPr>
          <w:sz w:val="18"/>
          <w:szCs w:val="18"/>
        </w:rPr>
        <w:t>participation</w:t>
      </w:r>
      <w:r>
        <w:rPr>
          <w:sz w:val="18"/>
          <w:szCs w:val="18"/>
        </w:rPr>
        <w:t xml:space="preserve"> précoce et continue ;</w:t>
      </w:r>
    </w:p>
    <w:p w14:paraId="1AEC32A1" w14:textId="1B951233" w:rsidR="00F21E3C" w:rsidRPr="005121B0" w:rsidRDefault="005121B0" w:rsidP="005121B0">
      <w:pPr>
        <w:pStyle w:val="EndnoteText"/>
        <w:numPr>
          <w:ilvl w:val="0"/>
          <w:numId w:val="7"/>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2">
    <w:p w14:paraId="00EECAF2" w14:textId="2CB459B1" w:rsidR="00D3275A" w:rsidRDefault="00D3275A" w:rsidP="0025389C">
      <w:pPr>
        <w:pStyle w:val="EndnoteText"/>
        <w:jc w:val="both"/>
      </w:pPr>
      <w:r>
        <w:rPr>
          <w:rStyle w:val="EndnoteReference"/>
          <w:sz w:val="18"/>
          <w:szCs w:val="18"/>
        </w:rPr>
        <w:endnoteRef/>
      </w:r>
      <w:r>
        <w:t xml:space="preserve"> </w:t>
      </w:r>
      <w:r>
        <w:rPr>
          <w:sz w:val="18"/>
          <w:szCs w:val="18"/>
        </w:rPr>
        <w:t>Cela pourrait être évalué à l'aide des enquêtes de perception spécifiques, telles que celles basées sur «</w:t>
      </w:r>
      <w:r>
        <w:t> </w:t>
      </w:r>
      <w:hyperlink r:id="rId8" w:history="1">
        <w:r>
          <w:rPr>
            <w:rStyle w:val="Hyperlink"/>
            <w:sz w:val="18"/>
            <w:szCs w:val="18"/>
          </w:rPr>
          <w:t>l'échelle de distance sociale »</w:t>
        </w:r>
      </w:hyperlink>
      <w:r>
        <w:rPr>
          <w:sz w:val="18"/>
          <w:szCs w:val="18"/>
        </w:rPr>
        <w:t>. Voir, par exemple, Conseil sur la prévention et l'élimination de la discrimination et la garantie de l'égalité de la Moldavie, HCDH et PNU</w:t>
      </w:r>
      <w:r>
        <w:t>D « Étude sur les perceptions et les attitudes en matière d'égalité en République de Moldavie » (2015).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C4DA3" w14:textId="77777777" w:rsidR="00CD34E2" w:rsidRDefault="00CD34E2" w:rsidP="009D5D68">
      <w:pPr>
        <w:spacing w:after="0" w:line="240" w:lineRule="auto"/>
      </w:pPr>
      <w:r>
        <w:separator/>
      </w:r>
    </w:p>
  </w:footnote>
  <w:footnote w:type="continuationSeparator" w:id="0">
    <w:p w14:paraId="658665BA" w14:textId="77777777" w:rsidR="00CD34E2" w:rsidRDefault="00CD34E2" w:rsidP="009D5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77CBA"/>
    <w:multiLevelType w:val="multilevel"/>
    <w:tmpl w:val="A3988CF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3EC457F"/>
    <w:multiLevelType w:val="hybridMultilevel"/>
    <w:tmpl w:val="B120A682"/>
    <w:lvl w:ilvl="0" w:tplc="657E2BE0">
      <w:start w:val="2"/>
      <w:numFmt w:val="bullet"/>
      <w:lvlText w:val="-"/>
      <w:lvlJc w:val="left"/>
      <w:pPr>
        <w:ind w:left="720" w:hanging="360"/>
      </w:pPr>
      <w:rPr>
        <w:rFonts w:ascii="Calibri" w:eastAsiaTheme="minorHAnsi" w:hAnsi="Calibri" w:cs="Calibr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90A552A"/>
    <w:multiLevelType w:val="hybridMultilevel"/>
    <w:tmpl w:val="DECE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9518EB"/>
    <w:multiLevelType w:val="hybridMultilevel"/>
    <w:tmpl w:val="2592C80C"/>
    <w:lvl w:ilvl="0" w:tplc="657E2BE0">
      <w:start w:val="1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4A504EB"/>
    <w:multiLevelType w:val="hybridMultilevel"/>
    <w:tmpl w:val="91806CF2"/>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54B74"/>
    <w:multiLevelType w:val="hybridMultilevel"/>
    <w:tmpl w:val="DBF28FF6"/>
    <w:lvl w:ilvl="0" w:tplc="657E2B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715B64"/>
    <w:multiLevelType w:val="hybridMultilevel"/>
    <w:tmpl w:val="C9FAF9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183C87"/>
    <w:multiLevelType w:val="multilevel"/>
    <w:tmpl w:val="A342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224C6"/>
    <w:multiLevelType w:val="hybridMultilevel"/>
    <w:tmpl w:val="704C7094"/>
    <w:lvl w:ilvl="0" w:tplc="657E2BE0">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9"/>
  </w:num>
  <w:num w:numId="5">
    <w:abstractNumId w:val="4"/>
  </w:num>
  <w:num w:numId="6">
    <w:abstractNumId w:val="7"/>
  </w:num>
  <w:num w:numId="7">
    <w:abstractNumId w:val="6"/>
  </w:num>
  <w:num w:numId="8">
    <w:abstractNumId w:val="0"/>
  </w:num>
  <w:num w:numId="9">
    <w:abstractNumId w:val="1"/>
  </w:num>
  <w:num w:numId="10">
    <w:abstractNumId w:val="5"/>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FB1"/>
    <w:rsid w:val="00006CBA"/>
    <w:rsid w:val="00006D9A"/>
    <w:rsid w:val="0001126F"/>
    <w:rsid w:val="00022B72"/>
    <w:rsid w:val="00037FF1"/>
    <w:rsid w:val="00040B43"/>
    <w:rsid w:val="000421B4"/>
    <w:rsid w:val="0006608C"/>
    <w:rsid w:val="0008240D"/>
    <w:rsid w:val="00082624"/>
    <w:rsid w:val="00083D9B"/>
    <w:rsid w:val="00086EF4"/>
    <w:rsid w:val="000A1483"/>
    <w:rsid w:val="000C3232"/>
    <w:rsid w:val="000C6EF2"/>
    <w:rsid w:val="001014E7"/>
    <w:rsid w:val="001256F1"/>
    <w:rsid w:val="00161753"/>
    <w:rsid w:val="001753BD"/>
    <w:rsid w:val="001B33BE"/>
    <w:rsid w:val="001C1286"/>
    <w:rsid w:val="001C7235"/>
    <w:rsid w:val="001D259C"/>
    <w:rsid w:val="001E062C"/>
    <w:rsid w:val="002022CF"/>
    <w:rsid w:val="00202CEC"/>
    <w:rsid w:val="00211BCA"/>
    <w:rsid w:val="00212603"/>
    <w:rsid w:val="00220976"/>
    <w:rsid w:val="00241F27"/>
    <w:rsid w:val="00243772"/>
    <w:rsid w:val="00247EB8"/>
    <w:rsid w:val="0025389C"/>
    <w:rsid w:val="002664B9"/>
    <w:rsid w:val="00282D27"/>
    <w:rsid w:val="002A3808"/>
    <w:rsid w:val="002C26A5"/>
    <w:rsid w:val="0032161D"/>
    <w:rsid w:val="003216F0"/>
    <w:rsid w:val="003259B9"/>
    <w:rsid w:val="003259EB"/>
    <w:rsid w:val="00342704"/>
    <w:rsid w:val="00342B36"/>
    <w:rsid w:val="00352624"/>
    <w:rsid w:val="003529B9"/>
    <w:rsid w:val="00356894"/>
    <w:rsid w:val="003759C9"/>
    <w:rsid w:val="00383D86"/>
    <w:rsid w:val="003905C4"/>
    <w:rsid w:val="003A1529"/>
    <w:rsid w:val="003B1FB1"/>
    <w:rsid w:val="003D0456"/>
    <w:rsid w:val="003F021E"/>
    <w:rsid w:val="003F48F0"/>
    <w:rsid w:val="004226B5"/>
    <w:rsid w:val="004229F8"/>
    <w:rsid w:val="00433281"/>
    <w:rsid w:val="004654AD"/>
    <w:rsid w:val="004826F5"/>
    <w:rsid w:val="00483AEC"/>
    <w:rsid w:val="004874C2"/>
    <w:rsid w:val="004A04C5"/>
    <w:rsid w:val="004D418A"/>
    <w:rsid w:val="004D6799"/>
    <w:rsid w:val="004E2192"/>
    <w:rsid w:val="004F21E5"/>
    <w:rsid w:val="004F2DCA"/>
    <w:rsid w:val="004F4737"/>
    <w:rsid w:val="004F6F5E"/>
    <w:rsid w:val="005121B0"/>
    <w:rsid w:val="0051422F"/>
    <w:rsid w:val="005146B7"/>
    <w:rsid w:val="00530BF7"/>
    <w:rsid w:val="00540DD7"/>
    <w:rsid w:val="005465E4"/>
    <w:rsid w:val="00554502"/>
    <w:rsid w:val="0056112A"/>
    <w:rsid w:val="00571829"/>
    <w:rsid w:val="00594817"/>
    <w:rsid w:val="005F460C"/>
    <w:rsid w:val="00624322"/>
    <w:rsid w:val="006275BA"/>
    <w:rsid w:val="00630454"/>
    <w:rsid w:val="006332BF"/>
    <w:rsid w:val="00642309"/>
    <w:rsid w:val="00642904"/>
    <w:rsid w:val="006436C5"/>
    <w:rsid w:val="0064490D"/>
    <w:rsid w:val="00665DEC"/>
    <w:rsid w:val="00667AB6"/>
    <w:rsid w:val="00687C51"/>
    <w:rsid w:val="00693D38"/>
    <w:rsid w:val="006B5CDD"/>
    <w:rsid w:val="006E2CF5"/>
    <w:rsid w:val="006E5D88"/>
    <w:rsid w:val="006F35AA"/>
    <w:rsid w:val="007336F5"/>
    <w:rsid w:val="00736F98"/>
    <w:rsid w:val="007373F6"/>
    <w:rsid w:val="00737C7D"/>
    <w:rsid w:val="0074340B"/>
    <w:rsid w:val="00764C17"/>
    <w:rsid w:val="00773F31"/>
    <w:rsid w:val="00786018"/>
    <w:rsid w:val="007A6048"/>
    <w:rsid w:val="007A682A"/>
    <w:rsid w:val="007B7A6F"/>
    <w:rsid w:val="007C1F7E"/>
    <w:rsid w:val="007C69E0"/>
    <w:rsid w:val="007D3822"/>
    <w:rsid w:val="007D4D25"/>
    <w:rsid w:val="007E0D9F"/>
    <w:rsid w:val="00833CED"/>
    <w:rsid w:val="00846BE1"/>
    <w:rsid w:val="0085746D"/>
    <w:rsid w:val="008708BE"/>
    <w:rsid w:val="0087567F"/>
    <w:rsid w:val="00876401"/>
    <w:rsid w:val="00885386"/>
    <w:rsid w:val="00886FB8"/>
    <w:rsid w:val="00895F76"/>
    <w:rsid w:val="008A2C81"/>
    <w:rsid w:val="008B1850"/>
    <w:rsid w:val="008B6CC8"/>
    <w:rsid w:val="008D18E0"/>
    <w:rsid w:val="008D33C7"/>
    <w:rsid w:val="008E3C98"/>
    <w:rsid w:val="008F2CA8"/>
    <w:rsid w:val="00915A31"/>
    <w:rsid w:val="00947DF0"/>
    <w:rsid w:val="00957478"/>
    <w:rsid w:val="0096783D"/>
    <w:rsid w:val="009820D4"/>
    <w:rsid w:val="0098688F"/>
    <w:rsid w:val="009911D3"/>
    <w:rsid w:val="009A0EC3"/>
    <w:rsid w:val="009B6963"/>
    <w:rsid w:val="009D05F4"/>
    <w:rsid w:val="009D1190"/>
    <w:rsid w:val="009D4B92"/>
    <w:rsid w:val="009D5334"/>
    <w:rsid w:val="009D5D68"/>
    <w:rsid w:val="009E4453"/>
    <w:rsid w:val="009F6E73"/>
    <w:rsid w:val="00A037B7"/>
    <w:rsid w:val="00A2699A"/>
    <w:rsid w:val="00A33D9E"/>
    <w:rsid w:val="00A34440"/>
    <w:rsid w:val="00A440B1"/>
    <w:rsid w:val="00A54B07"/>
    <w:rsid w:val="00A851A9"/>
    <w:rsid w:val="00A85FE4"/>
    <w:rsid w:val="00A86C57"/>
    <w:rsid w:val="00A87969"/>
    <w:rsid w:val="00A904CB"/>
    <w:rsid w:val="00A90FDE"/>
    <w:rsid w:val="00AA01C4"/>
    <w:rsid w:val="00AA629F"/>
    <w:rsid w:val="00AC103E"/>
    <w:rsid w:val="00AC35D2"/>
    <w:rsid w:val="00AF2B0A"/>
    <w:rsid w:val="00B075C9"/>
    <w:rsid w:val="00B10DBA"/>
    <w:rsid w:val="00B22C03"/>
    <w:rsid w:val="00B64FE5"/>
    <w:rsid w:val="00B67B01"/>
    <w:rsid w:val="00BA73F7"/>
    <w:rsid w:val="00BB271F"/>
    <w:rsid w:val="00BD6E9F"/>
    <w:rsid w:val="00C526FA"/>
    <w:rsid w:val="00C54556"/>
    <w:rsid w:val="00C56860"/>
    <w:rsid w:val="00C57B80"/>
    <w:rsid w:val="00C63AB2"/>
    <w:rsid w:val="00C66DDB"/>
    <w:rsid w:val="00C818E7"/>
    <w:rsid w:val="00C8363D"/>
    <w:rsid w:val="00C9536F"/>
    <w:rsid w:val="00CA20A3"/>
    <w:rsid w:val="00CB0A36"/>
    <w:rsid w:val="00CC0A66"/>
    <w:rsid w:val="00CC6831"/>
    <w:rsid w:val="00CD34E2"/>
    <w:rsid w:val="00CE40E8"/>
    <w:rsid w:val="00CF2B66"/>
    <w:rsid w:val="00CF2FFC"/>
    <w:rsid w:val="00D04FDE"/>
    <w:rsid w:val="00D074DE"/>
    <w:rsid w:val="00D15B7B"/>
    <w:rsid w:val="00D3275A"/>
    <w:rsid w:val="00D32F52"/>
    <w:rsid w:val="00D670BA"/>
    <w:rsid w:val="00D77390"/>
    <w:rsid w:val="00D83381"/>
    <w:rsid w:val="00D84791"/>
    <w:rsid w:val="00D84842"/>
    <w:rsid w:val="00D918F3"/>
    <w:rsid w:val="00DC1184"/>
    <w:rsid w:val="00DF1BDB"/>
    <w:rsid w:val="00DF5AC6"/>
    <w:rsid w:val="00E12F5E"/>
    <w:rsid w:val="00E24B12"/>
    <w:rsid w:val="00E25F55"/>
    <w:rsid w:val="00E30B9B"/>
    <w:rsid w:val="00E463A9"/>
    <w:rsid w:val="00E509D6"/>
    <w:rsid w:val="00E55122"/>
    <w:rsid w:val="00E607EE"/>
    <w:rsid w:val="00E72B46"/>
    <w:rsid w:val="00E772BA"/>
    <w:rsid w:val="00E77DA5"/>
    <w:rsid w:val="00E83577"/>
    <w:rsid w:val="00E924D4"/>
    <w:rsid w:val="00E96D8C"/>
    <w:rsid w:val="00EC26AF"/>
    <w:rsid w:val="00ED2FAE"/>
    <w:rsid w:val="00EE00E5"/>
    <w:rsid w:val="00EE057C"/>
    <w:rsid w:val="00EE75D6"/>
    <w:rsid w:val="00EE7A4C"/>
    <w:rsid w:val="00EF173D"/>
    <w:rsid w:val="00F21E3C"/>
    <w:rsid w:val="00F22FD6"/>
    <w:rsid w:val="00F410F6"/>
    <w:rsid w:val="00F55A04"/>
    <w:rsid w:val="00F63625"/>
    <w:rsid w:val="00F63F2B"/>
    <w:rsid w:val="00F77486"/>
    <w:rsid w:val="00F950BB"/>
    <w:rsid w:val="00FC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09EA"/>
  <w14:defaultImageDpi w14:val="32767"/>
  <w15:chartTrackingRefBased/>
  <w15:docId w15:val="{BF5F6789-5F11-40CF-8A86-1BDC31BA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FB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FB1"/>
    <w:pPr>
      <w:ind w:left="720"/>
      <w:contextualSpacing/>
    </w:pPr>
  </w:style>
  <w:style w:type="table" w:styleId="TableGrid">
    <w:name w:val="Table Grid"/>
    <w:basedOn w:val="TableNormal"/>
    <w:uiPriority w:val="39"/>
    <w:rsid w:val="003B1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26F5"/>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4826F5"/>
    <w:rPr>
      <w:rFonts w:ascii="Times New Roman" w:hAnsi="Times New Roman" w:cs="Times New Roman"/>
      <w:sz w:val="26"/>
      <w:szCs w:val="26"/>
      <w:lang w:val="fr-FR"/>
    </w:rPr>
  </w:style>
  <w:style w:type="paragraph" w:customStyle="1" w:styleId="xmsonormal">
    <w:name w:val="x_msonormal"/>
    <w:basedOn w:val="Normal"/>
    <w:rsid w:val="00037F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C35D2"/>
    <w:rPr>
      <w:sz w:val="16"/>
      <w:szCs w:val="16"/>
    </w:rPr>
  </w:style>
  <w:style w:type="paragraph" w:styleId="CommentText">
    <w:name w:val="annotation text"/>
    <w:basedOn w:val="Normal"/>
    <w:link w:val="CommentTextChar"/>
    <w:uiPriority w:val="99"/>
    <w:semiHidden/>
    <w:unhideWhenUsed/>
    <w:rsid w:val="00AC35D2"/>
    <w:pPr>
      <w:spacing w:line="240" w:lineRule="auto"/>
    </w:pPr>
    <w:rPr>
      <w:sz w:val="20"/>
      <w:szCs w:val="20"/>
    </w:rPr>
  </w:style>
  <w:style w:type="character" w:customStyle="1" w:styleId="CommentTextChar">
    <w:name w:val="Comment Text Char"/>
    <w:basedOn w:val="DefaultParagraphFont"/>
    <w:link w:val="CommentText"/>
    <w:uiPriority w:val="99"/>
    <w:semiHidden/>
    <w:rsid w:val="00AC35D2"/>
    <w:rPr>
      <w:sz w:val="20"/>
      <w:szCs w:val="20"/>
      <w:lang w:val="fr-FR"/>
    </w:rPr>
  </w:style>
  <w:style w:type="paragraph" w:styleId="CommentSubject">
    <w:name w:val="annotation subject"/>
    <w:basedOn w:val="CommentText"/>
    <w:next w:val="CommentText"/>
    <w:link w:val="CommentSubjectChar"/>
    <w:uiPriority w:val="99"/>
    <w:semiHidden/>
    <w:unhideWhenUsed/>
    <w:rsid w:val="00AC35D2"/>
    <w:rPr>
      <w:b/>
      <w:bCs/>
    </w:rPr>
  </w:style>
  <w:style w:type="character" w:customStyle="1" w:styleId="CommentSubjectChar">
    <w:name w:val="Comment Subject Char"/>
    <w:basedOn w:val="CommentTextChar"/>
    <w:link w:val="CommentSubject"/>
    <w:uiPriority w:val="99"/>
    <w:semiHidden/>
    <w:rsid w:val="00AC35D2"/>
    <w:rPr>
      <w:b/>
      <w:bCs/>
      <w:sz w:val="20"/>
      <w:szCs w:val="20"/>
      <w:lang w:val="fr-FR"/>
    </w:rPr>
  </w:style>
  <w:style w:type="paragraph" w:styleId="EndnoteText">
    <w:name w:val="endnote text"/>
    <w:basedOn w:val="Normal"/>
    <w:link w:val="EndnoteTextChar"/>
    <w:uiPriority w:val="99"/>
    <w:unhideWhenUsed/>
    <w:rsid w:val="009D5D68"/>
    <w:pPr>
      <w:spacing w:after="0" w:line="240" w:lineRule="auto"/>
    </w:pPr>
    <w:rPr>
      <w:sz w:val="20"/>
      <w:szCs w:val="20"/>
    </w:rPr>
  </w:style>
  <w:style w:type="character" w:customStyle="1" w:styleId="EndnoteTextChar">
    <w:name w:val="Endnote Text Char"/>
    <w:basedOn w:val="DefaultParagraphFont"/>
    <w:link w:val="EndnoteText"/>
    <w:uiPriority w:val="99"/>
    <w:rsid w:val="009D5D68"/>
    <w:rPr>
      <w:sz w:val="20"/>
      <w:szCs w:val="20"/>
      <w:lang w:val="fr-FR"/>
    </w:rPr>
  </w:style>
  <w:style w:type="character" w:styleId="EndnoteReference">
    <w:name w:val="endnote reference"/>
    <w:basedOn w:val="DefaultParagraphFont"/>
    <w:uiPriority w:val="99"/>
    <w:unhideWhenUsed/>
    <w:rsid w:val="009D5D68"/>
    <w:rPr>
      <w:vertAlign w:val="superscript"/>
    </w:rPr>
  </w:style>
  <w:style w:type="character" w:styleId="Hyperlink">
    <w:name w:val="Hyperlink"/>
    <w:basedOn w:val="DefaultParagraphFont"/>
    <w:uiPriority w:val="99"/>
    <w:unhideWhenUsed/>
    <w:rsid w:val="00C56860"/>
    <w:rPr>
      <w:color w:val="0563C1" w:themeColor="hyperlink"/>
      <w:u w:val="single"/>
    </w:rPr>
  </w:style>
  <w:style w:type="paragraph" w:styleId="FootnoteText">
    <w:name w:val="footnote text"/>
    <w:basedOn w:val="Normal"/>
    <w:link w:val="FootnoteTextChar"/>
    <w:uiPriority w:val="99"/>
    <w:semiHidden/>
    <w:unhideWhenUsed/>
    <w:rsid w:val="006423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2309"/>
    <w:rPr>
      <w:sz w:val="20"/>
      <w:szCs w:val="20"/>
      <w:lang w:val="fr-FR"/>
    </w:rPr>
  </w:style>
  <w:style w:type="character" w:styleId="FootnoteReference">
    <w:name w:val="footnote reference"/>
    <w:basedOn w:val="DefaultParagraphFont"/>
    <w:uiPriority w:val="99"/>
    <w:semiHidden/>
    <w:unhideWhenUsed/>
    <w:rsid w:val="00642309"/>
    <w:rPr>
      <w:vertAlign w:val="superscript"/>
    </w:rPr>
  </w:style>
  <w:style w:type="paragraph" w:styleId="Revision">
    <w:name w:val="Revision"/>
    <w:hidden/>
    <w:uiPriority w:val="99"/>
    <w:semiHidden/>
    <w:rsid w:val="00356894"/>
    <w:rPr>
      <w:sz w:val="22"/>
      <w:szCs w:val="22"/>
    </w:rPr>
  </w:style>
  <w:style w:type="character" w:styleId="FollowedHyperlink">
    <w:name w:val="FollowedHyperlink"/>
    <w:basedOn w:val="DefaultParagraphFont"/>
    <w:uiPriority w:val="99"/>
    <w:semiHidden/>
    <w:unhideWhenUsed/>
    <w:rsid w:val="005146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29052">
      <w:bodyDiv w:val="1"/>
      <w:marLeft w:val="0"/>
      <w:marRight w:val="0"/>
      <w:marTop w:val="0"/>
      <w:marBottom w:val="0"/>
      <w:divBdr>
        <w:top w:val="none" w:sz="0" w:space="0" w:color="auto"/>
        <w:left w:val="none" w:sz="0" w:space="0" w:color="auto"/>
        <w:bottom w:val="none" w:sz="0" w:space="0" w:color="auto"/>
        <w:right w:val="none" w:sz="0" w:space="0" w:color="auto"/>
      </w:divBdr>
      <w:divsChild>
        <w:div w:id="540628412">
          <w:marLeft w:val="0"/>
          <w:marRight w:val="0"/>
          <w:marTop w:val="0"/>
          <w:marBottom w:val="0"/>
          <w:divBdr>
            <w:top w:val="none" w:sz="0" w:space="0" w:color="auto"/>
            <w:left w:val="none" w:sz="0" w:space="0" w:color="auto"/>
            <w:bottom w:val="none" w:sz="0" w:space="0" w:color="auto"/>
            <w:right w:val="none" w:sz="0" w:space="0" w:color="auto"/>
          </w:divBdr>
        </w:div>
        <w:div w:id="870650435">
          <w:marLeft w:val="0"/>
          <w:marRight w:val="0"/>
          <w:marTop w:val="0"/>
          <w:marBottom w:val="0"/>
          <w:divBdr>
            <w:top w:val="none" w:sz="0" w:space="0" w:color="auto"/>
            <w:left w:val="none" w:sz="0" w:space="0" w:color="auto"/>
            <w:bottom w:val="none" w:sz="0" w:space="0" w:color="auto"/>
            <w:right w:val="none" w:sz="0" w:space="0" w:color="auto"/>
          </w:divBdr>
        </w:div>
        <w:div w:id="985940177">
          <w:marLeft w:val="0"/>
          <w:marRight w:val="0"/>
          <w:marTop w:val="0"/>
          <w:marBottom w:val="0"/>
          <w:divBdr>
            <w:top w:val="none" w:sz="0" w:space="0" w:color="auto"/>
            <w:left w:val="none" w:sz="0" w:space="0" w:color="auto"/>
            <w:bottom w:val="none" w:sz="0" w:space="0" w:color="auto"/>
            <w:right w:val="none" w:sz="0" w:space="0" w:color="auto"/>
          </w:divBdr>
        </w:div>
      </w:divsChild>
    </w:div>
    <w:div w:id="751394599">
      <w:bodyDiv w:val="1"/>
      <w:marLeft w:val="0"/>
      <w:marRight w:val="0"/>
      <w:marTop w:val="0"/>
      <w:marBottom w:val="0"/>
      <w:divBdr>
        <w:top w:val="none" w:sz="0" w:space="0" w:color="auto"/>
        <w:left w:val="none" w:sz="0" w:space="0" w:color="auto"/>
        <w:bottom w:val="none" w:sz="0" w:space="0" w:color="auto"/>
        <w:right w:val="none" w:sz="0" w:space="0" w:color="auto"/>
      </w:divBdr>
    </w:div>
    <w:div w:id="870530587">
      <w:bodyDiv w:val="1"/>
      <w:marLeft w:val="0"/>
      <w:marRight w:val="0"/>
      <w:marTop w:val="0"/>
      <w:marBottom w:val="0"/>
      <w:divBdr>
        <w:top w:val="none" w:sz="0" w:space="0" w:color="auto"/>
        <w:left w:val="none" w:sz="0" w:space="0" w:color="auto"/>
        <w:bottom w:val="none" w:sz="0" w:space="0" w:color="auto"/>
        <w:right w:val="none" w:sz="0" w:space="0" w:color="auto"/>
      </w:divBdr>
    </w:div>
    <w:div w:id="930236995">
      <w:bodyDiv w:val="1"/>
      <w:marLeft w:val="0"/>
      <w:marRight w:val="0"/>
      <w:marTop w:val="0"/>
      <w:marBottom w:val="0"/>
      <w:divBdr>
        <w:top w:val="none" w:sz="0" w:space="0" w:color="auto"/>
        <w:left w:val="none" w:sz="0" w:space="0" w:color="auto"/>
        <w:bottom w:val="none" w:sz="0" w:space="0" w:color="auto"/>
        <w:right w:val="none" w:sz="0" w:space="0" w:color="auto"/>
      </w:divBdr>
    </w:div>
    <w:div w:id="1847673760">
      <w:bodyDiv w:val="1"/>
      <w:marLeft w:val="0"/>
      <w:marRight w:val="0"/>
      <w:marTop w:val="0"/>
      <w:marBottom w:val="0"/>
      <w:divBdr>
        <w:top w:val="none" w:sz="0" w:space="0" w:color="auto"/>
        <w:left w:val="none" w:sz="0" w:space="0" w:color="auto"/>
        <w:bottom w:val="none" w:sz="0" w:space="0" w:color="auto"/>
        <w:right w:val="none" w:sz="0" w:space="0" w:color="auto"/>
      </w:divBdr>
    </w:div>
    <w:div w:id="1974014833">
      <w:bodyDiv w:val="1"/>
      <w:marLeft w:val="0"/>
      <w:marRight w:val="0"/>
      <w:marTop w:val="0"/>
      <w:marBottom w:val="0"/>
      <w:divBdr>
        <w:top w:val="none" w:sz="0" w:space="0" w:color="auto"/>
        <w:left w:val="none" w:sz="0" w:space="0" w:color="auto"/>
        <w:bottom w:val="none" w:sz="0" w:space="0" w:color="auto"/>
        <w:right w:val="none" w:sz="0" w:space="0" w:color="auto"/>
      </w:divBdr>
      <w:divsChild>
        <w:div w:id="198587094">
          <w:marLeft w:val="0"/>
          <w:marRight w:val="0"/>
          <w:marTop w:val="0"/>
          <w:marBottom w:val="0"/>
          <w:divBdr>
            <w:top w:val="none" w:sz="0" w:space="0" w:color="auto"/>
            <w:left w:val="none" w:sz="0" w:space="0" w:color="auto"/>
            <w:bottom w:val="none" w:sz="0" w:space="0" w:color="auto"/>
            <w:right w:val="none" w:sz="0" w:space="0" w:color="auto"/>
          </w:divBdr>
        </w:div>
        <w:div w:id="311328266">
          <w:marLeft w:val="0"/>
          <w:marRight w:val="0"/>
          <w:marTop w:val="0"/>
          <w:marBottom w:val="0"/>
          <w:divBdr>
            <w:top w:val="none" w:sz="0" w:space="0" w:color="auto"/>
            <w:left w:val="none" w:sz="0" w:space="0" w:color="auto"/>
            <w:bottom w:val="none" w:sz="0" w:space="0" w:color="auto"/>
            <w:right w:val="none" w:sz="0" w:space="0" w:color="auto"/>
          </w:divBdr>
        </w:div>
        <w:div w:id="421802418">
          <w:marLeft w:val="0"/>
          <w:marRight w:val="0"/>
          <w:marTop w:val="0"/>
          <w:marBottom w:val="0"/>
          <w:divBdr>
            <w:top w:val="none" w:sz="0" w:space="0" w:color="auto"/>
            <w:left w:val="none" w:sz="0" w:space="0" w:color="auto"/>
            <w:bottom w:val="none" w:sz="0" w:space="0" w:color="auto"/>
            <w:right w:val="none" w:sz="0" w:space="0" w:color="auto"/>
          </w:divBdr>
        </w:div>
        <w:div w:id="565267127">
          <w:marLeft w:val="0"/>
          <w:marRight w:val="0"/>
          <w:marTop w:val="0"/>
          <w:marBottom w:val="0"/>
          <w:divBdr>
            <w:top w:val="none" w:sz="0" w:space="0" w:color="auto"/>
            <w:left w:val="none" w:sz="0" w:space="0" w:color="auto"/>
            <w:bottom w:val="none" w:sz="0" w:space="0" w:color="auto"/>
            <w:right w:val="none" w:sz="0" w:space="0" w:color="auto"/>
          </w:divBdr>
        </w:div>
        <w:div w:id="1027683936">
          <w:marLeft w:val="0"/>
          <w:marRight w:val="0"/>
          <w:marTop w:val="0"/>
          <w:marBottom w:val="0"/>
          <w:divBdr>
            <w:top w:val="none" w:sz="0" w:space="0" w:color="auto"/>
            <w:left w:val="none" w:sz="0" w:space="0" w:color="auto"/>
            <w:bottom w:val="none" w:sz="0" w:space="0" w:color="auto"/>
            <w:right w:val="none" w:sz="0" w:space="0" w:color="auto"/>
          </w:divBdr>
        </w:div>
        <w:div w:id="1323894957">
          <w:marLeft w:val="0"/>
          <w:marRight w:val="0"/>
          <w:marTop w:val="0"/>
          <w:marBottom w:val="0"/>
          <w:divBdr>
            <w:top w:val="none" w:sz="0" w:space="0" w:color="auto"/>
            <w:left w:val="none" w:sz="0" w:space="0" w:color="auto"/>
            <w:bottom w:val="none" w:sz="0" w:space="0" w:color="auto"/>
            <w:right w:val="none" w:sz="0" w:space="0" w:color="auto"/>
          </w:divBdr>
        </w:div>
        <w:div w:id="1445416907">
          <w:marLeft w:val="0"/>
          <w:marRight w:val="0"/>
          <w:marTop w:val="0"/>
          <w:marBottom w:val="0"/>
          <w:divBdr>
            <w:top w:val="none" w:sz="0" w:space="0" w:color="auto"/>
            <w:left w:val="none" w:sz="0" w:space="0" w:color="auto"/>
            <w:bottom w:val="none" w:sz="0" w:space="0" w:color="auto"/>
            <w:right w:val="none" w:sz="0" w:space="0" w:color="auto"/>
          </w:divBdr>
        </w:div>
        <w:div w:id="1518151303">
          <w:marLeft w:val="0"/>
          <w:marRight w:val="0"/>
          <w:marTop w:val="0"/>
          <w:marBottom w:val="0"/>
          <w:divBdr>
            <w:top w:val="none" w:sz="0" w:space="0" w:color="auto"/>
            <w:left w:val="none" w:sz="0" w:space="0" w:color="auto"/>
            <w:bottom w:val="none" w:sz="0" w:space="0" w:color="auto"/>
            <w:right w:val="none" w:sz="0" w:space="0" w:color="auto"/>
          </w:divBdr>
        </w:div>
        <w:div w:id="1609924602">
          <w:marLeft w:val="0"/>
          <w:marRight w:val="0"/>
          <w:marTop w:val="0"/>
          <w:marBottom w:val="0"/>
          <w:divBdr>
            <w:top w:val="none" w:sz="0" w:space="0" w:color="auto"/>
            <w:left w:val="none" w:sz="0" w:space="0" w:color="auto"/>
            <w:bottom w:val="none" w:sz="0" w:space="0" w:color="auto"/>
            <w:right w:val="none" w:sz="0" w:space="0" w:color="auto"/>
          </w:divBdr>
        </w:div>
        <w:div w:id="1697802969">
          <w:marLeft w:val="0"/>
          <w:marRight w:val="0"/>
          <w:marTop w:val="0"/>
          <w:marBottom w:val="0"/>
          <w:divBdr>
            <w:top w:val="none" w:sz="0" w:space="0" w:color="auto"/>
            <w:left w:val="none" w:sz="0" w:space="0" w:color="auto"/>
            <w:bottom w:val="none" w:sz="0" w:space="0" w:color="auto"/>
            <w:right w:val="none" w:sz="0" w:space="0" w:color="auto"/>
          </w:divBdr>
        </w:div>
      </w:divsChild>
    </w:div>
    <w:div w:id="2009794958">
      <w:bodyDiv w:val="1"/>
      <w:marLeft w:val="0"/>
      <w:marRight w:val="0"/>
      <w:marTop w:val="0"/>
      <w:marBottom w:val="0"/>
      <w:divBdr>
        <w:top w:val="none" w:sz="0" w:space="0" w:color="auto"/>
        <w:left w:val="none" w:sz="0" w:space="0" w:color="auto"/>
        <w:bottom w:val="none" w:sz="0" w:space="0" w:color="auto"/>
        <w:right w:val="none" w:sz="0" w:space="0" w:color="auto"/>
      </w:divBdr>
    </w:div>
    <w:div w:id="2067023925">
      <w:bodyDiv w:val="1"/>
      <w:marLeft w:val="0"/>
      <w:marRight w:val="0"/>
      <w:marTop w:val="0"/>
      <w:marBottom w:val="0"/>
      <w:divBdr>
        <w:top w:val="none" w:sz="0" w:space="0" w:color="auto"/>
        <w:left w:val="none" w:sz="0" w:space="0" w:color="auto"/>
        <w:bottom w:val="none" w:sz="0" w:space="0" w:color="auto"/>
        <w:right w:val="none" w:sz="0" w:space="0" w:color="auto"/>
      </w:divBdr>
    </w:div>
    <w:div w:id="2126149438">
      <w:bodyDiv w:val="1"/>
      <w:marLeft w:val="0"/>
      <w:marRight w:val="0"/>
      <w:marTop w:val="0"/>
      <w:marBottom w:val="0"/>
      <w:divBdr>
        <w:top w:val="none" w:sz="0" w:space="0" w:color="auto"/>
        <w:left w:val="none" w:sz="0" w:space="0" w:color="auto"/>
        <w:bottom w:val="none" w:sz="0" w:space="0" w:color="auto"/>
        <w:right w:val="none" w:sz="0" w:space="0" w:color="auto"/>
      </w:divBdr>
    </w:div>
    <w:div w:id="2135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8" Type="http://schemas.openxmlformats.org/officeDocument/2006/relationships/hyperlink" Target="http://md.one.un.org/content/unct/moldova/en/home/publications/joint-publications/studiul-privind-percepiile-i-atitudinile-fa-de-egalitate-in-repu.html" TargetMode="External"/><Relationship Id="rId3" Type="http://schemas.openxmlformats.org/officeDocument/2006/relationships/hyperlink" Target="https://tbinternet.ohchr.org/_layouts/15/treatybodyexternal/Download.aspx?symbolno=CEDAW/C/GC/31/CRC/C/GC/18&amp;Lang=en" TargetMode="External"/><Relationship Id="rId7" Type="http://schemas.openxmlformats.org/officeDocument/2006/relationships/hyperlink" Target="https://tbinternet.ohchr.org/_layouts/treatybodyexternal/Download.aspx?symbolno=CRPD/C/GC/7&amp;Lang=fr" TargetMode="External"/><Relationship Id="rId2" Type="http://schemas.openxmlformats.org/officeDocument/2006/relationships/hyperlink" Target="https://undocs.org/fr/A/HRC/43/27" TargetMode="External"/><Relationship Id="rId1" Type="http://schemas.openxmlformats.org/officeDocument/2006/relationships/hyperlink" Target="https://undocs.org/fr/A/HRC/43/41" TargetMode="External"/><Relationship Id="rId6" Type="http://schemas.openxmlformats.org/officeDocument/2006/relationships/hyperlink" Target="http://www.media-diversity.org/en/additional-files/Gender-Sensitive_Indicators_for_Media_EN.pdf" TargetMode="External"/><Relationship Id="rId5" Type="http://schemas.openxmlformats.org/officeDocument/2006/relationships/hyperlink" Target="http://www.hre2020.org/indicator-framework" TargetMode="External"/><Relationship Id="rId4" Type="http://schemas.openxmlformats.org/officeDocument/2006/relationships/hyperlink" Target="https://undocs.org/fr/A/63/1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72A4-B119-4E67-88A1-791B72E7A1A7}">
  <ds:schemaRefs>
    <ds:schemaRef ds:uri="http://schemas.microsoft.com/sharepoint/v3/contenttype/forms"/>
  </ds:schemaRefs>
</ds:datastoreItem>
</file>

<file path=customXml/itemProps2.xml><?xml version="1.0" encoding="utf-8"?>
<ds:datastoreItem xmlns:ds="http://schemas.openxmlformats.org/officeDocument/2006/customXml" ds:itemID="{9C4320DE-9E95-4A91-9CF4-E4ABB2A722F2}">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B758A4CF-FDFD-42A7-8F20-78DB74862D8B}"/>
</file>

<file path=customXml/itemProps4.xml><?xml version="1.0" encoding="utf-8"?>
<ds:datastoreItem xmlns:ds="http://schemas.openxmlformats.org/officeDocument/2006/customXml" ds:itemID="{A98B53C8-C29D-44AB-BC11-1EB8C9D78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2020-08-24T12:31:00Z</dcterms:created>
  <dcterms:modified xsi:type="dcterms:W3CDTF">2020-08-24T12:31:00Z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