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3C0E4" w14:textId="77777777" w:rsidR="00D47B04" w:rsidRDefault="00D47B04" w:rsidP="000C6C47">
      <w:pPr>
        <w:spacing w:after="0" w:line="240" w:lineRule="auto"/>
        <w:jc w:val="center"/>
        <w:rPr>
          <w:b/>
          <w:sz w:val="18"/>
          <w:szCs w:val="18"/>
        </w:rPr>
      </w:pPr>
    </w:p>
    <w:p w14:paraId="479AC814" w14:textId="4EF11F4D" w:rsidR="00D47B04" w:rsidRPr="000C6C47" w:rsidRDefault="00D47B04" w:rsidP="00FF797B">
      <w:pPr>
        <w:pStyle w:val="Heading1"/>
      </w:pPr>
      <w:r w:rsidRPr="000C6C47">
        <w:t xml:space="preserve">Article 9 – </w:t>
      </w:r>
      <w:r w:rsidRPr="00FF797B">
        <w:t>Illustrative</w:t>
      </w:r>
      <w:r w:rsidRPr="000C6C47">
        <w:t xml:space="preserve"> indicators on </w:t>
      </w:r>
      <w:r w:rsidRPr="00FF797B">
        <w:t>accessibility</w:t>
      </w:r>
      <w:r w:rsidR="00C96707">
        <w:t>*</w:t>
      </w:r>
    </w:p>
    <w:p w14:paraId="17FA73FF" w14:textId="77777777" w:rsidR="00D47B04" w:rsidRPr="000200DC" w:rsidRDefault="00D47B04" w:rsidP="00FF797B">
      <w:pPr>
        <w:pStyle w:val="Heading1"/>
        <w:rPr>
          <w:lang w:val="en-US"/>
        </w:rPr>
      </w:pPr>
      <w:r w:rsidRPr="000C6C47">
        <w:rPr>
          <w:lang w:val="en-US"/>
        </w:rPr>
        <w:t xml:space="preserve">Access, on an equal basis with others, to the physical environment, transportation, services, information </w:t>
      </w:r>
      <w:r>
        <w:rPr>
          <w:lang w:val="en-US"/>
        </w:rPr>
        <w:t>and</w:t>
      </w:r>
      <w:r w:rsidRPr="000C6C47">
        <w:rPr>
          <w:lang w:val="en-US"/>
        </w:rPr>
        <w:t xml:space="preserve"> </w:t>
      </w:r>
      <w:r w:rsidRPr="00FF797B">
        <w:t>communications</w:t>
      </w:r>
      <w:r w:rsidRPr="000C6C47">
        <w:rPr>
          <w:lang w:val="en-US"/>
        </w:rPr>
        <w:t xml:space="preserve">, </w:t>
      </w:r>
      <w:r>
        <w:rPr>
          <w:lang w:val="en-US"/>
        </w:rPr>
        <w:t>and</w:t>
      </w:r>
      <w:r w:rsidRPr="000C6C47">
        <w:rPr>
          <w:lang w:val="en-US"/>
        </w:rPr>
        <w:t xml:space="preserve"> systems </w:t>
      </w:r>
      <w:r>
        <w:rPr>
          <w:lang w:val="en-US"/>
        </w:rPr>
        <w:t>and</w:t>
      </w:r>
      <w:r w:rsidRPr="000C6C47">
        <w:rPr>
          <w:lang w:val="en-US"/>
        </w:rPr>
        <w:t xml:space="preserve"> to other facilities </w:t>
      </w:r>
      <w:r>
        <w:rPr>
          <w:lang w:val="en-US"/>
        </w:rPr>
        <w:t>and</w:t>
      </w:r>
      <w:r w:rsidRPr="000C6C47">
        <w:rPr>
          <w:lang w:val="en-US"/>
        </w:rPr>
        <w:t xml:space="preserve"> services open or provided to the public</w:t>
      </w:r>
    </w:p>
    <w:p w14:paraId="6F873516" w14:textId="77777777" w:rsidR="00D47B04" w:rsidRDefault="00D47B04" w:rsidP="00FF797B">
      <w:pPr>
        <w:spacing w:after="0" w:line="240" w:lineRule="auto"/>
        <w:jc w:val="center"/>
        <w:rPr>
          <w:rFonts w:cstheme="minorHAnsi"/>
          <w:b/>
          <w:sz w:val="18"/>
          <w:szCs w:val="18"/>
        </w:rPr>
      </w:pPr>
    </w:p>
    <w:p w14:paraId="7E40B11C" w14:textId="595DD298" w:rsidR="00D47B04" w:rsidRPr="000C6C47" w:rsidRDefault="007B6796" w:rsidP="00FF797B">
      <w:pPr>
        <w:pStyle w:val="Heading2"/>
      </w:pPr>
      <w:r w:rsidRPr="00FF797B">
        <w:t>Attributes</w:t>
      </w:r>
    </w:p>
    <w:p w14:paraId="12D77736" w14:textId="77777777" w:rsidR="00D47B04" w:rsidRPr="00D47B04" w:rsidRDefault="00D47B04" w:rsidP="00D47B04">
      <w:pPr>
        <w:pStyle w:val="ListParagraph"/>
        <w:numPr>
          <w:ilvl w:val="0"/>
          <w:numId w:val="18"/>
        </w:numPr>
        <w:spacing w:after="0" w:line="240" w:lineRule="auto"/>
        <w:rPr>
          <w:rFonts w:cstheme="minorHAnsi"/>
          <w:b/>
          <w:sz w:val="18"/>
          <w:szCs w:val="18"/>
        </w:rPr>
      </w:pPr>
      <w:r w:rsidRPr="00D47B04">
        <w:rPr>
          <w:rFonts w:cstheme="minorHAnsi"/>
          <w:b/>
          <w:sz w:val="18"/>
          <w:szCs w:val="18"/>
        </w:rPr>
        <w:t>Roads and transportation</w:t>
      </w:r>
    </w:p>
    <w:p w14:paraId="6F0505CA" w14:textId="77777777" w:rsidR="00D47B04" w:rsidRPr="00D47B04" w:rsidRDefault="00D47B04" w:rsidP="00D47B04">
      <w:pPr>
        <w:pStyle w:val="ListParagraph"/>
        <w:numPr>
          <w:ilvl w:val="0"/>
          <w:numId w:val="18"/>
        </w:numPr>
        <w:spacing w:after="0" w:line="240" w:lineRule="auto"/>
        <w:rPr>
          <w:rFonts w:cstheme="minorHAnsi"/>
          <w:b/>
          <w:sz w:val="18"/>
          <w:szCs w:val="18"/>
        </w:rPr>
      </w:pPr>
      <w:r w:rsidRPr="00D47B04">
        <w:rPr>
          <w:rFonts w:cstheme="minorHAnsi"/>
          <w:b/>
          <w:sz w:val="18"/>
          <w:szCs w:val="18"/>
        </w:rPr>
        <w:t>Buildings, indoor and outdoor facilities and services open or provided to the public</w:t>
      </w:r>
    </w:p>
    <w:p w14:paraId="2EBC18E9" w14:textId="77777777" w:rsidR="00D47B04" w:rsidRPr="00D47B04" w:rsidRDefault="00D47B04" w:rsidP="00D47B04">
      <w:pPr>
        <w:pStyle w:val="ListParagraph"/>
        <w:numPr>
          <w:ilvl w:val="0"/>
          <w:numId w:val="18"/>
        </w:numPr>
        <w:spacing w:after="0" w:line="240" w:lineRule="auto"/>
        <w:rPr>
          <w:rFonts w:cstheme="minorHAnsi"/>
          <w:b/>
          <w:sz w:val="18"/>
          <w:szCs w:val="18"/>
        </w:rPr>
      </w:pPr>
      <w:r w:rsidRPr="00D47B04">
        <w:rPr>
          <w:rFonts w:cstheme="minorHAnsi"/>
          <w:b/>
          <w:sz w:val="18"/>
          <w:szCs w:val="18"/>
        </w:rPr>
        <w:t>Information and communications and other services, including ICTs, electronic services and emergency services</w:t>
      </w:r>
    </w:p>
    <w:p w14:paraId="0CB2E40B" w14:textId="77777777" w:rsidR="00D47B04" w:rsidRDefault="00D47B04" w:rsidP="000C6C47">
      <w:pPr>
        <w:spacing w:after="0" w:line="240" w:lineRule="auto"/>
        <w:jc w:val="both"/>
        <w:rPr>
          <w:rFonts w:cstheme="minorHAnsi"/>
          <w:b/>
          <w:sz w:val="18"/>
          <w:szCs w:val="18"/>
        </w:rPr>
      </w:pPr>
    </w:p>
    <w:p w14:paraId="06A59901" w14:textId="6112A828" w:rsidR="00D47B04" w:rsidRPr="000C6C47" w:rsidRDefault="00D47B04" w:rsidP="00FF797B">
      <w:pPr>
        <w:pStyle w:val="Heading2"/>
      </w:pPr>
      <w:r w:rsidRPr="000C6C47">
        <w:t>Structure</w:t>
      </w:r>
      <w:r w:rsidR="007B6796">
        <w:t xml:space="preserve"> </w:t>
      </w:r>
      <w:r w:rsidR="007B6796" w:rsidRPr="00FF797B">
        <w:t>Indicators</w:t>
      </w:r>
    </w:p>
    <w:p w14:paraId="76CBD97F" w14:textId="036AD1E6" w:rsidR="00D47B04" w:rsidRPr="00D47B04" w:rsidRDefault="00D47B04" w:rsidP="00D47B04">
      <w:pPr>
        <w:pStyle w:val="NoSpacing"/>
        <w:jc w:val="both"/>
        <w:rPr>
          <w:rFonts w:cstheme="minorHAnsi"/>
          <w:sz w:val="18"/>
          <w:szCs w:val="18"/>
        </w:rPr>
      </w:pPr>
      <w:r w:rsidRPr="000C6C47">
        <w:rPr>
          <w:rFonts w:cstheme="minorHAnsi"/>
          <w:sz w:val="18"/>
          <w:szCs w:val="18"/>
        </w:rPr>
        <w:t xml:space="preserve">9.1 </w:t>
      </w:r>
      <w:r>
        <w:rPr>
          <w:rFonts w:cstheme="minorHAnsi"/>
          <w:sz w:val="18"/>
          <w:szCs w:val="18"/>
        </w:rPr>
        <w:t>Legislation enacted ensuring the right to</w:t>
      </w:r>
      <w:r w:rsidRPr="000C6C47">
        <w:rPr>
          <w:rFonts w:cstheme="minorHAnsi"/>
          <w:sz w:val="18"/>
          <w:szCs w:val="18"/>
        </w:rPr>
        <w:t xml:space="preserve"> access, on an equal basis with others, to</w:t>
      </w:r>
      <w:r w:rsidRPr="000C6C47">
        <w:rPr>
          <w:rFonts w:cstheme="minorHAnsi"/>
          <w:sz w:val="18"/>
          <w:szCs w:val="18"/>
          <w:lang w:val="en-US"/>
        </w:rPr>
        <w:t xml:space="preserve"> the physical environment, transportation, services, information and communications, including ICT</w:t>
      </w:r>
      <w:r>
        <w:rPr>
          <w:rFonts w:cstheme="minorHAnsi"/>
          <w:sz w:val="18"/>
          <w:szCs w:val="18"/>
          <w:lang w:val="en-US"/>
        </w:rPr>
        <w:t>s,</w:t>
      </w:r>
      <w:r w:rsidRPr="000C6C47">
        <w:rPr>
          <w:rFonts w:cstheme="minorHAnsi"/>
          <w:sz w:val="18"/>
          <w:szCs w:val="18"/>
          <w:lang w:val="en-US"/>
        </w:rPr>
        <w:t xml:space="preserve"> and other facilities and services open or provided to the public, </w:t>
      </w:r>
      <w:r>
        <w:rPr>
          <w:rFonts w:cstheme="minorHAnsi"/>
          <w:sz w:val="18"/>
          <w:szCs w:val="18"/>
          <w:lang w:val="en-US"/>
        </w:rPr>
        <w:t xml:space="preserve">in </w:t>
      </w:r>
      <w:r w:rsidRPr="000C6C47">
        <w:rPr>
          <w:rFonts w:cstheme="minorHAnsi"/>
          <w:sz w:val="18"/>
          <w:szCs w:val="18"/>
          <w:lang w:val="en-US"/>
        </w:rPr>
        <w:t xml:space="preserve">both </w:t>
      </w:r>
      <w:r>
        <w:rPr>
          <w:rFonts w:cstheme="minorHAnsi"/>
          <w:sz w:val="18"/>
          <w:szCs w:val="18"/>
          <w:lang w:val="en-US"/>
        </w:rPr>
        <w:t>u</w:t>
      </w:r>
      <w:r w:rsidRPr="000C6C47">
        <w:rPr>
          <w:rFonts w:cstheme="minorHAnsi"/>
          <w:sz w:val="18"/>
          <w:szCs w:val="18"/>
          <w:lang w:val="en-US"/>
        </w:rPr>
        <w:t>rban and rural areas.</w:t>
      </w:r>
      <w:r w:rsidRPr="000C6C47">
        <w:rPr>
          <w:rStyle w:val="EndnoteReference"/>
          <w:rFonts w:cstheme="minorHAnsi"/>
          <w:sz w:val="18"/>
          <w:szCs w:val="18"/>
          <w:lang w:val="en-US"/>
        </w:rPr>
        <w:endnoteReference w:id="1"/>
      </w:r>
      <w:r w:rsidRPr="000C6C47">
        <w:rPr>
          <w:rFonts w:cstheme="minorHAnsi"/>
          <w:sz w:val="18"/>
          <w:szCs w:val="18"/>
        </w:rPr>
        <w:t xml:space="preserve"> </w:t>
      </w:r>
    </w:p>
    <w:p w14:paraId="631D2D1A" w14:textId="7556413B" w:rsidR="00D47B04" w:rsidRPr="000C6C47" w:rsidRDefault="00D47B04" w:rsidP="000C6C47">
      <w:pPr>
        <w:spacing w:after="0" w:line="240" w:lineRule="auto"/>
        <w:jc w:val="both"/>
        <w:rPr>
          <w:rFonts w:cstheme="minorHAnsi"/>
          <w:sz w:val="18"/>
          <w:szCs w:val="18"/>
        </w:rPr>
      </w:pPr>
      <w:r w:rsidRPr="000C6C47">
        <w:rPr>
          <w:rFonts w:cstheme="minorHAnsi"/>
          <w:sz w:val="18"/>
          <w:szCs w:val="18"/>
        </w:rPr>
        <w:t xml:space="preserve">9.2 Legislation on aerial, railway, road and water passenger transportation incorporates </w:t>
      </w:r>
      <w:r>
        <w:rPr>
          <w:rFonts w:cstheme="minorHAnsi"/>
          <w:sz w:val="18"/>
          <w:szCs w:val="18"/>
        </w:rPr>
        <w:t xml:space="preserve">mandatory </w:t>
      </w:r>
      <w:r w:rsidRPr="000C6C47">
        <w:rPr>
          <w:rFonts w:cstheme="minorHAnsi"/>
          <w:sz w:val="18"/>
          <w:szCs w:val="18"/>
        </w:rPr>
        <w:t>accessibility standards.</w:t>
      </w:r>
    </w:p>
    <w:p w14:paraId="5FB62B81" w14:textId="7CDFAC87" w:rsidR="00D47B04" w:rsidRPr="000C6C47" w:rsidRDefault="00D47B04" w:rsidP="000C6C47">
      <w:pPr>
        <w:spacing w:after="0" w:line="240" w:lineRule="auto"/>
        <w:jc w:val="both"/>
        <w:rPr>
          <w:rFonts w:cstheme="minorHAnsi"/>
          <w:sz w:val="18"/>
          <w:szCs w:val="18"/>
        </w:rPr>
      </w:pPr>
      <w:r w:rsidRPr="000C6C47">
        <w:rPr>
          <w:rFonts w:cstheme="minorHAnsi"/>
          <w:sz w:val="18"/>
          <w:szCs w:val="18"/>
        </w:rPr>
        <w:t>9.3 Legislation on construction and planning</w:t>
      </w:r>
      <w:r>
        <w:rPr>
          <w:rFonts w:cstheme="minorHAnsi"/>
          <w:sz w:val="18"/>
          <w:szCs w:val="18"/>
        </w:rPr>
        <w:t>, including requirements to grant authorization,</w:t>
      </w:r>
      <w:r w:rsidRPr="000C6C47">
        <w:rPr>
          <w:rFonts w:cstheme="minorHAnsi"/>
          <w:sz w:val="18"/>
          <w:szCs w:val="18"/>
        </w:rPr>
        <w:t xml:space="preserve"> incorporates </w:t>
      </w:r>
      <w:r>
        <w:rPr>
          <w:rFonts w:cstheme="minorHAnsi"/>
          <w:sz w:val="18"/>
          <w:szCs w:val="18"/>
        </w:rPr>
        <w:t xml:space="preserve">mandatory </w:t>
      </w:r>
      <w:r w:rsidRPr="000C6C47">
        <w:rPr>
          <w:rFonts w:cstheme="minorHAnsi"/>
          <w:sz w:val="18"/>
          <w:szCs w:val="18"/>
        </w:rPr>
        <w:t>accessibility standards on physical environment and services open to the public.</w:t>
      </w:r>
      <w:r>
        <w:rPr>
          <w:rFonts w:cstheme="minorHAnsi"/>
          <w:sz w:val="18"/>
          <w:szCs w:val="18"/>
        </w:rPr>
        <w:t xml:space="preserve"> (idem 20.7)</w:t>
      </w:r>
    </w:p>
    <w:p w14:paraId="6AAFD5CB" w14:textId="77777777" w:rsidR="00D47B04" w:rsidRPr="000C6C47" w:rsidRDefault="00D47B04" w:rsidP="000C6C47">
      <w:pPr>
        <w:spacing w:after="0" w:line="240" w:lineRule="auto"/>
        <w:jc w:val="both"/>
        <w:rPr>
          <w:rFonts w:cstheme="minorHAnsi"/>
          <w:sz w:val="18"/>
          <w:szCs w:val="18"/>
        </w:rPr>
      </w:pPr>
      <w:r w:rsidRPr="000C6C47">
        <w:rPr>
          <w:rFonts w:cstheme="minorHAnsi"/>
          <w:sz w:val="18"/>
          <w:szCs w:val="18"/>
        </w:rPr>
        <w:t xml:space="preserve">9.4 </w:t>
      </w:r>
      <w:r w:rsidRPr="0050205F">
        <w:rPr>
          <w:rFonts w:cstheme="minorHAnsi"/>
          <w:sz w:val="18"/>
          <w:szCs w:val="18"/>
        </w:rPr>
        <w:t>Legal framework establishing mandatory standards on accessibility of information and communication for both public and private actors that provide information and services to the general public, including mass media and Internet, including social media.</w:t>
      </w:r>
      <w:r w:rsidRPr="0050205F">
        <w:rPr>
          <w:rStyle w:val="EndnoteReference"/>
          <w:rFonts w:cstheme="minorHAnsi"/>
          <w:sz w:val="18"/>
          <w:szCs w:val="18"/>
        </w:rPr>
        <w:endnoteReference w:id="2"/>
      </w:r>
      <w:r w:rsidRPr="0050205F">
        <w:rPr>
          <w:rFonts w:cstheme="minorHAnsi"/>
          <w:sz w:val="18"/>
          <w:szCs w:val="18"/>
        </w:rPr>
        <w:t xml:space="preserve"> </w:t>
      </w:r>
      <w:r>
        <w:rPr>
          <w:rFonts w:cstheme="minorHAnsi"/>
          <w:sz w:val="18"/>
          <w:szCs w:val="18"/>
        </w:rPr>
        <w:t>(idem 21.1.2)</w:t>
      </w:r>
    </w:p>
    <w:p w14:paraId="76A9B618" w14:textId="77777777" w:rsidR="00D47B04" w:rsidRPr="000C6C47" w:rsidRDefault="00D47B04" w:rsidP="000C6C47">
      <w:pPr>
        <w:spacing w:after="0" w:line="240" w:lineRule="auto"/>
        <w:jc w:val="both"/>
        <w:rPr>
          <w:rFonts w:cstheme="minorHAnsi"/>
          <w:sz w:val="18"/>
          <w:szCs w:val="18"/>
        </w:rPr>
      </w:pPr>
      <w:r w:rsidRPr="000C6C47">
        <w:rPr>
          <w:rFonts w:cstheme="minorHAnsi"/>
          <w:sz w:val="18"/>
          <w:szCs w:val="18"/>
        </w:rPr>
        <w:t>9.5 Legislation regulating emergency services</w:t>
      </w:r>
      <w:r>
        <w:rPr>
          <w:rFonts w:cstheme="minorHAnsi"/>
          <w:sz w:val="18"/>
          <w:szCs w:val="18"/>
        </w:rPr>
        <w:t xml:space="preserve">, </w:t>
      </w:r>
      <w:r w:rsidRPr="002A47C7">
        <w:rPr>
          <w:rFonts w:cstheme="minorHAnsi"/>
          <w:sz w:val="18"/>
          <w:szCs w:val="18"/>
        </w:rPr>
        <w:t>including on evacuation plans and shelters</w:t>
      </w:r>
      <w:r>
        <w:rPr>
          <w:rFonts w:cstheme="minorHAnsi"/>
          <w:sz w:val="18"/>
          <w:szCs w:val="18"/>
        </w:rPr>
        <w:t>,</w:t>
      </w:r>
      <w:r w:rsidRPr="002A47C7">
        <w:rPr>
          <w:rFonts w:cstheme="minorHAnsi"/>
          <w:sz w:val="18"/>
          <w:szCs w:val="18"/>
        </w:rPr>
        <w:t xml:space="preserve"> incorporate mandatory accessibility standards.</w:t>
      </w:r>
    </w:p>
    <w:p w14:paraId="23DEB617" w14:textId="673415AB" w:rsidR="00D47B04" w:rsidRPr="00D47B04" w:rsidRDefault="00D47B04" w:rsidP="000200DC">
      <w:pPr>
        <w:spacing w:after="0" w:line="240" w:lineRule="auto"/>
        <w:jc w:val="both"/>
        <w:rPr>
          <w:rFonts w:cstheme="minorHAnsi"/>
          <w:sz w:val="18"/>
          <w:szCs w:val="18"/>
        </w:rPr>
      </w:pPr>
      <w:r w:rsidRPr="000C6C47">
        <w:rPr>
          <w:rFonts w:cstheme="minorHAnsi"/>
          <w:sz w:val="18"/>
          <w:szCs w:val="18"/>
        </w:rPr>
        <w:t>9.6 Legislation regulating government information and communications intended for the general public guarantee full access of public sector websites and apps, and availability of government information in alternative formats.</w:t>
      </w:r>
    </w:p>
    <w:p w14:paraId="31FC6660" w14:textId="77777777" w:rsidR="00D47B04" w:rsidRPr="000C6C47" w:rsidRDefault="00D47B04" w:rsidP="006A48F7">
      <w:pPr>
        <w:spacing w:after="0" w:line="240" w:lineRule="auto"/>
        <w:jc w:val="both"/>
        <w:rPr>
          <w:rFonts w:cstheme="minorHAnsi"/>
          <w:sz w:val="18"/>
          <w:szCs w:val="18"/>
        </w:rPr>
      </w:pPr>
      <w:r w:rsidRPr="000C6C47">
        <w:rPr>
          <w:rFonts w:cstheme="minorHAnsi"/>
          <w:sz w:val="18"/>
          <w:szCs w:val="18"/>
        </w:rPr>
        <w:t xml:space="preserve">9.7 Existence of comprehensive national accessibility strategy and/or plan to </w:t>
      </w:r>
      <w:r>
        <w:rPr>
          <w:rFonts w:cstheme="minorHAnsi"/>
          <w:sz w:val="18"/>
          <w:szCs w:val="18"/>
        </w:rPr>
        <w:t xml:space="preserve">identify and </w:t>
      </w:r>
      <w:r w:rsidRPr="000C6C47">
        <w:rPr>
          <w:rFonts w:cstheme="minorHAnsi"/>
          <w:sz w:val="18"/>
          <w:szCs w:val="18"/>
        </w:rPr>
        <w:t>eliminate all existing barriers to accessibility.</w:t>
      </w:r>
      <w:r w:rsidRPr="000C6C47">
        <w:rPr>
          <w:rStyle w:val="EndnoteReference"/>
          <w:rFonts w:cstheme="minorHAnsi"/>
          <w:sz w:val="18"/>
          <w:szCs w:val="18"/>
        </w:rPr>
        <w:endnoteReference w:id="3"/>
      </w:r>
    </w:p>
    <w:p w14:paraId="57082433" w14:textId="77777777" w:rsidR="00D47B04" w:rsidRDefault="00D47B04" w:rsidP="000C6C47">
      <w:pPr>
        <w:spacing w:after="0" w:line="240" w:lineRule="auto"/>
        <w:jc w:val="both"/>
        <w:rPr>
          <w:rFonts w:cstheme="minorHAnsi"/>
          <w:b/>
          <w:sz w:val="18"/>
          <w:szCs w:val="18"/>
        </w:rPr>
      </w:pPr>
    </w:p>
    <w:p w14:paraId="3AF0386F" w14:textId="6455A82F" w:rsidR="00D47B04" w:rsidRPr="000C6C47" w:rsidRDefault="007B6796" w:rsidP="00FF797B">
      <w:pPr>
        <w:pStyle w:val="Heading2"/>
        <w:rPr>
          <w:rFonts w:cstheme="minorHAnsi"/>
        </w:rPr>
      </w:pPr>
      <w:r>
        <w:rPr>
          <w:rFonts w:cstheme="minorHAnsi"/>
        </w:rPr>
        <w:t xml:space="preserve">Process </w:t>
      </w:r>
      <w:r w:rsidRPr="00FF797B">
        <w:t>Indicators</w:t>
      </w:r>
    </w:p>
    <w:p w14:paraId="2CB1BFB6" w14:textId="77777777" w:rsidR="00D47B04" w:rsidRPr="000C6C47" w:rsidRDefault="00D47B04" w:rsidP="000C6C47">
      <w:pPr>
        <w:spacing w:after="0" w:line="240" w:lineRule="auto"/>
        <w:jc w:val="both"/>
        <w:rPr>
          <w:rFonts w:cstheme="minorHAnsi"/>
          <w:sz w:val="18"/>
          <w:szCs w:val="18"/>
        </w:rPr>
      </w:pPr>
      <w:r w:rsidRPr="000C6C47">
        <w:rPr>
          <w:rFonts w:cstheme="minorHAnsi"/>
          <w:sz w:val="18"/>
          <w:szCs w:val="18"/>
        </w:rPr>
        <w:t>9.8 Number and proportion of transportation service units that are accessible to persons with disabilities, disaggregated by kind of transport (</w:t>
      </w:r>
      <w:proofErr w:type="gramStart"/>
      <w:r w:rsidRPr="000C6C47">
        <w:rPr>
          <w:rFonts w:cstheme="minorHAnsi"/>
          <w:sz w:val="18"/>
          <w:szCs w:val="18"/>
        </w:rPr>
        <w:t>e.g.</w:t>
      </w:r>
      <w:proofErr w:type="gramEnd"/>
      <w:r w:rsidRPr="000C6C47">
        <w:rPr>
          <w:rFonts w:cstheme="minorHAnsi"/>
          <w:sz w:val="18"/>
          <w:szCs w:val="18"/>
        </w:rPr>
        <w:t xml:space="preserve"> bus, train, tram, metro, taxi, etc.) and by kind of service (e.g. public service/private service).</w:t>
      </w:r>
      <w:r w:rsidRPr="000C6C47">
        <w:rPr>
          <w:rStyle w:val="EndnoteReference"/>
          <w:rFonts w:cstheme="minorHAnsi"/>
          <w:sz w:val="18"/>
          <w:szCs w:val="18"/>
        </w:rPr>
        <w:t xml:space="preserve"> </w:t>
      </w:r>
      <w:r w:rsidRPr="000C6C47">
        <w:rPr>
          <w:rStyle w:val="EndnoteReference"/>
          <w:rFonts w:cstheme="minorHAnsi"/>
          <w:sz w:val="18"/>
          <w:szCs w:val="18"/>
        </w:rPr>
        <w:endnoteReference w:id="4"/>
      </w:r>
    </w:p>
    <w:p w14:paraId="3A14643C" w14:textId="77777777" w:rsidR="00D47B04" w:rsidRPr="000C6C47" w:rsidRDefault="00D47B04" w:rsidP="000C6C47">
      <w:pPr>
        <w:spacing w:after="0" w:line="240" w:lineRule="auto"/>
        <w:jc w:val="both"/>
        <w:rPr>
          <w:rFonts w:cstheme="minorHAnsi"/>
          <w:sz w:val="18"/>
          <w:szCs w:val="18"/>
        </w:rPr>
      </w:pPr>
      <w:r w:rsidRPr="000C6C47">
        <w:rPr>
          <w:rFonts w:cstheme="minorHAnsi"/>
          <w:sz w:val="18"/>
          <w:szCs w:val="18"/>
        </w:rPr>
        <w:t>9.9 Measures to promote and ensure access to alternative accessible transportation services for persons with disabilities.</w:t>
      </w:r>
      <w:r w:rsidRPr="000C6C47">
        <w:rPr>
          <w:rStyle w:val="EndnoteReference"/>
          <w:rFonts w:cstheme="minorHAnsi"/>
          <w:sz w:val="18"/>
          <w:szCs w:val="18"/>
        </w:rPr>
        <w:endnoteReference w:id="5"/>
      </w:r>
    </w:p>
    <w:p w14:paraId="3B5637B3" w14:textId="77777777" w:rsidR="00D47B04" w:rsidRPr="000C6C47" w:rsidRDefault="00D47B04" w:rsidP="000C6C47">
      <w:pPr>
        <w:spacing w:after="0" w:line="240" w:lineRule="auto"/>
        <w:jc w:val="both"/>
        <w:rPr>
          <w:rFonts w:cstheme="minorHAnsi"/>
          <w:sz w:val="18"/>
          <w:szCs w:val="18"/>
        </w:rPr>
      </w:pPr>
      <w:r w:rsidRPr="000C6C47">
        <w:rPr>
          <w:rFonts w:cstheme="minorHAnsi"/>
          <w:sz w:val="18"/>
          <w:szCs w:val="18"/>
        </w:rPr>
        <w:t>9.10 Number and proportion of existing public/governmental buildings and facilities that meet accessibility standards.</w:t>
      </w:r>
    </w:p>
    <w:p w14:paraId="75A3A910" w14:textId="77777777" w:rsidR="00D47B04" w:rsidRPr="000C6C47" w:rsidRDefault="00D47B04" w:rsidP="000C6C47">
      <w:pPr>
        <w:spacing w:after="0" w:line="240" w:lineRule="auto"/>
        <w:jc w:val="both"/>
        <w:rPr>
          <w:rFonts w:cstheme="minorHAnsi"/>
          <w:sz w:val="18"/>
          <w:szCs w:val="18"/>
        </w:rPr>
      </w:pPr>
      <w:r w:rsidRPr="000C6C47">
        <w:rPr>
          <w:rFonts w:cstheme="minorHAnsi"/>
          <w:sz w:val="18"/>
          <w:szCs w:val="18"/>
        </w:rPr>
        <w:t>9.11 Number and proportion of newly constructed buildings that comply with accessibility standards.</w:t>
      </w:r>
    </w:p>
    <w:p w14:paraId="2299BF41" w14:textId="77777777" w:rsidR="00D47B04" w:rsidRPr="000C6C47" w:rsidRDefault="00D47B04" w:rsidP="000C6C47">
      <w:pPr>
        <w:spacing w:after="0" w:line="240" w:lineRule="auto"/>
        <w:jc w:val="both"/>
        <w:rPr>
          <w:rFonts w:cstheme="minorHAnsi"/>
          <w:sz w:val="18"/>
          <w:szCs w:val="18"/>
        </w:rPr>
      </w:pPr>
      <w:r>
        <w:rPr>
          <w:rFonts w:cstheme="minorHAnsi"/>
          <w:sz w:val="18"/>
          <w:szCs w:val="18"/>
        </w:rPr>
        <w:t>9.12</w:t>
      </w:r>
      <w:r w:rsidRPr="000C6C47">
        <w:rPr>
          <w:rFonts w:cstheme="minorHAnsi"/>
          <w:sz w:val="18"/>
          <w:szCs w:val="18"/>
        </w:rPr>
        <w:t xml:space="preserve"> </w:t>
      </w:r>
      <w:r>
        <w:rPr>
          <w:rFonts w:cstheme="minorHAnsi"/>
          <w:sz w:val="18"/>
          <w:szCs w:val="18"/>
        </w:rPr>
        <w:t>P</w:t>
      </w:r>
      <w:r w:rsidRPr="000C6C47">
        <w:rPr>
          <w:rFonts w:cstheme="minorHAnsi"/>
          <w:sz w:val="18"/>
          <w:szCs w:val="18"/>
        </w:rPr>
        <w:t xml:space="preserve">roportion of </w:t>
      </w:r>
      <w:r>
        <w:rPr>
          <w:rFonts w:cstheme="minorHAnsi"/>
          <w:sz w:val="18"/>
          <w:szCs w:val="18"/>
        </w:rPr>
        <w:t>government</w:t>
      </w:r>
      <w:r w:rsidRPr="000C6C47">
        <w:rPr>
          <w:rFonts w:cstheme="minorHAnsi"/>
          <w:sz w:val="18"/>
          <w:szCs w:val="18"/>
        </w:rPr>
        <w:t xml:space="preserve"> websites and apps that comply with accessibility standards.</w:t>
      </w:r>
      <w:r>
        <w:rPr>
          <w:rFonts w:cstheme="minorHAnsi"/>
          <w:sz w:val="18"/>
          <w:szCs w:val="18"/>
        </w:rPr>
        <w:t xml:space="preserve"> (Idem 21.15)</w:t>
      </w:r>
    </w:p>
    <w:p w14:paraId="7F4ADE93" w14:textId="77777777" w:rsidR="00D47B04" w:rsidRPr="003B3AEB" w:rsidRDefault="00D47B04" w:rsidP="000C6C47">
      <w:pPr>
        <w:spacing w:after="0" w:line="240" w:lineRule="auto"/>
        <w:jc w:val="both"/>
        <w:rPr>
          <w:rFonts w:cstheme="minorHAnsi"/>
          <w:sz w:val="18"/>
          <w:szCs w:val="18"/>
        </w:rPr>
      </w:pPr>
      <w:r w:rsidRPr="003B3AEB">
        <w:rPr>
          <w:rFonts w:cstheme="minorHAnsi"/>
          <w:sz w:val="18"/>
          <w:szCs w:val="18"/>
        </w:rPr>
        <w:t>9.13 Proportion of TV broadcasted emissions, and proportion of time which included sign language interpretation, audio description, captioning, and other accessibility related features and means, disaggregated by ownership of media (private/public), type of content (news/other programming, including children’s programs, and accessibility features offered.</w:t>
      </w:r>
      <w:r w:rsidRPr="003B3AEB">
        <w:rPr>
          <w:rStyle w:val="EndnoteReference"/>
          <w:rFonts w:cstheme="minorHAnsi"/>
          <w:sz w:val="18"/>
          <w:szCs w:val="18"/>
        </w:rPr>
        <w:endnoteReference w:id="6"/>
      </w:r>
    </w:p>
    <w:p w14:paraId="7649B5EB" w14:textId="77777777" w:rsidR="00D47B04" w:rsidRPr="000C6C47" w:rsidRDefault="00D47B04" w:rsidP="000C6C47">
      <w:pPr>
        <w:spacing w:after="0" w:line="240" w:lineRule="auto"/>
        <w:jc w:val="both"/>
        <w:rPr>
          <w:rFonts w:cstheme="minorHAnsi"/>
          <w:sz w:val="18"/>
          <w:szCs w:val="18"/>
        </w:rPr>
      </w:pPr>
      <w:r w:rsidRPr="003B3AEB">
        <w:rPr>
          <w:rFonts w:cstheme="minorHAnsi"/>
          <w:sz w:val="18"/>
          <w:szCs w:val="18"/>
        </w:rPr>
        <w:t>9.14 Proportion of content available within ‘on-demand’ or non-linear services (</w:t>
      </w:r>
      <w:proofErr w:type="gramStart"/>
      <w:r w:rsidRPr="003B3AEB">
        <w:rPr>
          <w:rFonts w:cstheme="minorHAnsi"/>
          <w:sz w:val="18"/>
          <w:szCs w:val="18"/>
        </w:rPr>
        <w:t>e.g.</w:t>
      </w:r>
      <w:proofErr w:type="gramEnd"/>
      <w:r w:rsidRPr="003B3AEB">
        <w:rPr>
          <w:rFonts w:cstheme="minorHAnsi"/>
          <w:sz w:val="18"/>
          <w:szCs w:val="18"/>
        </w:rPr>
        <w:t xml:space="preserve"> video on-demand services) which includes sign language interpretation, audio description, captioning, and other accessibility related features and means, disaggregated by ownership of media (private/public), and accessibility features offered.</w:t>
      </w:r>
    </w:p>
    <w:p w14:paraId="790BF440" w14:textId="3069CF9F" w:rsidR="00D47B04" w:rsidRPr="00D47B04" w:rsidRDefault="00D47B04">
      <w:pPr>
        <w:spacing w:after="0" w:line="240" w:lineRule="auto"/>
        <w:contextualSpacing/>
        <w:jc w:val="both"/>
        <w:rPr>
          <w:rFonts w:cstheme="minorHAnsi"/>
          <w:sz w:val="18"/>
          <w:szCs w:val="18"/>
        </w:rPr>
      </w:pPr>
      <w:r>
        <w:rPr>
          <w:rFonts w:cstheme="minorHAnsi"/>
          <w:sz w:val="18"/>
          <w:szCs w:val="18"/>
        </w:rPr>
        <w:t>9.15</w:t>
      </w:r>
      <w:r w:rsidRPr="000C6C47">
        <w:rPr>
          <w:rFonts w:cstheme="minorHAnsi"/>
          <w:sz w:val="18"/>
          <w:szCs w:val="18"/>
        </w:rPr>
        <w:t xml:space="preserve"> Number of reports</w:t>
      </w:r>
      <w:r>
        <w:rPr>
          <w:rFonts w:cstheme="minorHAnsi"/>
          <w:sz w:val="18"/>
          <w:szCs w:val="18"/>
        </w:rPr>
        <w:t xml:space="preserve"> published by public authorities</w:t>
      </w:r>
      <w:r w:rsidRPr="000C6C47">
        <w:rPr>
          <w:rFonts w:cstheme="minorHAnsi"/>
          <w:sz w:val="18"/>
          <w:szCs w:val="18"/>
        </w:rPr>
        <w:t xml:space="preserve"> intended to the general public in accessible formats, disaggregated by type of format and their proportion out of the total of reports published</w:t>
      </w:r>
      <w:r>
        <w:rPr>
          <w:rFonts w:cstheme="minorHAnsi"/>
          <w:sz w:val="18"/>
          <w:szCs w:val="18"/>
        </w:rPr>
        <w:t xml:space="preserve"> by public authorities</w:t>
      </w:r>
      <w:r w:rsidRPr="000C6C47">
        <w:rPr>
          <w:rFonts w:cstheme="minorHAnsi"/>
          <w:sz w:val="18"/>
          <w:szCs w:val="18"/>
        </w:rPr>
        <w:t>.</w:t>
      </w:r>
      <w:r>
        <w:rPr>
          <w:rFonts w:cstheme="minorHAnsi"/>
          <w:sz w:val="18"/>
          <w:szCs w:val="18"/>
        </w:rPr>
        <w:t xml:space="preserve"> (idem 21.16).</w:t>
      </w:r>
    </w:p>
    <w:p w14:paraId="5AA631C9" w14:textId="77777777" w:rsidR="00D47B04" w:rsidRDefault="00D47B04" w:rsidP="000C2E4F">
      <w:pPr>
        <w:spacing w:after="0" w:line="240" w:lineRule="auto"/>
        <w:jc w:val="both"/>
        <w:rPr>
          <w:rFonts w:cstheme="minorHAnsi"/>
          <w:sz w:val="18"/>
          <w:szCs w:val="18"/>
        </w:rPr>
      </w:pPr>
      <w:r w:rsidRPr="000C6C47">
        <w:rPr>
          <w:rFonts w:cstheme="minorHAnsi"/>
          <w:sz w:val="18"/>
          <w:szCs w:val="18"/>
        </w:rPr>
        <w:t>9.</w:t>
      </w:r>
      <w:r>
        <w:rPr>
          <w:rFonts w:cstheme="minorHAnsi"/>
          <w:sz w:val="18"/>
          <w:szCs w:val="18"/>
        </w:rPr>
        <w:t>16</w:t>
      </w:r>
      <w:r w:rsidRPr="000C6C47">
        <w:rPr>
          <w:rFonts w:cstheme="minorHAnsi"/>
          <w:sz w:val="18"/>
          <w:szCs w:val="18"/>
        </w:rPr>
        <w:t xml:space="preserve"> </w:t>
      </w:r>
      <w:r>
        <w:rPr>
          <w:rFonts w:cstheme="minorHAnsi"/>
          <w:sz w:val="18"/>
          <w:szCs w:val="18"/>
        </w:rPr>
        <w:t>Implementation</w:t>
      </w:r>
      <w:r w:rsidRPr="000C6C47">
        <w:rPr>
          <w:rFonts w:cstheme="minorHAnsi"/>
          <w:sz w:val="18"/>
          <w:szCs w:val="18"/>
        </w:rPr>
        <w:t xml:space="preserve"> </w:t>
      </w:r>
      <w:r>
        <w:rPr>
          <w:rFonts w:cstheme="minorHAnsi"/>
          <w:sz w:val="18"/>
          <w:szCs w:val="18"/>
        </w:rPr>
        <w:t xml:space="preserve">of </w:t>
      </w:r>
      <w:r w:rsidRPr="000C6C47">
        <w:rPr>
          <w:rFonts w:cstheme="minorHAnsi"/>
          <w:sz w:val="18"/>
          <w:szCs w:val="18"/>
        </w:rPr>
        <w:t>accessibility audit</w:t>
      </w:r>
      <w:r>
        <w:rPr>
          <w:rFonts w:cstheme="minorHAnsi"/>
          <w:sz w:val="18"/>
          <w:szCs w:val="18"/>
        </w:rPr>
        <w:t>s on government facilities, services and</w:t>
      </w:r>
      <w:r w:rsidRPr="000C6C47">
        <w:rPr>
          <w:rFonts w:cstheme="minorHAnsi"/>
          <w:sz w:val="18"/>
          <w:szCs w:val="18"/>
        </w:rPr>
        <w:t xml:space="preserve"> programme</w:t>
      </w:r>
      <w:r>
        <w:rPr>
          <w:rFonts w:cstheme="minorHAnsi"/>
          <w:sz w:val="18"/>
          <w:szCs w:val="18"/>
        </w:rPr>
        <w:t>s that require</w:t>
      </w:r>
      <w:r w:rsidRPr="000C6C47">
        <w:rPr>
          <w:rFonts w:cstheme="minorHAnsi"/>
          <w:sz w:val="18"/>
          <w:szCs w:val="18"/>
        </w:rPr>
        <w:t xml:space="preserve"> the participation of </w:t>
      </w:r>
      <w:r>
        <w:rPr>
          <w:rFonts w:cstheme="minorHAnsi"/>
          <w:sz w:val="18"/>
          <w:szCs w:val="18"/>
        </w:rPr>
        <w:t>persons</w:t>
      </w:r>
      <w:r w:rsidRPr="000C6C47">
        <w:rPr>
          <w:rFonts w:cstheme="minorHAnsi"/>
          <w:sz w:val="18"/>
          <w:szCs w:val="18"/>
        </w:rPr>
        <w:t xml:space="preserve"> with disabilities </w:t>
      </w:r>
      <w:r>
        <w:rPr>
          <w:rFonts w:cstheme="minorHAnsi"/>
          <w:sz w:val="18"/>
          <w:szCs w:val="18"/>
        </w:rPr>
        <w:t>and their representative organiz</w:t>
      </w:r>
      <w:r w:rsidRPr="000C6C47">
        <w:rPr>
          <w:rFonts w:cstheme="minorHAnsi"/>
          <w:sz w:val="18"/>
          <w:szCs w:val="18"/>
        </w:rPr>
        <w:t>ations</w:t>
      </w:r>
      <w:r>
        <w:rPr>
          <w:rFonts w:cstheme="minorHAnsi"/>
          <w:sz w:val="18"/>
          <w:szCs w:val="18"/>
        </w:rPr>
        <w:t xml:space="preserve">, including with respect to emergency protocols, procedures, services and facilities. </w:t>
      </w:r>
    </w:p>
    <w:p w14:paraId="34D0D3A5" w14:textId="77777777" w:rsidR="00D47B04" w:rsidRPr="000C6C47" w:rsidRDefault="00D47B04" w:rsidP="000C2E4F">
      <w:pPr>
        <w:spacing w:after="0" w:line="240" w:lineRule="auto"/>
        <w:jc w:val="both"/>
        <w:rPr>
          <w:rFonts w:cstheme="minorHAnsi"/>
          <w:sz w:val="18"/>
          <w:szCs w:val="18"/>
        </w:rPr>
      </w:pPr>
      <w:r>
        <w:rPr>
          <w:rFonts w:cstheme="minorHAnsi"/>
          <w:sz w:val="18"/>
          <w:szCs w:val="18"/>
        </w:rPr>
        <w:t>9.17 Adoption of guidance on public procurement setting out criteria of universal design and accessibility and requiring products and services to include accessible feature and design.</w:t>
      </w:r>
      <w:r>
        <w:rPr>
          <w:rStyle w:val="EndnoteReference"/>
          <w:rFonts w:cstheme="minorHAnsi"/>
          <w:sz w:val="18"/>
          <w:szCs w:val="18"/>
        </w:rPr>
        <w:endnoteReference w:id="7"/>
      </w:r>
    </w:p>
    <w:p w14:paraId="4A5442CC" w14:textId="77777777" w:rsidR="00D47B04" w:rsidRPr="000C6C47" w:rsidRDefault="00D47B04" w:rsidP="000C6C47">
      <w:pPr>
        <w:spacing w:after="0" w:line="240" w:lineRule="auto"/>
        <w:jc w:val="both"/>
        <w:rPr>
          <w:rFonts w:cstheme="minorHAnsi"/>
          <w:sz w:val="18"/>
          <w:szCs w:val="18"/>
        </w:rPr>
      </w:pPr>
      <w:r>
        <w:rPr>
          <w:rFonts w:cstheme="minorHAnsi"/>
          <w:sz w:val="18"/>
          <w:szCs w:val="18"/>
        </w:rPr>
        <w:t>9.18</w:t>
      </w:r>
      <w:r w:rsidRPr="000C6C47">
        <w:rPr>
          <w:rFonts w:cstheme="minorHAnsi"/>
          <w:sz w:val="18"/>
          <w:szCs w:val="18"/>
        </w:rPr>
        <w:t xml:space="preserve"> Number and </w:t>
      </w:r>
      <w:r>
        <w:rPr>
          <w:rFonts w:cstheme="minorHAnsi"/>
          <w:sz w:val="18"/>
          <w:szCs w:val="18"/>
        </w:rPr>
        <w:t>proportion</w:t>
      </w:r>
      <w:r w:rsidRPr="000C6C47">
        <w:rPr>
          <w:rFonts w:cstheme="minorHAnsi"/>
          <w:sz w:val="18"/>
          <w:szCs w:val="18"/>
        </w:rPr>
        <w:t xml:space="preserve"> of professionals, particularly, engineers, architects,</w:t>
      </w:r>
      <w:r>
        <w:rPr>
          <w:rFonts w:cstheme="minorHAnsi"/>
          <w:sz w:val="18"/>
          <w:szCs w:val="18"/>
        </w:rPr>
        <w:t xml:space="preserve"> urban planners,</w:t>
      </w:r>
      <w:r w:rsidRPr="000C6C47">
        <w:rPr>
          <w:rFonts w:cstheme="minorHAnsi"/>
          <w:sz w:val="18"/>
          <w:szCs w:val="18"/>
        </w:rPr>
        <w:t xml:space="preserve"> transport operators, web designers</w:t>
      </w:r>
      <w:r>
        <w:rPr>
          <w:rFonts w:cstheme="minorHAnsi"/>
          <w:sz w:val="18"/>
          <w:szCs w:val="18"/>
        </w:rPr>
        <w:t>,</w:t>
      </w:r>
      <w:r w:rsidRPr="000C6C47">
        <w:rPr>
          <w:rFonts w:cstheme="minorHAnsi"/>
          <w:sz w:val="18"/>
          <w:szCs w:val="18"/>
        </w:rPr>
        <w:t xml:space="preserve"> providers of public services, media operators</w:t>
      </w:r>
      <w:r>
        <w:rPr>
          <w:rFonts w:cstheme="minorHAnsi"/>
          <w:sz w:val="18"/>
          <w:szCs w:val="18"/>
        </w:rPr>
        <w:t>, public procurement officers,</w:t>
      </w:r>
      <w:r w:rsidRPr="000C6C47">
        <w:rPr>
          <w:rFonts w:cstheme="minorHAnsi"/>
          <w:sz w:val="18"/>
          <w:szCs w:val="18"/>
        </w:rPr>
        <w:t xml:space="preserve"> and others trained </w:t>
      </w:r>
      <w:r>
        <w:rPr>
          <w:rFonts w:cstheme="minorHAnsi"/>
          <w:sz w:val="18"/>
          <w:szCs w:val="18"/>
        </w:rPr>
        <w:t>o</w:t>
      </w:r>
      <w:r w:rsidRPr="000C6C47">
        <w:rPr>
          <w:rFonts w:cstheme="minorHAnsi"/>
          <w:sz w:val="18"/>
          <w:szCs w:val="18"/>
        </w:rPr>
        <w:t>n universal design and accessibility standards.</w:t>
      </w:r>
    </w:p>
    <w:p w14:paraId="1D936E7E" w14:textId="77777777" w:rsidR="00D47B04" w:rsidRDefault="00D47B04" w:rsidP="000C6C47">
      <w:pPr>
        <w:spacing w:after="0" w:line="240" w:lineRule="auto"/>
        <w:jc w:val="both"/>
        <w:rPr>
          <w:rFonts w:cstheme="minorHAnsi"/>
          <w:sz w:val="18"/>
          <w:szCs w:val="18"/>
        </w:rPr>
      </w:pPr>
      <w:r>
        <w:rPr>
          <w:rFonts w:cstheme="minorHAnsi"/>
          <w:sz w:val="18"/>
          <w:szCs w:val="18"/>
        </w:rPr>
        <w:t>9.19</w:t>
      </w:r>
      <w:r w:rsidRPr="000C6C47">
        <w:rPr>
          <w:rFonts w:cstheme="minorHAnsi"/>
          <w:sz w:val="18"/>
          <w:szCs w:val="18"/>
        </w:rPr>
        <w:t xml:space="preserve"> </w:t>
      </w:r>
      <w:r w:rsidRPr="007D7143">
        <w:rPr>
          <w:rFonts w:cstheme="minorHAnsi"/>
          <w:sz w:val="18"/>
          <w:szCs w:val="18"/>
        </w:rPr>
        <w:t>Awareness rais</w:t>
      </w:r>
      <w:r>
        <w:rPr>
          <w:rFonts w:cstheme="minorHAnsi"/>
          <w:sz w:val="18"/>
          <w:szCs w:val="18"/>
        </w:rPr>
        <w:t>ing campaigns and activities to promote accessibility across all services open to the public and promote knowledge of universal design and accessibility standards by</w:t>
      </w:r>
      <w:r w:rsidRPr="000C6C47">
        <w:rPr>
          <w:rFonts w:cstheme="minorHAnsi"/>
          <w:sz w:val="18"/>
          <w:szCs w:val="18"/>
        </w:rPr>
        <w:t xml:space="preserve"> </w:t>
      </w:r>
      <w:r>
        <w:rPr>
          <w:rFonts w:cstheme="minorHAnsi"/>
          <w:sz w:val="18"/>
          <w:szCs w:val="18"/>
        </w:rPr>
        <w:t xml:space="preserve">relevant professionals, </w:t>
      </w:r>
      <w:r w:rsidRPr="000C6C47">
        <w:rPr>
          <w:rFonts w:cstheme="minorHAnsi"/>
          <w:sz w:val="18"/>
          <w:szCs w:val="18"/>
        </w:rPr>
        <w:t xml:space="preserve">manufacturers and service providers, </w:t>
      </w:r>
      <w:r>
        <w:rPr>
          <w:rFonts w:cstheme="minorHAnsi"/>
          <w:sz w:val="18"/>
          <w:szCs w:val="18"/>
        </w:rPr>
        <w:t xml:space="preserve">as well as informing </w:t>
      </w:r>
      <w:r w:rsidRPr="000C6C47">
        <w:rPr>
          <w:rFonts w:cstheme="minorHAnsi"/>
          <w:sz w:val="18"/>
          <w:szCs w:val="18"/>
        </w:rPr>
        <w:t>individuals of their rights and responsibilities as they relate to accessibility.</w:t>
      </w:r>
    </w:p>
    <w:p w14:paraId="3C029E35" w14:textId="77777777" w:rsidR="00D47B04" w:rsidRPr="000C6C47" w:rsidRDefault="00D47B04" w:rsidP="000C6C47">
      <w:pPr>
        <w:spacing w:after="0" w:line="240" w:lineRule="auto"/>
        <w:jc w:val="both"/>
        <w:rPr>
          <w:rFonts w:cstheme="minorHAnsi"/>
          <w:sz w:val="18"/>
          <w:szCs w:val="18"/>
        </w:rPr>
      </w:pPr>
      <w:r>
        <w:rPr>
          <w:rFonts w:cstheme="minorHAnsi"/>
          <w:sz w:val="18"/>
          <w:szCs w:val="18"/>
        </w:rPr>
        <w:t>9.20</w:t>
      </w:r>
      <w:r w:rsidRPr="000C6C47">
        <w:rPr>
          <w:rFonts w:cstheme="minorHAnsi"/>
          <w:sz w:val="18"/>
          <w:szCs w:val="18"/>
        </w:rPr>
        <w:t xml:space="preserve"> Consultation processes undertaken to ensure </w:t>
      </w:r>
      <w:r>
        <w:rPr>
          <w:rFonts w:cstheme="minorHAnsi"/>
          <w:sz w:val="18"/>
          <w:szCs w:val="18"/>
        </w:rPr>
        <w:t xml:space="preserve">the </w:t>
      </w:r>
      <w:r w:rsidRPr="000C6C47">
        <w:rPr>
          <w:rFonts w:cstheme="minorHAnsi"/>
          <w:sz w:val="18"/>
          <w:szCs w:val="18"/>
        </w:rPr>
        <w:t xml:space="preserve">active involvement of persons with disabilities, </w:t>
      </w:r>
      <w:r w:rsidRPr="00650271">
        <w:rPr>
          <w:rFonts w:cstheme="minorHAnsi"/>
          <w:sz w:val="18"/>
          <w:szCs w:val="18"/>
        </w:rPr>
        <w:t xml:space="preserve">including </w:t>
      </w:r>
      <w:r w:rsidRPr="000C6C47">
        <w:rPr>
          <w:rFonts w:cstheme="minorHAnsi"/>
          <w:sz w:val="18"/>
          <w:szCs w:val="18"/>
        </w:rPr>
        <w:t xml:space="preserve">through their </w:t>
      </w:r>
      <w:r>
        <w:rPr>
          <w:rFonts w:cstheme="minorHAnsi"/>
          <w:sz w:val="18"/>
          <w:szCs w:val="18"/>
        </w:rPr>
        <w:t xml:space="preserve">representative </w:t>
      </w:r>
      <w:r w:rsidRPr="000C6C47">
        <w:rPr>
          <w:rFonts w:cstheme="minorHAnsi"/>
          <w:sz w:val="18"/>
          <w:szCs w:val="18"/>
        </w:rPr>
        <w:t xml:space="preserve">organizations, in the design, implementation and monitoring of laws, regulations, policies and programs, related to accessibility </w:t>
      </w:r>
      <w:r>
        <w:rPr>
          <w:rFonts w:cstheme="minorHAnsi"/>
          <w:sz w:val="18"/>
          <w:szCs w:val="18"/>
        </w:rPr>
        <w:t>of</w:t>
      </w:r>
      <w:r w:rsidRPr="000C6C47">
        <w:rPr>
          <w:rFonts w:cstheme="minorHAnsi"/>
          <w:sz w:val="18"/>
          <w:szCs w:val="18"/>
        </w:rPr>
        <w:t xml:space="preserve"> the built environment, transportation, information and communication.</w:t>
      </w:r>
      <w:r w:rsidRPr="000C6C47">
        <w:rPr>
          <w:rStyle w:val="EndnoteReference"/>
          <w:rFonts w:cstheme="minorHAnsi"/>
          <w:sz w:val="18"/>
          <w:szCs w:val="18"/>
        </w:rPr>
        <w:endnoteReference w:id="8"/>
      </w:r>
    </w:p>
    <w:p w14:paraId="4B7C2734" w14:textId="77777777" w:rsidR="00D47B04" w:rsidRPr="000C6C47" w:rsidRDefault="00D47B04" w:rsidP="000C6C47">
      <w:pPr>
        <w:spacing w:after="0" w:line="240" w:lineRule="auto"/>
        <w:jc w:val="both"/>
        <w:rPr>
          <w:rFonts w:cstheme="minorHAnsi"/>
          <w:sz w:val="18"/>
          <w:szCs w:val="18"/>
        </w:rPr>
      </w:pPr>
      <w:r w:rsidRPr="000C6C47">
        <w:rPr>
          <w:rFonts w:cstheme="minorHAnsi"/>
          <w:sz w:val="18"/>
          <w:szCs w:val="18"/>
        </w:rPr>
        <w:t>9.</w:t>
      </w:r>
      <w:r>
        <w:rPr>
          <w:rFonts w:cstheme="minorHAnsi"/>
          <w:sz w:val="18"/>
          <w:szCs w:val="18"/>
        </w:rPr>
        <w:t>21</w:t>
      </w:r>
      <w:r w:rsidRPr="000C6C47">
        <w:rPr>
          <w:rFonts w:cstheme="minorHAnsi"/>
          <w:sz w:val="18"/>
          <w:szCs w:val="18"/>
        </w:rPr>
        <w:t xml:space="preserve"> </w:t>
      </w:r>
      <w:r>
        <w:rPr>
          <w:rFonts w:cstheme="minorHAnsi"/>
          <w:sz w:val="18"/>
          <w:szCs w:val="18"/>
        </w:rPr>
        <w:t xml:space="preserve">Proportion of received complaints related </w:t>
      </w:r>
      <w:r w:rsidRPr="000C6C47">
        <w:rPr>
          <w:rFonts w:cstheme="minorHAnsi"/>
          <w:sz w:val="18"/>
          <w:szCs w:val="18"/>
        </w:rPr>
        <w:t>to accessibility of persons with disabilities</w:t>
      </w:r>
      <w:r>
        <w:rPr>
          <w:rFonts w:cstheme="minorHAnsi"/>
          <w:sz w:val="18"/>
          <w:szCs w:val="18"/>
        </w:rPr>
        <w:t xml:space="preserve"> that have been investigated and adjudicated; proportion of those found in favour of the complainant; and proportion of the latter that have been complied with by the government and/or duty bearer; each disaggregated by kind of mechanism.</w:t>
      </w:r>
    </w:p>
    <w:p w14:paraId="7BFCBAC0" w14:textId="77777777" w:rsidR="00D47B04" w:rsidRDefault="00D47B04" w:rsidP="000C6C47">
      <w:pPr>
        <w:spacing w:after="0" w:line="240" w:lineRule="auto"/>
        <w:jc w:val="both"/>
        <w:rPr>
          <w:rFonts w:cstheme="minorHAnsi"/>
          <w:b/>
          <w:sz w:val="18"/>
          <w:szCs w:val="18"/>
        </w:rPr>
      </w:pPr>
    </w:p>
    <w:p w14:paraId="55995EF1" w14:textId="429312C8" w:rsidR="00D47B04" w:rsidRDefault="00D47B04" w:rsidP="00FF797B">
      <w:pPr>
        <w:pStyle w:val="Heading2"/>
        <w:rPr>
          <w:rFonts w:cstheme="minorHAnsi"/>
        </w:rPr>
      </w:pPr>
      <w:r>
        <w:rPr>
          <w:rFonts w:cstheme="minorHAnsi"/>
        </w:rPr>
        <w:t>Outcome</w:t>
      </w:r>
      <w:r w:rsidR="007B6796">
        <w:rPr>
          <w:rFonts w:cstheme="minorHAnsi"/>
        </w:rPr>
        <w:t xml:space="preserve"> </w:t>
      </w:r>
      <w:r w:rsidR="007B6796" w:rsidRPr="00FF797B">
        <w:t>Indicators</w:t>
      </w:r>
    </w:p>
    <w:p w14:paraId="072F3727" w14:textId="347DB519" w:rsidR="00D47B04" w:rsidRPr="000C6C47" w:rsidRDefault="00D47B04" w:rsidP="000C6C47">
      <w:pPr>
        <w:spacing w:after="0" w:line="240" w:lineRule="auto"/>
        <w:jc w:val="both"/>
        <w:rPr>
          <w:rFonts w:cstheme="minorHAnsi"/>
          <w:sz w:val="18"/>
          <w:szCs w:val="18"/>
        </w:rPr>
      </w:pPr>
      <w:r>
        <w:rPr>
          <w:rFonts w:cstheme="minorHAnsi"/>
          <w:sz w:val="18"/>
          <w:szCs w:val="18"/>
        </w:rPr>
        <w:t>9.22</w:t>
      </w:r>
      <w:r w:rsidRPr="000C6C47">
        <w:rPr>
          <w:rFonts w:cstheme="minorHAnsi"/>
          <w:sz w:val="18"/>
          <w:szCs w:val="18"/>
        </w:rPr>
        <w:t xml:space="preserve"> Proportion of population that has convenient access to public transport, by sex, age and persons with disabilities (SDG 11.2.1).</w:t>
      </w:r>
    </w:p>
    <w:p w14:paraId="39639661" w14:textId="77777777" w:rsidR="00D47B04" w:rsidRPr="000C6C47" w:rsidRDefault="00D47B04" w:rsidP="000C6C47">
      <w:pPr>
        <w:spacing w:after="0" w:line="240" w:lineRule="auto"/>
        <w:jc w:val="both"/>
        <w:rPr>
          <w:rFonts w:cstheme="minorHAnsi"/>
          <w:sz w:val="18"/>
          <w:szCs w:val="18"/>
        </w:rPr>
      </w:pPr>
      <w:r w:rsidRPr="000C6C47">
        <w:rPr>
          <w:rFonts w:cstheme="minorHAnsi"/>
          <w:sz w:val="18"/>
          <w:szCs w:val="18"/>
        </w:rPr>
        <w:t>9.2</w:t>
      </w:r>
      <w:r>
        <w:rPr>
          <w:rFonts w:cstheme="minorHAnsi"/>
          <w:sz w:val="18"/>
          <w:szCs w:val="18"/>
        </w:rPr>
        <w:t xml:space="preserve">3 </w:t>
      </w:r>
      <w:r w:rsidRPr="000C6C47">
        <w:rPr>
          <w:rFonts w:cstheme="minorHAnsi"/>
          <w:sz w:val="18"/>
          <w:szCs w:val="18"/>
        </w:rPr>
        <w:t>Average share of the built-up area of cities that is open space for public use for all, by sex, age and persons with disabilities (SDG 11.7.1).</w:t>
      </w:r>
    </w:p>
    <w:p w14:paraId="3C8CDE75" w14:textId="77777777" w:rsidR="00D47B04" w:rsidRPr="000C6C47" w:rsidRDefault="00D47B04" w:rsidP="00D47B04">
      <w:pPr>
        <w:spacing w:after="0" w:line="240" w:lineRule="auto"/>
        <w:jc w:val="both"/>
        <w:rPr>
          <w:rFonts w:cstheme="minorHAnsi"/>
          <w:sz w:val="18"/>
          <w:szCs w:val="18"/>
        </w:rPr>
      </w:pPr>
      <w:r w:rsidRPr="000C6C47">
        <w:rPr>
          <w:rFonts w:cstheme="minorHAnsi"/>
          <w:sz w:val="18"/>
          <w:szCs w:val="18"/>
        </w:rPr>
        <w:t>9.2</w:t>
      </w:r>
      <w:r>
        <w:rPr>
          <w:rFonts w:cstheme="minorHAnsi"/>
          <w:sz w:val="18"/>
          <w:szCs w:val="18"/>
        </w:rPr>
        <w:t>4</w:t>
      </w:r>
      <w:r w:rsidRPr="000C6C47">
        <w:rPr>
          <w:rFonts w:cstheme="minorHAnsi"/>
          <w:sz w:val="18"/>
          <w:szCs w:val="18"/>
        </w:rPr>
        <w:t xml:space="preserve"> Proportion of persons with disabilities reporting access to public buildings in urban and rural areas, including government buildings in national and regional capitals.</w:t>
      </w:r>
    </w:p>
    <w:p w14:paraId="033EF278" w14:textId="77777777" w:rsidR="00D47B04" w:rsidRPr="000C6C47" w:rsidRDefault="00D47B04" w:rsidP="000C6C47">
      <w:pPr>
        <w:spacing w:after="0" w:line="240" w:lineRule="auto"/>
        <w:jc w:val="both"/>
        <w:rPr>
          <w:rFonts w:cstheme="minorHAnsi"/>
          <w:sz w:val="18"/>
          <w:szCs w:val="18"/>
        </w:rPr>
      </w:pPr>
      <w:r w:rsidRPr="000C6C47">
        <w:rPr>
          <w:rFonts w:cstheme="minorHAnsi"/>
          <w:sz w:val="18"/>
          <w:szCs w:val="18"/>
        </w:rPr>
        <w:t>9.2</w:t>
      </w:r>
      <w:r>
        <w:rPr>
          <w:rFonts w:cstheme="minorHAnsi"/>
          <w:sz w:val="18"/>
          <w:szCs w:val="18"/>
        </w:rPr>
        <w:t>5</w:t>
      </w:r>
      <w:r w:rsidRPr="000C6C47">
        <w:rPr>
          <w:rFonts w:cstheme="minorHAnsi"/>
          <w:sz w:val="18"/>
          <w:szCs w:val="18"/>
        </w:rPr>
        <w:t xml:space="preserve"> Proportion of individuals using the Internet (SDG indicator 17.8.1) disaggregated by age, sex and disability.  </w:t>
      </w:r>
    </w:p>
    <w:p w14:paraId="20E88F68" w14:textId="77777777" w:rsidR="00D47B04" w:rsidRPr="000C6C47" w:rsidRDefault="00D47B04" w:rsidP="000C6C47">
      <w:pPr>
        <w:spacing w:after="0" w:line="240" w:lineRule="auto"/>
        <w:jc w:val="both"/>
        <w:rPr>
          <w:rFonts w:cstheme="minorHAnsi"/>
          <w:sz w:val="18"/>
          <w:szCs w:val="18"/>
        </w:rPr>
      </w:pPr>
      <w:r>
        <w:rPr>
          <w:rFonts w:cstheme="minorHAnsi"/>
          <w:sz w:val="18"/>
          <w:szCs w:val="18"/>
        </w:rPr>
        <w:t>9.26</w:t>
      </w:r>
      <w:r w:rsidRPr="000C6C47">
        <w:rPr>
          <w:rFonts w:cstheme="minorHAnsi"/>
          <w:sz w:val="18"/>
          <w:szCs w:val="18"/>
        </w:rPr>
        <w:t xml:space="preserve"> Proportion of persons with disabilities reporting </w:t>
      </w:r>
      <w:r>
        <w:rPr>
          <w:rFonts w:cstheme="minorHAnsi"/>
          <w:sz w:val="18"/>
          <w:szCs w:val="18"/>
        </w:rPr>
        <w:t>satisfaction in</w:t>
      </w:r>
      <w:r w:rsidRPr="00650271">
        <w:rPr>
          <w:rFonts w:cstheme="minorHAnsi"/>
          <w:sz w:val="18"/>
          <w:szCs w:val="18"/>
        </w:rPr>
        <w:t xml:space="preserve"> their ac</w:t>
      </w:r>
      <w:r w:rsidRPr="000C6C47">
        <w:rPr>
          <w:rFonts w:cstheme="minorHAnsi"/>
          <w:sz w:val="18"/>
          <w:szCs w:val="18"/>
        </w:rPr>
        <w:t>cess to emergency services via alternative means of communication</w:t>
      </w:r>
      <w:r>
        <w:rPr>
          <w:rFonts w:cstheme="minorHAnsi"/>
          <w:sz w:val="18"/>
          <w:szCs w:val="18"/>
        </w:rPr>
        <w:t>, disaggregated by</w:t>
      </w:r>
      <w:r w:rsidRPr="000C6C47">
        <w:rPr>
          <w:rFonts w:cstheme="minorHAnsi"/>
          <w:sz w:val="18"/>
          <w:szCs w:val="18"/>
        </w:rPr>
        <w:t xml:space="preserve"> sex</w:t>
      </w:r>
      <w:r>
        <w:rPr>
          <w:rFonts w:cstheme="minorHAnsi"/>
          <w:sz w:val="18"/>
          <w:szCs w:val="18"/>
        </w:rPr>
        <w:t>, age</w:t>
      </w:r>
      <w:r w:rsidRPr="000C6C47">
        <w:rPr>
          <w:rFonts w:cstheme="minorHAnsi"/>
          <w:sz w:val="18"/>
          <w:szCs w:val="18"/>
        </w:rPr>
        <w:t xml:space="preserve"> and disability.</w:t>
      </w:r>
    </w:p>
    <w:p w14:paraId="14D249E6" w14:textId="77777777" w:rsidR="00D47B04" w:rsidRPr="000C6C47" w:rsidRDefault="00D47B04" w:rsidP="00B71D81">
      <w:pPr>
        <w:spacing w:after="0" w:line="240" w:lineRule="auto"/>
        <w:jc w:val="both"/>
        <w:rPr>
          <w:rFonts w:cstheme="minorHAnsi"/>
          <w:sz w:val="18"/>
          <w:szCs w:val="18"/>
        </w:rPr>
      </w:pPr>
      <w:r>
        <w:rPr>
          <w:rFonts w:cstheme="minorHAnsi"/>
          <w:sz w:val="18"/>
          <w:szCs w:val="18"/>
        </w:rPr>
        <w:t>9.27</w:t>
      </w:r>
      <w:r w:rsidRPr="000C6C47">
        <w:rPr>
          <w:rFonts w:cstheme="minorHAnsi"/>
          <w:sz w:val="18"/>
          <w:szCs w:val="18"/>
        </w:rPr>
        <w:t xml:space="preserve"> Proportion of persons with disabilities </w:t>
      </w:r>
      <w:r>
        <w:rPr>
          <w:rFonts w:cstheme="minorHAnsi"/>
          <w:sz w:val="18"/>
          <w:szCs w:val="18"/>
        </w:rPr>
        <w:t>granted use of</w:t>
      </w:r>
      <w:r w:rsidRPr="000C6C47">
        <w:rPr>
          <w:rFonts w:cstheme="minorHAnsi"/>
          <w:sz w:val="18"/>
          <w:szCs w:val="18"/>
        </w:rPr>
        <w:t xml:space="preserve"> alternative communication</w:t>
      </w:r>
      <w:r>
        <w:rPr>
          <w:rFonts w:cstheme="minorHAnsi"/>
          <w:sz w:val="18"/>
          <w:szCs w:val="18"/>
        </w:rPr>
        <w:t>s</w:t>
      </w:r>
      <w:r w:rsidRPr="000C6C47">
        <w:rPr>
          <w:rStyle w:val="EndnoteReference"/>
          <w:rFonts w:cstheme="minorHAnsi"/>
          <w:sz w:val="18"/>
          <w:szCs w:val="18"/>
        </w:rPr>
        <w:endnoteReference w:id="9"/>
      </w:r>
      <w:r w:rsidRPr="000C6C47">
        <w:rPr>
          <w:rFonts w:cstheme="minorHAnsi"/>
          <w:sz w:val="18"/>
          <w:szCs w:val="18"/>
        </w:rPr>
        <w:t xml:space="preserve"> in official interactions, disaggregated by th</w:t>
      </w:r>
      <w:r>
        <w:rPr>
          <w:rFonts w:cstheme="minorHAnsi"/>
          <w:sz w:val="18"/>
          <w:szCs w:val="18"/>
        </w:rPr>
        <w:t xml:space="preserve">e type of public service used, sex, age </w:t>
      </w:r>
      <w:r w:rsidRPr="000C6C47">
        <w:rPr>
          <w:rFonts w:cstheme="minorHAnsi"/>
          <w:sz w:val="18"/>
          <w:szCs w:val="18"/>
        </w:rPr>
        <w:t>and disability.</w:t>
      </w:r>
    </w:p>
    <w:p w14:paraId="08A8939D" w14:textId="4B4C0457" w:rsidR="00884069" w:rsidRDefault="00884069">
      <w:pPr>
        <w:spacing w:after="0" w:line="240" w:lineRule="auto"/>
        <w:rPr>
          <w:rFonts w:cstheme="minorHAnsi"/>
          <w:b/>
          <w:sz w:val="18"/>
          <w:szCs w:val="18"/>
        </w:rPr>
      </w:pPr>
    </w:p>
    <w:p w14:paraId="20F927E5" w14:textId="0ED9979A" w:rsidR="00AF4D92" w:rsidRPr="00AF4D92" w:rsidRDefault="00AB208C" w:rsidP="00FF797B">
      <w:pPr>
        <w:pStyle w:val="Heading1"/>
      </w:pPr>
      <w:r w:rsidRPr="00C154B3">
        <w:t>ANNEX</w:t>
      </w:r>
    </w:p>
    <w:p w14:paraId="22AEA6E2" w14:textId="0AF77922" w:rsidR="00AF4D92" w:rsidRPr="00AF4D92" w:rsidRDefault="00AF4D92" w:rsidP="00AF4D92">
      <w:pPr>
        <w:spacing w:line="240" w:lineRule="auto"/>
        <w:contextualSpacing/>
        <w:divId w:val="1428118389"/>
        <w:rPr>
          <w:rFonts w:cstheme="minorHAnsi"/>
          <w:bCs/>
          <w:sz w:val="18"/>
          <w:szCs w:val="18"/>
        </w:rPr>
      </w:pPr>
      <w:r w:rsidRPr="00AF4D92">
        <w:rPr>
          <w:rFonts w:cstheme="minorHAnsi"/>
          <w:b/>
          <w:sz w:val="18"/>
          <w:szCs w:val="18"/>
        </w:rPr>
        <w:t>*</w:t>
      </w:r>
      <w:r w:rsidRPr="00AF4D92">
        <w:rPr>
          <w:rFonts w:cstheme="minorHAnsi"/>
          <w:bCs/>
          <w:sz w:val="18"/>
          <w:szCs w:val="18"/>
        </w:rPr>
        <w:t xml:space="preserve">See </w:t>
      </w:r>
      <w:hyperlink r:id="rId8" w:history="1">
        <w:r w:rsidRPr="00AF4D92">
          <w:rPr>
            <w:rFonts w:cstheme="minorHAnsi"/>
            <w:bCs/>
            <w:color w:val="0563C1" w:themeColor="hyperlink"/>
            <w:sz w:val="18"/>
            <w:szCs w:val="18"/>
            <w:u w:val="single"/>
          </w:rPr>
          <w:t>CRPD Committee General Comment no 2</w:t>
        </w:r>
      </w:hyperlink>
      <w:r w:rsidRPr="00AF4D92">
        <w:rPr>
          <w:rFonts w:cstheme="minorHAnsi"/>
          <w:bCs/>
          <w:sz w:val="18"/>
          <w:szCs w:val="18"/>
        </w:rPr>
        <w:t xml:space="preserve"> on accessibility.</w:t>
      </w:r>
    </w:p>
    <w:sectPr w:rsidR="00AF4D92" w:rsidRPr="00AF4D92" w:rsidSect="00C154B3">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5FAD6" w14:textId="77777777" w:rsidR="006447AA" w:rsidRDefault="006447AA" w:rsidP="0064710C">
      <w:pPr>
        <w:spacing w:after="0" w:line="240" w:lineRule="auto"/>
      </w:pPr>
      <w:r>
        <w:separator/>
      </w:r>
    </w:p>
  </w:endnote>
  <w:endnote w:type="continuationSeparator" w:id="0">
    <w:p w14:paraId="798B7FFF" w14:textId="77777777" w:rsidR="006447AA" w:rsidRDefault="006447AA" w:rsidP="0064710C">
      <w:pPr>
        <w:spacing w:after="0" w:line="240" w:lineRule="auto"/>
      </w:pPr>
      <w:r>
        <w:continuationSeparator/>
      </w:r>
    </w:p>
  </w:endnote>
  <w:endnote w:id="1">
    <w:p w14:paraId="6269C11D" w14:textId="77777777" w:rsidR="00D47B04" w:rsidRPr="000F2C92" w:rsidRDefault="00D47B04" w:rsidP="000C6C47">
      <w:pPr>
        <w:pStyle w:val="NoSpacing"/>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Should contain at least the following elements:</w:t>
      </w:r>
    </w:p>
    <w:p w14:paraId="0E225718" w14:textId="77777777" w:rsidR="00D47B04" w:rsidRPr="000F2C92" w:rsidRDefault="00D47B04" w:rsidP="000C6C47">
      <w:pPr>
        <w:pStyle w:val="NoSpacing"/>
        <w:numPr>
          <w:ilvl w:val="0"/>
          <w:numId w:val="11"/>
        </w:numPr>
        <w:rPr>
          <w:rFonts w:cstheme="minorHAnsi"/>
          <w:sz w:val="18"/>
          <w:szCs w:val="18"/>
        </w:rPr>
      </w:pPr>
      <w:r w:rsidRPr="000F2C92">
        <w:rPr>
          <w:rFonts w:cstheme="minorHAnsi"/>
          <w:sz w:val="18"/>
          <w:szCs w:val="18"/>
        </w:rPr>
        <w:t xml:space="preserve">Application of the principle of universal design in the development of accessibility standards and </w:t>
      </w:r>
      <w:proofErr w:type="gramStart"/>
      <w:r w:rsidRPr="000F2C92">
        <w:rPr>
          <w:rFonts w:cstheme="minorHAnsi"/>
          <w:sz w:val="18"/>
          <w:szCs w:val="18"/>
        </w:rPr>
        <w:t>guidelines;</w:t>
      </w:r>
      <w:proofErr w:type="gramEnd"/>
    </w:p>
    <w:p w14:paraId="5673FA3A" w14:textId="77777777" w:rsidR="00D47B04" w:rsidRPr="000F2C92" w:rsidRDefault="00D47B04" w:rsidP="000C6C47">
      <w:pPr>
        <w:pStyle w:val="NoSpacing"/>
        <w:numPr>
          <w:ilvl w:val="0"/>
          <w:numId w:val="11"/>
        </w:numPr>
        <w:rPr>
          <w:rFonts w:cstheme="minorHAnsi"/>
          <w:sz w:val="18"/>
          <w:szCs w:val="18"/>
        </w:rPr>
      </w:pPr>
      <w:r w:rsidRPr="000F2C92">
        <w:rPr>
          <w:rFonts w:cstheme="minorHAnsi"/>
          <w:sz w:val="18"/>
          <w:szCs w:val="18"/>
        </w:rPr>
        <w:t xml:space="preserve">Obligation to comply with sector-specific technical </w:t>
      </w:r>
      <w:proofErr w:type="gramStart"/>
      <w:r w:rsidRPr="000F2C92">
        <w:rPr>
          <w:rFonts w:cstheme="minorHAnsi"/>
          <w:sz w:val="18"/>
          <w:szCs w:val="18"/>
        </w:rPr>
        <w:t>standards;</w:t>
      </w:r>
      <w:proofErr w:type="gramEnd"/>
    </w:p>
    <w:p w14:paraId="3A5359FD" w14:textId="77777777" w:rsidR="00D47B04" w:rsidRPr="000F2C92" w:rsidRDefault="00D47B04" w:rsidP="000C6C47">
      <w:pPr>
        <w:pStyle w:val="NoSpacing"/>
        <w:numPr>
          <w:ilvl w:val="0"/>
          <w:numId w:val="11"/>
        </w:numPr>
        <w:rPr>
          <w:rFonts w:cstheme="minorHAnsi"/>
          <w:sz w:val="18"/>
          <w:szCs w:val="18"/>
        </w:rPr>
      </w:pPr>
      <w:r w:rsidRPr="000F2C92">
        <w:rPr>
          <w:rFonts w:cstheme="minorHAnsi"/>
          <w:sz w:val="18"/>
          <w:szCs w:val="18"/>
        </w:rPr>
        <w:t xml:space="preserve">Availability of effective dissuasive sanctions for violation of accessibility </w:t>
      </w:r>
      <w:proofErr w:type="gramStart"/>
      <w:r w:rsidRPr="000F2C92">
        <w:rPr>
          <w:rFonts w:cstheme="minorHAnsi"/>
          <w:sz w:val="18"/>
          <w:szCs w:val="18"/>
        </w:rPr>
        <w:t>standards;</w:t>
      </w:r>
      <w:proofErr w:type="gramEnd"/>
    </w:p>
    <w:p w14:paraId="2AB00D5D" w14:textId="77777777" w:rsidR="00D47B04" w:rsidRPr="000F2C92" w:rsidRDefault="00D47B04" w:rsidP="000C6C47">
      <w:pPr>
        <w:pStyle w:val="NoSpacing"/>
        <w:numPr>
          <w:ilvl w:val="0"/>
          <w:numId w:val="11"/>
        </w:numPr>
        <w:rPr>
          <w:rFonts w:cstheme="minorHAnsi"/>
          <w:sz w:val="18"/>
          <w:szCs w:val="18"/>
        </w:rPr>
      </w:pPr>
      <w:r w:rsidRPr="000F2C92">
        <w:rPr>
          <w:rFonts w:cstheme="minorHAnsi"/>
          <w:sz w:val="18"/>
          <w:szCs w:val="18"/>
        </w:rPr>
        <w:t xml:space="preserve">Establishment of an independent entity to monitor compliance with accessibility </w:t>
      </w:r>
      <w:proofErr w:type="gramStart"/>
      <w:r w:rsidRPr="000F2C92">
        <w:rPr>
          <w:rFonts w:cstheme="minorHAnsi"/>
          <w:sz w:val="18"/>
          <w:szCs w:val="18"/>
        </w:rPr>
        <w:t>standards;</w:t>
      </w:r>
      <w:proofErr w:type="gramEnd"/>
    </w:p>
    <w:p w14:paraId="3EFD6314" w14:textId="77777777" w:rsidR="00D47B04" w:rsidRPr="000F2C92" w:rsidRDefault="00D47B04" w:rsidP="000C6C47">
      <w:pPr>
        <w:pStyle w:val="NoSpacing"/>
        <w:numPr>
          <w:ilvl w:val="0"/>
          <w:numId w:val="11"/>
        </w:numPr>
        <w:rPr>
          <w:rFonts w:cstheme="minorHAnsi"/>
          <w:sz w:val="18"/>
          <w:szCs w:val="18"/>
        </w:rPr>
      </w:pPr>
      <w:r w:rsidRPr="000F2C92">
        <w:rPr>
          <w:rFonts w:cstheme="minorHAnsi"/>
          <w:sz w:val="18"/>
          <w:szCs w:val="18"/>
        </w:rPr>
        <w:t xml:space="preserve">Inclusion of assistive technologies and devices, and human or animal assistance in the definition of </w:t>
      </w:r>
      <w:proofErr w:type="gramStart"/>
      <w:r w:rsidRPr="000F2C92">
        <w:rPr>
          <w:rFonts w:cstheme="minorHAnsi"/>
          <w:sz w:val="18"/>
          <w:szCs w:val="18"/>
        </w:rPr>
        <w:t>accessibility;</w:t>
      </w:r>
      <w:proofErr w:type="gramEnd"/>
    </w:p>
    <w:p w14:paraId="19CEDC3F" w14:textId="77777777" w:rsidR="00D47B04" w:rsidRPr="000F2C92" w:rsidRDefault="00D47B04" w:rsidP="000C6C47">
      <w:pPr>
        <w:pStyle w:val="NoSpacing"/>
        <w:numPr>
          <w:ilvl w:val="0"/>
          <w:numId w:val="11"/>
        </w:numPr>
        <w:rPr>
          <w:rFonts w:cstheme="minorHAnsi"/>
          <w:sz w:val="18"/>
          <w:szCs w:val="18"/>
        </w:rPr>
      </w:pPr>
      <w:r w:rsidRPr="000F2C92">
        <w:rPr>
          <w:rFonts w:cstheme="minorHAnsi"/>
          <w:sz w:val="18"/>
          <w:szCs w:val="18"/>
        </w:rPr>
        <w:t xml:space="preserve">Compliance with accessibility standards in all public procurements, grants and other funding </w:t>
      </w:r>
      <w:proofErr w:type="gramStart"/>
      <w:r w:rsidRPr="000F2C92">
        <w:rPr>
          <w:rFonts w:cstheme="minorHAnsi"/>
          <w:sz w:val="18"/>
          <w:szCs w:val="18"/>
        </w:rPr>
        <w:t>arrangements;</w:t>
      </w:r>
      <w:proofErr w:type="gramEnd"/>
    </w:p>
    <w:p w14:paraId="2FE41888" w14:textId="77777777" w:rsidR="00D47B04" w:rsidRPr="000F2C92" w:rsidRDefault="00D47B04" w:rsidP="000F2C92">
      <w:pPr>
        <w:pStyle w:val="NoSpacing"/>
        <w:numPr>
          <w:ilvl w:val="0"/>
          <w:numId w:val="11"/>
        </w:numPr>
        <w:jc w:val="both"/>
        <w:rPr>
          <w:rFonts w:cstheme="minorHAnsi"/>
          <w:sz w:val="18"/>
          <w:szCs w:val="18"/>
        </w:rPr>
      </w:pPr>
      <w:r w:rsidRPr="000F2C92">
        <w:rPr>
          <w:rFonts w:cstheme="minorHAnsi"/>
          <w:sz w:val="18"/>
          <w:szCs w:val="18"/>
        </w:rPr>
        <w:t>Obligation to closely consult with</w:t>
      </w:r>
      <w:r>
        <w:rPr>
          <w:rFonts w:cstheme="minorHAnsi"/>
          <w:sz w:val="18"/>
          <w:szCs w:val="18"/>
        </w:rPr>
        <w:t xml:space="preserve"> representative organiz</w:t>
      </w:r>
      <w:r w:rsidRPr="000F2C92">
        <w:rPr>
          <w:rFonts w:cstheme="minorHAnsi"/>
          <w:sz w:val="18"/>
          <w:szCs w:val="18"/>
        </w:rPr>
        <w:t xml:space="preserve">ations of persons with disabilities in all accessibility-related </w:t>
      </w:r>
      <w:proofErr w:type="gramStart"/>
      <w:r w:rsidRPr="000F2C92">
        <w:rPr>
          <w:rFonts w:cstheme="minorHAnsi"/>
          <w:sz w:val="18"/>
          <w:szCs w:val="18"/>
        </w:rPr>
        <w:t>initiatives;</w:t>
      </w:r>
      <w:proofErr w:type="gramEnd"/>
    </w:p>
    <w:p w14:paraId="5C8DE35C" w14:textId="77777777" w:rsidR="00D47B04" w:rsidRPr="000F2C92" w:rsidRDefault="00D47B04" w:rsidP="000F2C92">
      <w:pPr>
        <w:pStyle w:val="NoSpacing"/>
        <w:numPr>
          <w:ilvl w:val="0"/>
          <w:numId w:val="11"/>
        </w:numPr>
        <w:jc w:val="both"/>
        <w:rPr>
          <w:rFonts w:cstheme="minorHAnsi"/>
          <w:sz w:val="18"/>
          <w:szCs w:val="18"/>
        </w:rPr>
      </w:pPr>
      <w:r w:rsidRPr="000F2C92">
        <w:rPr>
          <w:rFonts w:cstheme="minorHAnsi"/>
          <w:sz w:val="18"/>
          <w:szCs w:val="18"/>
        </w:rPr>
        <w:t xml:space="preserve">Incentives promoting accessibility such as tax exemptions for accessibility modifications of devices, for the import/export appropriate assistive technologies/devices, vehicles, and financial assistance for the purchase of assistive devices, communication devices, or home </w:t>
      </w:r>
      <w:proofErr w:type="gramStart"/>
      <w:r w:rsidRPr="000F2C92">
        <w:rPr>
          <w:rFonts w:cstheme="minorHAnsi"/>
          <w:sz w:val="18"/>
          <w:szCs w:val="18"/>
        </w:rPr>
        <w:t>modifications;</w:t>
      </w:r>
      <w:proofErr w:type="gramEnd"/>
    </w:p>
    <w:p w14:paraId="4A5824FA" w14:textId="77777777" w:rsidR="00D47B04" w:rsidRPr="000F2C92" w:rsidRDefault="00D47B04" w:rsidP="000F2C92">
      <w:pPr>
        <w:pStyle w:val="EndnoteText"/>
        <w:numPr>
          <w:ilvl w:val="0"/>
          <w:numId w:val="11"/>
        </w:numPr>
        <w:ind w:left="714" w:hanging="357"/>
        <w:jc w:val="both"/>
        <w:rPr>
          <w:rFonts w:cstheme="minorHAnsi"/>
          <w:sz w:val="18"/>
          <w:szCs w:val="18"/>
        </w:rPr>
      </w:pPr>
      <w:r w:rsidRPr="000F2C92">
        <w:rPr>
          <w:rFonts w:cstheme="minorHAnsi"/>
          <w:sz w:val="18"/>
          <w:szCs w:val="18"/>
        </w:rPr>
        <w:t>Inclusion of accessibility and universal design modules in educational curricula of relevant professions.</w:t>
      </w:r>
    </w:p>
  </w:endnote>
  <w:endnote w:id="2">
    <w:p w14:paraId="328F5B85" w14:textId="77777777" w:rsidR="00D47B04" w:rsidRPr="000F2C92" w:rsidRDefault="00D47B04" w:rsidP="000F2C92">
      <w:pPr>
        <w:pStyle w:val="EndnoteText"/>
        <w:jc w:val="both"/>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This indicator refers for instance to provisions on accessibility within telecommunications legislation, broadcasting codes, related </w:t>
      </w:r>
      <w:proofErr w:type="gramStart"/>
      <w:r w:rsidRPr="000F2C92">
        <w:rPr>
          <w:rFonts w:cstheme="minorHAnsi"/>
          <w:sz w:val="18"/>
          <w:szCs w:val="18"/>
        </w:rPr>
        <w:t>regulations ,</w:t>
      </w:r>
      <w:proofErr w:type="gramEnd"/>
      <w:r w:rsidRPr="000F2C92">
        <w:rPr>
          <w:rFonts w:cstheme="minorHAnsi"/>
          <w:sz w:val="18"/>
          <w:szCs w:val="18"/>
        </w:rPr>
        <w:t xml:space="preserve"> and addressing the Internet, digital technologies, telephone, including telecom relay services and mobile telephony. “Social Media” includes websites, online platforms and mobile applications. See for example </w:t>
      </w:r>
      <w:hyperlink r:id="rId1" w:history="1">
        <w:r w:rsidRPr="000F2C92">
          <w:rPr>
            <w:rStyle w:val="Hyperlink"/>
            <w:rFonts w:cstheme="minorHAnsi"/>
            <w:sz w:val="18"/>
            <w:szCs w:val="18"/>
          </w:rPr>
          <w:t>ITU-T H Series Supplement 17</w:t>
        </w:r>
      </w:hyperlink>
      <w:r w:rsidRPr="000F2C92">
        <w:rPr>
          <w:rFonts w:cstheme="minorHAnsi"/>
          <w:sz w:val="18"/>
          <w:szCs w:val="18"/>
        </w:rPr>
        <w:t xml:space="preserve"> | ISO/IEC Guide 71: Guide for addressing accessibility in standards and </w:t>
      </w:r>
      <w:hyperlink r:id="rId2" w:history="1">
        <w:r w:rsidRPr="000F2C92">
          <w:rPr>
            <w:rStyle w:val="Hyperlink"/>
            <w:rFonts w:cstheme="minorHAnsi"/>
            <w:sz w:val="18"/>
            <w:szCs w:val="18"/>
          </w:rPr>
          <w:t>ITU-T F.790</w:t>
        </w:r>
      </w:hyperlink>
      <w:r w:rsidRPr="000F2C92">
        <w:rPr>
          <w:rFonts w:cstheme="minorHAnsi"/>
          <w:sz w:val="18"/>
          <w:szCs w:val="18"/>
        </w:rPr>
        <w:t xml:space="preserve">: Telecommunications accessibility guidelines for older persons and persons with disabilities. For more information, see https://www.itu.int/en/ITU-T/accessibility/Pages/default.aspx </w:t>
      </w:r>
    </w:p>
  </w:endnote>
  <w:endnote w:id="3">
    <w:p w14:paraId="40B6C8D8" w14:textId="77777777" w:rsidR="00D47B04" w:rsidRPr="000F2C92" w:rsidRDefault="00D47B04" w:rsidP="000C6C47">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This should include provisions on:</w:t>
      </w:r>
    </w:p>
    <w:p w14:paraId="3F43E3E8" w14:textId="77777777" w:rsidR="00D47B04" w:rsidRPr="000F2C92" w:rsidRDefault="00D47B04" w:rsidP="000C6C47">
      <w:pPr>
        <w:pStyle w:val="ListParagraph"/>
        <w:numPr>
          <w:ilvl w:val="0"/>
          <w:numId w:val="9"/>
        </w:numPr>
        <w:spacing w:after="0" w:line="240" w:lineRule="auto"/>
        <w:ind w:left="714" w:hanging="357"/>
        <w:rPr>
          <w:rFonts w:cstheme="minorHAnsi"/>
          <w:sz w:val="18"/>
          <w:szCs w:val="18"/>
        </w:rPr>
      </w:pPr>
      <w:r w:rsidRPr="000F2C92">
        <w:rPr>
          <w:rFonts w:cstheme="minorHAnsi"/>
          <w:sz w:val="18"/>
          <w:szCs w:val="18"/>
        </w:rPr>
        <w:t>Adoption of mandatory technical standards for barrier-free access that govern the approval of all designs for transportation means, buildings and ICT-related services are adopted in close consultation with representative orga</w:t>
      </w:r>
      <w:r>
        <w:rPr>
          <w:rFonts w:cstheme="minorHAnsi"/>
          <w:sz w:val="18"/>
          <w:szCs w:val="18"/>
        </w:rPr>
        <w:t>niz</w:t>
      </w:r>
      <w:r w:rsidRPr="000F2C92">
        <w:rPr>
          <w:rFonts w:cstheme="minorHAnsi"/>
          <w:sz w:val="18"/>
          <w:szCs w:val="18"/>
        </w:rPr>
        <w:t xml:space="preserve">ations of persons with disabilities and taking into consideration internationally recognised </w:t>
      </w:r>
      <w:proofErr w:type="gramStart"/>
      <w:r w:rsidRPr="000F2C92">
        <w:rPr>
          <w:rFonts w:cstheme="minorHAnsi"/>
          <w:sz w:val="18"/>
          <w:szCs w:val="18"/>
        </w:rPr>
        <w:t>standards;</w:t>
      </w:r>
      <w:proofErr w:type="gramEnd"/>
    </w:p>
    <w:p w14:paraId="2A8B022A" w14:textId="77777777" w:rsidR="00D47B04" w:rsidRPr="000F2C92" w:rsidRDefault="00D47B04" w:rsidP="000C6C47">
      <w:pPr>
        <w:pStyle w:val="ListParagraph"/>
        <w:numPr>
          <w:ilvl w:val="0"/>
          <w:numId w:val="9"/>
        </w:numPr>
        <w:spacing w:after="0" w:line="240" w:lineRule="auto"/>
        <w:ind w:left="714" w:hanging="357"/>
        <w:rPr>
          <w:rFonts w:cstheme="minorHAnsi"/>
          <w:sz w:val="18"/>
          <w:szCs w:val="18"/>
        </w:rPr>
      </w:pPr>
      <w:r w:rsidRPr="000F2C92">
        <w:rPr>
          <w:rFonts w:cstheme="minorHAnsi"/>
          <w:sz w:val="18"/>
          <w:szCs w:val="18"/>
        </w:rPr>
        <w:t>Requirement to undertake an initial and periodic audit to identify barriers to accessibility of physical environment and transportation, buildings and facilities and services open to the public, and ICT technologies, and to verify the use of public funds in contributing to or removing barriers, conducted in close and consistent invol</w:t>
      </w:r>
      <w:r>
        <w:rPr>
          <w:rFonts w:cstheme="minorHAnsi"/>
          <w:sz w:val="18"/>
          <w:szCs w:val="18"/>
        </w:rPr>
        <w:t>vement of representative organiz</w:t>
      </w:r>
      <w:r w:rsidRPr="000F2C92">
        <w:rPr>
          <w:rFonts w:cstheme="minorHAnsi"/>
          <w:sz w:val="18"/>
          <w:szCs w:val="18"/>
        </w:rPr>
        <w:t>ations of persons with disabilities.</w:t>
      </w:r>
    </w:p>
  </w:endnote>
  <w:endnote w:id="4">
    <w:p w14:paraId="31DED8A7" w14:textId="77777777" w:rsidR="00D47B04" w:rsidRPr="000F2C92" w:rsidRDefault="00D47B04" w:rsidP="000C6C47">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Depending on the legislation regulating the transportation service system, different criteria for disaggregation might be relevant.</w:t>
      </w:r>
    </w:p>
  </w:endnote>
  <w:endnote w:id="5">
    <w:p w14:paraId="4D2A5EE0" w14:textId="77777777" w:rsidR="00D47B04" w:rsidRPr="000F2C92" w:rsidRDefault="00D47B04" w:rsidP="000C6C47">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Different measures could be provided, </w:t>
      </w:r>
      <w:proofErr w:type="gramStart"/>
      <w:r w:rsidRPr="000F2C92">
        <w:rPr>
          <w:rFonts w:cstheme="minorHAnsi"/>
          <w:sz w:val="18"/>
          <w:szCs w:val="18"/>
        </w:rPr>
        <w:t>e.g.</w:t>
      </w:r>
      <w:proofErr w:type="gramEnd"/>
      <w:r w:rsidRPr="000F2C92">
        <w:rPr>
          <w:rFonts w:cstheme="minorHAnsi"/>
          <w:sz w:val="18"/>
          <w:szCs w:val="18"/>
        </w:rPr>
        <w:t xml:space="preserve"> paratransit services; subsidies or allowances to persons with disabilities to access alternative accessible transportation; etc.</w:t>
      </w:r>
    </w:p>
  </w:endnote>
  <w:endnote w:id="6">
    <w:p w14:paraId="6D8699E7" w14:textId="77777777" w:rsidR="00D47B04" w:rsidRPr="000F2C92" w:rsidRDefault="00D47B04">
      <w:pPr>
        <w:pStyle w:val="EndnoteText"/>
        <w:rPr>
          <w:rFonts w:cstheme="minorHAnsi"/>
          <w:sz w:val="18"/>
          <w:szCs w:val="18"/>
          <w:lang w:val="en-US"/>
        </w:rPr>
      </w:pPr>
      <w:r w:rsidRPr="000F2C92">
        <w:rPr>
          <w:rStyle w:val="EndnoteReference"/>
          <w:rFonts w:cstheme="minorHAnsi"/>
          <w:sz w:val="18"/>
          <w:szCs w:val="18"/>
        </w:rPr>
        <w:endnoteRef/>
      </w:r>
      <w:r w:rsidRPr="000F2C92">
        <w:rPr>
          <w:rFonts w:cstheme="minorHAnsi"/>
          <w:sz w:val="18"/>
          <w:szCs w:val="18"/>
        </w:rPr>
        <w:t xml:space="preserve"> </w:t>
      </w:r>
      <w:r w:rsidRPr="000F2C92">
        <w:rPr>
          <w:rFonts w:cstheme="minorHAnsi"/>
          <w:sz w:val="18"/>
          <w:szCs w:val="18"/>
          <w:lang w:val="en-US"/>
        </w:rPr>
        <w:t xml:space="preserve">See </w:t>
      </w:r>
      <w:r w:rsidRPr="000F2C92">
        <w:rPr>
          <w:rFonts w:cstheme="minorHAnsi"/>
          <w:sz w:val="18"/>
          <w:szCs w:val="18"/>
        </w:rPr>
        <w:t>ITU-T Recommendation H.702 describing the functions for displaying accessibility information such as caption, sign language and audio description.</w:t>
      </w:r>
    </w:p>
  </w:endnote>
  <w:endnote w:id="7">
    <w:p w14:paraId="5FCB2DA6" w14:textId="77777777" w:rsidR="00D47B04" w:rsidRPr="000F2C92" w:rsidRDefault="00D47B04" w:rsidP="00102BC5">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The guidance may set out criteria calling for: </w:t>
      </w:r>
    </w:p>
    <w:p w14:paraId="10A32787" w14:textId="77777777" w:rsidR="00D47B04" w:rsidRPr="000F2C92" w:rsidRDefault="00D47B04" w:rsidP="00102BC5">
      <w:pPr>
        <w:pStyle w:val="EndnoteText"/>
        <w:rPr>
          <w:rFonts w:cstheme="minorHAnsi"/>
          <w:sz w:val="18"/>
          <w:szCs w:val="18"/>
        </w:rPr>
      </w:pPr>
      <w:r w:rsidRPr="000F2C92">
        <w:rPr>
          <w:rFonts w:cstheme="minorHAnsi"/>
          <w:sz w:val="18"/>
          <w:szCs w:val="18"/>
        </w:rPr>
        <w:t xml:space="preserve"> - bid solicitation and bid procurement plans that include accessibility specifications.</w:t>
      </w:r>
    </w:p>
    <w:p w14:paraId="5E3020EF" w14:textId="77777777" w:rsidR="00D47B04" w:rsidRPr="000F2C92" w:rsidRDefault="00D47B04" w:rsidP="00102BC5">
      <w:pPr>
        <w:pStyle w:val="EndnoteText"/>
        <w:rPr>
          <w:rFonts w:cstheme="minorHAnsi"/>
          <w:sz w:val="18"/>
          <w:szCs w:val="18"/>
        </w:rPr>
      </w:pPr>
      <w:r w:rsidRPr="000F2C92">
        <w:rPr>
          <w:rFonts w:cstheme="minorHAnsi"/>
          <w:sz w:val="18"/>
          <w:szCs w:val="18"/>
        </w:rPr>
        <w:t>- specifications on accessibility in evaluation criteria.</w:t>
      </w:r>
    </w:p>
    <w:p w14:paraId="776C682F" w14:textId="77777777" w:rsidR="00D47B04" w:rsidRPr="000F2C92" w:rsidRDefault="00D47B04" w:rsidP="00102BC5">
      <w:pPr>
        <w:pStyle w:val="EndnoteText"/>
        <w:rPr>
          <w:rFonts w:cstheme="minorHAnsi"/>
          <w:sz w:val="18"/>
          <w:szCs w:val="18"/>
        </w:rPr>
      </w:pPr>
      <w:r w:rsidRPr="000F2C92">
        <w:rPr>
          <w:rFonts w:cstheme="minorHAnsi"/>
          <w:sz w:val="18"/>
          <w:szCs w:val="18"/>
        </w:rPr>
        <w:t xml:space="preserve">- supply contracts to specify whether products and services have (or do not have) accessible features. </w:t>
      </w:r>
    </w:p>
    <w:p w14:paraId="14E5BA7A" w14:textId="77777777" w:rsidR="00D47B04" w:rsidRPr="000F2C92" w:rsidRDefault="00D47B04" w:rsidP="00102BC5">
      <w:pPr>
        <w:pStyle w:val="EndnoteText"/>
        <w:rPr>
          <w:rFonts w:cstheme="minorHAnsi"/>
          <w:sz w:val="18"/>
          <w:szCs w:val="18"/>
        </w:rPr>
      </w:pPr>
      <w:r w:rsidRPr="000F2C92">
        <w:rPr>
          <w:rFonts w:cstheme="minorHAnsi"/>
          <w:sz w:val="18"/>
          <w:szCs w:val="18"/>
        </w:rPr>
        <w:t>Persons with disabilities must have access to procurement procedures and should be eligible to participate in procurement processes as procurement officers in entities or ve</w:t>
      </w:r>
      <w:r>
        <w:rPr>
          <w:rFonts w:cstheme="minorHAnsi"/>
          <w:sz w:val="18"/>
          <w:szCs w:val="18"/>
        </w:rPr>
        <w:t>ndors.</w:t>
      </w:r>
    </w:p>
  </w:endnote>
  <w:endnote w:id="8">
    <w:p w14:paraId="4C2FA745" w14:textId="20277751" w:rsidR="00D47B04" w:rsidRPr="000F2C92" w:rsidRDefault="00D47B04" w:rsidP="00650271">
      <w:pPr>
        <w:pStyle w:val="EndnoteText"/>
        <w:jc w:val="both"/>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This indicator requires verifying concrete activities undertaken by public authorities to involve persons with disabilities in decision-making processes related to issues that directly or indirectly aff</w:t>
      </w:r>
      <w:r>
        <w:rPr>
          <w:rFonts w:cstheme="minorHAnsi"/>
          <w:sz w:val="18"/>
          <w:szCs w:val="18"/>
        </w:rPr>
        <w:t>ect them in line with article 4(</w:t>
      </w:r>
      <w:r w:rsidRPr="000F2C92">
        <w:rPr>
          <w:rFonts w:cstheme="minorHAnsi"/>
          <w:sz w:val="18"/>
          <w:szCs w:val="18"/>
        </w:rPr>
        <w:t>3</w:t>
      </w:r>
      <w:r>
        <w:rPr>
          <w:rFonts w:cstheme="minorHAnsi"/>
          <w:sz w:val="18"/>
          <w:szCs w:val="18"/>
        </w:rPr>
        <w:t xml:space="preserve">) of the CRPD and </w:t>
      </w:r>
      <w:hyperlink r:id="rId3" w:history="1">
        <w:r w:rsidRPr="007F5243">
          <w:rPr>
            <w:rStyle w:val="Hyperlink"/>
            <w:rFonts w:cstheme="minorHAnsi"/>
            <w:sz w:val="18"/>
            <w:szCs w:val="18"/>
          </w:rPr>
          <w:t>General Comment no. 7</w:t>
        </w:r>
      </w:hyperlink>
      <w:r w:rsidRPr="000F2C92">
        <w:rPr>
          <w:rFonts w:cstheme="minorHAnsi"/>
          <w:sz w:val="18"/>
          <w:szCs w:val="18"/>
        </w:rPr>
        <w:t xml:space="preserve"> of the CRPD Committee, including consultation meetings, technical briefings, online consultation surveys, calls for comments on draft legislation and policies, among other methods and mechanisms of participation. In this regard, States must</w:t>
      </w:r>
    </w:p>
    <w:p w14:paraId="5B30F0CF" w14:textId="77777777" w:rsidR="00D47B04" w:rsidRPr="000F2C92" w:rsidRDefault="00D47B04"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ensure that consultation processes are transparent and </w:t>
      </w:r>
      <w:proofErr w:type="gramStart"/>
      <w:r w:rsidRPr="000F2C92">
        <w:rPr>
          <w:rFonts w:cstheme="minorHAnsi"/>
          <w:sz w:val="18"/>
          <w:szCs w:val="18"/>
        </w:rPr>
        <w:t>accessible;</w:t>
      </w:r>
      <w:proofErr w:type="gramEnd"/>
    </w:p>
    <w:p w14:paraId="7F9320DE" w14:textId="77777777" w:rsidR="00D47B04" w:rsidRPr="000F2C92" w:rsidRDefault="00D47B04"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ensure provision of appropriate and accessible </w:t>
      </w:r>
      <w:proofErr w:type="gramStart"/>
      <w:r w:rsidRPr="000F2C92">
        <w:rPr>
          <w:rFonts w:cstheme="minorHAnsi"/>
          <w:sz w:val="18"/>
          <w:szCs w:val="18"/>
        </w:rPr>
        <w:t>information;</w:t>
      </w:r>
      <w:proofErr w:type="gramEnd"/>
    </w:p>
    <w:p w14:paraId="4A60E586" w14:textId="77777777" w:rsidR="00D47B04" w:rsidRPr="000F2C92" w:rsidRDefault="00D47B04"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not withhold information, condition or prevent organizations of persons with disabilities from freely expressing their </w:t>
      </w:r>
      <w:proofErr w:type="gramStart"/>
      <w:r w:rsidRPr="000F2C92">
        <w:rPr>
          <w:rFonts w:cstheme="minorHAnsi"/>
          <w:sz w:val="18"/>
          <w:szCs w:val="18"/>
        </w:rPr>
        <w:t>opinions;</w:t>
      </w:r>
      <w:proofErr w:type="gramEnd"/>
    </w:p>
    <w:p w14:paraId="02522FB5" w14:textId="77777777" w:rsidR="00D47B04" w:rsidRPr="000F2C92" w:rsidRDefault="00D47B04"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include both registered and unregistered </w:t>
      </w:r>
      <w:proofErr w:type="gramStart"/>
      <w:r w:rsidRPr="000F2C92">
        <w:rPr>
          <w:rFonts w:cstheme="minorHAnsi"/>
          <w:sz w:val="18"/>
          <w:szCs w:val="18"/>
        </w:rPr>
        <w:t>organizations;</w:t>
      </w:r>
      <w:proofErr w:type="gramEnd"/>
    </w:p>
    <w:p w14:paraId="25FCE70E" w14:textId="77777777" w:rsidR="00D47B04" w:rsidRPr="000F2C92" w:rsidRDefault="00D47B04" w:rsidP="00650271">
      <w:pPr>
        <w:pStyle w:val="EndnoteText"/>
        <w:numPr>
          <w:ilvl w:val="0"/>
          <w:numId w:val="10"/>
        </w:numPr>
        <w:ind w:left="714" w:hanging="357"/>
        <w:contextualSpacing/>
        <w:rPr>
          <w:rFonts w:cstheme="minorHAnsi"/>
          <w:sz w:val="18"/>
          <w:szCs w:val="18"/>
        </w:rPr>
      </w:pPr>
      <w:r w:rsidRPr="000F2C92">
        <w:rPr>
          <w:rFonts w:cstheme="minorHAnsi"/>
          <w:sz w:val="18"/>
          <w:szCs w:val="18"/>
        </w:rPr>
        <w:t xml:space="preserve">ensure early and continuous </w:t>
      </w:r>
      <w:proofErr w:type="gramStart"/>
      <w:r w:rsidRPr="000F2C92">
        <w:rPr>
          <w:rFonts w:cstheme="minorHAnsi"/>
          <w:sz w:val="18"/>
          <w:szCs w:val="18"/>
        </w:rPr>
        <w:t>involvement;</w:t>
      </w:r>
      <w:proofErr w:type="gramEnd"/>
    </w:p>
    <w:p w14:paraId="7238D5AF" w14:textId="77777777" w:rsidR="00D47B04" w:rsidRPr="00163096" w:rsidRDefault="00D47B04" w:rsidP="00163096">
      <w:pPr>
        <w:pStyle w:val="EndnoteText"/>
        <w:numPr>
          <w:ilvl w:val="0"/>
          <w:numId w:val="10"/>
        </w:numPr>
        <w:ind w:left="714" w:hanging="357"/>
        <w:contextualSpacing/>
        <w:rPr>
          <w:rFonts w:cstheme="minorHAnsi"/>
          <w:sz w:val="18"/>
          <w:szCs w:val="18"/>
        </w:rPr>
      </w:pPr>
      <w:r w:rsidRPr="000F2C92">
        <w:rPr>
          <w:rFonts w:cstheme="minorHAnsi"/>
          <w:sz w:val="18"/>
          <w:szCs w:val="18"/>
        </w:rPr>
        <w:t>cover related expenses of participants.</w:t>
      </w:r>
    </w:p>
  </w:endnote>
  <w:endnote w:id="9">
    <w:p w14:paraId="096A8401" w14:textId="77777777" w:rsidR="00D47B04" w:rsidRPr="000F2C92" w:rsidRDefault="00D47B04" w:rsidP="000C6C47">
      <w:pPr>
        <w:pStyle w:val="EndnoteText"/>
        <w:rPr>
          <w:rFonts w:cstheme="minorHAnsi"/>
          <w:sz w:val="18"/>
          <w:szCs w:val="18"/>
        </w:rPr>
      </w:pPr>
      <w:r w:rsidRPr="000F2C92">
        <w:rPr>
          <w:rStyle w:val="EndnoteReference"/>
          <w:rFonts w:cstheme="minorHAnsi"/>
          <w:sz w:val="18"/>
          <w:szCs w:val="18"/>
        </w:rPr>
        <w:endnoteRef/>
      </w:r>
      <w:r w:rsidRPr="000F2C92">
        <w:rPr>
          <w:rFonts w:cstheme="minorHAnsi"/>
          <w:sz w:val="18"/>
          <w:szCs w:val="18"/>
        </w:rPr>
        <w:t xml:space="preserve"> Such as sign language, Braille, speech-to-text, Easy-to-Read, real time captioning.</w:t>
      </w:r>
    </w:p>
    <w:p w14:paraId="5656BD5B" w14:textId="77777777" w:rsidR="00D47B04" w:rsidRPr="000F2C92" w:rsidRDefault="00D47B04" w:rsidP="000C6C47">
      <w:pPr>
        <w:pStyle w:val="EndnoteText"/>
        <w:rPr>
          <w:rFonts w:cstheme="minorHAns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CD049" w14:textId="77777777" w:rsidR="006447AA" w:rsidRDefault="006447AA" w:rsidP="0064710C">
      <w:pPr>
        <w:spacing w:after="0" w:line="240" w:lineRule="auto"/>
      </w:pPr>
      <w:r>
        <w:separator/>
      </w:r>
    </w:p>
  </w:footnote>
  <w:footnote w:type="continuationSeparator" w:id="0">
    <w:p w14:paraId="16B5E970" w14:textId="77777777" w:rsidR="006447AA" w:rsidRDefault="006447AA" w:rsidP="00647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01E3"/>
    <w:multiLevelType w:val="hybridMultilevel"/>
    <w:tmpl w:val="9E34C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07B27"/>
    <w:multiLevelType w:val="hybridMultilevel"/>
    <w:tmpl w:val="595A6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78B3"/>
    <w:multiLevelType w:val="multilevel"/>
    <w:tmpl w:val="6CD0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136C1"/>
    <w:multiLevelType w:val="hybridMultilevel"/>
    <w:tmpl w:val="DD803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E75F20"/>
    <w:multiLevelType w:val="hybridMultilevel"/>
    <w:tmpl w:val="4A76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8F2EB4"/>
    <w:multiLevelType w:val="hybridMultilevel"/>
    <w:tmpl w:val="71FE91D2"/>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8712C2"/>
    <w:multiLevelType w:val="multilevel"/>
    <w:tmpl w:val="82F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390C61"/>
    <w:multiLevelType w:val="hybridMultilevel"/>
    <w:tmpl w:val="3BB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518EB"/>
    <w:multiLevelType w:val="hybridMultilevel"/>
    <w:tmpl w:val="2592C80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A37D9"/>
    <w:multiLevelType w:val="hybridMultilevel"/>
    <w:tmpl w:val="7A9C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CA4849"/>
    <w:multiLevelType w:val="hybridMultilevel"/>
    <w:tmpl w:val="7C206084"/>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54B74"/>
    <w:multiLevelType w:val="hybridMultilevel"/>
    <w:tmpl w:val="DBF28FF6"/>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97419"/>
    <w:multiLevelType w:val="hybridMultilevel"/>
    <w:tmpl w:val="2A3812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8B2297"/>
    <w:multiLevelType w:val="hybridMultilevel"/>
    <w:tmpl w:val="6F9AE7B2"/>
    <w:lvl w:ilvl="0" w:tplc="93FE12BE">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14D7B"/>
    <w:multiLevelType w:val="hybridMultilevel"/>
    <w:tmpl w:val="2D1285C4"/>
    <w:lvl w:ilvl="0" w:tplc="16EE095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92C30"/>
    <w:multiLevelType w:val="hybridMultilevel"/>
    <w:tmpl w:val="F2FAE89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7"/>
  </w:num>
  <w:num w:numId="6">
    <w:abstractNumId w:val="2"/>
  </w:num>
  <w:num w:numId="7">
    <w:abstractNumId w:val="17"/>
  </w:num>
  <w:num w:numId="8">
    <w:abstractNumId w:val="12"/>
  </w:num>
  <w:num w:numId="9">
    <w:abstractNumId w:val="13"/>
  </w:num>
  <w:num w:numId="10">
    <w:abstractNumId w:val="10"/>
  </w:num>
  <w:num w:numId="11">
    <w:abstractNumId w:val="15"/>
  </w:num>
  <w:num w:numId="12">
    <w:abstractNumId w:val="14"/>
  </w:num>
  <w:num w:numId="13">
    <w:abstractNumId w:val="0"/>
  </w:num>
  <w:num w:numId="14">
    <w:abstractNumId w:val="16"/>
  </w:num>
  <w:num w:numId="15">
    <w:abstractNumId w:val="1"/>
  </w:num>
  <w:num w:numId="16">
    <w:abstractNumId w:val="5"/>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16D1"/>
    <w:rsid w:val="00015A35"/>
    <w:rsid w:val="000200DC"/>
    <w:rsid w:val="000400CC"/>
    <w:rsid w:val="00041583"/>
    <w:rsid w:val="00076BA0"/>
    <w:rsid w:val="00077584"/>
    <w:rsid w:val="00077A74"/>
    <w:rsid w:val="00091D3E"/>
    <w:rsid w:val="000A1877"/>
    <w:rsid w:val="000A4748"/>
    <w:rsid w:val="000C2E4F"/>
    <w:rsid w:val="000C3EC6"/>
    <w:rsid w:val="000C6C47"/>
    <w:rsid w:val="000C7137"/>
    <w:rsid w:val="000E5005"/>
    <w:rsid w:val="000E5C5A"/>
    <w:rsid w:val="000E7B81"/>
    <w:rsid w:val="000F2C92"/>
    <w:rsid w:val="000F3441"/>
    <w:rsid w:val="00102BC5"/>
    <w:rsid w:val="001243E2"/>
    <w:rsid w:val="00125EEB"/>
    <w:rsid w:val="0013672B"/>
    <w:rsid w:val="00163096"/>
    <w:rsid w:val="001A4A99"/>
    <w:rsid w:val="001B2A35"/>
    <w:rsid w:val="001D0F5E"/>
    <w:rsid w:val="001D11E9"/>
    <w:rsid w:val="001E450F"/>
    <w:rsid w:val="001E626E"/>
    <w:rsid w:val="001F473F"/>
    <w:rsid w:val="00214380"/>
    <w:rsid w:val="00220123"/>
    <w:rsid w:val="00220F2F"/>
    <w:rsid w:val="0022362A"/>
    <w:rsid w:val="00241848"/>
    <w:rsid w:val="002478CE"/>
    <w:rsid w:val="002658D6"/>
    <w:rsid w:val="002658FC"/>
    <w:rsid w:val="00265EC1"/>
    <w:rsid w:val="00274605"/>
    <w:rsid w:val="00282C3D"/>
    <w:rsid w:val="00282EAB"/>
    <w:rsid w:val="00297DE0"/>
    <w:rsid w:val="002A40C8"/>
    <w:rsid w:val="002A47C7"/>
    <w:rsid w:val="002C2137"/>
    <w:rsid w:val="002F320F"/>
    <w:rsid w:val="002F5000"/>
    <w:rsid w:val="003174D6"/>
    <w:rsid w:val="003279FD"/>
    <w:rsid w:val="00333E1F"/>
    <w:rsid w:val="00347EFE"/>
    <w:rsid w:val="00365373"/>
    <w:rsid w:val="003759C9"/>
    <w:rsid w:val="003844D1"/>
    <w:rsid w:val="003937BE"/>
    <w:rsid w:val="003A1E43"/>
    <w:rsid w:val="003B1FB1"/>
    <w:rsid w:val="003B2CBD"/>
    <w:rsid w:val="003B3AEB"/>
    <w:rsid w:val="003B748F"/>
    <w:rsid w:val="003D51BD"/>
    <w:rsid w:val="003E344E"/>
    <w:rsid w:val="004352BA"/>
    <w:rsid w:val="00446502"/>
    <w:rsid w:val="0045025F"/>
    <w:rsid w:val="004536CB"/>
    <w:rsid w:val="00454AC7"/>
    <w:rsid w:val="00460D4E"/>
    <w:rsid w:val="004762D5"/>
    <w:rsid w:val="0048698D"/>
    <w:rsid w:val="004934E6"/>
    <w:rsid w:val="004945E6"/>
    <w:rsid w:val="004B4549"/>
    <w:rsid w:val="004D622C"/>
    <w:rsid w:val="005068B9"/>
    <w:rsid w:val="0052234C"/>
    <w:rsid w:val="00530ADD"/>
    <w:rsid w:val="00534D57"/>
    <w:rsid w:val="005458DD"/>
    <w:rsid w:val="00596165"/>
    <w:rsid w:val="005968FF"/>
    <w:rsid w:val="005C2333"/>
    <w:rsid w:val="005E7508"/>
    <w:rsid w:val="00602F9E"/>
    <w:rsid w:val="00610517"/>
    <w:rsid w:val="00613030"/>
    <w:rsid w:val="00634507"/>
    <w:rsid w:val="006447AA"/>
    <w:rsid w:val="0064710C"/>
    <w:rsid w:val="00650271"/>
    <w:rsid w:val="00655C2A"/>
    <w:rsid w:val="00657F1C"/>
    <w:rsid w:val="0066620A"/>
    <w:rsid w:val="006712C8"/>
    <w:rsid w:val="006A473F"/>
    <w:rsid w:val="006A48F7"/>
    <w:rsid w:val="006B5CDD"/>
    <w:rsid w:val="007013AA"/>
    <w:rsid w:val="00706131"/>
    <w:rsid w:val="00706456"/>
    <w:rsid w:val="00725069"/>
    <w:rsid w:val="00731BB8"/>
    <w:rsid w:val="00731C26"/>
    <w:rsid w:val="00733190"/>
    <w:rsid w:val="0073485C"/>
    <w:rsid w:val="007651E5"/>
    <w:rsid w:val="00781554"/>
    <w:rsid w:val="00786018"/>
    <w:rsid w:val="00790D50"/>
    <w:rsid w:val="00793304"/>
    <w:rsid w:val="007B106B"/>
    <w:rsid w:val="007B6796"/>
    <w:rsid w:val="007C11D5"/>
    <w:rsid w:val="007D0A55"/>
    <w:rsid w:val="007D7143"/>
    <w:rsid w:val="007F5243"/>
    <w:rsid w:val="00813F13"/>
    <w:rsid w:val="00825F41"/>
    <w:rsid w:val="008273CE"/>
    <w:rsid w:val="00830B3F"/>
    <w:rsid w:val="00833CED"/>
    <w:rsid w:val="00834507"/>
    <w:rsid w:val="00837DDF"/>
    <w:rsid w:val="008475DB"/>
    <w:rsid w:val="00856546"/>
    <w:rsid w:val="0086194E"/>
    <w:rsid w:val="0086586A"/>
    <w:rsid w:val="00870EE1"/>
    <w:rsid w:val="00881EE6"/>
    <w:rsid w:val="00884069"/>
    <w:rsid w:val="008A011C"/>
    <w:rsid w:val="008B0BF3"/>
    <w:rsid w:val="008C1E91"/>
    <w:rsid w:val="008C2443"/>
    <w:rsid w:val="008D3168"/>
    <w:rsid w:val="008D3A81"/>
    <w:rsid w:val="008D42A1"/>
    <w:rsid w:val="00903DCE"/>
    <w:rsid w:val="0090489A"/>
    <w:rsid w:val="009060F9"/>
    <w:rsid w:val="0091368C"/>
    <w:rsid w:val="0092722B"/>
    <w:rsid w:val="00940216"/>
    <w:rsid w:val="009458B5"/>
    <w:rsid w:val="0095132B"/>
    <w:rsid w:val="0095546F"/>
    <w:rsid w:val="009565AC"/>
    <w:rsid w:val="00962EA5"/>
    <w:rsid w:val="00972E2B"/>
    <w:rsid w:val="009856D5"/>
    <w:rsid w:val="0099238F"/>
    <w:rsid w:val="009E79FD"/>
    <w:rsid w:val="009F0B9A"/>
    <w:rsid w:val="009F1546"/>
    <w:rsid w:val="009F64F7"/>
    <w:rsid w:val="009F6E73"/>
    <w:rsid w:val="009F7BF7"/>
    <w:rsid w:val="00A328E5"/>
    <w:rsid w:val="00A374A2"/>
    <w:rsid w:val="00A46B75"/>
    <w:rsid w:val="00A76676"/>
    <w:rsid w:val="00A90DFD"/>
    <w:rsid w:val="00AB208C"/>
    <w:rsid w:val="00AD4676"/>
    <w:rsid w:val="00AD4BFD"/>
    <w:rsid w:val="00AD6841"/>
    <w:rsid w:val="00AE1D6D"/>
    <w:rsid w:val="00AF4D92"/>
    <w:rsid w:val="00B048C8"/>
    <w:rsid w:val="00B2318D"/>
    <w:rsid w:val="00B42269"/>
    <w:rsid w:val="00B45EF4"/>
    <w:rsid w:val="00B502CF"/>
    <w:rsid w:val="00B6178F"/>
    <w:rsid w:val="00B64A24"/>
    <w:rsid w:val="00B71D81"/>
    <w:rsid w:val="00B73718"/>
    <w:rsid w:val="00B76261"/>
    <w:rsid w:val="00BA2AE9"/>
    <w:rsid w:val="00BD59AE"/>
    <w:rsid w:val="00BD5D3F"/>
    <w:rsid w:val="00BE7F49"/>
    <w:rsid w:val="00BF2390"/>
    <w:rsid w:val="00BF288D"/>
    <w:rsid w:val="00C0415A"/>
    <w:rsid w:val="00C11009"/>
    <w:rsid w:val="00C154B3"/>
    <w:rsid w:val="00C40834"/>
    <w:rsid w:val="00C42238"/>
    <w:rsid w:val="00C47BC6"/>
    <w:rsid w:val="00C518F5"/>
    <w:rsid w:val="00C554D1"/>
    <w:rsid w:val="00C67D44"/>
    <w:rsid w:val="00C76D7F"/>
    <w:rsid w:val="00C81D45"/>
    <w:rsid w:val="00C96707"/>
    <w:rsid w:val="00CE4779"/>
    <w:rsid w:val="00CF4455"/>
    <w:rsid w:val="00D271A0"/>
    <w:rsid w:val="00D47B04"/>
    <w:rsid w:val="00D62B85"/>
    <w:rsid w:val="00D92323"/>
    <w:rsid w:val="00DB21AE"/>
    <w:rsid w:val="00DB7B0D"/>
    <w:rsid w:val="00DD1BBF"/>
    <w:rsid w:val="00DE7358"/>
    <w:rsid w:val="00DF38DC"/>
    <w:rsid w:val="00E10AEA"/>
    <w:rsid w:val="00E17C49"/>
    <w:rsid w:val="00E67043"/>
    <w:rsid w:val="00E72B46"/>
    <w:rsid w:val="00E8572C"/>
    <w:rsid w:val="00E9369A"/>
    <w:rsid w:val="00EB25CF"/>
    <w:rsid w:val="00ED2528"/>
    <w:rsid w:val="00ED6825"/>
    <w:rsid w:val="00F050E5"/>
    <w:rsid w:val="00F35413"/>
    <w:rsid w:val="00F63625"/>
    <w:rsid w:val="00F656F3"/>
    <w:rsid w:val="00F66BBB"/>
    <w:rsid w:val="00F80440"/>
    <w:rsid w:val="00F912D8"/>
    <w:rsid w:val="00FA3F4E"/>
    <w:rsid w:val="00FB72EE"/>
    <w:rsid w:val="00FD141D"/>
    <w:rsid w:val="00FF3D72"/>
    <w:rsid w:val="00FF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9C3F"/>
  <w14:defaultImageDpi w14:val="32767"/>
  <w15:chartTrackingRefBased/>
  <w15:docId w15:val="{D4C32132-7834-4257-AE6A-6CAD640C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rmal"/>
    <w:next w:val="Normal"/>
    <w:link w:val="Heading1Char"/>
    <w:uiPriority w:val="9"/>
    <w:qFormat/>
    <w:rsid w:val="00FF797B"/>
    <w:pPr>
      <w:spacing w:after="0" w:line="240" w:lineRule="auto"/>
      <w:jc w:val="center"/>
      <w:outlineLvl w:val="0"/>
    </w:pPr>
    <w:rPr>
      <w:b/>
      <w:sz w:val="18"/>
      <w:szCs w:val="18"/>
    </w:rPr>
  </w:style>
  <w:style w:type="paragraph" w:styleId="Heading2">
    <w:name w:val="heading 2"/>
    <w:basedOn w:val="Normal"/>
    <w:next w:val="Normal"/>
    <w:link w:val="Heading2Char"/>
    <w:uiPriority w:val="9"/>
    <w:unhideWhenUsed/>
    <w:qFormat/>
    <w:rsid w:val="00FF797B"/>
    <w:pPr>
      <w:spacing w:after="0" w:line="240" w:lineRule="auto"/>
      <w:jc w:val="both"/>
      <w:outlineLvl w:val="1"/>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1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546"/>
    <w:rPr>
      <w:rFonts w:ascii="Segoe UI" w:hAnsi="Segoe UI" w:cs="Segoe UI"/>
      <w:sz w:val="18"/>
      <w:szCs w:val="18"/>
      <w:lang w:val="en-GB"/>
    </w:rPr>
  </w:style>
  <w:style w:type="character" w:styleId="CommentReference">
    <w:name w:val="annotation reference"/>
    <w:basedOn w:val="DefaultParagraphFont"/>
    <w:uiPriority w:val="99"/>
    <w:semiHidden/>
    <w:unhideWhenUsed/>
    <w:rsid w:val="00446502"/>
    <w:rPr>
      <w:sz w:val="16"/>
      <w:szCs w:val="16"/>
    </w:rPr>
  </w:style>
  <w:style w:type="paragraph" w:styleId="CommentText">
    <w:name w:val="annotation text"/>
    <w:basedOn w:val="Normal"/>
    <w:link w:val="CommentTextChar"/>
    <w:uiPriority w:val="99"/>
    <w:semiHidden/>
    <w:unhideWhenUsed/>
    <w:rsid w:val="00446502"/>
    <w:pPr>
      <w:spacing w:line="240" w:lineRule="auto"/>
    </w:pPr>
    <w:rPr>
      <w:sz w:val="20"/>
      <w:szCs w:val="20"/>
    </w:rPr>
  </w:style>
  <w:style w:type="character" w:customStyle="1" w:styleId="CommentTextChar">
    <w:name w:val="Comment Text Char"/>
    <w:basedOn w:val="DefaultParagraphFont"/>
    <w:link w:val="CommentText"/>
    <w:uiPriority w:val="99"/>
    <w:semiHidden/>
    <w:rsid w:val="00446502"/>
    <w:rPr>
      <w:sz w:val="20"/>
      <w:szCs w:val="20"/>
      <w:lang w:val="en-GB"/>
    </w:rPr>
  </w:style>
  <w:style w:type="paragraph" w:styleId="CommentSubject">
    <w:name w:val="annotation subject"/>
    <w:basedOn w:val="CommentText"/>
    <w:next w:val="CommentText"/>
    <w:link w:val="CommentSubjectChar"/>
    <w:uiPriority w:val="99"/>
    <w:semiHidden/>
    <w:unhideWhenUsed/>
    <w:rsid w:val="00446502"/>
    <w:rPr>
      <w:b/>
      <w:bCs/>
    </w:rPr>
  </w:style>
  <w:style w:type="character" w:customStyle="1" w:styleId="CommentSubjectChar">
    <w:name w:val="Comment Subject Char"/>
    <w:basedOn w:val="CommentTextChar"/>
    <w:link w:val="CommentSubject"/>
    <w:uiPriority w:val="99"/>
    <w:semiHidden/>
    <w:rsid w:val="00446502"/>
    <w:rPr>
      <w:b/>
      <w:bCs/>
      <w:sz w:val="20"/>
      <w:szCs w:val="20"/>
      <w:lang w:val="en-GB"/>
    </w:rPr>
  </w:style>
  <w:style w:type="paragraph" w:customStyle="1" w:styleId="xmsonormal">
    <w:name w:val="x_msonormal"/>
    <w:basedOn w:val="Normal"/>
    <w:rsid w:val="00282E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4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10C"/>
    <w:rPr>
      <w:sz w:val="22"/>
      <w:szCs w:val="22"/>
      <w:lang w:val="en-GB"/>
    </w:rPr>
  </w:style>
  <w:style w:type="paragraph" w:styleId="Footer">
    <w:name w:val="footer"/>
    <w:basedOn w:val="Normal"/>
    <w:link w:val="FooterChar"/>
    <w:uiPriority w:val="99"/>
    <w:unhideWhenUsed/>
    <w:rsid w:val="0064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10C"/>
    <w:rPr>
      <w:sz w:val="22"/>
      <w:szCs w:val="22"/>
      <w:lang w:val="en-GB"/>
    </w:rPr>
  </w:style>
  <w:style w:type="paragraph" w:styleId="NoSpacing">
    <w:name w:val="No Spacing"/>
    <w:uiPriority w:val="1"/>
    <w:qFormat/>
    <w:rsid w:val="005C2333"/>
    <w:rPr>
      <w:sz w:val="22"/>
      <w:szCs w:val="22"/>
      <w:lang w:val="en-GB"/>
    </w:rPr>
  </w:style>
  <w:style w:type="paragraph" w:styleId="FootnoteText">
    <w:name w:val="footnote text"/>
    <w:basedOn w:val="Normal"/>
    <w:link w:val="FootnoteTextChar"/>
    <w:uiPriority w:val="99"/>
    <w:semiHidden/>
    <w:unhideWhenUsed/>
    <w:rsid w:val="007348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485C"/>
    <w:rPr>
      <w:sz w:val="20"/>
      <w:szCs w:val="20"/>
      <w:lang w:val="en-GB"/>
    </w:rPr>
  </w:style>
  <w:style w:type="character" w:styleId="FootnoteReference">
    <w:name w:val="footnote reference"/>
    <w:basedOn w:val="DefaultParagraphFont"/>
    <w:uiPriority w:val="99"/>
    <w:semiHidden/>
    <w:unhideWhenUsed/>
    <w:rsid w:val="0073485C"/>
    <w:rPr>
      <w:vertAlign w:val="superscript"/>
    </w:rPr>
  </w:style>
  <w:style w:type="paragraph" w:styleId="EndnoteText">
    <w:name w:val="endnote text"/>
    <w:basedOn w:val="Normal"/>
    <w:link w:val="EndnoteTextChar"/>
    <w:uiPriority w:val="99"/>
    <w:unhideWhenUsed/>
    <w:rsid w:val="0073485C"/>
    <w:pPr>
      <w:spacing w:after="0" w:line="240" w:lineRule="auto"/>
    </w:pPr>
    <w:rPr>
      <w:sz w:val="20"/>
      <w:szCs w:val="20"/>
    </w:rPr>
  </w:style>
  <w:style w:type="character" w:customStyle="1" w:styleId="EndnoteTextChar">
    <w:name w:val="Endnote Text Char"/>
    <w:basedOn w:val="DefaultParagraphFont"/>
    <w:link w:val="EndnoteText"/>
    <w:uiPriority w:val="99"/>
    <w:rsid w:val="0073485C"/>
    <w:rPr>
      <w:sz w:val="20"/>
      <w:szCs w:val="20"/>
      <w:lang w:val="en-GB"/>
    </w:rPr>
  </w:style>
  <w:style w:type="character" w:styleId="EndnoteReference">
    <w:name w:val="endnote reference"/>
    <w:basedOn w:val="DefaultParagraphFont"/>
    <w:uiPriority w:val="99"/>
    <w:unhideWhenUsed/>
    <w:rsid w:val="0073485C"/>
    <w:rPr>
      <w:vertAlign w:val="superscript"/>
    </w:rPr>
  </w:style>
  <w:style w:type="paragraph" w:styleId="Revision">
    <w:name w:val="Revision"/>
    <w:hidden/>
    <w:uiPriority w:val="99"/>
    <w:semiHidden/>
    <w:rsid w:val="00834507"/>
    <w:rPr>
      <w:sz w:val="22"/>
      <w:szCs w:val="22"/>
      <w:lang w:val="en-GB"/>
    </w:rPr>
  </w:style>
  <w:style w:type="character" w:styleId="Hyperlink">
    <w:name w:val="Hyperlink"/>
    <w:basedOn w:val="DefaultParagraphFont"/>
    <w:uiPriority w:val="99"/>
    <w:unhideWhenUsed/>
    <w:rsid w:val="009565AC"/>
    <w:rPr>
      <w:color w:val="0563C1" w:themeColor="hyperlink"/>
      <w:u w:val="single"/>
    </w:rPr>
  </w:style>
  <w:style w:type="character" w:styleId="FollowedHyperlink">
    <w:name w:val="FollowedHyperlink"/>
    <w:basedOn w:val="DefaultParagraphFont"/>
    <w:uiPriority w:val="99"/>
    <w:semiHidden/>
    <w:unhideWhenUsed/>
    <w:rsid w:val="00731C26"/>
    <w:rPr>
      <w:color w:val="954F72" w:themeColor="followedHyperlink"/>
      <w:u w:val="single"/>
    </w:rPr>
  </w:style>
  <w:style w:type="character" w:styleId="UnresolvedMention">
    <w:name w:val="Unresolved Mention"/>
    <w:basedOn w:val="DefaultParagraphFont"/>
    <w:uiPriority w:val="99"/>
    <w:semiHidden/>
    <w:unhideWhenUsed/>
    <w:rsid w:val="007F5243"/>
    <w:rPr>
      <w:color w:val="605E5C"/>
      <w:shd w:val="clear" w:color="auto" w:fill="E1DFDD"/>
    </w:rPr>
  </w:style>
  <w:style w:type="character" w:customStyle="1" w:styleId="Heading1Char">
    <w:name w:val="Heading 1 Char"/>
    <w:basedOn w:val="DefaultParagraphFont"/>
    <w:link w:val="Heading1"/>
    <w:uiPriority w:val="9"/>
    <w:rsid w:val="00FF797B"/>
    <w:rPr>
      <w:b/>
      <w:sz w:val="18"/>
      <w:szCs w:val="18"/>
      <w:lang w:val="en-GB"/>
    </w:rPr>
  </w:style>
  <w:style w:type="character" w:customStyle="1" w:styleId="Heading2Char">
    <w:name w:val="Heading 2 Char"/>
    <w:basedOn w:val="DefaultParagraphFont"/>
    <w:link w:val="Heading2"/>
    <w:uiPriority w:val="9"/>
    <w:rsid w:val="00FF797B"/>
    <w:rPr>
      <w:rFonts w:cs="Arial"/>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4314">
      <w:bodyDiv w:val="1"/>
      <w:marLeft w:val="0"/>
      <w:marRight w:val="0"/>
      <w:marTop w:val="0"/>
      <w:marBottom w:val="0"/>
      <w:divBdr>
        <w:top w:val="none" w:sz="0" w:space="0" w:color="auto"/>
        <w:left w:val="none" w:sz="0" w:space="0" w:color="auto"/>
        <w:bottom w:val="none" w:sz="0" w:space="0" w:color="auto"/>
        <w:right w:val="none" w:sz="0" w:space="0" w:color="auto"/>
      </w:divBdr>
    </w:div>
    <w:div w:id="141193887">
      <w:bodyDiv w:val="1"/>
      <w:marLeft w:val="0"/>
      <w:marRight w:val="0"/>
      <w:marTop w:val="0"/>
      <w:marBottom w:val="0"/>
      <w:divBdr>
        <w:top w:val="none" w:sz="0" w:space="0" w:color="auto"/>
        <w:left w:val="none" w:sz="0" w:space="0" w:color="auto"/>
        <w:bottom w:val="none" w:sz="0" w:space="0" w:color="auto"/>
        <w:right w:val="none" w:sz="0" w:space="0" w:color="auto"/>
      </w:divBdr>
      <w:divsChild>
        <w:div w:id="1377199822">
          <w:marLeft w:val="0"/>
          <w:marRight w:val="0"/>
          <w:marTop w:val="0"/>
          <w:marBottom w:val="0"/>
          <w:divBdr>
            <w:top w:val="none" w:sz="0" w:space="0" w:color="auto"/>
            <w:left w:val="none" w:sz="0" w:space="0" w:color="auto"/>
            <w:bottom w:val="none" w:sz="0" w:space="0" w:color="auto"/>
            <w:right w:val="none" w:sz="0" w:space="0" w:color="auto"/>
          </w:divBdr>
          <w:divsChild>
            <w:div w:id="662975053">
              <w:marLeft w:val="0"/>
              <w:marRight w:val="0"/>
              <w:marTop w:val="0"/>
              <w:marBottom w:val="0"/>
              <w:divBdr>
                <w:top w:val="none" w:sz="0" w:space="0" w:color="auto"/>
                <w:left w:val="none" w:sz="0" w:space="0" w:color="auto"/>
                <w:bottom w:val="none" w:sz="0" w:space="0" w:color="auto"/>
                <w:right w:val="none" w:sz="0" w:space="0" w:color="auto"/>
              </w:divBdr>
              <w:divsChild>
                <w:div w:id="1509053697">
                  <w:marLeft w:val="0"/>
                  <w:marRight w:val="0"/>
                  <w:marTop w:val="0"/>
                  <w:marBottom w:val="0"/>
                  <w:divBdr>
                    <w:top w:val="none" w:sz="0" w:space="0" w:color="auto"/>
                    <w:left w:val="none" w:sz="0" w:space="0" w:color="auto"/>
                    <w:bottom w:val="none" w:sz="0" w:space="0" w:color="auto"/>
                    <w:right w:val="none" w:sz="0" w:space="0" w:color="auto"/>
                  </w:divBdr>
                  <w:divsChild>
                    <w:div w:id="6754214">
                      <w:marLeft w:val="0"/>
                      <w:marRight w:val="0"/>
                      <w:marTop w:val="0"/>
                      <w:marBottom w:val="0"/>
                      <w:divBdr>
                        <w:top w:val="none" w:sz="0" w:space="0" w:color="auto"/>
                        <w:left w:val="none" w:sz="0" w:space="0" w:color="auto"/>
                        <w:bottom w:val="none" w:sz="0" w:space="0" w:color="auto"/>
                        <w:right w:val="none" w:sz="0" w:space="0" w:color="auto"/>
                      </w:divBdr>
                      <w:divsChild>
                        <w:div w:id="1754009347">
                          <w:marLeft w:val="0"/>
                          <w:marRight w:val="0"/>
                          <w:marTop w:val="0"/>
                          <w:marBottom w:val="0"/>
                          <w:divBdr>
                            <w:top w:val="none" w:sz="0" w:space="0" w:color="auto"/>
                            <w:left w:val="none" w:sz="0" w:space="0" w:color="auto"/>
                            <w:bottom w:val="none" w:sz="0" w:space="0" w:color="auto"/>
                            <w:right w:val="none" w:sz="0" w:space="0" w:color="auto"/>
                          </w:divBdr>
                          <w:divsChild>
                            <w:div w:id="1073239903">
                              <w:marLeft w:val="15"/>
                              <w:marRight w:val="195"/>
                              <w:marTop w:val="0"/>
                              <w:marBottom w:val="0"/>
                              <w:divBdr>
                                <w:top w:val="none" w:sz="0" w:space="0" w:color="auto"/>
                                <w:left w:val="none" w:sz="0" w:space="0" w:color="auto"/>
                                <w:bottom w:val="none" w:sz="0" w:space="0" w:color="auto"/>
                                <w:right w:val="none" w:sz="0" w:space="0" w:color="auto"/>
                              </w:divBdr>
                              <w:divsChild>
                                <w:div w:id="1048535085">
                                  <w:marLeft w:val="0"/>
                                  <w:marRight w:val="0"/>
                                  <w:marTop w:val="0"/>
                                  <w:marBottom w:val="0"/>
                                  <w:divBdr>
                                    <w:top w:val="none" w:sz="0" w:space="0" w:color="auto"/>
                                    <w:left w:val="none" w:sz="0" w:space="0" w:color="auto"/>
                                    <w:bottom w:val="none" w:sz="0" w:space="0" w:color="auto"/>
                                    <w:right w:val="none" w:sz="0" w:space="0" w:color="auto"/>
                                  </w:divBdr>
                                  <w:divsChild>
                                    <w:div w:id="1391998638">
                                      <w:marLeft w:val="0"/>
                                      <w:marRight w:val="0"/>
                                      <w:marTop w:val="0"/>
                                      <w:marBottom w:val="0"/>
                                      <w:divBdr>
                                        <w:top w:val="none" w:sz="0" w:space="0" w:color="auto"/>
                                        <w:left w:val="none" w:sz="0" w:space="0" w:color="auto"/>
                                        <w:bottom w:val="none" w:sz="0" w:space="0" w:color="auto"/>
                                        <w:right w:val="none" w:sz="0" w:space="0" w:color="auto"/>
                                      </w:divBdr>
                                      <w:divsChild>
                                        <w:div w:id="1055082413">
                                          <w:marLeft w:val="0"/>
                                          <w:marRight w:val="0"/>
                                          <w:marTop w:val="0"/>
                                          <w:marBottom w:val="0"/>
                                          <w:divBdr>
                                            <w:top w:val="none" w:sz="0" w:space="0" w:color="auto"/>
                                            <w:left w:val="none" w:sz="0" w:space="0" w:color="auto"/>
                                            <w:bottom w:val="none" w:sz="0" w:space="0" w:color="auto"/>
                                            <w:right w:val="none" w:sz="0" w:space="0" w:color="auto"/>
                                          </w:divBdr>
                                          <w:divsChild>
                                            <w:div w:id="1708331444">
                                              <w:marLeft w:val="0"/>
                                              <w:marRight w:val="0"/>
                                              <w:marTop w:val="0"/>
                                              <w:marBottom w:val="0"/>
                                              <w:divBdr>
                                                <w:top w:val="none" w:sz="0" w:space="0" w:color="auto"/>
                                                <w:left w:val="none" w:sz="0" w:space="0" w:color="auto"/>
                                                <w:bottom w:val="none" w:sz="0" w:space="0" w:color="auto"/>
                                                <w:right w:val="none" w:sz="0" w:space="0" w:color="auto"/>
                                              </w:divBdr>
                                              <w:divsChild>
                                                <w:div w:id="690449405">
                                                  <w:marLeft w:val="0"/>
                                                  <w:marRight w:val="0"/>
                                                  <w:marTop w:val="0"/>
                                                  <w:marBottom w:val="0"/>
                                                  <w:divBdr>
                                                    <w:top w:val="none" w:sz="0" w:space="0" w:color="auto"/>
                                                    <w:left w:val="none" w:sz="0" w:space="0" w:color="auto"/>
                                                    <w:bottom w:val="none" w:sz="0" w:space="0" w:color="auto"/>
                                                    <w:right w:val="none" w:sz="0" w:space="0" w:color="auto"/>
                                                  </w:divBdr>
                                                  <w:divsChild>
                                                    <w:div w:id="1051344381">
                                                      <w:marLeft w:val="0"/>
                                                      <w:marRight w:val="0"/>
                                                      <w:marTop w:val="0"/>
                                                      <w:marBottom w:val="0"/>
                                                      <w:divBdr>
                                                        <w:top w:val="none" w:sz="0" w:space="0" w:color="auto"/>
                                                        <w:left w:val="none" w:sz="0" w:space="0" w:color="auto"/>
                                                        <w:bottom w:val="none" w:sz="0" w:space="0" w:color="auto"/>
                                                        <w:right w:val="none" w:sz="0" w:space="0" w:color="auto"/>
                                                      </w:divBdr>
                                                      <w:divsChild>
                                                        <w:div w:id="1550726099">
                                                          <w:marLeft w:val="0"/>
                                                          <w:marRight w:val="0"/>
                                                          <w:marTop w:val="0"/>
                                                          <w:marBottom w:val="0"/>
                                                          <w:divBdr>
                                                            <w:top w:val="none" w:sz="0" w:space="0" w:color="auto"/>
                                                            <w:left w:val="none" w:sz="0" w:space="0" w:color="auto"/>
                                                            <w:bottom w:val="none" w:sz="0" w:space="0" w:color="auto"/>
                                                            <w:right w:val="none" w:sz="0" w:space="0" w:color="auto"/>
                                                          </w:divBdr>
                                                          <w:divsChild>
                                                            <w:div w:id="563955759">
                                                              <w:marLeft w:val="0"/>
                                                              <w:marRight w:val="0"/>
                                                              <w:marTop w:val="0"/>
                                                              <w:marBottom w:val="0"/>
                                                              <w:divBdr>
                                                                <w:top w:val="none" w:sz="0" w:space="0" w:color="auto"/>
                                                                <w:left w:val="none" w:sz="0" w:space="0" w:color="auto"/>
                                                                <w:bottom w:val="none" w:sz="0" w:space="0" w:color="auto"/>
                                                                <w:right w:val="none" w:sz="0" w:space="0" w:color="auto"/>
                                                              </w:divBdr>
                                                              <w:divsChild>
                                                                <w:div w:id="844320347">
                                                                  <w:marLeft w:val="0"/>
                                                                  <w:marRight w:val="0"/>
                                                                  <w:marTop w:val="0"/>
                                                                  <w:marBottom w:val="0"/>
                                                                  <w:divBdr>
                                                                    <w:top w:val="none" w:sz="0" w:space="0" w:color="auto"/>
                                                                    <w:left w:val="none" w:sz="0" w:space="0" w:color="auto"/>
                                                                    <w:bottom w:val="none" w:sz="0" w:space="0" w:color="auto"/>
                                                                    <w:right w:val="none" w:sz="0" w:space="0" w:color="auto"/>
                                                                  </w:divBdr>
                                                                  <w:divsChild>
                                                                    <w:div w:id="1193810734">
                                                                      <w:marLeft w:val="405"/>
                                                                      <w:marRight w:val="0"/>
                                                                      <w:marTop w:val="0"/>
                                                                      <w:marBottom w:val="0"/>
                                                                      <w:divBdr>
                                                                        <w:top w:val="none" w:sz="0" w:space="0" w:color="auto"/>
                                                                        <w:left w:val="none" w:sz="0" w:space="0" w:color="auto"/>
                                                                        <w:bottom w:val="none" w:sz="0" w:space="0" w:color="auto"/>
                                                                        <w:right w:val="none" w:sz="0" w:space="0" w:color="auto"/>
                                                                      </w:divBdr>
                                                                      <w:divsChild>
                                                                        <w:div w:id="1914732128">
                                                                          <w:marLeft w:val="0"/>
                                                                          <w:marRight w:val="0"/>
                                                                          <w:marTop w:val="0"/>
                                                                          <w:marBottom w:val="0"/>
                                                                          <w:divBdr>
                                                                            <w:top w:val="none" w:sz="0" w:space="0" w:color="auto"/>
                                                                            <w:left w:val="none" w:sz="0" w:space="0" w:color="auto"/>
                                                                            <w:bottom w:val="none" w:sz="0" w:space="0" w:color="auto"/>
                                                                            <w:right w:val="none" w:sz="0" w:space="0" w:color="auto"/>
                                                                          </w:divBdr>
                                                                          <w:divsChild>
                                                                            <w:div w:id="748500552">
                                                                              <w:marLeft w:val="0"/>
                                                                              <w:marRight w:val="0"/>
                                                                              <w:marTop w:val="0"/>
                                                                              <w:marBottom w:val="0"/>
                                                                              <w:divBdr>
                                                                                <w:top w:val="none" w:sz="0" w:space="0" w:color="auto"/>
                                                                                <w:left w:val="none" w:sz="0" w:space="0" w:color="auto"/>
                                                                                <w:bottom w:val="none" w:sz="0" w:space="0" w:color="auto"/>
                                                                                <w:right w:val="none" w:sz="0" w:space="0" w:color="auto"/>
                                                                              </w:divBdr>
                                                                              <w:divsChild>
                                                                                <w:div w:id="880633818">
                                                                                  <w:marLeft w:val="0"/>
                                                                                  <w:marRight w:val="0"/>
                                                                                  <w:marTop w:val="0"/>
                                                                                  <w:marBottom w:val="0"/>
                                                                                  <w:divBdr>
                                                                                    <w:top w:val="none" w:sz="0" w:space="0" w:color="auto"/>
                                                                                    <w:left w:val="none" w:sz="0" w:space="0" w:color="auto"/>
                                                                                    <w:bottom w:val="none" w:sz="0" w:space="0" w:color="auto"/>
                                                                                    <w:right w:val="none" w:sz="0" w:space="0" w:color="auto"/>
                                                                                  </w:divBdr>
                                                                                  <w:divsChild>
                                                                                    <w:div w:id="1404376887">
                                                                                      <w:marLeft w:val="0"/>
                                                                                      <w:marRight w:val="0"/>
                                                                                      <w:marTop w:val="0"/>
                                                                                      <w:marBottom w:val="0"/>
                                                                                      <w:divBdr>
                                                                                        <w:top w:val="none" w:sz="0" w:space="0" w:color="auto"/>
                                                                                        <w:left w:val="none" w:sz="0" w:space="0" w:color="auto"/>
                                                                                        <w:bottom w:val="none" w:sz="0" w:space="0" w:color="auto"/>
                                                                                        <w:right w:val="none" w:sz="0" w:space="0" w:color="auto"/>
                                                                                      </w:divBdr>
                                                                                      <w:divsChild>
                                                                                        <w:div w:id="2106799090">
                                                                                          <w:marLeft w:val="0"/>
                                                                                          <w:marRight w:val="0"/>
                                                                                          <w:marTop w:val="0"/>
                                                                                          <w:marBottom w:val="0"/>
                                                                                          <w:divBdr>
                                                                                            <w:top w:val="none" w:sz="0" w:space="0" w:color="auto"/>
                                                                                            <w:left w:val="none" w:sz="0" w:space="0" w:color="auto"/>
                                                                                            <w:bottom w:val="none" w:sz="0" w:space="0" w:color="auto"/>
                                                                                            <w:right w:val="none" w:sz="0" w:space="0" w:color="auto"/>
                                                                                          </w:divBdr>
                                                                                          <w:divsChild>
                                                                                            <w:div w:id="1056005977">
                                                                                              <w:marLeft w:val="0"/>
                                                                                              <w:marRight w:val="0"/>
                                                                                              <w:marTop w:val="0"/>
                                                                                              <w:marBottom w:val="0"/>
                                                                                              <w:divBdr>
                                                                                                <w:top w:val="none" w:sz="0" w:space="0" w:color="auto"/>
                                                                                                <w:left w:val="none" w:sz="0" w:space="0" w:color="auto"/>
                                                                                                <w:bottom w:val="none" w:sz="0" w:space="0" w:color="auto"/>
                                                                                                <w:right w:val="none" w:sz="0" w:space="0" w:color="auto"/>
                                                                                              </w:divBdr>
                                                                                              <w:divsChild>
                                                                                                <w:div w:id="289947007">
                                                                                                  <w:marLeft w:val="0"/>
                                                                                                  <w:marRight w:val="0"/>
                                                                                                  <w:marTop w:val="15"/>
                                                                                                  <w:marBottom w:val="0"/>
                                                                                                  <w:divBdr>
                                                                                                    <w:top w:val="none" w:sz="0" w:space="0" w:color="auto"/>
                                                                                                    <w:left w:val="none" w:sz="0" w:space="0" w:color="auto"/>
                                                                                                    <w:bottom w:val="single" w:sz="6" w:space="15" w:color="auto"/>
                                                                                                    <w:right w:val="none" w:sz="0" w:space="0" w:color="auto"/>
                                                                                                  </w:divBdr>
                                                                                                  <w:divsChild>
                                                                                                    <w:div w:id="43797440">
                                                                                                      <w:marLeft w:val="0"/>
                                                                                                      <w:marRight w:val="0"/>
                                                                                                      <w:marTop w:val="180"/>
                                                                                                      <w:marBottom w:val="0"/>
                                                                                                      <w:divBdr>
                                                                                                        <w:top w:val="none" w:sz="0" w:space="0" w:color="auto"/>
                                                                                                        <w:left w:val="none" w:sz="0" w:space="0" w:color="auto"/>
                                                                                                        <w:bottom w:val="none" w:sz="0" w:space="0" w:color="auto"/>
                                                                                                        <w:right w:val="none" w:sz="0" w:space="0" w:color="auto"/>
                                                                                                      </w:divBdr>
                                                                                                      <w:divsChild>
                                                                                                        <w:div w:id="1015301308">
                                                                                                          <w:marLeft w:val="0"/>
                                                                                                          <w:marRight w:val="0"/>
                                                                                                          <w:marTop w:val="0"/>
                                                                                                          <w:marBottom w:val="0"/>
                                                                                                          <w:divBdr>
                                                                                                            <w:top w:val="none" w:sz="0" w:space="0" w:color="auto"/>
                                                                                                            <w:left w:val="none" w:sz="0" w:space="0" w:color="auto"/>
                                                                                                            <w:bottom w:val="none" w:sz="0" w:space="0" w:color="auto"/>
                                                                                                            <w:right w:val="none" w:sz="0" w:space="0" w:color="auto"/>
                                                                                                          </w:divBdr>
                                                                                                          <w:divsChild>
                                                                                                            <w:div w:id="1955362646">
                                                                                                              <w:marLeft w:val="0"/>
                                                                                                              <w:marRight w:val="0"/>
                                                                                                              <w:marTop w:val="0"/>
                                                                                                              <w:marBottom w:val="0"/>
                                                                                                              <w:divBdr>
                                                                                                                <w:top w:val="none" w:sz="0" w:space="0" w:color="auto"/>
                                                                                                                <w:left w:val="none" w:sz="0" w:space="0" w:color="auto"/>
                                                                                                                <w:bottom w:val="none" w:sz="0" w:space="0" w:color="auto"/>
                                                                                                                <w:right w:val="none" w:sz="0" w:space="0" w:color="auto"/>
                                                                                                              </w:divBdr>
                                                                                                              <w:divsChild>
                                                                                                                <w:div w:id="531191580">
                                                                                                                  <w:marLeft w:val="0"/>
                                                                                                                  <w:marRight w:val="0"/>
                                                                                                                  <w:marTop w:val="30"/>
                                                                                                                  <w:marBottom w:val="0"/>
                                                                                                                  <w:divBdr>
                                                                                                                    <w:top w:val="none" w:sz="0" w:space="0" w:color="auto"/>
                                                                                                                    <w:left w:val="none" w:sz="0" w:space="0" w:color="auto"/>
                                                                                                                    <w:bottom w:val="none" w:sz="0" w:space="0" w:color="auto"/>
                                                                                                                    <w:right w:val="none" w:sz="0" w:space="0" w:color="auto"/>
                                                                                                                  </w:divBdr>
                                                                                                                  <w:divsChild>
                                                                                                                    <w:div w:id="1348796990">
                                                                                                                      <w:marLeft w:val="0"/>
                                                                                                                      <w:marRight w:val="0"/>
                                                                                                                      <w:marTop w:val="0"/>
                                                                                                                      <w:marBottom w:val="0"/>
                                                                                                                      <w:divBdr>
                                                                                                                        <w:top w:val="none" w:sz="0" w:space="0" w:color="auto"/>
                                                                                                                        <w:left w:val="none" w:sz="0" w:space="0" w:color="auto"/>
                                                                                                                        <w:bottom w:val="none" w:sz="0" w:space="0" w:color="auto"/>
                                                                                                                        <w:right w:val="none" w:sz="0" w:space="0" w:color="auto"/>
                                                                                                                      </w:divBdr>
                                                                                                                      <w:divsChild>
                                                                                                                        <w:div w:id="1844472555">
                                                                                                                          <w:marLeft w:val="0"/>
                                                                                                                          <w:marRight w:val="0"/>
                                                                                                                          <w:marTop w:val="0"/>
                                                                                                                          <w:marBottom w:val="0"/>
                                                                                                                          <w:divBdr>
                                                                                                                            <w:top w:val="none" w:sz="0" w:space="0" w:color="auto"/>
                                                                                                                            <w:left w:val="none" w:sz="0" w:space="0" w:color="auto"/>
                                                                                                                            <w:bottom w:val="none" w:sz="0" w:space="0" w:color="auto"/>
                                                                                                                            <w:right w:val="none" w:sz="0" w:space="0" w:color="auto"/>
                                                                                                                          </w:divBdr>
                                                                                                                          <w:divsChild>
                                                                                                                            <w:div w:id="948319522">
                                                                                                                              <w:marLeft w:val="0"/>
                                                                                                                              <w:marRight w:val="0"/>
                                                                                                                              <w:marTop w:val="0"/>
                                                                                                                              <w:marBottom w:val="0"/>
                                                                                                                              <w:divBdr>
                                                                                                                                <w:top w:val="none" w:sz="0" w:space="0" w:color="auto"/>
                                                                                                                                <w:left w:val="none" w:sz="0" w:space="0" w:color="auto"/>
                                                                                                                                <w:bottom w:val="none" w:sz="0" w:space="0" w:color="auto"/>
                                                                                                                                <w:right w:val="none" w:sz="0" w:space="0" w:color="auto"/>
                                                                                                                              </w:divBdr>
                                                                                                                              <w:divsChild>
                                                                                                                                <w:div w:id="137222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913527">
      <w:bodyDiv w:val="1"/>
      <w:marLeft w:val="0"/>
      <w:marRight w:val="0"/>
      <w:marTop w:val="0"/>
      <w:marBottom w:val="0"/>
      <w:divBdr>
        <w:top w:val="none" w:sz="0" w:space="0" w:color="auto"/>
        <w:left w:val="none" w:sz="0" w:space="0" w:color="auto"/>
        <w:bottom w:val="none" w:sz="0" w:space="0" w:color="auto"/>
        <w:right w:val="none" w:sz="0" w:space="0" w:color="auto"/>
      </w:divBdr>
    </w:div>
    <w:div w:id="1428118389">
      <w:bodyDiv w:val="1"/>
      <w:marLeft w:val="0"/>
      <w:marRight w:val="0"/>
      <w:marTop w:val="0"/>
      <w:marBottom w:val="0"/>
      <w:divBdr>
        <w:top w:val="none" w:sz="0" w:space="0" w:color="auto"/>
        <w:left w:val="none" w:sz="0" w:space="0" w:color="auto"/>
        <w:bottom w:val="none" w:sz="0" w:space="0" w:color="auto"/>
        <w:right w:val="none" w:sz="0" w:space="0" w:color="auto"/>
      </w:divBdr>
    </w:div>
    <w:div w:id="1529105177">
      <w:bodyDiv w:val="1"/>
      <w:marLeft w:val="0"/>
      <w:marRight w:val="0"/>
      <w:marTop w:val="0"/>
      <w:marBottom w:val="0"/>
      <w:divBdr>
        <w:top w:val="none" w:sz="0" w:space="0" w:color="auto"/>
        <w:left w:val="none" w:sz="0" w:space="0" w:color="auto"/>
        <w:bottom w:val="none" w:sz="0" w:space="0" w:color="auto"/>
        <w:right w:val="none" w:sz="0" w:space="0" w:color="auto"/>
      </w:divBdr>
    </w:div>
    <w:div w:id="1585604004">
      <w:bodyDiv w:val="1"/>
      <w:marLeft w:val="0"/>
      <w:marRight w:val="0"/>
      <w:marTop w:val="0"/>
      <w:marBottom w:val="0"/>
      <w:divBdr>
        <w:top w:val="none" w:sz="0" w:space="0" w:color="auto"/>
        <w:left w:val="none" w:sz="0" w:space="0" w:color="auto"/>
        <w:bottom w:val="none" w:sz="0" w:space="0" w:color="auto"/>
        <w:right w:val="none" w:sz="0" w:space="0" w:color="auto"/>
      </w:divBdr>
      <w:divsChild>
        <w:div w:id="331644217">
          <w:marLeft w:val="0"/>
          <w:marRight w:val="0"/>
          <w:marTop w:val="0"/>
          <w:marBottom w:val="0"/>
          <w:divBdr>
            <w:top w:val="none" w:sz="0" w:space="0" w:color="auto"/>
            <w:left w:val="none" w:sz="0" w:space="0" w:color="auto"/>
            <w:bottom w:val="none" w:sz="0" w:space="0" w:color="auto"/>
            <w:right w:val="none" w:sz="0" w:space="0" w:color="auto"/>
          </w:divBdr>
        </w:div>
        <w:div w:id="528489034">
          <w:marLeft w:val="0"/>
          <w:marRight w:val="0"/>
          <w:marTop w:val="0"/>
          <w:marBottom w:val="0"/>
          <w:divBdr>
            <w:top w:val="none" w:sz="0" w:space="0" w:color="auto"/>
            <w:left w:val="none" w:sz="0" w:space="0" w:color="auto"/>
            <w:bottom w:val="none" w:sz="0" w:space="0" w:color="auto"/>
            <w:right w:val="none" w:sz="0" w:space="0" w:color="auto"/>
          </w:divBdr>
        </w:div>
        <w:div w:id="685912980">
          <w:marLeft w:val="0"/>
          <w:marRight w:val="0"/>
          <w:marTop w:val="0"/>
          <w:marBottom w:val="0"/>
          <w:divBdr>
            <w:top w:val="none" w:sz="0" w:space="0" w:color="auto"/>
            <w:left w:val="none" w:sz="0" w:space="0" w:color="auto"/>
            <w:bottom w:val="none" w:sz="0" w:space="0" w:color="auto"/>
            <w:right w:val="none" w:sz="0" w:space="0" w:color="auto"/>
          </w:divBdr>
        </w:div>
      </w:divsChild>
    </w:div>
    <w:div w:id="20746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2&amp;Lang=en"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itu.int/rec/T-REC-F.790" TargetMode="External"/><Relationship Id="rId1" Type="http://schemas.openxmlformats.org/officeDocument/2006/relationships/hyperlink" Target="https://www.itu.int/rec/T-REC-H.Sup1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A31654-26C8-4166-989A-02D8EC753E81}">
  <ds:schemaRefs>
    <ds:schemaRef ds:uri="http://schemas.openxmlformats.org/officeDocument/2006/bibliography"/>
  </ds:schemaRefs>
</ds:datastoreItem>
</file>

<file path=customXml/itemProps2.xml><?xml version="1.0" encoding="utf-8"?>
<ds:datastoreItem xmlns:ds="http://schemas.openxmlformats.org/officeDocument/2006/customXml" ds:itemID="{90107CB1-8B11-4ED2-B06E-91076CD2C951}"/>
</file>

<file path=customXml/itemProps3.xml><?xml version="1.0" encoding="utf-8"?>
<ds:datastoreItem xmlns:ds="http://schemas.openxmlformats.org/officeDocument/2006/customXml" ds:itemID="{6C29816B-29A1-4D6C-BA5B-2EDCA5AE4754}"/>
</file>

<file path=customXml/itemProps4.xml><?xml version="1.0" encoding="utf-8"?>
<ds:datastoreItem xmlns:ds="http://schemas.openxmlformats.org/officeDocument/2006/customXml" ds:itemID="{5BD15748-6A7D-4981-BF4A-41A117F95718}"/>
</file>

<file path=docProps/app.xml><?xml version="1.0" encoding="utf-8"?>
<Properties xmlns="http://schemas.openxmlformats.org/officeDocument/2006/extended-properties" xmlns:vt="http://schemas.openxmlformats.org/officeDocument/2006/docPropsVTypes">
  <Template>Normal.dotm</Template>
  <TotalTime>9</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14</cp:revision>
  <cp:lastPrinted>2018-07-18T09:57:00Z</cp:lastPrinted>
  <dcterms:created xsi:type="dcterms:W3CDTF">2019-10-24T09:40:00Z</dcterms:created>
  <dcterms:modified xsi:type="dcterms:W3CDTF">2021-01-30T20:31:00Z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