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D3AB2" w14:textId="77777777" w:rsidR="007437FA" w:rsidRDefault="007437FA" w:rsidP="000C6C47">
      <w:pPr>
        <w:spacing w:after="0" w:line="240" w:lineRule="auto"/>
        <w:jc w:val="center"/>
        <w:rPr>
          <w:b/>
          <w:sz w:val="18"/>
          <w:szCs w:val="18"/>
        </w:rPr>
      </w:pPr>
    </w:p>
    <w:p w14:paraId="5F6CFB8D" w14:textId="6290873F" w:rsidR="007437FA" w:rsidRPr="000C6C47" w:rsidRDefault="007437FA" w:rsidP="000C6C47">
      <w:pPr>
        <w:spacing w:after="0" w:line="240" w:lineRule="auto"/>
        <w:jc w:val="center"/>
        <w:rPr>
          <w:b/>
          <w:sz w:val="18"/>
          <w:szCs w:val="18"/>
        </w:rPr>
      </w:pPr>
      <w:r>
        <w:rPr>
          <w:b/>
          <w:sz w:val="18"/>
          <w:szCs w:val="18"/>
        </w:rPr>
        <w:t>Article 9 – Indicateurs illustratifs sur l'accessibilité</w:t>
      </w:r>
      <w:r w:rsidR="0072566D">
        <w:rPr>
          <w:b/>
          <w:sz w:val="18"/>
          <w:szCs w:val="18"/>
        </w:rPr>
        <w:t>*</w:t>
      </w:r>
    </w:p>
    <w:p w14:paraId="72FB4974" w14:textId="77777777" w:rsidR="007437FA" w:rsidRDefault="007437FA" w:rsidP="00790D50">
      <w:pPr>
        <w:spacing w:after="0" w:line="240" w:lineRule="auto"/>
        <w:jc w:val="center"/>
        <w:rPr>
          <w:b/>
          <w:sz w:val="18"/>
          <w:szCs w:val="18"/>
        </w:rPr>
      </w:pPr>
      <w:r>
        <w:rPr>
          <w:b/>
          <w:sz w:val="18"/>
          <w:szCs w:val="18"/>
        </w:rPr>
        <w:t xml:space="preserve">Accès, sur un pied d'égalité avec les autres, à l'environnement physique, aux transports, aux services, à l'information et aux communications, </w:t>
      </w:r>
    </w:p>
    <w:p w14:paraId="2D3DE34C" w14:textId="77777777" w:rsidR="007437FA" w:rsidRPr="000200DC" w:rsidRDefault="007437FA" w:rsidP="00790D50">
      <w:pPr>
        <w:spacing w:after="0" w:line="240" w:lineRule="auto"/>
        <w:jc w:val="center"/>
        <w:rPr>
          <w:rFonts w:cstheme="minorHAnsi"/>
          <w:b/>
          <w:sz w:val="18"/>
          <w:szCs w:val="18"/>
        </w:rPr>
      </w:pPr>
      <w:proofErr w:type="gramStart"/>
      <w:r>
        <w:rPr>
          <w:b/>
          <w:sz w:val="18"/>
          <w:szCs w:val="18"/>
        </w:rPr>
        <w:t>aux</w:t>
      </w:r>
      <w:proofErr w:type="gramEnd"/>
      <w:r>
        <w:rPr>
          <w:b/>
          <w:sz w:val="18"/>
          <w:szCs w:val="18"/>
        </w:rPr>
        <w:t xml:space="preserve"> systèmes et à d'autres installations et services ouverts ou fournis au public</w:t>
      </w:r>
    </w:p>
    <w:p w14:paraId="35132E95" w14:textId="77777777" w:rsidR="007437FA" w:rsidRDefault="007437FA" w:rsidP="000C6C47">
      <w:pPr>
        <w:spacing w:after="0" w:line="240" w:lineRule="auto"/>
        <w:rPr>
          <w:b/>
          <w:sz w:val="18"/>
          <w:szCs w:val="18"/>
        </w:rPr>
      </w:pPr>
    </w:p>
    <w:p w14:paraId="3A45B3B3" w14:textId="18A2B555" w:rsidR="007437FA" w:rsidRPr="000C6C47" w:rsidRDefault="007437FA" w:rsidP="000C6C47">
      <w:pPr>
        <w:spacing w:after="0" w:line="240" w:lineRule="auto"/>
        <w:rPr>
          <w:rFonts w:cstheme="minorHAnsi"/>
          <w:b/>
          <w:sz w:val="18"/>
          <w:szCs w:val="18"/>
        </w:rPr>
      </w:pPr>
      <w:r>
        <w:rPr>
          <w:b/>
          <w:sz w:val="18"/>
          <w:szCs w:val="18"/>
        </w:rPr>
        <w:t>Attributs</w:t>
      </w:r>
    </w:p>
    <w:p w14:paraId="1F0BB2BF" w14:textId="77777777" w:rsidR="007437FA" w:rsidRPr="007437FA" w:rsidRDefault="007437FA" w:rsidP="007437FA">
      <w:pPr>
        <w:pStyle w:val="ListParagraph"/>
        <w:numPr>
          <w:ilvl w:val="0"/>
          <w:numId w:val="18"/>
        </w:numPr>
        <w:spacing w:after="0" w:line="240" w:lineRule="auto"/>
        <w:rPr>
          <w:rFonts w:cstheme="minorHAnsi"/>
          <w:b/>
          <w:sz w:val="18"/>
          <w:szCs w:val="18"/>
        </w:rPr>
      </w:pPr>
      <w:r w:rsidRPr="007437FA">
        <w:rPr>
          <w:b/>
          <w:sz w:val="18"/>
          <w:szCs w:val="18"/>
        </w:rPr>
        <w:t>Routes et transports</w:t>
      </w:r>
    </w:p>
    <w:p w14:paraId="1ED4FF43" w14:textId="77777777" w:rsidR="007437FA" w:rsidRPr="007437FA" w:rsidRDefault="007437FA" w:rsidP="007437FA">
      <w:pPr>
        <w:pStyle w:val="ListParagraph"/>
        <w:numPr>
          <w:ilvl w:val="0"/>
          <w:numId w:val="18"/>
        </w:numPr>
        <w:spacing w:after="0" w:line="240" w:lineRule="auto"/>
        <w:rPr>
          <w:rFonts w:cstheme="minorHAnsi"/>
          <w:b/>
          <w:sz w:val="18"/>
          <w:szCs w:val="18"/>
        </w:rPr>
      </w:pPr>
      <w:r w:rsidRPr="007437FA">
        <w:rPr>
          <w:b/>
          <w:sz w:val="18"/>
          <w:szCs w:val="18"/>
        </w:rPr>
        <w:t>Bâtiments, installations et services intérieurs et extérieurs ouverts ou fournis au public</w:t>
      </w:r>
    </w:p>
    <w:p w14:paraId="6C5177D1" w14:textId="77777777" w:rsidR="007437FA" w:rsidRPr="007437FA" w:rsidRDefault="007437FA" w:rsidP="007437FA">
      <w:pPr>
        <w:pStyle w:val="ListParagraph"/>
        <w:numPr>
          <w:ilvl w:val="0"/>
          <w:numId w:val="18"/>
        </w:numPr>
        <w:spacing w:after="0" w:line="240" w:lineRule="auto"/>
        <w:rPr>
          <w:rFonts w:cstheme="minorHAnsi"/>
          <w:b/>
          <w:sz w:val="18"/>
          <w:szCs w:val="18"/>
        </w:rPr>
      </w:pPr>
      <w:r w:rsidRPr="007437FA">
        <w:rPr>
          <w:b/>
          <w:sz w:val="18"/>
          <w:szCs w:val="18"/>
        </w:rPr>
        <w:t>Information et communications et autres services, y compris les TIC, les services électroniques et les services d'urgence</w:t>
      </w:r>
    </w:p>
    <w:p w14:paraId="6B1E387D" w14:textId="77777777" w:rsidR="007437FA" w:rsidRDefault="007437FA" w:rsidP="000C6C47">
      <w:pPr>
        <w:spacing w:after="0" w:line="240" w:lineRule="auto"/>
        <w:jc w:val="both"/>
        <w:rPr>
          <w:b/>
          <w:sz w:val="18"/>
          <w:szCs w:val="18"/>
        </w:rPr>
      </w:pPr>
    </w:p>
    <w:p w14:paraId="0593DA7C" w14:textId="5ECA0E45" w:rsidR="007437FA" w:rsidRPr="000C6C47" w:rsidRDefault="007437FA" w:rsidP="007437FA">
      <w:pPr>
        <w:pStyle w:val="ListParagraph"/>
        <w:spacing w:after="0"/>
        <w:ind w:left="0"/>
        <w:rPr>
          <w:rFonts w:cstheme="minorHAnsi"/>
          <w:b/>
          <w:sz w:val="18"/>
          <w:szCs w:val="18"/>
        </w:rPr>
      </w:pPr>
      <w:r w:rsidRPr="003F495A">
        <w:rPr>
          <w:b/>
          <w:sz w:val="18"/>
          <w:szCs w:val="18"/>
        </w:rPr>
        <w:t>Indicateurs</w:t>
      </w:r>
      <w:r>
        <w:rPr>
          <w:b/>
          <w:sz w:val="18"/>
          <w:szCs w:val="18"/>
        </w:rPr>
        <w:t xml:space="preserve"> structurels</w:t>
      </w:r>
    </w:p>
    <w:p w14:paraId="48812080" w14:textId="711588AA" w:rsidR="007437FA" w:rsidRPr="007437FA" w:rsidRDefault="007437FA" w:rsidP="007437FA">
      <w:pPr>
        <w:pStyle w:val="NoSpacing"/>
        <w:jc w:val="both"/>
        <w:rPr>
          <w:rFonts w:cstheme="minorHAnsi"/>
          <w:sz w:val="18"/>
          <w:szCs w:val="18"/>
        </w:rPr>
      </w:pPr>
      <w:r>
        <w:rPr>
          <w:sz w:val="18"/>
          <w:szCs w:val="18"/>
        </w:rPr>
        <w:t>9.1 Législation promulguée garantissant le droit d'accéder, sur un pied d'égalité avec les autres, à l'environnement physique, aux transports, aux services, à l'information et aux communications, y compris les TIC, et aux autres installations et services ouverts ou fournis au public, dans les zones urbaines et rurales.</w:t>
      </w:r>
      <w:r w:rsidRPr="000C6C47">
        <w:rPr>
          <w:rStyle w:val="EndnoteReference"/>
          <w:rFonts w:cstheme="minorHAnsi"/>
          <w:sz w:val="18"/>
          <w:szCs w:val="18"/>
          <w:lang w:val="en-US"/>
        </w:rPr>
        <w:endnoteReference w:id="1"/>
      </w:r>
      <w:r>
        <w:rPr>
          <w:sz w:val="18"/>
          <w:szCs w:val="18"/>
        </w:rPr>
        <w:t xml:space="preserve"> </w:t>
      </w:r>
    </w:p>
    <w:p w14:paraId="57879371" w14:textId="518BF8EA" w:rsidR="007437FA" w:rsidRPr="000C6C47" w:rsidRDefault="007437FA" w:rsidP="000C6C47">
      <w:pPr>
        <w:spacing w:after="0" w:line="240" w:lineRule="auto"/>
        <w:jc w:val="both"/>
        <w:rPr>
          <w:rFonts w:cstheme="minorHAnsi"/>
          <w:sz w:val="18"/>
          <w:szCs w:val="18"/>
        </w:rPr>
      </w:pPr>
      <w:r>
        <w:rPr>
          <w:sz w:val="18"/>
          <w:szCs w:val="18"/>
        </w:rPr>
        <w:t>9.2 La législation sur le transport aérien, ferroviaire, routier et maritime de passagers comprend des normes d'accessibilité obligatoires.</w:t>
      </w:r>
    </w:p>
    <w:p w14:paraId="610E53F4" w14:textId="7ED31F0B" w:rsidR="007437FA" w:rsidRPr="000C6C47" w:rsidRDefault="007437FA" w:rsidP="000C6C47">
      <w:pPr>
        <w:spacing w:after="0" w:line="240" w:lineRule="auto"/>
        <w:jc w:val="both"/>
        <w:rPr>
          <w:rFonts w:cstheme="minorHAnsi"/>
          <w:sz w:val="18"/>
          <w:szCs w:val="18"/>
        </w:rPr>
      </w:pPr>
      <w:r>
        <w:rPr>
          <w:sz w:val="18"/>
          <w:szCs w:val="18"/>
        </w:rPr>
        <w:t>9.3 La législation sur la construction et la planification, y compris les exigences d'octroi d'une autorisation, incorpore des normes d'accessibilité obligatoires sur l'environnement physique et les services ouverts au public. (</w:t>
      </w:r>
      <w:proofErr w:type="gramStart"/>
      <w:r>
        <w:rPr>
          <w:sz w:val="18"/>
          <w:szCs w:val="18"/>
        </w:rPr>
        <w:t>idem</w:t>
      </w:r>
      <w:proofErr w:type="gramEnd"/>
      <w:r>
        <w:rPr>
          <w:sz w:val="18"/>
          <w:szCs w:val="18"/>
        </w:rPr>
        <w:t> 20.7)</w:t>
      </w:r>
    </w:p>
    <w:p w14:paraId="7DB79599" w14:textId="77777777" w:rsidR="007437FA" w:rsidRPr="000C6C47" w:rsidRDefault="007437FA" w:rsidP="000C6C47">
      <w:pPr>
        <w:spacing w:after="0" w:line="240" w:lineRule="auto"/>
        <w:jc w:val="both"/>
        <w:rPr>
          <w:rFonts w:cstheme="minorHAnsi"/>
          <w:sz w:val="18"/>
          <w:szCs w:val="18"/>
        </w:rPr>
      </w:pPr>
      <w:r>
        <w:rPr>
          <w:sz w:val="18"/>
          <w:szCs w:val="18"/>
        </w:rPr>
        <w:t>9.4 Cadre juridique établissant des normes obligatoires sur l'accessibilité de l'information et de la communication pour les acteurs publics et privés qui fournissent des informations et des services au grand public, y compris les médias de masse et Internet, y compris les médias sociaux.</w:t>
      </w:r>
      <w:r w:rsidRPr="0050205F">
        <w:rPr>
          <w:rStyle w:val="EndnoteReference"/>
          <w:rFonts w:cstheme="minorHAnsi"/>
          <w:sz w:val="18"/>
          <w:szCs w:val="18"/>
        </w:rPr>
        <w:endnoteReference w:id="2"/>
      </w:r>
      <w:r>
        <w:rPr>
          <w:sz w:val="18"/>
          <w:szCs w:val="18"/>
        </w:rPr>
        <w:t xml:space="preserve"> (idem 21.1.2)</w:t>
      </w:r>
    </w:p>
    <w:p w14:paraId="06F3063F" w14:textId="77777777" w:rsidR="007437FA" w:rsidRPr="000C6C47" w:rsidRDefault="007437FA" w:rsidP="000C6C47">
      <w:pPr>
        <w:spacing w:after="0" w:line="240" w:lineRule="auto"/>
        <w:jc w:val="both"/>
        <w:rPr>
          <w:rFonts w:cstheme="minorHAnsi"/>
          <w:sz w:val="18"/>
          <w:szCs w:val="18"/>
        </w:rPr>
      </w:pPr>
      <w:r>
        <w:rPr>
          <w:sz w:val="18"/>
          <w:szCs w:val="18"/>
        </w:rPr>
        <w:t>9.5 La législation régissant les services d'urgence, y compris sur les plans d'évacuation et les abris, comprend des normes d'accessibilité obligatoires.</w:t>
      </w:r>
    </w:p>
    <w:p w14:paraId="16344607" w14:textId="2BBD344B" w:rsidR="007437FA" w:rsidRPr="007437FA" w:rsidRDefault="007437FA" w:rsidP="000200DC">
      <w:pPr>
        <w:spacing w:after="0" w:line="240" w:lineRule="auto"/>
        <w:jc w:val="both"/>
        <w:rPr>
          <w:rFonts w:cstheme="minorHAnsi"/>
          <w:sz w:val="18"/>
          <w:szCs w:val="18"/>
        </w:rPr>
      </w:pPr>
      <w:r>
        <w:rPr>
          <w:sz w:val="18"/>
          <w:szCs w:val="18"/>
        </w:rPr>
        <w:t>9.6 La législation régissant les informations et communications gouvernementales destinées au grand public garantit un accès complet aux sites Web et aux applications du secteur public, ainsi que la disponibilité des informations gouvernementales dans des formats alternatifs.</w:t>
      </w:r>
    </w:p>
    <w:p w14:paraId="6E6F404C" w14:textId="77777777" w:rsidR="007437FA" w:rsidRPr="000C6C47" w:rsidRDefault="007437FA" w:rsidP="006A48F7">
      <w:pPr>
        <w:spacing w:after="0" w:line="240" w:lineRule="auto"/>
        <w:jc w:val="both"/>
        <w:rPr>
          <w:rFonts w:cstheme="minorHAnsi"/>
          <w:sz w:val="18"/>
          <w:szCs w:val="18"/>
        </w:rPr>
      </w:pPr>
      <w:r>
        <w:rPr>
          <w:sz w:val="18"/>
          <w:szCs w:val="18"/>
        </w:rPr>
        <w:t>9.7 Existence d'une stratégie et/ou d'un plan national complet d'accessibilité pour identifier et éliminer tous les obstacles existants à l'accessibilité.</w:t>
      </w:r>
      <w:r w:rsidRPr="000C6C47">
        <w:rPr>
          <w:rStyle w:val="EndnoteReference"/>
          <w:rFonts w:cstheme="minorHAnsi"/>
          <w:sz w:val="18"/>
          <w:szCs w:val="18"/>
        </w:rPr>
        <w:endnoteReference w:id="3"/>
      </w:r>
    </w:p>
    <w:p w14:paraId="547DA298" w14:textId="77777777" w:rsidR="007437FA" w:rsidRDefault="007437FA" w:rsidP="000C6C47">
      <w:pPr>
        <w:spacing w:after="0" w:line="240" w:lineRule="auto"/>
        <w:jc w:val="both"/>
        <w:rPr>
          <w:b/>
          <w:sz w:val="18"/>
          <w:szCs w:val="18"/>
        </w:rPr>
      </w:pPr>
    </w:p>
    <w:p w14:paraId="3D02A7EF" w14:textId="01B73273" w:rsidR="007437FA" w:rsidRPr="000C6C47" w:rsidRDefault="007437FA" w:rsidP="000C6C47">
      <w:pPr>
        <w:spacing w:after="0" w:line="240" w:lineRule="auto"/>
        <w:jc w:val="both"/>
        <w:rPr>
          <w:rFonts w:cstheme="minorHAnsi"/>
          <w:b/>
          <w:sz w:val="18"/>
          <w:szCs w:val="18"/>
        </w:rPr>
      </w:pPr>
      <w:r>
        <w:rPr>
          <w:b/>
          <w:sz w:val="18"/>
          <w:szCs w:val="18"/>
        </w:rPr>
        <w:t xml:space="preserve">Indicateurs de Processus </w:t>
      </w:r>
    </w:p>
    <w:p w14:paraId="29F14D46" w14:textId="77777777" w:rsidR="007437FA" w:rsidRPr="000C6C47" w:rsidRDefault="007437FA" w:rsidP="000C6C47">
      <w:pPr>
        <w:spacing w:after="0" w:line="240" w:lineRule="auto"/>
        <w:jc w:val="both"/>
        <w:rPr>
          <w:rFonts w:cstheme="minorHAnsi"/>
          <w:sz w:val="18"/>
          <w:szCs w:val="18"/>
        </w:rPr>
      </w:pPr>
      <w:r>
        <w:rPr>
          <w:sz w:val="18"/>
          <w:szCs w:val="18"/>
        </w:rPr>
        <w:t>9.8 Nombre et proportion d'unités de services de transport accessibles aux personnes handicapées, ventilées par type de transport (par exemple bus, train, tram, métro, taxi, etc.) et par type de service (par exemple service public/service privé).</w:t>
      </w:r>
      <w:r>
        <w:rPr>
          <w:rStyle w:val="EndnoteReference"/>
          <w:sz w:val="18"/>
          <w:szCs w:val="18"/>
        </w:rPr>
        <w:t xml:space="preserve"> </w:t>
      </w:r>
      <w:r w:rsidRPr="000C6C47">
        <w:rPr>
          <w:rStyle w:val="EndnoteReference"/>
          <w:rFonts w:cstheme="minorHAnsi"/>
          <w:sz w:val="18"/>
          <w:szCs w:val="18"/>
        </w:rPr>
        <w:endnoteReference w:id="4"/>
      </w:r>
    </w:p>
    <w:p w14:paraId="292E3AEA" w14:textId="77777777" w:rsidR="007437FA" w:rsidRPr="000C6C47" w:rsidRDefault="007437FA" w:rsidP="000C6C47">
      <w:pPr>
        <w:spacing w:after="0" w:line="240" w:lineRule="auto"/>
        <w:jc w:val="both"/>
        <w:rPr>
          <w:rFonts w:cstheme="minorHAnsi"/>
          <w:sz w:val="18"/>
          <w:szCs w:val="18"/>
        </w:rPr>
      </w:pPr>
      <w:r>
        <w:rPr>
          <w:sz w:val="18"/>
          <w:szCs w:val="18"/>
        </w:rPr>
        <w:t>9.9 Mesures visant à promouvoir et à garantir l'accès à d'autres services de transport accessibles pour les personnes handicapées.</w:t>
      </w:r>
      <w:r w:rsidRPr="000C6C47">
        <w:rPr>
          <w:rStyle w:val="EndnoteReference"/>
          <w:rFonts w:cstheme="minorHAnsi"/>
          <w:sz w:val="18"/>
          <w:szCs w:val="18"/>
        </w:rPr>
        <w:endnoteReference w:id="5"/>
      </w:r>
    </w:p>
    <w:p w14:paraId="6D96FD98" w14:textId="77777777" w:rsidR="007437FA" w:rsidRPr="000C6C47" w:rsidRDefault="007437FA" w:rsidP="000C6C47">
      <w:pPr>
        <w:spacing w:after="0" w:line="240" w:lineRule="auto"/>
        <w:jc w:val="both"/>
        <w:rPr>
          <w:rFonts w:cstheme="minorHAnsi"/>
          <w:sz w:val="18"/>
          <w:szCs w:val="18"/>
        </w:rPr>
      </w:pPr>
      <w:r>
        <w:rPr>
          <w:sz w:val="18"/>
          <w:szCs w:val="18"/>
        </w:rPr>
        <w:t>9.10 Nombre et proportion de bâtiments et d'installations publics/gouvernementaux existants qui satisfont aux normes d'accessibilité.</w:t>
      </w:r>
    </w:p>
    <w:p w14:paraId="548BA136" w14:textId="77777777" w:rsidR="007437FA" w:rsidRPr="000C6C47" w:rsidRDefault="007437FA" w:rsidP="000C6C47">
      <w:pPr>
        <w:spacing w:after="0" w:line="240" w:lineRule="auto"/>
        <w:jc w:val="both"/>
        <w:rPr>
          <w:rFonts w:cstheme="minorHAnsi"/>
          <w:sz w:val="18"/>
          <w:szCs w:val="18"/>
        </w:rPr>
      </w:pPr>
      <w:r>
        <w:rPr>
          <w:sz w:val="18"/>
          <w:szCs w:val="18"/>
        </w:rPr>
        <w:t>9.11 Nombre et proportion de bâtiments nouvellement construits conformes aux normes d'accessibilité.</w:t>
      </w:r>
    </w:p>
    <w:p w14:paraId="0BB46B2A" w14:textId="77777777" w:rsidR="007437FA" w:rsidRPr="000C6C47" w:rsidRDefault="007437FA" w:rsidP="000C6C47">
      <w:pPr>
        <w:spacing w:after="0" w:line="240" w:lineRule="auto"/>
        <w:jc w:val="both"/>
        <w:rPr>
          <w:rFonts w:cstheme="minorHAnsi"/>
          <w:sz w:val="18"/>
          <w:szCs w:val="18"/>
        </w:rPr>
      </w:pPr>
      <w:r>
        <w:rPr>
          <w:sz w:val="18"/>
          <w:szCs w:val="18"/>
        </w:rPr>
        <w:t>9.12 Proportion de sites Web et d'applications gouvernementaux conformes aux normes d'accessibilité. (Idem 21.15)</w:t>
      </w:r>
    </w:p>
    <w:p w14:paraId="237FD5DE" w14:textId="77777777" w:rsidR="007437FA" w:rsidRPr="003B3AEB" w:rsidRDefault="007437FA" w:rsidP="000C6C47">
      <w:pPr>
        <w:spacing w:after="0" w:line="240" w:lineRule="auto"/>
        <w:jc w:val="both"/>
        <w:rPr>
          <w:rFonts w:cstheme="minorHAnsi"/>
          <w:sz w:val="18"/>
          <w:szCs w:val="18"/>
        </w:rPr>
      </w:pPr>
      <w:r>
        <w:rPr>
          <w:sz w:val="18"/>
          <w:szCs w:val="18"/>
        </w:rPr>
        <w:t>9.13 Proportion d'émissions télévisées et proportion de temps incluant l'interprétation en langue des signes, l'audiodescription, le sous-titrage et d'autres fonctionnalités et moyens liés à l'accessibilité, ventilée par propriété des médias (privés/publics), type de contenu (actualités/autres programmes, y compris les programmes pour enfants et les fonctionnalités d'accessibilité proposées.</w:t>
      </w:r>
      <w:r w:rsidRPr="003B3AEB">
        <w:rPr>
          <w:rStyle w:val="EndnoteReference"/>
          <w:rFonts w:cstheme="minorHAnsi"/>
          <w:sz w:val="18"/>
          <w:szCs w:val="18"/>
        </w:rPr>
        <w:endnoteReference w:id="6"/>
      </w:r>
    </w:p>
    <w:p w14:paraId="7A3C748B" w14:textId="77777777" w:rsidR="007437FA" w:rsidRPr="000C6C47" w:rsidRDefault="007437FA" w:rsidP="000C6C47">
      <w:pPr>
        <w:spacing w:after="0" w:line="240" w:lineRule="auto"/>
        <w:jc w:val="both"/>
        <w:rPr>
          <w:rFonts w:cstheme="minorHAnsi"/>
          <w:sz w:val="18"/>
          <w:szCs w:val="18"/>
        </w:rPr>
      </w:pPr>
      <w:r>
        <w:rPr>
          <w:sz w:val="18"/>
          <w:szCs w:val="18"/>
        </w:rPr>
        <w:t>9.14 Proportion de contenu disponible dans les services « à la demande » ou non linéaires (par exemple, les services de vidéo à la demande) qui comprennent l'interprétation en langue des signes, l'audiodescription, le sous-titrage et d'autres fonctionnalités et moyens liés à l'accessibilité, ventilé par propriété des médias (privés/public) et les fonctionnalités d'accessibilité proposées.</w:t>
      </w:r>
    </w:p>
    <w:p w14:paraId="248E8AFC" w14:textId="4A4825C8" w:rsidR="007437FA" w:rsidRPr="007437FA" w:rsidRDefault="007437FA">
      <w:pPr>
        <w:spacing w:after="0" w:line="240" w:lineRule="auto"/>
        <w:contextualSpacing/>
        <w:jc w:val="both"/>
        <w:rPr>
          <w:rFonts w:cstheme="minorHAnsi"/>
          <w:sz w:val="18"/>
          <w:szCs w:val="18"/>
        </w:rPr>
      </w:pPr>
      <w:r>
        <w:rPr>
          <w:sz w:val="18"/>
          <w:szCs w:val="18"/>
        </w:rPr>
        <w:t>9.15 Nombre de rapports publiés par les autorités publiques destinés au grand public dans des formats accessibles, ventilés par type de format et leur proportion par rapport au total des rapports publiés par les autorités publiques. (</w:t>
      </w:r>
      <w:proofErr w:type="gramStart"/>
      <w:r>
        <w:rPr>
          <w:sz w:val="18"/>
          <w:szCs w:val="18"/>
        </w:rPr>
        <w:t>idem</w:t>
      </w:r>
      <w:proofErr w:type="gramEnd"/>
      <w:r>
        <w:rPr>
          <w:sz w:val="18"/>
          <w:szCs w:val="18"/>
        </w:rPr>
        <w:t xml:space="preserve"> 21.16).</w:t>
      </w:r>
    </w:p>
    <w:p w14:paraId="0B76A384" w14:textId="77777777" w:rsidR="007437FA" w:rsidRDefault="007437FA" w:rsidP="000C2E4F">
      <w:pPr>
        <w:spacing w:after="0" w:line="240" w:lineRule="auto"/>
        <w:jc w:val="both"/>
        <w:rPr>
          <w:rFonts w:cstheme="minorHAnsi"/>
          <w:sz w:val="18"/>
          <w:szCs w:val="18"/>
        </w:rPr>
      </w:pPr>
      <w:r>
        <w:rPr>
          <w:sz w:val="18"/>
          <w:szCs w:val="18"/>
        </w:rPr>
        <w:t xml:space="preserve">9.16 Mise en œuvre d'audits d'accessibilité sur les installations, les services et les programmes gouvernementaux qui nécessitent la participation des personnes handicapées et de leurs organisations représentatives, y compris en ce qui concerne les protocoles, procédures, services et installations d'urgence. </w:t>
      </w:r>
    </w:p>
    <w:p w14:paraId="616BBABF" w14:textId="77777777" w:rsidR="007437FA" w:rsidRPr="000C6C47" w:rsidRDefault="007437FA" w:rsidP="000C2E4F">
      <w:pPr>
        <w:spacing w:after="0" w:line="240" w:lineRule="auto"/>
        <w:jc w:val="both"/>
        <w:rPr>
          <w:rFonts w:cstheme="minorHAnsi"/>
          <w:sz w:val="18"/>
          <w:szCs w:val="18"/>
        </w:rPr>
      </w:pPr>
      <w:r>
        <w:rPr>
          <w:sz w:val="18"/>
          <w:szCs w:val="18"/>
        </w:rPr>
        <w:t>9.17 Adoption d'orientations sur les marchés publics définissant des critères de conception et d'accessibilité universelles et exigeant que les produits et services incluent des caractéristiques et une conception accessibles.</w:t>
      </w:r>
      <w:r>
        <w:rPr>
          <w:rStyle w:val="EndnoteReference"/>
          <w:rFonts w:cstheme="minorHAnsi"/>
          <w:sz w:val="18"/>
          <w:szCs w:val="18"/>
        </w:rPr>
        <w:endnoteReference w:id="7"/>
      </w:r>
    </w:p>
    <w:p w14:paraId="7CE80946" w14:textId="77777777" w:rsidR="007437FA" w:rsidRPr="000C6C47" w:rsidRDefault="007437FA" w:rsidP="000C6C47">
      <w:pPr>
        <w:spacing w:after="0" w:line="240" w:lineRule="auto"/>
        <w:jc w:val="both"/>
        <w:rPr>
          <w:rFonts w:cstheme="minorHAnsi"/>
          <w:sz w:val="18"/>
          <w:szCs w:val="18"/>
        </w:rPr>
      </w:pPr>
      <w:r>
        <w:rPr>
          <w:sz w:val="18"/>
          <w:szCs w:val="18"/>
        </w:rPr>
        <w:t>9.18 Nombre et proportion de professionnels, en particulier ingénieurs, architectes, urbanistes, opérateurs de transport, concepteurs de sites Web, prestataires de services publics, opérateurs de médias, responsables des marchés publics et autres formés aux normes universelles de conception et d'accessibilité.</w:t>
      </w:r>
    </w:p>
    <w:p w14:paraId="6CB8C51A" w14:textId="77777777" w:rsidR="007437FA" w:rsidRDefault="007437FA" w:rsidP="000C6C47">
      <w:pPr>
        <w:spacing w:after="0" w:line="240" w:lineRule="auto"/>
        <w:jc w:val="both"/>
        <w:rPr>
          <w:rFonts w:cstheme="minorHAnsi"/>
          <w:sz w:val="18"/>
          <w:szCs w:val="18"/>
        </w:rPr>
      </w:pPr>
      <w:r>
        <w:rPr>
          <w:sz w:val="18"/>
          <w:szCs w:val="18"/>
        </w:rPr>
        <w:t>9.19 Campagnes et activités de sensibilisation pour promouvoir l'accessibilité dans tous les services ouverts au public et promouvoir la connaissance de la conception universelle et des normes d'accessibilité par les professionnels, fabricants et prestataires de services concernés, et informer les particuliers de leurs droits et responsabilités en matière d'accessibilité.</w:t>
      </w:r>
    </w:p>
    <w:p w14:paraId="076E6E42" w14:textId="77777777" w:rsidR="007437FA" w:rsidRPr="000C6C47" w:rsidRDefault="007437FA" w:rsidP="000C6C47">
      <w:pPr>
        <w:spacing w:after="0" w:line="240" w:lineRule="auto"/>
        <w:jc w:val="both"/>
        <w:rPr>
          <w:rFonts w:cstheme="minorHAnsi"/>
          <w:sz w:val="18"/>
          <w:szCs w:val="18"/>
        </w:rPr>
      </w:pPr>
      <w:r>
        <w:rPr>
          <w:sz w:val="18"/>
          <w:szCs w:val="18"/>
        </w:rPr>
        <w:t>9.20 Processus de consultation entrepris pour assurer la participation active des personnes handicapées, y compris par l’intermédiaire des organisations qui les représentent, à la conception, à la mise en œuvre et au suivi des lois, règlements, politiques et programmes, liés à l'accessibilité de l'environnement bâti, aux transports, à l'information et à la communication.</w:t>
      </w:r>
      <w:r w:rsidRPr="000C6C47">
        <w:rPr>
          <w:rStyle w:val="EndnoteReference"/>
          <w:rFonts w:cstheme="minorHAnsi"/>
          <w:sz w:val="18"/>
          <w:szCs w:val="18"/>
        </w:rPr>
        <w:endnoteReference w:id="8"/>
      </w:r>
    </w:p>
    <w:p w14:paraId="32889E89" w14:textId="77777777" w:rsidR="007437FA" w:rsidRPr="000C6C47" w:rsidRDefault="007437FA" w:rsidP="000C6C47">
      <w:pPr>
        <w:spacing w:after="0" w:line="240" w:lineRule="auto"/>
        <w:jc w:val="both"/>
        <w:rPr>
          <w:rFonts w:cstheme="minorHAnsi"/>
          <w:sz w:val="18"/>
          <w:szCs w:val="18"/>
        </w:rPr>
      </w:pPr>
      <w:r>
        <w:rPr>
          <w:sz w:val="18"/>
          <w:szCs w:val="18"/>
        </w:rPr>
        <w:t>9.21 Proportion de plaintes reçues concernant l'accessibilité des personnes handicapées qui ont fait l'objet d'une enquête et d'une décision ; proportion de celles jugées en faveur du plaignant ; et proportion de ces dernières qui ont été respectées par le gouvernement et/ou le détenteur d'obligations ; à chaque fois ventilée par type de mécanisme.</w:t>
      </w:r>
    </w:p>
    <w:p w14:paraId="082BD5A7" w14:textId="77777777" w:rsidR="007437FA" w:rsidRDefault="007437FA" w:rsidP="000C6C47">
      <w:pPr>
        <w:spacing w:after="0" w:line="240" w:lineRule="auto"/>
        <w:jc w:val="both"/>
        <w:rPr>
          <w:b/>
          <w:sz w:val="18"/>
          <w:szCs w:val="18"/>
        </w:rPr>
      </w:pPr>
    </w:p>
    <w:p w14:paraId="3E36CF54" w14:textId="0DABD249" w:rsidR="007437FA" w:rsidRPr="000C6C47" w:rsidRDefault="007437FA" w:rsidP="000C6C47">
      <w:pPr>
        <w:spacing w:after="0" w:line="240" w:lineRule="auto"/>
        <w:jc w:val="both"/>
        <w:rPr>
          <w:rFonts w:cstheme="minorHAnsi"/>
          <w:b/>
          <w:sz w:val="18"/>
          <w:szCs w:val="18"/>
        </w:rPr>
      </w:pPr>
      <w:r>
        <w:rPr>
          <w:b/>
          <w:sz w:val="18"/>
          <w:szCs w:val="18"/>
        </w:rPr>
        <w:t>Indicateurs de Résultat</w:t>
      </w:r>
    </w:p>
    <w:p w14:paraId="57BC9006" w14:textId="77777777" w:rsidR="007437FA" w:rsidRPr="000C6C47" w:rsidRDefault="007437FA" w:rsidP="001D0239">
      <w:pPr>
        <w:spacing w:after="0" w:line="240" w:lineRule="auto"/>
        <w:jc w:val="both"/>
        <w:rPr>
          <w:rFonts w:cstheme="minorHAnsi"/>
          <w:sz w:val="18"/>
          <w:szCs w:val="18"/>
        </w:rPr>
      </w:pPr>
      <w:r>
        <w:rPr>
          <w:sz w:val="18"/>
          <w:szCs w:val="18"/>
        </w:rPr>
        <w:t xml:space="preserve">9.22 </w:t>
      </w:r>
      <w:r w:rsidRPr="001D0239">
        <w:rPr>
          <w:sz w:val="18"/>
          <w:szCs w:val="18"/>
        </w:rPr>
        <w:t>Proportion de la population ayant aisément accès aux transports publics, par âge, sexe et situation au regard du handicap</w:t>
      </w:r>
      <w:r>
        <w:rPr>
          <w:sz w:val="18"/>
          <w:szCs w:val="18"/>
        </w:rPr>
        <w:t xml:space="preserve"> (ODD 11.2.1).</w:t>
      </w:r>
      <w:r>
        <w:t xml:space="preserve"> </w:t>
      </w:r>
    </w:p>
    <w:p w14:paraId="77EE0D18" w14:textId="77777777" w:rsidR="007437FA" w:rsidRPr="000C6C47" w:rsidRDefault="007437FA" w:rsidP="000C6C47">
      <w:pPr>
        <w:spacing w:after="0" w:line="240" w:lineRule="auto"/>
        <w:jc w:val="both"/>
        <w:rPr>
          <w:rFonts w:cstheme="minorHAnsi"/>
          <w:sz w:val="18"/>
          <w:szCs w:val="18"/>
        </w:rPr>
      </w:pPr>
      <w:r>
        <w:rPr>
          <w:sz w:val="18"/>
          <w:szCs w:val="18"/>
        </w:rPr>
        <w:t xml:space="preserve">9.23 </w:t>
      </w:r>
      <w:r w:rsidRPr="001D0239">
        <w:rPr>
          <w:sz w:val="18"/>
          <w:szCs w:val="18"/>
        </w:rPr>
        <w:t xml:space="preserve">Proportion moyenne de la surface urbaine construite consacrée à des espaces publics, par sexe, âge et situation au regard du handicap </w:t>
      </w:r>
      <w:r>
        <w:rPr>
          <w:sz w:val="18"/>
          <w:szCs w:val="18"/>
        </w:rPr>
        <w:t>(ODD 11.7.1).</w:t>
      </w:r>
    </w:p>
    <w:p w14:paraId="02794689" w14:textId="77777777" w:rsidR="007437FA" w:rsidRPr="000C6C47" w:rsidRDefault="007437FA" w:rsidP="00BD5D3F">
      <w:pPr>
        <w:spacing w:after="120" w:line="240" w:lineRule="auto"/>
        <w:jc w:val="both"/>
        <w:rPr>
          <w:rFonts w:cstheme="minorHAnsi"/>
          <w:sz w:val="18"/>
          <w:szCs w:val="18"/>
        </w:rPr>
      </w:pPr>
      <w:r>
        <w:rPr>
          <w:sz w:val="18"/>
          <w:szCs w:val="18"/>
        </w:rPr>
        <w:t>9.24 Proportion de personnes handicapées déclarant avoir accès aux bâtiments publics dans les zones urbaines et rurales, y compris les bâtiments gouvernementaux dans les capitales nationales et régionales.</w:t>
      </w:r>
    </w:p>
    <w:p w14:paraId="0193B025" w14:textId="77777777" w:rsidR="007437FA" w:rsidRPr="000C6C47" w:rsidRDefault="007437FA" w:rsidP="000C6C47">
      <w:pPr>
        <w:spacing w:after="0" w:line="240" w:lineRule="auto"/>
        <w:jc w:val="both"/>
        <w:rPr>
          <w:rFonts w:cstheme="minorHAnsi"/>
          <w:sz w:val="18"/>
          <w:szCs w:val="18"/>
        </w:rPr>
      </w:pPr>
      <w:r>
        <w:rPr>
          <w:sz w:val="18"/>
          <w:szCs w:val="18"/>
        </w:rPr>
        <w:lastRenderedPageBreak/>
        <w:t xml:space="preserve">9.25 </w:t>
      </w:r>
      <w:r w:rsidRPr="001D0239">
        <w:rPr>
          <w:sz w:val="18"/>
          <w:szCs w:val="18"/>
        </w:rPr>
        <w:t xml:space="preserve">Proportion de la population utilisant </w:t>
      </w:r>
      <w:r>
        <w:rPr>
          <w:sz w:val="18"/>
          <w:szCs w:val="18"/>
        </w:rPr>
        <w:t xml:space="preserve">Internet (indicateur ODD 17.8.1), ventilée par âge, sexe et handicap. </w:t>
      </w:r>
    </w:p>
    <w:p w14:paraId="19D91BAA" w14:textId="77777777" w:rsidR="007437FA" w:rsidRPr="000C6C47" w:rsidRDefault="007437FA" w:rsidP="000C6C47">
      <w:pPr>
        <w:spacing w:after="0" w:line="240" w:lineRule="auto"/>
        <w:jc w:val="both"/>
        <w:rPr>
          <w:rFonts w:cstheme="minorHAnsi"/>
          <w:sz w:val="18"/>
          <w:szCs w:val="18"/>
        </w:rPr>
      </w:pPr>
      <w:r>
        <w:rPr>
          <w:sz w:val="18"/>
          <w:szCs w:val="18"/>
        </w:rPr>
        <w:t>9.26 Proportion de personnes handicapées se déclarant satisfaites de leur accès aux services d'urgence via d'autres moyens de communication, ventilées par sexe, âge et handicap.</w:t>
      </w:r>
    </w:p>
    <w:p w14:paraId="39071747" w14:textId="77777777" w:rsidR="007437FA" w:rsidRPr="000C6C47" w:rsidRDefault="007437FA" w:rsidP="00B71D81">
      <w:pPr>
        <w:spacing w:after="0" w:line="240" w:lineRule="auto"/>
        <w:jc w:val="both"/>
        <w:rPr>
          <w:rFonts w:cstheme="minorHAnsi"/>
          <w:sz w:val="18"/>
          <w:szCs w:val="18"/>
        </w:rPr>
      </w:pPr>
      <w:r>
        <w:rPr>
          <w:sz w:val="18"/>
          <w:szCs w:val="18"/>
        </w:rPr>
        <w:t>9.27 Proportion de personnes handicapées autorisées à utiliser d'autres moyens de communication</w:t>
      </w:r>
      <w:r w:rsidRPr="000C6C47">
        <w:rPr>
          <w:rStyle w:val="EndnoteReference"/>
          <w:rFonts w:cstheme="minorHAnsi"/>
          <w:sz w:val="18"/>
          <w:szCs w:val="18"/>
        </w:rPr>
        <w:endnoteReference w:id="9"/>
      </w:r>
      <w:r>
        <w:rPr>
          <w:sz w:val="18"/>
          <w:szCs w:val="18"/>
        </w:rPr>
        <w:t xml:space="preserve"> dans les interactions officielles, ventilées par type de service public utilisé, sexe, âge et handicap.</w:t>
      </w:r>
    </w:p>
    <w:p w14:paraId="26FE20A3" w14:textId="5DA1568C" w:rsidR="0073485C" w:rsidRDefault="0073485C" w:rsidP="00220F2F">
      <w:pPr>
        <w:spacing w:after="0" w:line="240" w:lineRule="auto"/>
        <w:contextualSpacing/>
        <w:jc w:val="both"/>
        <w:rPr>
          <w:rFonts w:cstheme="minorHAnsi"/>
          <w:sz w:val="18"/>
          <w:szCs w:val="18"/>
        </w:rPr>
      </w:pPr>
    </w:p>
    <w:p w14:paraId="118230D3" w14:textId="4F2E44AD" w:rsidR="0072566D" w:rsidRPr="00C154B3" w:rsidRDefault="0072566D" w:rsidP="00220F2F">
      <w:pPr>
        <w:spacing w:after="0" w:line="240" w:lineRule="auto"/>
        <w:contextualSpacing/>
        <w:jc w:val="both"/>
        <w:rPr>
          <w:rFonts w:cstheme="minorHAnsi"/>
          <w:sz w:val="18"/>
          <w:szCs w:val="18"/>
        </w:rPr>
      </w:pPr>
      <w:r>
        <w:rPr>
          <w:rFonts w:cstheme="minorHAnsi"/>
          <w:sz w:val="18"/>
          <w:szCs w:val="18"/>
        </w:rPr>
        <w:t>*Veuillez consulter</w:t>
      </w:r>
      <w:r w:rsidR="00502F95">
        <w:rPr>
          <w:rFonts w:cstheme="minorHAnsi"/>
          <w:sz w:val="18"/>
          <w:szCs w:val="18"/>
        </w:rPr>
        <w:t xml:space="preserve"> </w:t>
      </w:r>
      <w:hyperlink r:id="rId11" w:history="1">
        <w:r w:rsidR="00502F95" w:rsidRPr="00846B28">
          <w:rPr>
            <w:rStyle w:val="Hyperlink"/>
            <w:rFonts w:cstheme="minorHAnsi"/>
            <w:sz w:val="18"/>
            <w:szCs w:val="18"/>
          </w:rPr>
          <w:t>l’Observation G</w:t>
        </w:r>
        <w:r w:rsidR="00502F95" w:rsidRPr="00846B28">
          <w:rPr>
            <w:rStyle w:val="Hyperlink"/>
            <w:sz w:val="18"/>
            <w:szCs w:val="18"/>
          </w:rPr>
          <w:t>énérale no 2</w:t>
        </w:r>
      </w:hyperlink>
      <w:r w:rsidR="00502F95">
        <w:rPr>
          <w:sz w:val="18"/>
          <w:szCs w:val="18"/>
        </w:rPr>
        <w:t xml:space="preserve"> du Comité CDPH sur l’accessibilité.</w:t>
      </w:r>
    </w:p>
    <w:sectPr w:rsidR="0072566D" w:rsidRPr="00C154B3" w:rsidSect="00C154B3">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54ABB" w14:textId="77777777" w:rsidR="001E7728" w:rsidRDefault="001E7728" w:rsidP="0064710C">
      <w:pPr>
        <w:spacing w:after="0" w:line="240" w:lineRule="auto"/>
      </w:pPr>
      <w:r>
        <w:separator/>
      </w:r>
    </w:p>
  </w:endnote>
  <w:endnote w:type="continuationSeparator" w:id="0">
    <w:p w14:paraId="6BB39FC6" w14:textId="77777777" w:rsidR="001E7728" w:rsidRDefault="001E7728" w:rsidP="0064710C">
      <w:pPr>
        <w:spacing w:after="0" w:line="240" w:lineRule="auto"/>
      </w:pPr>
      <w:r>
        <w:continuationSeparator/>
      </w:r>
    </w:p>
  </w:endnote>
  <w:endnote w:id="1">
    <w:p w14:paraId="6014D34B" w14:textId="77777777" w:rsidR="007437FA" w:rsidRPr="000F2C92" w:rsidRDefault="007437FA" w:rsidP="000C6C47">
      <w:pPr>
        <w:pStyle w:val="NoSpacing"/>
        <w:rPr>
          <w:rFonts w:cstheme="minorHAnsi"/>
          <w:sz w:val="18"/>
          <w:szCs w:val="18"/>
        </w:rPr>
      </w:pPr>
      <w:r>
        <w:rPr>
          <w:rStyle w:val="EndnoteReference"/>
          <w:rFonts w:cstheme="minorHAnsi"/>
          <w:sz w:val="18"/>
          <w:szCs w:val="18"/>
        </w:rPr>
        <w:endnoteRef/>
      </w:r>
      <w:r>
        <w:t xml:space="preserve"> </w:t>
      </w:r>
      <w:r>
        <w:rPr>
          <w:sz w:val="18"/>
          <w:szCs w:val="18"/>
        </w:rPr>
        <w:t>Devrait contenir au moins les éléments suivants :</w:t>
      </w:r>
    </w:p>
    <w:p w14:paraId="19FAC1C2" w14:textId="77777777" w:rsidR="007437FA" w:rsidRPr="000F2C92" w:rsidRDefault="007437FA" w:rsidP="000C6C47">
      <w:pPr>
        <w:pStyle w:val="NoSpacing"/>
        <w:numPr>
          <w:ilvl w:val="0"/>
          <w:numId w:val="11"/>
        </w:numPr>
        <w:rPr>
          <w:rFonts w:cstheme="minorHAnsi"/>
          <w:sz w:val="18"/>
          <w:szCs w:val="18"/>
        </w:rPr>
      </w:pPr>
      <w:r>
        <w:rPr>
          <w:sz w:val="18"/>
          <w:szCs w:val="18"/>
        </w:rPr>
        <w:t>Application du principe de conception universelle dans l'élaboration de normes et de directives d'accessibilité ;</w:t>
      </w:r>
    </w:p>
    <w:p w14:paraId="43E7FD54" w14:textId="77777777" w:rsidR="007437FA" w:rsidRPr="000F2C92" w:rsidRDefault="007437FA" w:rsidP="000C6C47">
      <w:pPr>
        <w:pStyle w:val="NoSpacing"/>
        <w:numPr>
          <w:ilvl w:val="0"/>
          <w:numId w:val="11"/>
        </w:numPr>
        <w:rPr>
          <w:rFonts w:cstheme="minorHAnsi"/>
          <w:sz w:val="18"/>
          <w:szCs w:val="18"/>
        </w:rPr>
      </w:pPr>
      <w:r>
        <w:rPr>
          <w:sz w:val="18"/>
          <w:szCs w:val="18"/>
        </w:rPr>
        <w:t>Obligation de se conformer aux normes techniques sectorielles ;</w:t>
      </w:r>
    </w:p>
    <w:p w14:paraId="35EE4ECA" w14:textId="77777777" w:rsidR="007437FA" w:rsidRPr="000F2C92" w:rsidRDefault="007437FA" w:rsidP="000C6C47">
      <w:pPr>
        <w:pStyle w:val="NoSpacing"/>
        <w:numPr>
          <w:ilvl w:val="0"/>
          <w:numId w:val="11"/>
        </w:numPr>
        <w:rPr>
          <w:rFonts w:cstheme="minorHAnsi"/>
          <w:sz w:val="18"/>
          <w:szCs w:val="18"/>
        </w:rPr>
      </w:pPr>
      <w:r>
        <w:rPr>
          <w:sz w:val="18"/>
          <w:szCs w:val="18"/>
        </w:rPr>
        <w:t>Disponibilité de sanctions dissuasives efficaces en cas de violation des normes d'accessibilité ;</w:t>
      </w:r>
    </w:p>
    <w:p w14:paraId="12517BF8" w14:textId="77777777" w:rsidR="007437FA" w:rsidRPr="000F2C92" w:rsidRDefault="007437FA" w:rsidP="000C6C47">
      <w:pPr>
        <w:pStyle w:val="NoSpacing"/>
        <w:numPr>
          <w:ilvl w:val="0"/>
          <w:numId w:val="11"/>
        </w:numPr>
        <w:rPr>
          <w:rFonts w:cstheme="minorHAnsi"/>
          <w:sz w:val="18"/>
          <w:szCs w:val="18"/>
        </w:rPr>
      </w:pPr>
      <w:r>
        <w:rPr>
          <w:sz w:val="18"/>
          <w:szCs w:val="18"/>
        </w:rPr>
        <w:t>Création d'une entité indépendante pour contrôler le respect des normes d'accessibilité ;</w:t>
      </w:r>
    </w:p>
    <w:p w14:paraId="5B0D91BD" w14:textId="77777777" w:rsidR="007437FA" w:rsidRPr="000F2C92" w:rsidRDefault="007437FA" w:rsidP="000C6C47">
      <w:pPr>
        <w:pStyle w:val="NoSpacing"/>
        <w:numPr>
          <w:ilvl w:val="0"/>
          <w:numId w:val="11"/>
        </w:numPr>
        <w:rPr>
          <w:rFonts w:cstheme="minorHAnsi"/>
          <w:sz w:val="18"/>
          <w:szCs w:val="18"/>
        </w:rPr>
      </w:pPr>
      <w:r>
        <w:rPr>
          <w:sz w:val="18"/>
          <w:szCs w:val="18"/>
        </w:rPr>
        <w:t>Inclusion de technologies et d'appareils d'assistance et de l'assistance humaine ou animale dans la définition de l'accessibilité ;</w:t>
      </w:r>
    </w:p>
    <w:p w14:paraId="329CE5CA" w14:textId="77777777" w:rsidR="007437FA" w:rsidRPr="000F2C92" w:rsidRDefault="007437FA" w:rsidP="000C6C47">
      <w:pPr>
        <w:pStyle w:val="NoSpacing"/>
        <w:numPr>
          <w:ilvl w:val="0"/>
          <w:numId w:val="11"/>
        </w:numPr>
        <w:rPr>
          <w:rFonts w:cstheme="minorHAnsi"/>
          <w:sz w:val="18"/>
          <w:szCs w:val="18"/>
        </w:rPr>
      </w:pPr>
      <w:r>
        <w:rPr>
          <w:sz w:val="18"/>
          <w:szCs w:val="18"/>
        </w:rPr>
        <w:t>Respect des normes d'accessibilité dans tous les marchés publics, subventions et autres modalités de financement ;</w:t>
      </w:r>
    </w:p>
    <w:p w14:paraId="48283FF6" w14:textId="77777777" w:rsidR="007437FA" w:rsidRPr="000F2C92" w:rsidRDefault="007437FA" w:rsidP="000F2C92">
      <w:pPr>
        <w:pStyle w:val="NoSpacing"/>
        <w:numPr>
          <w:ilvl w:val="0"/>
          <w:numId w:val="11"/>
        </w:numPr>
        <w:jc w:val="both"/>
        <w:rPr>
          <w:rFonts w:cstheme="minorHAnsi"/>
          <w:sz w:val="18"/>
          <w:szCs w:val="18"/>
        </w:rPr>
      </w:pPr>
      <w:r>
        <w:rPr>
          <w:sz w:val="18"/>
          <w:szCs w:val="18"/>
        </w:rPr>
        <w:t>Obligation de consulter étroitement les organisations représentatives de personnes handicapées dans toutes les initiatives liées à l'accessibilité ;</w:t>
      </w:r>
    </w:p>
    <w:p w14:paraId="4B2AA871" w14:textId="77777777" w:rsidR="007437FA" w:rsidRPr="000F2C92" w:rsidRDefault="007437FA" w:rsidP="000F2C92">
      <w:pPr>
        <w:pStyle w:val="NoSpacing"/>
        <w:numPr>
          <w:ilvl w:val="0"/>
          <w:numId w:val="11"/>
        </w:numPr>
        <w:jc w:val="both"/>
        <w:rPr>
          <w:rFonts w:cstheme="minorHAnsi"/>
          <w:sz w:val="18"/>
          <w:szCs w:val="18"/>
        </w:rPr>
      </w:pPr>
      <w:r>
        <w:rPr>
          <w:sz w:val="18"/>
          <w:szCs w:val="18"/>
        </w:rPr>
        <w:t>Incitations favorisant l'accessibilité, telles que des exonérations fiscales pour les modifications d'accessibilité des appareils, pour l'importation/exportation des technologies/appareils d'assistance appropriés, des véhicules et une aide financière pour l'achat d'appareils et accessoires fonctionnels, d'appareils de communication ou de modifications domiciliaires ;</w:t>
      </w:r>
    </w:p>
    <w:p w14:paraId="3E8CDC5B" w14:textId="77777777" w:rsidR="007437FA" w:rsidRPr="000F2C92" w:rsidRDefault="007437FA" w:rsidP="000F2C92">
      <w:pPr>
        <w:pStyle w:val="EndnoteText"/>
        <w:numPr>
          <w:ilvl w:val="0"/>
          <w:numId w:val="11"/>
        </w:numPr>
        <w:ind w:left="714" w:hanging="357"/>
        <w:jc w:val="both"/>
        <w:rPr>
          <w:rFonts w:cstheme="minorHAnsi"/>
          <w:sz w:val="18"/>
          <w:szCs w:val="18"/>
        </w:rPr>
      </w:pPr>
      <w:r>
        <w:rPr>
          <w:sz w:val="18"/>
          <w:szCs w:val="18"/>
        </w:rPr>
        <w:t>Inclusion de modules d'accessibilité et de conception universelle dans les programmes d'enseignement des professions concernées.</w:t>
      </w:r>
    </w:p>
  </w:endnote>
  <w:endnote w:id="2">
    <w:p w14:paraId="3CEE58B7" w14:textId="77777777" w:rsidR="007437FA" w:rsidRPr="000F2C92" w:rsidRDefault="007437FA" w:rsidP="000F2C9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Cet indicateur fait référence, par exemple, aux dispositions sur l'accessibilité dans le cadre de la législation sur les télécommunications, les codes de radiodiffusion et les réglementations connexes, et concernant Internet, les technologies numériques, le téléphone, y compris les services de relais de télécommunications et la téléphonie mobile. Les « médias sociaux » comprennent les sites Web, les plateformes en ligne et les applications mobiles. Voir par exemple le</w:t>
      </w:r>
      <w:r>
        <w:t xml:space="preserve"> </w:t>
      </w:r>
      <w:hyperlink r:id="rId1" w:history="1">
        <w:r>
          <w:rPr>
            <w:rStyle w:val="Hyperlink"/>
            <w:sz w:val="18"/>
            <w:szCs w:val="18"/>
          </w:rPr>
          <w:t>supplément 17 de la série UIT-T H</w:t>
        </w:r>
      </w:hyperlink>
      <w:r>
        <w:t xml:space="preserve"> </w:t>
      </w:r>
      <w:r>
        <w:rPr>
          <w:sz w:val="18"/>
          <w:szCs w:val="18"/>
        </w:rPr>
        <w:t>| Guide ISO/CEI 71 : Guide pour aborder l'accessibilité dans les normes et</w:t>
      </w:r>
      <w:r>
        <w:t xml:space="preserve"> </w:t>
      </w:r>
      <w:hyperlink r:id="rId2" w:history="1">
        <w:r>
          <w:rPr>
            <w:rStyle w:val="Hyperlink"/>
            <w:sz w:val="18"/>
            <w:szCs w:val="18"/>
          </w:rPr>
          <w:t>UIT-T F.790</w:t>
        </w:r>
      </w:hyperlink>
      <w:r>
        <w:t> </w:t>
      </w:r>
      <w:r>
        <w:rPr>
          <w:sz w:val="18"/>
          <w:szCs w:val="18"/>
        </w:rPr>
        <w:t xml:space="preserve">: Lignes directrices sur l'accessibilité des télécommunications pour les personnes âgées et les personnes handicapées. Pour plus d'informations, voir https://www.itu.int/en/ITU-T/accessibility/Pages/default.aspx </w:t>
      </w:r>
    </w:p>
  </w:endnote>
  <w:endnote w:id="3">
    <w:p w14:paraId="1ECE2D2A" w14:textId="77777777" w:rsidR="007437FA" w:rsidRPr="000F2C92" w:rsidRDefault="007437FA" w:rsidP="000C6C47">
      <w:pPr>
        <w:pStyle w:val="EndnoteText"/>
        <w:rPr>
          <w:rFonts w:cstheme="minorHAnsi"/>
          <w:sz w:val="18"/>
          <w:szCs w:val="18"/>
        </w:rPr>
      </w:pPr>
      <w:r>
        <w:rPr>
          <w:rStyle w:val="EndnoteReference"/>
          <w:rFonts w:cstheme="minorHAnsi"/>
          <w:sz w:val="18"/>
          <w:szCs w:val="18"/>
        </w:rPr>
        <w:endnoteRef/>
      </w:r>
      <w:r>
        <w:t xml:space="preserve"> </w:t>
      </w:r>
      <w:r>
        <w:rPr>
          <w:sz w:val="18"/>
          <w:szCs w:val="18"/>
        </w:rPr>
        <w:t xml:space="preserve">Cela devrait inclure </w:t>
      </w:r>
      <w:proofErr w:type="gramStart"/>
      <w:r>
        <w:rPr>
          <w:sz w:val="18"/>
          <w:szCs w:val="18"/>
        </w:rPr>
        <w:t>des dispositions sur</w:t>
      </w:r>
      <w:proofErr w:type="gramEnd"/>
      <w:r>
        <w:rPr>
          <w:sz w:val="18"/>
          <w:szCs w:val="18"/>
        </w:rPr>
        <w:t> :</w:t>
      </w:r>
    </w:p>
    <w:p w14:paraId="66A75F13" w14:textId="77777777" w:rsidR="007437FA" w:rsidRPr="000F2C92" w:rsidRDefault="007437FA" w:rsidP="000C6C47">
      <w:pPr>
        <w:pStyle w:val="ListParagraph"/>
        <w:numPr>
          <w:ilvl w:val="0"/>
          <w:numId w:val="9"/>
        </w:numPr>
        <w:spacing w:after="0" w:line="240" w:lineRule="auto"/>
        <w:ind w:left="714" w:hanging="357"/>
        <w:rPr>
          <w:rFonts w:cstheme="minorHAnsi"/>
          <w:sz w:val="18"/>
          <w:szCs w:val="18"/>
        </w:rPr>
      </w:pPr>
      <w:r>
        <w:rPr>
          <w:sz w:val="18"/>
          <w:szCs w:val="18"/>
        </w:rPr>
        <w:t>L'adoption de normes techniques obligatoires pour l'accès sans obstacle qui régissent l'approbation de tous les modèles de moyens de transport, de bâtiments et de services liés aux TIC sont adoptées en étroite consultation avec les organisations représentatives de personnes handicapées et en tenant compte des normes internationalement reconnues ;</w:t>
      </w:r>
    </w:p>
    <w:p w14:paraId="3DF74C4C" w14:textId="77777777" w:rsidR="007437FA" w:rsidRPr="000F2C92" w:rsidRDefault="007437FA" w:rsidP="000C6C47">
      <w:pPr>
        <w:pStyle w:val="ListParagraph"/>
        <w:numPr>
          <w:ilvl w:val="0"/>
          <w:numId w:val="9"/>
        </w:numPr>
        <w:spacing w:after="0" w:line="240" w:lineRule="auto"/>
        <w:ind w:left="714" w:hanging="357"/>
        <w:rPr>
          <w:rFonts w:cstheme="minorHAnsi"/>
          <w:sz w:val="18"/>
          <w:szCs w:val="18"/>
        </w:rPr>
      </w:pPr>
      <w:r>
        <w:rPr>
          <w:sz w:val="18"/>
          <w:szCs w:val="18"/>
        </w:rPr>
        <w:t>Obligation d'entreprendre un audit initial et périodique pour identifier les obstacles à l'accessibilité de l'environnement physique et des transports, des bâtiments et des installations et des services ouverts au public, et des technologies des TIC, et de vérifier l'utilisation des fonds publics pour contribuer à la suppression ou supprimer les obstacles, réalisée en participation étroite et continue des organisations représentatives des personnes handicapées.</w:t>
      </w:r>
    </w:p>
  </w:endnote>
  <w:endnote w:id="4">
    <w:p w14:paraId="5336C4C4" w14:textId="77777777" w:rsidR="007437FA" w:rsidRPr="000F2C92" w:rsidRDefault="007437FA" w:rsidP="000C6C47">
      <w:pPr>
        <w:pStyle w:val="EndnoteText"/>
        <w:rPr>
          <w:rFonts w:cstheme="minorHAnsi"/>
          <w:sz w:val="18"/>
          <w:szCs w:val="18"/>
        </w:rPr>
      </w:pPr>
      <w:r>
        <w:rPr>
          <w:rStyle w:val="EndnoteReference"/>
          <w:rFonts w:cstheme="minorHAnsi"/>
          <w:sz w:val="18"/>
          <w:szCs w:val="18"/>
        </w:rPr>
        <w:endnoteRef/>
      </w:r>
      <w:r>
        <w:t xml:space="preserve"> </w:t>
      </w:r>
      <w:r>
        <w:rPr>
          <w:sz w:val="18"/>
          <w:szCs w:val="18"/>
        </w:rPr>
        <w:t>Selon la législation régissant le système de transport, différents critères de ventilation peuvent être pertinents.</w:t>
      </w:r>
    </w:p>
  </w:endnote>
  <w:endnote w:id="5">
    <w:p w14:paraId="77278624" w14:textId="77777777" w:rsidR="007437FA" w:rsidRPr="000F2C92" w:rsidRDefault="007437FA" w:rsidP="000C6C47">
      <w:pPr>
        <w:pStyle w:val="EndnoteText"/>
        <w:rPr>
          <w:rFonts w:cstheme="minorHAnsi"/>
          <w:sz w:val="18"/>
          <w:szCs w:val="18"/>
        </w:rPr>
      </w:pPr>
      <w:r>
        <w:rPr>
          <w:rStyle w:val="EndnoteReference"/>
          <w:rFonts w:cstheme="minorHAnsi"/>
          <w:sz w:val="18"/>
          <w:szCs w:val="18"/>
        </w:rPr>
        <w:endnoteRef/>
      </w:r>
      <w:r>
        <w:t xml:space="preserve"> </w:t>
      </w:r>
      <w:r>
        <w:rPr>
          <w:sz w:val="18"/>
          <w:szCs w:val="18"/>
        </w:rPr>
        <w:t>Différentes mesures pourraient être prévues, par exemple des services de transport adapté ; des subventions ou allocations aux personnes handicapées pour accéder à d'autres moyens de transport accessibles ; etc.</w:t>
      </w:r>
    </w:p>
  </w:endnote>
  <w:endnote w:id="6">
    <w:p w14:paraId="42520558" w14:textId="77777777" w:rsidR="007437FA" w:rsidRPr="000F2C92" w:rsidRDefault="007437FA">
      <w:pPr>
        <w:pStyle w:val="EndnoteText"/>
        <w:rPr>
          <w:rFonts w:cstheme="minorHAnsi"/>
          <w:sz w:val="18"/>
          <w:szCs w:val="18"/>
        </w:rPr>
      </w:pPr>
      <w:r>
        <w:rPr>
          <w:rStyle w:val="EndnoteReference"/>
          <w:rFonts w:cstheme="minorHAnsi"/>
          <w:sz w:val="18"/>
          <w:szCs w:val="18"/>
        </w:rPr>
        <w:endnoteRef/>
      </w:r>
      <w:r>
        <w:t xml:space="preserve"> </w:t>
      </w:r>
      <w:r>
        <w:rPr>
          <w:sz w:val="18"/>
          <w:szCs w:val="18"/>
        </w:rPr>
        <w:t>Voir la Recommandation UIT-T H.702 décrivant les fonctions d'affichage des informations d'accessibilité telles que les sous-titres, la langue des signes et l'audiodescription.</w:t>
      </w:r>
    </w:p>
  </w:endnote>
  <w:endnote w:id="7">
    <w:p w14:paraId="5FA3DAF5" w14:textId="77777777" w:rsidR="007437FA" w:rsidRPr="000F2C92" w:rsidRDefault="007437FA" w:rsidP="00102BC5">
      <w:pPr>
        <w:pStyle w:val="EndnoteText"/>
        <w:rPr>
          <w:rFonts w:cstheme="minorHAnsi"/>
          <w:sz w:val="18"/>
          <w:szCs w:val="18"/>
        </w:rPr>
      </w:pPr>
      <w:r>
        <w:rPr>
          <w:rStyle w:val="EndnoteReference"/>
          <w:rFonts w:cstheme="minorHAnsi"/>
          <w:sz w:val="18"/>
          <w:szCs w:val="18"/>
        </w:rPr>
        <w:endnoteRef/>
      </w:r>
      <w:r>
        <w:t xml:space="preserve"> </w:t>
      </w:r>
      <w:r>
        <w:rPr>
          <w:sz w:val="18"/>
          <w:szCs w:val="18"/>
        </w:rPr>
        <w:t xml:space="preserve">Les orientations peuvent définir des critères exigeant : </w:t>
      </w:r>
    </w:p>
    <w:p w14:paraId="2C13C89D" w14:textId="77777777" w:rsidR="007437FA" w:rsidRPr="000F2C92" w:rsidRDefault="007437FA" w:rsidP="00102BC5">
      <w:pPr>
        <w:pStyle w:val="EndnoteText"/>
        <w:rPr>
          <w:rFonts w:cstheme="minorHAnsi"/>
          <w:sz w:val="18"/>
          <w:szCs w:val="18"/>
        </w:rPr>
      </w:pPr>
      <w:r>
        <w:rPr>
          <w:sz w:val="18"/>
          <w:szCs w:val="18"/>
        </w:rPr>
        <w:t>- des plans d’appel d’offres et de passation des marchés qui incluent des spécifications d'accessibilité.</w:t>
      </w:r>
    </w:p>
    <w:p w14:paraId="0E040030" w14:textId="77777777" w:rsidR="007437FA" w:rsidRPr="000F2C92" w:rsidRDefault="007437FA" w:rsidP="00102BC5">
      <w:pPr>
        <w:pStyle w:val="EndnoteText"/>
        <w:rPr>
          <w:rFonts w:cstheme="minorHAnsi"/>
          <w:sz w:val="18"/>
          <w:szCs w:val="18"/>
        </w:rPr>
      </w:pPr>
      <w:r>
        <w:rPr>
          <w:sz w:val="18"/>
          <w:szCs w:val="18"/>
        </w:rPr>
        <w:t>- des spécifications sur l'accessibilité dans les critères d'évaluation.</w:t>
      </w:r>
    </w:p>
    <w:p w14:paraId="4A87DA0C" w14:textId="77777777" w:rsidR="007437FA" w:rsidRPr="000F2C92" w:rsidRDefault="007437FA" w:rsidP="00102BC5">
      <w:pPr>
        <w:pStyle w:val="EndnoteText"/>
        <w:rPr>
          <w:rFonts w:cstheme="minorHAnsi"/>
          <w:sz w:val="18"/>
          <w:szCs w:val="18"/>
        </w:rPr>
      </w:pPr>
      <w:r>
        <w:rPr>
          <w:sz w:val="18"/>
          <w:szCs w:val="18"/>
        </w:rPr>
        <w:t xml:space="preserve">- des contrats de fourniture pour spécifier si les produits et services ont (ou n'ont pas) des fonctionnalités accessibles. </w:t>
      </w:r>
    </w:p>
    <w:p w14:paraId="58C4E96E" w14:textId="77777777" w:rsidR="007437FA" w:rsidRPr="000F2C92" w:rsidRDefault="007437FA" w:rsidP="00102BC5">
      <w:pPr>
        <w:pStyle w:val="EndnoteText"/>
        <w:rPr>
          <w:rFonts w:cstheme="minorHAnsi"/>
          <w:sz w:val="18"/>
          <w:szCs w:val="18"/>
        </w:rPr>
      </w:pPr>
      <w:r>
        <w:rPr>
          <w:sz w:val="18"/>
          <w:szCs w:val="18"/>
        </w:rPr>
        <w:t>Les personnes handicapées doivent avoir accès aux procédures de passation des marchés et doivent être éligibles pour participer aux processus de passation des marchés en tant que responsables des marchés au sein des entités ou des fournisseurs.</w:t>
      </w:r>
    </w:p>
  </w:endnote>
  <w:endnote w:id="8">
    <w:p w14:paraId="153C1075" w14:textId="409C0466" w:rsidR="007437FA" w:rsidRPr="000F2C92" w:rsidRDefault="007437FA" w:rsidP="008B06C1">
      <w:pPr>
        <w:spacing w:after="0"/>
        <w:rPr>
          <w:rFonts w:cstheme="minorHAnsi"/>
          <w:sz w:val="18"/>
          <w:szCs w:val="18"/>
        </w:rPr>
      </w:pPr>
      <w:r>
        <w:rPr>
          <w:rStyle w:val="EndnoteReference"/>
          <w:rFonts w:cstheme="minorHAnsi"/>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 (3) de la CDPH et à </w:t>
      </w:r>
      <w:hyperlink r:id="rId3" w:history="1">
        <w:r w:rsidR="00FD3DF6" w:rsidRPr="00FD3DF6">
          <w:rPr>
            <w:rStyle w:val="Hyperlink"/>
            <w:sz w:val="18"/>
            <w:szCs w:val="18"/>
          </w:rPr>
          <w:t>l'Observation générale no.</w:t>
        </w:r>
      </w:hyperlink>
      <w:r w:rsidR="00FD3DF6">
        <w:rPr>
          <w:sz w:val="18"/>
          <w:szCs w:val="18"/>
        </w:rPr>
        <w:t xml:space="preserve"> </w:t>
      </w:r>
      <w:r>
        <w:rPr>
          <w:sz w:val="18"/>
          <w:szCs w:val="18"/>
        </w:rPr>
        <w:t xml:space="preserve">7 du Comité CDPH, y compris des réunions de consultation, des séances d'information technique, des enquêtes de consultation en ligne, des appels à commentaires sur des projets de législation et de politiques, entre autres méthodes et mécanismes de participation. </w:t>
      </w:r>
      <w:r>
        <w:rPr>
          <w:sz w:val="18"/>
          <w:szCs w:val="18"/>
        </w:rPr>
        <w:t>À cet égard, les États doivent</w:t>
      </w:r>
      <w:r w:rsidR="008B06C1">
        <w:rPr>
          <w:sz w:val="18"/>
          <w:szCs w:val="18"/>
        </w:rPr>
        <w:t> :</w:t>
      </w:r>
      <w:bookmarkStart w:id="0" w:name="_GoBack"/>
      <w:bookmarkEnd w:id="0"/>
    </w:p>
    <w:p w14:paraId="3C5016C5" w14:textId="77777777" w:rsidR="007437FA" w:rsidRPr="000F2C92" w:rsidRDefault="007437FA" w:rsidP="00650271">
      <w:pPr>
        <w:pStyle w:val="EndnoteText"/>
        <w:numPr>
          <w:ilvl w:val="0"/>
          <w:numId w:val="10"/>
        </w:numPr>
        <w:ind w:left="714" w:hanging="357"/>
        <w:contextualSpacing/>
        <w:rPr>
          <w:rFonts w:cstheme="minorHAnsi"/>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67865B3B" w14:textId="77777777" w:rsidR="007437FA" w:rsidRPr="000F2C92" w:rsidRDefault="007437FA" w:rsidP="00650271">
      <w:pPr>
        <w:pStyle w:val="EndnoteText"/>
        <w:numPr>
          <w:ilvl w:val="0"/>
          <w:numId w:val="10"/>
        </w:numPr>
        <w:ind w:left="714" w:hanging="357"/>
        <w:contextualSpacing/>
        <w:rPr>
          <w:rFonts w:cstheme="minorHAnsi"/>
          <w:sz w:val="18"/>
          <w:szCs w:val="18"/>
        </w:rPr>
      </w:pPr>
      <w:proofErr w:type="gramStart"/>
      <w:r>
        <w:rPr>
          <w:sz w:val="18"/>
          <w:szCs w:val="18"/>
        </w:rPr>
        <w:t>assurer</w:t>
      </w:r>
      <w:proofErr w:type="gramEnd"/>
      <w:r>
        <w:rPr>
          <w:sz w:val="18"/>
          <w:szCs w:val="18"/>
        </w:rPr>
        <w:t xml:space="preserve"> la fourniture d'informations appropriées et accessibles ;</w:t>
      </w:r>
    </w:p>
    <w:p w14:paraId="2866D435" w14:textId="77777777" w:rsidR="007437FA" w:rsidRPr="000F2C92" w:rsidRDefault="007437FA" w:rsidP="00650271">
      <w:pPr>
        <w:pStyle w:val="EndnoteText"/>
        <w:numPr>
          <w:ilvl w:val="0"/>
          <w:numId w:val="10"/>
        </w:numPr>
        <w:ind w:left="714" w:hanging="357"/>
        <w:contextualSpacing/>
        <w:rPr>
          <w:rFonts w:cstheme="minorHAnsi"/>
          <w:sz w:val="18"/>
          <w:szCs w:val="18"/>
        </w:rPr>
      </w:pPr>
      <w:proofErr w:type="gramStart"/>
      <w:r>
        <w:rPr>
          <w:sz w:val="18"/>
          <w:szCs w:val="18"/>
        </w:rPr>
        <w:t>ne</w:t>
      </w:r>
      <w:proofErr w:type="gramEnd"/>
      <w:r>
        <w:rPr>
          <w:sz w:val="18"/>
          <w:szCs w:val="18"/>
        </w:rPr>
        <w:t xml:space="preserve"> pas retenir d'informations, conditionner ou empêcher les organisations de personnes handicapées d'exprimer librement leurs opinions ;</w:t>
      </w:r>
    </w:p>
    <w:p w14:paraId="0BE7ACB4" w14:textId="77777777" w:rsidR="007437FA" w:rsidRPr="000F2C92" w:rsidRDefault="007437FA" w:rsidP="00650271">
      <w:pPr>
        <w:pStyle w:val="EndnoteText"/>
        <w:numPr>
          <w:ilvl w:val="0"/>
          <w:numId w:val="10"/>
        </w:numPr>
        <w:ind w:left="714" w:hanging="357"/>
        <w:contextualSpacing/>
        <w:rPr>
          <w:rFonts w:cstheme="minorHAnsi"/>
          <w:sz w:val="18"/>
          <w:szCs w:val="18"/>
        </w:rPr>
      </w:pPr>
      <w:proofErr w:type="gramStart"/>
      <w:r>
        <w:rPr>
          <w:sz w:val="18"/>
          <w:szCs w:val="18"/>
        </w:rPr>
        <w:t>inclure</w:t>
      </w:r>
      <w:proofErr w:type="gramEnd"/>
      <w:r>
        <w:rPr>
          <w:sz w:val="18"/>
          <w:szCs w:val="18"/>
        </w:rPr>
        <w:t xml:space="preserve"> à la fois les organisations enregistrées et non enregistrées ;</w:t>
      </w:r>
    </w:p>
    <w:p w14:paraId="51D938C0" w14:textId="77777777" w:rsidR="007437FA" w:rsidRPr="000F2C92" w:rsidRDefault="007437FA" w:rsidP="00650271">
      <w:pPr>
        <w:pStyle w:val="EndnoteText"/>
        <w:numPr>
          <w:ilvl w:val="0"/>
          <w:numId w:val="10"/>
        </w:numPr>
        <w:ind w:left="714" w:hanging="357"/>
        <w:contextualSpacing/>
        <w:rPr>
          <w:rFonts w:cstheme="minorHAnsi"/>
          <w:sz w:val="18"/>
          <w:szCs w:val="18"/>
        </w:rPr>
      </w:pPr>
      <w:proofErr w:type="gramStart"/>
      <w:r>
        <w:rPr>
          <w:sz w:val="18"/>
          <w:szCs w:val="18"/>
        </w:rPr>
        <w:t>assurer</w:t>
      </w:r>
      <w:proofErr w:type="gramEnd"/>
      <w:r>
        <w:rPr>
          <w:sz w:val="18"/>
          <w:szCs w:val="18"/>
        </w:rPr>
        <w:t xml:space="preserve"> une participation précoce et continue ;</w:t>
      </w:r>
    </w:p>
    <w:p w14:paraId="156302E8" w14:textId="77777777" w:rsidR="007437FA" w:rsidRPr="00163096" w:rsidRDefault="007437FA" w:rsidP="00163096">
      <w:pPr>
        <w:pStyle w:val="EndnoteText"/>
        <w:numPr>
          <w:ilvl w:val="0"/>
          <w:numId w:val="10"/>
        </w:numPr>
        <w:ind w:left="714" w:hanging="357"/>
        <w:contextualSpacing/>
        <w:rPr>
          <w:rFonts w:cstheme="minorHAnsi"/>
          <w:sz w:val="18"/>
          <w:szCs w:val="18"/>
        </w:rPr>
      </w:pPr>
      <w:proofErr w:type="gramStart"/>
      <w:r>
        <w:rPr>
          <w:sz w:val="18"/>
          <w:szCs w:val="18"/>
        </w:rPr>
        <w:t>couvrir</w:t>
      </w:r>
      <w:proofErr w:type="gramEnd"/>
      <w:r>
        <w:rPr>
          <w:sz w:val="18"/>
          <w:szCs w:val="18"/>
        </w:rPr>
        <w:t xml:space="preserve"> les dépenses connexes des participants.</w:t>
      </w:r>
    </w:p>
  </w:endnote>
  <w:endnote w:id="9">
    <w:p w14:paraId="12733A01" w14:textId="77777777" w:rsidR="007437FA" w:rsidRPr="000F2C92" w:rsidRDefault="007437FA" w:rsidP="000C6C47">
      <w:pPr>
        <w:pStyle w:val="EndnoteText"/>
        <w:rPr>
          <w:rFonts w:cstheme="minorHAnsi"/>
          <w:sz w:val="18"/>
          <w:szCs w:val="18"/>
        </w:rPr>
      </w:pPr>
      <w:r>
        <w:rPr>
          <w:rStyle w:val="EndnoteReference"/>
          <w:rFonts w:cstheme="minorHAnsi"/>
          <w:sz w:val="18"/>
          <w:szCs w:val="18"/>
        </w:rPr>
        <w:endnoteRef/>
      </w:r>
      <w:r>
        <w:t xml:space="preserve"> </w:t>
      </w:r>
      <w:r>
        <w:rPr>
          <w:sz w:val="18"/>
          <w:szCs w:val="18"/>
        </w:rPr>
        <w:t>Tels que la langue des signes, le braille, la synthèse de la parole en texte, la lecture facile et le sous-titrage en temps réel.</w:t>
      </w:r>
    </w:p>
    <w:p w14:paraId="6984E2EC" w14:textId="77777777" w:rsidR="007437FA" w:rsidRPr="000F2C92" w:rsidRDefault="007437FA" w:rsidP="000C6C47">
      <w:pPr>
        <w:pStyle w:val="EndnoteText"/>
        <w:rPr>
          <w:rFonts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03607" w14:textId="77777777" w:rsidR="001E7728" w:rsidRDefault="001E7728" w:rsidP="0064710C">
      <w:pPr>
        <w:spacing w:after="0" w:line="240" w:lineRule="auto"/>
      </w:pPr>
      <w:r>
        <w:separator/>
      </w:r>
    </w:p>
  </w:footnote>
  <w:footnote w:type="continuationSeparator" w:id="0">
    <w:p w14:paraId="66462C9F" w14:textId="77777777" w:rsidR="001E7728" w:rsidRDefault="001E7728" w:rsidP="00647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01E3"/>
    <w:multiLevelType w:val="hybridMultilevel"/>
    <w:tmpl w:val="9E34CB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07B27"/>
    <w:multiLevelType w:val="hybridMultilevel"/>
    <w:tmpl w:val="595A60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A78B3"/>
    <w:multiLevelType w:val="multilevel"/>
    <w:tmpl w:val="6CD0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136C1"/>
    <w:multiLevelType w:val="hybridMultilevel"/>
    <w:tmpl w:val="DD803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E75F20"/>
    <w:multiLevelType w:val="hybridMultilevel"/>
    <w:tmpl w:val="4A76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F2EB4"/>
    <w:multiLevelType w:val="hybridMultilevel"/>
    <w:tmpl w:val="71FE91D2"/>
    <w:lvl w:ilvl="0" w:tplc="657E2BE0">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EE570D"/>
    <w:multiLevelType w:val="hybridMultilevel"/>
    <w:tmpl w:val="AC2A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712C2"/>
    <w:multiLevelType w:val="multilevel"/>
    <w:tmpl w:val="82F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90C61"/>
    <w:multiLevelType w:val="hybridMultilevel"/>
    <w:tmpl w:val="3BB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9518EB"/>
    <w:multiLevelType w:val="hybridMultilevel"/>
    <w:tmpl w:val="2592C80C"/>
    <w:lvl w:ilvl="0" w:tplc="657E2BE0">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A4849"/>
    <w:multiLevelType w:val="hybridMultilevel"/>
    <w:tmpl w:val="7C206084"/>
    <w:lvl w:ilvl="0" w:tplc="657E2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54B74"/>
    <w:multiLevelType w:val="hybridMultilevel"/>
    <w:tmpl w:val="DBF28FF6"/>
    <w:lvl w:ilvl="0" w:tplc="657E2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97419"/>
    <w:multiLevelType w:val="hybridMultilevel"/>
    <w:tmpl w:val="2A3812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8B2297"/>
    <w:multiLevelType w:val="hybridMultilevel"/>
    <w:tmpl w:val="6F9AE7B2"/>
    <w:lvl w:ilvl="0" w:tplc="93FE12BE">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14D7B"/>
    <w:multiLevelType w:val="hybridMultilevel"/>
    <w:tmpl w:val="2D1285C4"/>
    <w:lvl w:ilvl="0" w:tplc="16EE095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92C30"/>
    <w:multiLevelType w:val="hybridMultilevel"/>
    <w:tmpl w:val="F2FAE89C"/>
    <w:lvl w:ilvl="0" w:tplc="657E2BE0">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6"/>
  </w:num>
  <w:num w:numId="4">
    <w:abstractNumId w:val="3"/>
  </w:num>
  <w:num w:numId="5">
    <w:abstractNumId w:val="8"/>
  </w:num>
  <w:num w:numId="6">
    <w:abstractNumId w:val="2"/>
  </w:num>
  <w:num w:numId="7">
    <w:abstractNumId w:val="17"/>
  </w:num>
  <w:num w:numId="8">
    <w:abstractNumId w:val="12"/>
  </w:num>
  <w:num w:numId="9">
    <w:abstractNumId w:val="13"/>
  </w:num>
  <w:num w:numId="10">
    <w:abstractNumId w:val="11"/>
  </w:num>
  <w:num w:numId="11">
    <w:abstractNumId w:val="15"/>
  </w:num>
  <w:num w:numId="12">
    <w:abstractNumId w:val="14"/>
  </w:num>
  <w:num w:numId="13">
    <w:abstractNumId w:val="0"/>
  </w:num>
  <w:num w:numId="14">
    <w:abstractNumId w:val="16"/>
  </w:num>
  <w:num w:numId="15">
    <w:abstractNumId w:val="1"/>
  </w:num>
  <w:num w:numId="16">
    <w:abstractNumId w:val="5"/>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016D1"/>
    <w:rsid w:val="00015A35"/>
    <w:rsid w:val="000200DC"/>
    <w:rsid w:val="000400CC"/>
    <w:rsid w:val="00041583"/>
    <w:rsid w:val="00076BA0"/>
    <w:rsid w:val="00077584"/>
    <w:rsid w:val="00077A74"/>
    <w:rsid w:val="00091D3E"/>
    <w:rsid w:val="000A1877"/>
    <w:rsid w:val="000A4748"/>
    <w:rsid w:val="000C2E4F"/>
    <w:rsid w:val="000C3EC6"/>
    <w:rsid w:val="000C6C47"/>
    <w:rsid w:val="000C7137"/>
    <w:rsid w:val="000E5005"/>
    <w:rsid w:val="000E5C5A"/>
    <w:rsid w:val="000E7B81"/>
    <w:rsid w:val="000F2C92"/>
    <w:rsid w:val="000F3441"/>
    <w:rsid w:val="00102BC5"/>
    <w:rsid w:val="001243E2"/>
    <w:rsid w:val="00125EEB"/>
    <w:rsid w:val="0013672B"/>
    <w:rsid w:val="00163096"/>
    <w:rsid w:val="0018526F"/>
    <w:rsid w:val="001A4A99"/>
    <w:rsid w:val="001B2A35"/>
    <w:rsid w:val="001D0239"/>
    <w:rsid w:val="001D0F5E"/>
    <w:rsid w:val="001D11E9"/>
    <w:rsid w:val="001E450F"/>
    <w:rsid w:val="001E626E"/>
    <w:rsid w:val="001E7728"/>
    <w:rsid w:val="001F02B4"/>
    <w:rsid w:val="001F473F"/>
    <w:rsid w:val="00214380"/>
    <w:rsid w:val="00220123"/>
    <w:rsid w:val="00220F2F"/>
    <w:rsid w:val="0022362A"/>
    <w:rsid w:val="00241848"/>
    <w:rsid w:val="002478CE"/>
    <w:rsid w:val="002658D6"/>
    <w:rsid w:val="002658FC"/>
    <w:rsid w:val="00265EC1"/>
    <w:rsid w:val="00274605"/>
    <w:rsid w:val="00282C3D"/>
    <w:rsid w:val="00282EAB"/>
    <w:rsid w:val="00297DE0"/>
    <w:rsid w:val="002A40C8"/>
    <w:rsid w:val="002A47C7"/>
    <w:rsid w:val="002C2137"/>
    <w:rsid w:val="002F320F"/>
    <w:rsid w:val="002F5000"/>
    <w:rsid w:val="003174D6"/>
    <w:rsid w:val="003279FD"/>
    <w:rsid w:val="00333E1F"/>
    <w:rsid w:val="00347EFE"/>
    <w:rsid w:val="00365373"/>
    <w:rsid w:val="003759C9"/>
    <w:rsid w:val="003844D1"/>
    <w:rsid w:val="003937BE"/>
    <w:rsid w:val="003A1E43"/>
    <w:rsid w:val="003B1FB1"/>
    <w:rsid w:val="003B2CBD"/>
    <w:rsid w:val="003B3AEB"/>
    <w:rsid w:val="003B748F"/>
    <w:rsid w:val="003D51BD"/>
    <w:rsid w:val="003E344E"/>
    <w:rsid w:val="004352BA"/>
    <w:rsid w:val="00446502"/>
    <w:rsid w:val="0045025F"/>
    <w:rsid w:val="004536CB"/>
    <w:rsid w:val="00454AC7"/>
    <w:rsid w:val="00460D4E"/>
    <w:rsid w:val="004762D5"/>
    <w:rsid w:val="0048698D"/>
    <w:rsid w:val="004934E6"/>
    <w:rsid w:val="004945E6"/>
    <w:rsid w:val="004B4549"/>
    <w:rsid w:val="004B6BCC"/>
    <w:rsid w:val="004D622C"/>
    <w:rsid w:val="00502F95"/>
    <w:rsid w:val="005068B9"/>
    <w:rsid w:val="0052234C"/>
    <w:rsid w:val="00530ADD"/>
    <w:rsid w:val="00534D57"/>
    <w:rsid w:val="005458DD"/>
    <w:rsid w:val="00596165"/>
    <w:rsid w:val="005968FF"/>
    <w:rsid w:val="005C2333"/>
    <w:rsid w:val="005E7508"/>
    <w:rsid w:val="00602F9E"/>
    <w:rsid w:val="00610517"/>
    <w:rsid w:val="00613030"/>
    <w:rsid w:val="00634507"/>
    <w:rsid w:val="0064710C"/>
    <w:rsid w:val="00650271"/>
    <w:rsid w:val="00655C2A"/>
    <w:rsid w:val="00657F1C"/>
    <w:rsid w:val="0066620A"/>
    <w:rsid w:val="006712C8"/>
    <w:rsid w:val="006A473F"/>
    <w:rsid w:val="006A48F7"/>
    <w:rsid w:val="006B5CDD"/>
    <w:rsid w:val="007013AA"/>
    <w:rsid w:val="00706131"/>
    <w:rsid w:val="00706456"/>
    <w:rsid w:val="00725069"/>
    <w:rsid w:val="0072566D"/>
    <w:rsid w:val="00731BB8"/>
    <w:rsid w:val="00731C26"/>
    <w:rsid w:val="00733190"/>
    <w:rsid w:val="0073485C"/>
    <w:rsid w:val="007437FA"/>
    <w:rsid w:val="007651E5"/>
    <w:rsid w:val="00781554"/>
    <w:rsid w:val="00786018"/>
    <w:rsid w:val="00790D50"/>
    <w:rsid w:val="00793304"/>
    <w:rsid w:val="007B106B"/>
    <w:rsid w:val="007C11D5"/>
    <w:rsid w:val="007D0A55"/>
    <w:rsid w:val="007D7143"/>
    <w:rsid w:val="00813F13"/>
    <w:rsid w:val="00825F41"/>
    <w:rsid w:val="008273CE"/>
    <w:rsid w:val="00830B3F"/>
    <w:rsid w:val="00833CED"/>
    <w:rsid w:val="00834507"/>
    <w:rsid w:val="00837DDF"/>
    <w:rsid w:val="008475DB"/>
    <w:rsid w:val="00856546"/>
    <w:rsid w:val="0086194E"/>
    <w:rsid w:val="0086586A"/>
    <w:rsid w:val="00870EE1"/>
    <w:rsid w:val="00884069"/>
    <w:rsid w:val="008A011C"/>
    <w:rsid w:val="008A13F0"/>
    <w:rsid w:val="008A38DE"/>
    <w:rsid w:val="008B06C1"/>
    <w:rsid w:val="008B0BF3"/>
    <w:rsid w:val="008C1E91"/>
    <w:rsid w:val="008C2443"/>
    <w:rsid w:val="008D3168"/>
    <w:rsid w:val="008D3A81"/>
    <w:rsid w:val="008D42A1"/>
    <w:rsid w:val="00903DCE"/>
    <w:rsid w:val="0090489A"/>
    <w:rsid w:val="009060F9"/>
    <w:rsid w:val="0091368C"/>
    <w:rsid w:val="0092722B"/>
    <w:rsid w:val="00940216"/>
    <w:rsid w:val="009458B5"/>
    <w:rsid w:val="0095132B"/>
    <w:rsid w:val="0095546F"/>
    <w:rsid w:val="009565AC"/>
    <w:rsid w:val="00962EA5"/>
    <w:rsid w:val="00972E2B"/>
    <w:rsid w:val="009856D5"/>
    <w:rsid w:val="0099238F"/>
    <w:rsid w:val="009E79FD"/>
    <w:rsid w:val="009F0B9A"/>
    <w:rsid w:val="009F1546"/>
    <w:rsid w:val="009F6E73"/>
    <w:rsid w:val="009F7BF7"/>
    <w:rsid w:val="00A328E5"/>
    <w:rsid w:val="00A374A2"/>
    <w:rsid w:val="00A46B75"/>
    <w:rsid w:val="00A90DFD"/>
    <w:rsid w:val="00AB208C"/>
    <w:rsid w:val="00AD4676"/>
    <w:rsid w:val="00AD4BFD"/>
    <w:rsid w:val="00AD6841"/>
    <w:rsid w:val="00AE1D6D"/>
    <w:rsid w:val="00AF2F14"/>
    <w:rsid w:val="00B048C8"/>
    <w:rsid w:val="00B2318D"/>
    <w:rsid w:val="00B42269"/>
    <w:rsid w:val="00B45EF4"/>
    <w:rsid w:val="00B502CF"/>
    <w:rsid w:val="00B6178F"/>
    <w:rsid w:val="00B64A24"/>
    <w:rsid w:val="00B71D81"/>
    <w:rsid w:val="00B73718"/>
    <w:rsid w:val="00B76261"/>
    <w:rsid w:val="00BA2AE9"/>
    <w:rsid w:val="00BD59AE"/>
    <w:rsid w:val="00BD5D3F"/>
    <w:rsid w:val="00BE7F49"/>
    <w:rsid w:val="00BF2390"/>
    <w:rsid w:val="00BF288D"/>
    <w:rsid w:val="00C0415A"/>
    <w:rsid w:val="00C11009"/>
    <w:rsid w:val="00C154B3"/>
    <w:rsid w:val="00C40834"/>
    <w:rsid w:val="00C42238"/>
    <w:rsid w:val="00C47BC6"/>
    <w:rsid w:val="00C518F5"/>
    <w:rsid w:val="00C554D1"/>
    <w:rsid w:val="00C67D44"/>
    <w:rsid w:val="00C76D7F"/>
    <w:rsid w:val="00C81D45"/>
    <w:rsid w:val="00CE4779"/>
    <w:rsid w:val="00CF4455"/>
    <w:rsid w:val="00D01DBF"/>
    <w:rsid w:val="00D271A0"/>
    <w:rsid w:val="00D62B85"/>
    <w:rsid w:val="00D92323"/>
    <w:rsid w:val="00DB21AE"/>
    <w:rsid w:val="00DB7B0D"/>
    <w:rsid w:val="00DD1BBF"/>
    <w:rsid w:val="00DE7358"/>
    <w:rsid w:val="00DF38DC"/>
    <w:rsid w:val="00E10AEA"/>
    <w:rsid w:val="00E17C49"/>
    <w:rsid w:val="00E578F2"/>
    <w:rsid w:val="00E67043"/>
    <w:rsid w:val="00E72B46"/>
    <w:rsid w:val="00E8572C"/>
    <w:rsid w:val="00E9369A"/>
    <w:rsid w:val="00EB25CF"/>
    <w:rsid w:val="00ED2528"/>
    <w:rsid w:val="00ED6825"/>
    <w:rsid w:val="00F050E5"/>
    <w:rsid w:val="00F35413"/>
    <w:rsid w:val="00F63625"/>
    <w:rsid w:val="00F656F3"/>
    <w:rsid w:val="00F66BBB"/>
    <w:rsid w:val="00F80440"/>
    <w:rsid w:val="00F912D8"/>
    <w:rsid w:val="00FA3F4E"/>
    <w:rsid w:val="00FB72EE"/>
    <w:rsid w:val="00FD141D"/>
    <w:rsid w:val="00FD3DF6"/>
    <w:rsid w:val="00FF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9C3F"/>
  <w14:defaultImageDpi w14:val="32767"/>
  <w15:chartTrackingRefBased/>
  <w15:docId w15:val="{D4C32132-7834-4257-AE6A-6CAD640C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1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546"/>
    <w:rPr>
      <w:rFonts w:ascii="Segoe UI" w:hAnsi="Segoe UI" w:cs="Segoe UI"/>
      <w:sz w:val="18"/>
      <w:szCs w:val="18"/>
      <w:lang w:val="fr-FR"/>
    </w:rPr>
  </w:style>
  <w:style w:type="character" w:styleId="CommentReference">
    <w:name w:val="annotation reference"/>
    <w:basedOn w:val="DefaultParagraphFont"/>
    <w:uiPriority w:val="99"/>
    <w:semiHidden/>
    <w:unhideWhenUsed/>
    <w:rsid w:val="00446502"/>
    <w:rPr>
      <w:sz w:val="16"/>
      <w:szCs w:val="16"/>
    </w:rPr>
  </w:style>
  <w:style w:type="paragraph" w:styleId="CommentText">
    <w:name w:val="annotation text"/>
    <w:basedOn w:val="Normal"/>
    <w:link w:val="CommentTextChar"/>
    <w:uiPriority w:val="99"/>
    <w:semiHidden/>
    <w:unhideWhenUsed/>
    <w:rsid w:val="00446502"/>
    <w:pPr>
      <w:spacing w:line="240" w:lineRule="auto"/>
    </w:pPr>
    <w:rPr>
      <w:sz w:val="20"/>
      <w:szCs w:val="20"/>
    </w:rPr>
  </w:style>
  <w:style w:type="character" w:customStyle="1" w:styleId="CommentTextChar">
    <w:name w:val="Comment Text Char"/>
    <w:basedOn w:val="DefaultParagraphFont"/>
    <w:link w:val="CommentText"/>
    <w:uiPriority w:val="99"/>
    <w:semiHidden/>
    <w:rsid w:val="00446502"/>
    <w:rPr>
      <w:sz w:val="20"/>
      <w:szCs w:val="20"/>
      <w:lang w:val="fr-FR"/>
    </w:rPr>
  </w:style>
  <w:style w:type="paragraph" w:styleId="CommentSubject">
    <w:name w:val="annotation subject"/>
    <w:basedOn w:val="CommentText"/>
    <w:next w:val="CommentText"/>
    <w:link w:val="CommentSubjectChar"/>
    <w:uiPriority w:val="99"/>
    <w:semiHidden/>
    <w:unhideWhenUsed/>
    <w:rsid w:val="00446502"/>
    <w:rPr>
      <w:b/>
      <w:bCs/>
    </w:rPr>
  </w:style>
  <w:style w:type="character" w:customStyle="1" w:styleId="CommentSubjectChar">
    <w:name w:val="Comment Subject Char"/>
    <w:basedOn w:val="CommentTextChar"/>
    <w:link w:val="CommentSubject"/>
    <w:uiPriority w:val="99"/>
    <w:semiHidden/>
    <w:rsid w:val="00446502"/>
    <w:rPr>
      <w:b/>
      <w:bCs/>
      <w:sz w:val="20"/>
      <w:szCs w:val="20"/>
      <w:lang w:val="fr-FR"/>
    </w:rPr>
  </w:style>
  <w:style w:type="paragraph" w:customStyle="1" w:styleId="xmsonormal">
    <w:name w:val="x_msonormal"/>
    <w:basedOn w:val="Normal"/>
    <w:rsid w:val="00282E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4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10C"/>
    <w:rPr>
      <w:sz w:val="22"/>
      <w:szCs w:val="22"/>
      <w:lang w:val="fr-FR"/>
    </w:rPr>
  </w:style>
  <w:style w:type="paragraph" w:styleId="Footer">
    <w:name w:val="footer"/>
    <w:basedOn w:val="Normal"/>
    <w:link w:val="FooterChar"/>
    <w:uiPriority w:val="99"/>
    <w:unhideWhenUsed/>
    <w:rsid w:val="0064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10C"/>
    <w:rPr>
      <w:sz w:val="22"/>
      <w:szCs w:val="22"/>
      <w:lang w:val="fr-FR"/>
    </w:rPr>
  </w:style>
  <w:style w:type="paragraph" w:styleId="NoSpacing">
    <w:name w:val="No Spacing"/>
    <w:uiPriority w:val="1"/>
    <w:qFormat/>
    <w:rsid w:val="005C2333"/>
    <w:rPr>
      <w:sz w:val="22"/>
      <w:szCs w:val="22"/>
    </w:rPr>
  </w:style>
  <w:style w:type="paragraph" w:styleId="FootnoteText">
    <w:name w:val="footnote text"/>
    <w:basedOn w:val="Normal"/>
    <w:link w:val="FootnoteTextChar"/>
    <w:uiPriority w:val="99"/>
    <w:semiHidden/>
    <w:unhideWhenUsed/>
    <w:rsid w:val="007348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485C"/>
    <w:rPr>
      <w:sz w:val="20"/>
      <w:szCs w:val="20"/>
      <w:lang w:val="fr-FR"/>
    </w:rPr>
  </w:style>
  <w:style w:type="character" w:styleId="FootnoteReference">
    <w:name w:val="footnote reference"/>
    <w:basedOn w:val="DefaultParagraphFont"/>
    <w:uiPriority w:val="99"/>
    <w:semiHidden/>
    <w:unhideWhenUsed/>
    <w:rsid w:val="0073485C"/>
    <w:rPr>
      <w:vertAlign w:val="superscript"/>
    </w:rPr>
  </w:style>
  <w:style w:type="paragraph" w:styleId="EndnoteText">
    <w:name w:val="endnote text"/>
    <w:basedOn w:val="Normal"/>
    <w:link w:val="EndnoteTextChar"/>
    <w:uiPriority w:val="99"/>
    <w:unhideWhenUsed/>
    <w:rsid w:val="0073485C"/>
    <w:pPr>
      <w:spacing w:after="0" w:line="240" w:lineRule="auto"/>
    </w:pPr>
    <w:rPr>
      <w:sz w:val="20"/>
      <w:szCs w:val="20"/>
    </w:rPr>
  </w:style>
  <w:style w:type="character" w:customStyle="1" w:styleId="EndnoteTextChar">
    <w:name w:val="Endnote Text Char"/>
    <w:basedOn w:val="DefaultParagraphFont"/>
    <w:link w:val="EndnoteText"/>
    <w:uiPriority w:val="99"/>
    <w:rsid w:val="0073485C"/>
    <w:rPr>
      <w:sz w:val="20"/>
      <w:szCs w:val="20"/>
      <w:lang w:val="fr-FR"/>
    </w:rPr>
  </w:style>
  <w:style w:type="character" w:styleId="EndnoteReference">
    <w:name w:val="endnote reference"/>
    <w:basedOn w:val="DefaultParagraphFont"/>
    <w:uiPriority w:val="99"/>
    <w:unhideWhenUsed/>
    <w:rsid w:val="0073485C"/>
    <w:rPr>
      <w:vertAlign w:val="superscript"/>
    </w:rPr>
  </w:style>
  <w:style w:type="paragraph" w:styleId="Revision">
    <w:name w:val="Revision"/>
    <w:hidden/>
    <w:uiPriority w:val="99"/>
    <w:semiHidden/>
    <w:rsid w:val="00834507"/>
    <w:rPr>
      <w:sz w:val="22"/>
      <w:szCs w:val="22"/>
    </w:rPr>
  </w:style>
  <w:style w:type="character" w:styleId="Hyperlink">
    <w:name w:val="Hyperlink"/>
    <w:basedOn w:val="DefaultParagraphFont"/>
    <w:uiPriority w:val="99"/>
    <w:unhideWhenUsed/>
    <w:rsid w:val="009565AC"/>
    <w:rPr>
      <w:color w:val="0563C1" w:themeColor="hyperlink"/>
      <w:u w:val="single"/>
    </w:rPr>
  </w:style>
  <w:style w:type="character" w:styleId="FollowedHyperlink">
    <w:name w:val="FollowedHyperlink"/>
    <w:basedOn w:val="DefaultParagraphFont"/>
    <w:uiPriority w:val="99"/>
    <w:semiHidden/>
    <w:unhideWhenUsed/>
    <w:rsid w:val="00731C26"/>
    <w:rPr>
      <w:color w:val="954F72" w:themeColor="followedHyperlink"/>
      <w:u w:val="single"/>
    </w:rPr>
  </w:style>
  <w:style w:type="character" w:customStyle="1" w:styleId="UnresolvedMention">
    <w:name w:val="Unresolved Mention"/>
    <w:basedOn w:val="DefaultParagraphFont"/>
    <w:uiPriority w:val="99"/>
    <w:semiHidden/>
    <w:unhideWhenUsed/>
    <w:rsid w:val="00FD3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4314">
      <w:bodyDiv w:val="1"/>
      <w:marLeft w:val="0"/>
      <w:marRight w:val="0"/>
      <w:marTop w:val="0"/>
      <w:marBottom w:val="0"/>
      <w:divBdr>
        <w:top w:val="none" w:sz="0" w:space="0" w:color="auto"/>
        <w:left w:val="none" w:sz="0" w:space="0" w:color="auto"/>
        <w:bottom w:val="none" w:sz="0" w:space="0" w:color="auto"/>
        <w:right w:val="none" w:sz="0" w:space="0" w:color="auto"/>
      </w:divBdr>
    </w:div>
    <w:div w:id="141193887">
      <w:bodyDiv w:val="1"/>
      <w:marLeft w:val="0"/>
      <w:marRight w:val="0"/>
      <w:marTop w:val="0"/>
      <w:marBottom w:val="0"/>
      <w:divBdr>
        <w:top w:val="none" w:sz="0" w:space="0" w:color="auto"/>
        <w:left w:val="none" w:sz="0" w:space="0" w:color="auto"/>
        <w:bottom w:val="none" w:sz="0" w:space="0" w:color="auto"/>
        <w:right w:val="none" w:sz="0" w:space="0" w:color="auto"/>
      </w:divBdr>
      <w:divsChild>
        <w:div w:id="1377199822">
          <w:marLeft w:val="0"/>
          <w:marRight w:val="0"/>
          <w:marTop w:val="0"/>
          <w:marBottom w:val="0"/>
          <w:divBdr>
            <w:top w:val="none" w:sz="0" w:space="0" w:color="auto"/>
            <w:left w:val="none" w:sz="0" w:space="0" w:color="auto"/>
            <w:bottom w:val="none" w:sz="0" w:space="0" w:color="auto"/>
            <w:right w:val="none" w:sz="0" w:space="0" w:color="auto"/>
          </w:divBdr>
          <w:divsChild>
            <w:div w:id="662975053">
              <w:marLeft w:val="0"/>
              <w:marRight w:val="0"/>
              <w:marTop w:val="0"/>
              <w:marBottom w:val="0"/>
              <w:divBdr>
                <w:top w:val="none" w:sz="0" w:space="0" w:color="auto"/>
                <w:left w:val="none" w:sz="0" w:space="0" w:color="auto"/>
                <w:bottom w:val="none" w:sz="0" w:space="0" w:color="auto"/>
                <w:right w:val="none" w:sz="0" w:space="0" w:color="auto"/>
              </w:divBdr>
              <w:divsChild>
                <w:div w:id="1509053697">
                  <w:marLeft w:val="0"/>
                  <w:marRight w:val="0"/>
                  <w:marTop w:val="0"/>
                  <w:marBottom w:val="0"/>
                  <w:divBdr>
                    <w:top w:val="none" w:sz="0" w:space="0" w:color="auto"/>
                    <w:left w:val="none" w:sz="0" w:space="0" w:color="auto"/>
                    <w:bottom w:val="none" w:sz="0" w:space="0" w:color="auto"/>
                    <w:right w:val="none" w:sz="0" w:space="0" w:color="auto"/>
                  </w:divBdr>
                  <w:divsChild>
                    <w:div w:id="6754214">
                      <w:marLeft w:val="0"/>
                      <w:marRight w:val="0"/>
                      <w:marTop w:val="0"/>
                      <w:marBottom w:val="0"/>
                      <w:divBdr>
                        <w:top w:val="none" w:sz="0" w:space="0" w:color="auto"/>
                        <w:left w:val="none" w:sz="0" w:space="0" w:color="auto"/>
                        <w:bottom w:val="none" w:sz="0" w:space="0" w:color="auto"/>
                        <w:right w:val="none" w:sz="0" w:space="0" w:color="auto"/>
                      </w:divBdr>
                      <w:divsChild>
                        <w:div w:id="1754009347">
                          <w:marLeft w:val="0"/>
                          <w:marRight w:val="0"/>
                          <w:marTop w:val="0"/>
                          <w:marBottom w:val="0"/>
                          <w:divBdr>
                            <w:top w:val="none" w:sz="0" w:space="0" w:color="auto"/>
                            <w:left w:val="none" w:sz="0" w:space="0" w:color="auto"/>
                            <w:bottom w:val="none" w:sz="0" w:space="0" w:color="auto"/>
                            <w:right w:val="none" w:sz="0" w:space="0" w:color="auto"/>
                          </w:divBdr>
                          <w:divsChild>
                            <w:div w:id="1073239903">
                              <w:marLeft w:val="15"/>
                              <w:marRight w:val="195"/>
                              <w:marTop w:val="0"/>
                              <w:marBottom w:val="0"/>
                              <w:divBdr>
                                <w:top w:val="none" w:sz="0" w:space="0" w:color="auto"/>
                                <w:left w:val="none" w:sz="0" w:space="0" w:color="auto"/>
                                <w:bottom w:val="none" w:sz="0" w:space="0" w:color="auto"/>
                                <w:right w:val="none" w:sz="0" w:space="0" w:color="auto"/>
                              </w:divBdr>
                              <w:divsChild>
                                <w:div w:id="1048535085">
                                  <w:marLeft w:val="0"/>
                                  <w:marRight w:val="0"/>
                                  <w:marTop w:val="0"/>
                                  <w:marBottom w:val="0"/>
                                  <w:divBdr>
                                    <w:top w:val="none" w:sz="0" w:space="0" w:color="auto"/>
                                    <w:left w:val="none" w:sz="0" w:space="0" w:color="auto"/>
                                    <w:bottom w:val="none" w:sz="0" w:space="0" w:color="auto"/>
                                    <w:right w:val="none" w:sz="0" w:space="0" w:color="auto"/>
                                  </w:divBdr>
                                  <w:divsChild>
                                    <w:div w:id="1391998638">
                                      <w:marLeft w:val="0"/>
                                      <w:marRight w:val="0"/>
                                      <w:marTop w:val="0"/>
                                      <w:marBottom w:val="0"/>
                                      <w:divBdr>
                                        <w:top w:val="none" w:sz="0" w:space="0" w:color="auto"/>
                                        <w:left w:val="none" w:sz="0" w:space="0" w:color="auto"/>
                                        <w:bottom w:val="none" w:sz="0" w:space="0" w:color="auto"/>
                                        <w:right w:val="none" w:sz="0" w:space="0" w:color="auto"/>
                                      </w:divBdr>
                                      <w:divsChild>
                                        <w:div w:id="1055082413">
                                          <w:marLeft w:val="0"/>
                                          <w:marRight w:val="0"/>
                                          <w:marTop w:val="0"/>
                                          <w:marBottom w:val="0"/>
                                          <w:divBdr>
                                            <w:top w:val="none" w:sz="0" w:space="0" w:color="auto"/>
                                            <w:left w:val="none" w:sz="0" w:space="0" w:color="auto"/>
                                            <w:bottom w:val="none" w:sz="0" w:space="0" w:color="auto"/>
                                            <w:right w:val="none" w:sz="0" w:space="0" w:color="auto"/>
                                          </w:divBdr>
                                          <w:divsChild>
                                            <w:div w:id="1708331444">
                                              <w:marLeft w:val="0"/>
                                              <w:marRight w:val="0"/>
                                              <w:marTop w:val="0"/>
                                              <w:marBottom w:val="0"/>
                                              <w:divBdr>
                                                <w:top w:val="none" w:sz="0" w:space="0" w:color="auto"/>
                                                <w:left w:val="none" w:sz="0" w:space="0" w:color="auto"/>
                                                <w:bottom w:val="none" w:sz="0" w:space="0" w:color="auto"/>
                                                <w:right w:val="none" w:sz="0" w:space="0" w:color="auto"/>
                                              </w:divBdr>
                                              <w:divsChild>
                                                <w:div w:id="690449405">
                                                  <w:marLeft w:val="0"/>
                                                  <w:marRight w:val="0"/>
                                                  <w:marTop w:val="0"/>
                                                  <w:marBottom w:val="0"/>
                                                  <w:divBdr>
                                                    <w:top w:val="none" w:sz="0" w:space="0" w:color="auto"/>
                                                    <w:left w:val="none" w:sz="0" w:space="0" w:color="auto"/>
                                                    <w:bottom w:val="none" w:sz="0" w:space="0" w:color="auto"/>
                                                    <w:right w:val="none" w:sz="0" w:space="0" w:color="auto"/>
                                                  </w:divBdr>
                                                  <w:divsChild>
                                                    <w:div w:id="1051344381">
                                                      <w:marLeft w:val="0"/>
                                                      <w:marRight w:val="0"/>
                                                      <w:marTop w:val="0"/>
                                                      <w:marBottom w:val="0"/>
                                                      <w:divBdr>
                                                        <w:top w:val="none" w:sz="0" w:space="0" w:color="auto"/>
                                                        <w:left w:val="none" w:sz="0" w:space="0" w:color="auto"/>
                                                        <w:bottom w:val="none" w:sz="0" w:space="0" w:color="auto"/>
                                                        <w:right w:val="none" w:sz="0" w:space="0" w:color="auto"/>
                                                      </w:divBdr>
                                                      <w:divsChild>
                                                        <w:div w:id="1550726099">
                                                          <w:marLeft w:val="0"/>
                                                          <w:marRight w:val="0"/>
                                                          <w:marTop w:val="0"/>
                                                          <w:marBottom w:val="0"/>
                                                          <w:divBdr>
                                                            <w:top w:val="none" w:sz="0" w:space="0" w:color="auto"/>
                                                            <w:left w:val="none" w:sz="0" w:space="0" w:color="auto"/>
                                                            <w:bottom w:val="none" w:sz="0" w:space="0" w:color="auto"/>
                                                            <w:right w:val="none" w:sz="0" w:space="0" w:color="auto"/>
                                                          </w:divBdr>
                                                          <w:divsChild>
                                                            <w:div w:id="563955759">
                                                              <w:marLeft w:val="0"/>
                                                              <w:marRight w:val="0"/>
                                                              <w:marTop w:val="0"/>
                                                              <w:marBottom w:val="0"/>
                                                              <w:divBdr>
                                                                <w:top w:val="none" w:sz="0" w:space="0" w:color="auto"/>
                                                                <w:left w:val="none" w:sz="0" w:space="0" w:color="auto"/>
                                                                <w:bottom w:val="none" w:sz="0" w:space="0" w:color="auto"/>
                                                                <w:right w:val="none" w:sz="0" w:space="0" w:color="auto"/>
                                                              </w:divBdr>
                                                              <w:divsChild>
                                                                <w:div w:id="844320347">
                                                                  <w:marLeft w:val="0"/>
                                                                  <w:marRight w:val="0"/>
                                                                  <w:marTop w:val="0"/>
                                                                  <w:marBottom w:val="0"/>
                                                                  <w:divBdr>
                                                                    <w:top w:val="none" w:sz="0" w:space="0" w:color="auto"/>
                                                                    <w:left w:val="none" w:sz="0" w:space="0" w:color="auto"/>
                                                                    <w:bottom w:val="none" w:sz="0" w:space="0" w:color="auto"/>
                                                                    <w:right w:val="none" w:sz="0" w:space="0" w:color="auto"/>
                                                                  </w:divBdr>
                                                                  <w:divsChild>
                                                                    <w:div w:id="1193810734">
                                                                      <w:marLeft w:val="405"/>
                                                                      <w:marRight w:val="0"/>
                                                                      <w:marTop w:val="0"/>
                                                                      <w:marBottom w:val="0"/>
                                                                      <w:divBdr>
                                                                        <w:top w:val="none" w:sz="0" w:space="0" w:color="auto"/>
                                                                        <w:left w:val="none" w:sz="0" w:space="0" w:color="auto"/>
                                                                        <w:bottom w:val="none" w:sz="0" w:space="0" w:color="auto"/>
                                                                        <w:right w:val="none" w:sz="0" w:space="0" w:color="auto"/>
                                                                      </w:divBdr>
                                                                      <w:divsChild>
                                                                        <w:div w:id="1914732128">
                                                                          <w:marLeft w:val="0"/>
                                                                          <w:marRight w:val="0"/>
                                                                          <w:marTop w:val="0"/>
                                                                          <w:marBottom w:val="0"/>
                                                                          <w:divBdr>
                                                                            <w:top w:val="none" w:sz="0" w:space="0" w:color="auto"/>
                                                                            <w:left w:val="none" w:sz="0" w:space="0" w:color="auto"/>
                                                                            <w:bottom w:val="none" w:sz="0" w:space="0" w:color="auto"/>
                                                                            <w:right w:val="none" w:sz="0" w:space="0" w:color="auto"/>
                                                                          </w:divBdr>
                                                                          <w:divsChild>
                                                                            <w:div w:id="748500552">
                                                                              <w:marLeft w:val="0"/>
                                                                              <w:marRight w:val="0"/>
                                                                              <w:marTop w:val="0"/>
                                                                              <w:marBottom w:val="0"/>
                                                                              <w:divBdr>
                                                                                <w:top w:val="none" w:sz="0" w:space="0" w:color="auto"/>
                                                                                <w:left w:val="none" w:sz="0" w:space="0" w:color="auto"/>
                                                                                <w:bottom w:val="none" w:sz="0" w:space="0" w:color="auto"/>
                                                                                <w:right w:val="none" w:sz="0" w:space="0" w:color="auto"/>
                                                                              </w:divBdr>
                                                                              <w:divsChild>
                                                                                <w:div w:id="880633818">
                                                                                  <w:marLeft w:val="0"/>
                                                                                  <w:marRight w:val="0"/>
                                                                                  <w:marTop w:val="0"/>
                                                                                  <w:marBottom w:val="0"/>
                                                                                  <w:divBdr>
                                                                                    <w:top w:val="none" w:sz="0" w:space="0" w:color="auto"/>
                                                                                    <w:left w:val="none" w:sz="0" w:space="0" w:color="auto"/>
                                                                                    <w:bottom w:val="none" w:sz="0" w:space="0" w:color="auto"/>
                                                                                    <w:right w:val="none" w:sz="0" w:space="0" w:color="auto"/>
                                                                                  </w:divBdr>
                                                                                  <w:divsChild>
                                                                                    <w:div w:id="1404376887">
                                                                                      <w:marLeft w:val="0"/>
                                                                                      <w:marRight w:val="0"/>
                                                                                      <w:marTop w:val="0"/>
                                                                                      <w:marBottom w:val="0"/>
                                                                                      <w:divBdr>
                                                                                        <w:top w:val="none" w:sz="0" w:space="0" w:color="auto"/>
                                                                                        <w:left w:val="none" w:sz="0" w:space="0" w:color="auto"/>
                                                                                        <w:bottom w:val="none" w:sz="0" w:space="0" w:color="auto"/>
                                                                                        <w:right w:val="none" w:sz="0" w:space="0" w:color="auto"/>
                                                                                      </w:divBdr>
                                                                                      <w:divsChild>
                                                                                        <w:div w:id="2106799090">
                                                                                          <w:marLeft w:val="0"/>
                                                                                          <w:marRight w:val="0"/>
                                                                                          <w:marTop w:val="0"/>
                                                                                          <w:marBottom w:val="0"/>
                                                                                          <w:divBdr>
                                                                                            <w:top w:val="none" w:sz="0" w:space="0" w:color="auto"/>
                                                                                            <w:left w:val="none" w:sz="0" w:space="0" w:color="auto"/>
                                                                                            <w:bottom w:val="none" w:sz="0" w:space="0" w:color="auto"/>
                                                                                            <w:right w:val="none" w:sz="0" w:space="0" w:color="auto"/>
                                                                                          </w:divBdr>
                                                                                          <w:divsChild>
                                                                                            <w:div w:id="1056005977">
                                                                                              <w:marLeft w:val="0"/>
                                                                                              <w:marRight w:val="0"/>
                                                                                              <w:marTop w:val="0"/>
                                                                                              <w:marBottom w:val="0"/>
                                                                                              <w:divBdr>
                                                                                                <w:top w:val="none" w:sz="0" w:space="0" w:color="auto"/>
                                                                                                <w:left w:val="none" w:sz="0" w:space="0" w:color="auto"/>
                                                                                                <w:bottom w:val="none" w:sz="0" w:space="0" w:color="auto"/>
                                                                                                <w:right w:val="none" w:sz="0" w:space="0" w:color="auto"/>
                                                                                              </w:divBdr>
                                                                                              <w:divsChild>
                                                                                                <w:div w:id="289947007">
                                                                                                  <w:marLeft w:val="0"/>
                                                                                                  <w:marRight w:val="0"/>
                                                                                                  <w:marTop w:val="15"/>
                                                                                                  <w:marBottom w:val="0"/>
                                                                                                  <w:divBdr>
                                                                                                    <w:top w:val="none" w:sz="0" w:space="0" w:color="auto"/>
                                                                                                    <w:left w:val="none" w:sz="0" w:space="0" w:color="auto"/>
                                                                                                    <w:bottom w:val="single" w:sz="6" w:space="15" w:color="auto"/>
                                                                                                    <w:right w:val="none" w:sz="0" w:space="0" w:color="auto"/>
                                                                                                  </w:divBdr>
                                                                                                  <w:divsChild>
                                                                                                    <w:div w:id="43797440">
                                                                                                      <w:marLeft w:val="0"/>
                                                                                                      <w:marRight w:val="0"/>
                                                                                                      <w:marTop w:val="180"/>
                                                                                                      <w:marBottom w:val="0"/>
                                                                                                      <w:divBdr>
                                                                                                        <w:top w:val="none" w:sz="0" w:space="0" w:color="auto"/>
                                                                                                        <w:left w:val="none" w:sz="0" w:space="0" w:color="auto"/>
                                                                                                        <w:bottom w:val="none" w:sz="0" w:space="0" w:color="auto"/>
                                                                                                        <w:right w:val="none" w:sz="0" w:space="0" w:color="auto"/>
                                                                                                      </w:divBdr>
                                                                                                      <w:divsChild>
                                                                                                        <w:div w:id="1015301308">
                                                                                                          <w:marLeft w:val="0"/>
                                                                                                          <w:marRight w:val="0"/>
                                                                                                          <w:marTop w:val="0"/>
                                                                                                          <w:marBottom w:val="0"/>
                                                                                                          <w:divBdr>
                                                                                                            <w:top w:val="none" w:sz="0" w:space="0" w:color="auto"/>
                                                                                                            <w:left w:val="none" w:sz="0" w:space="0" w:color="auto"/>
                                                                                                            <w:bottom w:val="none" w:sz="0" w:space="0" w:color="auto"/>
                                                                                                            <w:right w:val="none" w:sz="0" w:space="0" w:color="auto"/>
                                                                                                          </w:divBdr>
                                                                                                          <w:divsChild>
                                                                                                            <w:div w:id="1955362646">
                                                                                                              <w:marLeft w:val="0"/>
                                                                                                              <w:marRight w:val="0"/>
                                                                                                              <w:marTop w:val="0"/>
                                                                                                              <w:marBottom w:val="0"/>
                                                                                                              <w:divBdr>
                                                                                                                <w:top w:val="none" w:sz="0" w:space="0" w:color="auto"/>
                                                                                                                <w:left w:val="none" w:sz="0" w:space="0" w:color="auto"/>
                                                                                                                <w:bottom w:val="none" w:sz="0" w:space="0" w:color="auto"/>
                                                                                                                <w:right w:val="none" w:sz="0" w:space="0" w:color="auto"/>
                                                                                                              </w:divBdr>
                                                                                                              <w:divsChild>
                                                                                                                <w:div w:id="531191580">
                                                                                                                  <w:marLeft w:val="0"/>
                                                                                                                  <w:marRight w:val="0"/>
                                                                                                                  <w:marTop w:val="30"/>
                                                                                                                  <w:marBottom w:val="0"/>
                                                                                                                  <w:divBdr>
                                                                                                                    <w:top w:val="none" w:sz="0" w:space="0" w:color="auto"/>
                                                                                                                    <w:left w:val="none" w:sz="0" w:space="0" w:color="auto"/>
                                                                                                                    <w:bottom w:val="none" w:sz="0" w:space="0" w:color="auto"/>
                                                                                                                    <w:right w:val="none" w:sz="0" w:space="0" w:color="auto"/>
                                                                                                                  </w:divBdr>
                                                                                                                  <w:divsChild>
                                                                                                                    <w:div w:id="1348796990">
                                                                                                                      <w:marLeft w:val="0"/>
                                                                                                                      <w:marRight w:val="0"/>
                                                                                                                      <w:marTop w:val="0"/>
                                                                                                                      <w:marBottom w:val="0"/>
                                                                                                                      <w:divBdr>
                                                                                                                        <w:top w:val="none" w:sz="0" w:space="0" w:color="auto"/>
                                                                                                                        <w:left w:val="none" w:sz="0" w:space="0" w:color="auto"/>
                                                                                                                        <w:bottom w:val="none" w:sz="0" w:space="0" w:color="auto"/>
                                                                                                                        <w:right w:val="none" w:sz="0" w:space="0" w:color="auto"/>
                                                                                                                      </w:divBdr>
                                                                                                                      <w:divsChild>
                                                                                                                        <w:div w:id="1844472555">
                                                                                                                          <w:marLeft w:val="0"/>
                                                                                                                          <w:marRight w:val="0"/>
                                                                                                                          <w:marTop w:val="0"/>
                                                                                                                          <w:marBottom w:val="0"/>
                                                                                                                          <w:divBdr>
                                                                                                                            <w:top w:val="none" w:sz="0" w:space="0" w:color="auto"/>
                                                                                                                            <w:left w:val="none" w:sz="0" w:space="0" w:color="auto"/>
                                                                                                                            <w:bottom w:val="none" w:sz="0" w:space="0" w:color="auto"/>
                                                                                                                            <w:right w:val="none" w:sz="0" w:space="0" w:color="auto"/>
                                                                                                                          </w:divBdr>
                                                                                                                          <w:divsChild>
                                                                                                                            <w:div w:id="948319522">
                                                                                                                              <w:marLeft w:val="0"/>
                                                                                                                              <w:marRight w:val="0"/>
                                                                                                                              <w:marTop w:val="0"/>
                                                                                                                              <w:marBottom w:val="0"/>
                                                                                                                              <w:divBdr>
                                                                                                                                <w:top w:val="none" w:sz="0" w:space="0" w:color="auto"/>
                                                                                                                                <w:left w:val="none" w:sz="0" w:space="0" w:color="auto"/>
                                                                                                                                <w:bottom w:val="none" w:sz="0" w:space="0" w:color="auto"/>
                                                                                                                                <w:right w:val="none" w:sz="0" w:space="0" w:color="auto"/>
                                                                                                                              </w:divBdr>
                                                                                                                              <w:divsChild>
                                                                                                                                <w:div w:id="13722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913527">
      <w:bodyDiv w:val="1"/>
      <w:marLeft w:val="0"/>
      <w:marRight w:val="0"/>
      <w:marTop w:val="0"/>
      <w:marBottom w:val="0"/>
      <w:divBdr>
        <w:top w:val="none" w:sz="0" w:space="0" w:color="auto"/>
        <w:left w:val="none" w:sz="0" w:space="0" w:color="auto"/>
        <w:bottom w:val="none" w:sz="0" w:space="0" w:color="auto"/>
        <w:right w:val="none" w:sz="0" w:space="0" w:color="auto"/>
      </w:divBdr>
    </w:div>
    <w:div w:id="1529105177">
      <w:bodyDiv w:val="1"/>
      <w:marLeft w:val="0"/>
      <w:marRight w:val="0"/>
      <w:marTop w:val="0"/>
      <w:marBottom w:val="0"/>
      <w:divBdr>
        <w:top w:val="none" w:sz="0" w:space="0" w:color="auto"/>
        <w:left w:val="none" w:sz="0" w:space="0" w:color="auto"/>
        <w:bottom w:val="none" w:sz="0" w:space="0" w:color="auto"/>
        <w:right w:val="none" w:sz="0" w:space="0" w:color="auto"/>
      </w:divBdr>
    </w:div>
    <w:div w:id="1585604004">
      <w:bodyDiv w:val="1"/>
      <w:marLeft w:val="0"/>
      <w:marRight w:val="0"/>
      <w:marTop w:val="0"/>
      <w:marBottom w:val="0"/>
      <w:divBdr>
        <w:top w:val="none" w:sz="0" w:space="0" w:color="auto"/>
        <w:left w:val="none" w:sz="0" w:space="0" w:color="auto"/>
        <w:bottom w:val="none" w:sz="0" w:space="0" w:color="auto"/>
        <w:right w:val="none" w:sz="0" w:space="0" w:color="auto"/>
      </w:divBdr>
      <w:divsChild>
        <w:div w:id="331644217">
          <w:marLeft w:val="0"/>
          <w:marRight w:val="0"/>
          <w:marTop w:val="0"/>
          <w:marBottom w:val="0"/>
          <w:divBdr>
            <w:top w:val="none" w:sz="0" w:space="0" w:color="auto"/>
            <w:left w:val="none" w:sz="0" w:space="0" w:color="auto"/>
            <w:bottom w:val="none" w:sz="0" w:space="0" w:color="auto"/>
            <w:right w:val="none" w:sz="0" w:space="0" w:color="auto"/>
          </w:divBdr>
        </w:div>
        <w:div w:id="528489034">
          <w:marLeft w:val="0"/>
          <w:marRight w:val="0"/>
          <w:marTop w:val="0"/>
          <w:marBottom w:val="0"/>
          <w:divBdr>
            <w:top w:val="none" w:sz="0" w:space="0" w:color="auto"/>
            <w:left w:val="none" w:sz="0" w:space="0" w:color="auto"/>
            <w:bottom w:val="none" w:sz="0" w:space="0" w:color="auto"/>
            <w:right w:val="none" w:sz="0" w:space="0" w:color="auto"/>
          </w:divBdr>
        </w:div>
        <w:div w:id="685912980">
          <w:marLeft w:val="0"/>
          <w:marRight w:val="0"/>
          <w:marTop w:val="0"/>
          <w:marBottom w:val="0"/>
          <w:divBdr>
            <w:top w:val="none" w:sz="0" w:space="0" w:color="auto"/>
            <w:left w:val="none" w:sz="0" w:space="0" w:color="auto"/>
            <w:bottom w:val="none" w:sz="0" w:space="0" w:color="auto"/>
            <w:right w:val="none" w:sz="0" w:space="0" w:color="auto"/>
          </w:divBdr>
        </w:div>
      </w:divsChild>
    </w:div>
    <w:div w:id="207462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15/treatybodyexternal/Download.aspx?symbolno=CRPD/C/GC/2&amp;Lang=f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fr" TargetMode="External"/><Relationship Id="rId2" Type="http://schemas.openxmlformats.org/officeDocument/2006/relationships/hyperlink" Target="https://www.itu.int/rec/T-REC-F.790" TargetMode="External"/><Relationship Id="rId1" Type="http://schemas.openxmlformats.org/officeDocument/2006/relationships/hyperlink" Target="https://www.itu.int/rec/T-REC-H.Sup1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5E2FD-2D36-47FF-91BD-BC04EBF1370F}">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2.xml><?xml version="1.0" encoding="utf-8"?>
<ds:datastoreItem xmlns:ds="http://schemas.openxmlformats.org/officeDocument/2006/customXml" ds:itemID="{A855555B-0144-4103-A4EE-78C3FC66744F}">
  <ds:schemaRefs>
    <ds:schemaRef ds:uri="http://schemas.microsoft.com/sharepoint/v3/contenttype/forms"/>
  </ds:schemaRefs>
</ds:datastoreItem>
</file>

<file path=customXml/itemProps3.xml><?xml version="1.0" encoding="utf-8"?>
<ds:datastoreItem xmlns:ds="http://schemas.openxmlformats.org/officeDocument/2006/customXml" ds:itemID="{8F9DB9B3-5FA5-4FC9-8863-FA8368E05936}"/>
</file>

<file path=customXml/itemProps4.xml><?xml version="1.0" encoding="utf-8"?>
<ds:datastoreItem xmlns:ds="http://schemas.openxmlformats.org/officeDocument/2006/customXml" ds:itemID="{3BE4AF84-6AED-48CD-A4FA-269E9AD4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cp:lastPrinted>2018-07-18T09:57:00Z</cp:lastPrinted>
  <dcterms:created xsi:type="dcterms:W3CDTF">2020-08-24T12:40:00Z</dcterms:created>
  <dcterms:modified xsi:type="dcterms:W3CDTF">2020-08-24T12:40:00Z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