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5248" w14:textId="77777777" w:rsidR="00D90F53" w:rsidRDefault="00D90F53" w:rsidP="000C6C47">
      <w:pPr>
        <w:spacing w:after="0" w:line="240" w:lineRule="auto"/>
        <w:jc w:val="center"/>
        <w:rPr>
          <w:b/>
          <w:sz w:val="18"/>
          <w:szCs w:val="18"/>
        </w:rPr>
      </w:pPr>
    </w:p>
    <w:p w14:paraId="28B77CCF" w14:textId="298A3803" w:rsidR="00D90F53" w:rsidRPr="000C6C47" w:rsidRDefault="00D90F53" w:rsidP="000C6C4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Artículo 9 - Indicadores sobre accesibilidad</w:t>
      </w:r>
      <w:r w:rsidR="00314034">
        <w:rPr>
          <w:b/>
          <w:sz w:val="18"/>
          <w:szCs w:val="18"/>
        </w:rPr>
        <w:t>*</w:t>
      </w:r>
    </w:p>
    <w:p w14:paraId="223BE4F9" w14:textId="77777777" w:rsidR="00D90F53" w:rsidRPr="000200DC" w:rsidRDefault="00D90F53" w:rsidP="000200DC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Acceso, en igualdad de condiciones con los demás, al entorno físico, al transporte, a los servicios, a la información y las comunicaciones, a los sistemas y a otras instalaciones y servicios abiertos o prestados al público</w:t>
      </w:r>
    </w:p>
    <w:p w14:paraId="6ECBDAC7" w14:textId="2C486EA0" w:rsidR="00D90F53" w:rsidRPr="000C6C47" w:rsidRDefault="00D90F53" w:rsidP="000C6C47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Atributos</w:t>
      </w:r>
    </w:p>
    <w:p w14:paraId="1D94F896" w14:textId="77777777" w:rsidR="00D90F53" w:rsidRPr="00D90F53" w:rsidRDefault="00D90F53" w:rsidP="00D90F5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D90F53">
        <w:rPr>
          <w:b/>
          <w:sz w:val="18"/>
          <w:szCs w:val="18"/>
        </w:rPr>
        <w:t>Carreteras y transporte</w:t>
      </w:r>
    </w:p>
    <w:p w14:paraId="7711425E" w14:textId="77777777" w:rsidR="00D90F53" w:rsidRPr="00D90F53" w:rsidRDefault="00D90F53" w:rsidP="00D90F5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D90F53">
        <w:rPr>
          <w:b/>
          <w:sz w:val="18"/>
          <w:szCs w:val="18"/>
        </w:rPr>
        <w:t>Edificios, instalaciones interiores y exteriores y servicios abiertos o prestados al público</w:t>
      </w:r>
    </w:p>
    <w:p w14:paraId="6C2C12F9" w14:textId="77777777" w:rsidR="00D90F53" w:rsidRPr="00D90F53" w:rsidRDefault="00D90F53" w:rsidP="00D90F5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D90F53">
        <w:rPr>
          <w:b/>
          <w:sz w:val="18"/>
          <w:szCs w:val="18"/>
        </w:rPr>
        <w:t>Información y comunicaciones y otros servicios, incluyendo las TIC, los servicios electrónicos y los servicios de emergencia</w:t>
      </w:r>
    </w:p>
    <w:p w14:paraId="35EF0E39" w14:textId="71C8BCC6" w:rsidR="00D90F53" w:rsidRDefault="00D90F53" w:rsidP="000C6C47">
      <w:pPr>
        <w:spacing w:after="0" w:line="240" w:lineRule="auto"/>
        <w:jc w:val="both"/>
        <w:rPr>
          <w:b/>
          <w:sz w:val="18"/>
          <w:szCs w:val="18"/>
        </w:rPr>
      </w:pPr>
    </w:p>
    <w:p w14:paraId="554C0F87" w14:textId="5923925F" w:rsidR="00D90F53" w:rsidRPr="00515E17" w:rsidRDefault="00657A31" w:rsidP="000C6C47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Indicadores de E</w:t>
      </w:r>
      <w:r w:rsidR="00D90F53">
        <w:rPr>
          <w:b/>
          <w:sz w:val="18"/>
          <w:szCs w:val="18"/>
        </w:rPr>
        <w:t>structura</w:t>
      </w:r>
    </w:p>
    <w:p w14:paraId="30013A42" w14:textId="207E1A4A" w:rsidR="00D90F53" w:rsidRPr="00D90F53" w:rsidRDefault="00D90F53" w:rsidP="00D90F53">
      <w:pPr>
        <w:pStyle w:val="NoSpacing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9.1 Legislación promulgada que garantice el derecho al acceso, en igualdad de condiciones con los demás, al entorno físico, el transporte, los servicios, la información y las comunicaciones, incluidas las TIC, y a otras instalaciones y servicios abiertos o prestados al público, tanto en las zonas urbanas como en las rurales</w:t>
      </w:r>
      <w:r w:rsidRPr="000C6C47">
        <w:rPr>
          <w:rStyle w:val="EndnoteReference"/>
          <w:rFonts w:cstheme="minorHAnsi"/>
          <w:sz w:val="18"/>
          <w:szCs w:val="18"/>
          <w:lang w:val="en-US"/>
        </w:rPr>
        <w:endnoteReference w:id="1"/>
      </w:r>
      <w:r>
        <w:rPr>
          <w:sz w:val="18"/>
          <w:szCs w:val="18"/>
        </w:rPr>
        <w:t>.</w:t>
      </w:r>
    </w:p>
    <w:p w14:paraId="2EBBB3D4" w14:textId="0202ACA4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9.2 La legislación sobre transporte aéreo, ferroviario, marítimo y fluvial y por carretera de pasajeros incorpora estándares obligatorios de accesibilidad.</w:t>
      </w:r>
    </w:p>
    <w:p w14:paraId="6724C4DB" w14:textId="63B6E50C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9.3 La legislación sobre construcción y planificación, incluyendo los requisitos para otorgar la autorización, incorpora estándares obligatorios de accesibilidad sobre el entorno físico y los servicios abiertos al público (</w:t>
      </w:r>
      <w:proofErr w:type="spellStart"/>
      <w:r w:rsidRPr="00A45BDF">
        <w:rPr>
          <w:i/>
          <w:sz w:val="18"/>
          <w:szCs w:val="18"/>
        </w:rPr>
        <w:t>Ibid</w:t>
      </w:r>
      <w:proofErr w:type="spellEnd"/>
      <w:r>
        <w:rPr>
          <w:sz w:val="18"/>
          <w:szCs w:val="18"/>
        </w:rPr>
        <w:t>. 20.7).</w:t>
      </w:r>
    </w:p>
    <w:p w14:paraId="08A0EE16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9.4 Marco legal que establezca estándares obligatorios de accesibilidad a la información y a las comunicaciones tanto para agentes públicos como privados que proporcionen información y servicios al público en general, incluyendo los medios de comunicación masiva, internet y las redes sociales.</w:t>
      </w:r>
      <w:r w:rsidRPr="000C6C47">
        <w:rPr>
          <w:rStyle w:val="EndnoteReference"/>
          <w:rFonts w:cstheme="minorHAnsi"/>
          <w:sz w:val="18"/>
          <w:szCs w:val="18"/>
        </w:rPr>
        <w:endnoteReference w:id="2"/>
      </w:r>
      <w:r>
        <w:rPr>
          <w:rStyle w:val="EndnoteReference"/>
          <w:sz w:val="18"/>
          <w:szCs w:val="18"/>
        </w:rPr>
        <w:t xml:space="preserve"> </w:t>
      </w:r>
      <w:r w:rsidRPr="00A45BDF">
        <w:rPr>
          <w:rStyle w:val="EndnoteReference"/>
          <w:sz w:val="18"/>
          <w:szCs w:val="18"/>
          <w:vertAlign w:val="baseline"/>
        </w:rPr>
        <w:t>(</w:t>
      </w:r>
      <w:proofErr w:type="spellStart"/>
      <w:r w:rsidRPr="00A45BDF">
        <w:rPr>
          <w:rStyle w:val="EndnoteReference"/>
          <w:i/>
          <w:sz w:val="18"/>
          <w:szCs w:val="18"/>
          <w:vertAlign w:val="baseline"/>
        </w:rPr>
        <w:t>Ibid</w:t>
      </w:r>
      <w:proofErr w:type="spellEnd"/>
      <w:r>
        <w:rPr>
          <w:rStyle w:val="EndnoteReference"/>
          <w:sz w:val="18"/>
          <w:szCs w:val="18"/>
          <w:vertAlign w:val="baseline"/>
        </w:rPr>
        <w:t>. 21.1.2)</w:t>
      </w:r>
    </w:p>
    <w:p w14:paraId="20DA8462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9.5 Legislación que regula los servicios de emergencia, incluidos los planes de emergencia y refugios, incorpora estándares obligatorios de accesibilidad.</w:t>
      </w:r>
    </w:p>
    <w:p w14:paraId="1F58B056" w14:textId="4CF7002F" w:rsidR="00D90F53" w:rsidRPr="00D90F53" w:rsidRDefault="00D90F53" w:rsidP="000200DC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9.6 Legislación que regula la información y las comunicaciones gubernamentales destinadas al público en general garantiza el pleno acceso a los sitios web y a las aplicaciones del sector público, así como la disponibilidad de la información gubernamental en formatos alternativos.</w:t>
      </w:r>
    </w:p>
    <w:p w14:paraId="28719F4C" w14:textId="77777777" w:rsidR="00D90F53" w:rsidRPr="000C6C47" w:rsidRDefault="00D90F53" w:rsidP="000C0BE7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9.7 Existencia de una estrategia y o plan nacional integral de accesibilidad para identificar y eliminar las barreras existentes </w:t>
      </w:r>
      <w:r w:rsidRPr="000C6C47">
        <w:rPr>
          <w:rStyle w:val="EndnoteReference"/>
          <w:rFonts w:cstheme="minorHAnsi"/>
          <w:sz w:val="18"/>
          <w:szCs w:val="18"/>
        </w:rPr>
        <w:endnoteReference w:id="3"/>
      </w:r>
      <w:r>
        <w:rPr>
          <w:sz w:val="18"/>
          <w:szCs w:val="18"/>
        </w:rPr>
        <w:t>.</w:t>
      </w:r>
    </w:p>
    <w:p w14:paraId="2FC8E451" w14:textId="77777777" w:rsidR="00D90F53" w:rsidRDefault="00D90F53" w:rsidP="000C6C47">
      <w:pPr>
        <w:spacing w:after="0" w:line="240" w:lineRule="auto"/>
        <w:jc w:val="both"/>
        <w:rPr>
          <w:b/>
          <w:sz w:val="18"/>
          <w:szCs w:val="18"/>
        </w:rPr>
      </w:pPr>
    </w:p>
    <w:p w14:paraId="29F8E819" w14:textId="351668FF" w:rsidR="00D90F53" w:rsidRPr="000C6C47" w:rsidRDefault="00657A31" w:rsidP="000C6C47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Indicadores de P</w:t>
      </w:r>
      <w:r w:rsidR="00D90F53">
        <w:rPr>
          <w:b/>
          <w:sz w:val="18"/>
          <w:szCs w:val="18"/>
        </w:rPr>
        <w:t xml:space="preserve">roceso </w:t>
      </w:r>
    </w:p>
    <w:p w14:paraId="4CECD77B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9.8 Número y proporción de unidades de servicios de transporte que sean accesibles para las personas con discapacidad, desagregado por tipo de transporte (por ejemplo, autobús, tren, tranvía, metro, taxi, etc.) y por tipo de servicio (por ejemplo, servicio público/servicio privado).</w:t>
      </w:r>
      <w:r>
        <w:rPr>
          <w:rStyle w:val="EndnoteReference"/>
          <w:sz w:val="18"/>
          <w:szCs w:val="18"/>
        </w:rPr>
        <w:t xml:space="preserve"> </w:t>
      </w:r>
      <w:r w:rsidRPr="000C6C47">
        <w:rPr>
          <w:rStyle w:val="EndnoteReference"/>
          <w:rFonts w:cstheme="minorHAnsi"/>
          <w:sz w:val="18"/>
          <w:szCs w:val="18"/>
        </w:rPr>
        <w:endnoteReference w:id="4"/>
      </w:r>
    </w:p>
    <w:p w14:paraId="35135FB4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9.9 Medidas para promover y asegurar el acceso a servicios de transporte alternativos y accesibles para las personas con discapacidad.</w:t>
      </w:r>
      <w:r w:rsidRPr="000C6C47">
        <w:rPr>
          <w:rStyle w:val="EndnoteReference"/>
          <w:rFonts w:cstheme="minorHAnsi"/>
          <w:sz w:val="18"/>
          <w:szCs w:val="18"/>
        </w:rPr>
        <w:endnoteReference w:id="5"/>
      </w:r>
    </w:p>
    <w:p w14:paraId="434B43F3" w14:textId="77777777" w:rsidR="00D90F53" w:rsidRDefault="00D90F53" w:rsidP="00354BB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9.10 Número y proporción de edificios e instalaciones públicas o gubernamentales existentes que cumplen con los estándares de accesibilidad.</w:t>
      </w:r>
    </w:p>
    <w:p w14:paraId="397A86A9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9.11 Número y proporción de edificios recién construidos que cumplen los estándares de accesibilidad.</w:t>
      </w:r>
    </w:p>
    <w:p w14:paraId="33E89147" w14:textId="48EBC713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9.12 Proporción de páginas web gubernamentales que cumplen los estándares de accesibilidad. (</w:t>
      </w:r>
      <w:proofErr w:type="spellStart"/>
      <w:r w:rsidRPr="00A45BDF">
        <w:rPr>
          <w:i/>
          <w:sz w:val="18"/>
          <w:szCs w:val="18"/>
        </w:rPr>
        <w:t>Ibid</w:t>
      </w:r>
      <w:proofErr w:type="spellEnd"/>
      <w:r>
        <w:rPr>
          <w:sz w:val="18"/>
          <w:szCs w:val="18"/>
        </w:rPr>
        <w:t>. 21.15)</w:t>
      </w:r>
    </w:p>
    <w:p w14:paraId="7C1A2BD4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9.13 Proporción de transmisiones televisivas, y proporción del tiempo durante el cual incluyen interpretación en lenguaje de señas, </w:t>
      </w:r>
      <w:proofErr w:type="spellStart"/>
      <w:r>
        <w:rPr>
          <w:sz w:val="18"/>
          <w:szCs w:val="18"/>
        </w:rPr>
        <w:t>audiodescripción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subtitulación</w:t>
      </w:r>
      <w:proofErr w:type="spellEnd"/>
      <w:r>
        <w:rPr>
          <w:sz w:val="18"/>
          <w:szCs w:val="18"/>
        </w:rPr>
        <w:t xml:space="preserve"> y otras funciones relacionadas con la accesibilidad, desagregados por titularidad de los medios de comunicación (privados/públicos), tipo de contenido (noticias/otro tipo de programación, incluyendo programas infantiles) y  herramientas de accesibilidad ofrecidas.</w:t>
      </w:r>
      <w:r w:rsidRPr="003B3AEB">
        <w:rPr>
          <w:rStyle w:val="EndnoteReference"/>
          <w:rFonts w:cstheme="minorHAnsi"/>
          <w:sz w:val="18"/>
          <w:szCs w:val="18"/>
        </w:rPr>
        <w:endnoteReference w:id="6"/>
      </w:r>
    </w:p>
    <w:p w14:paraId="13105875" w14:textId="77777777" w:rsidR="00D90F53" w:rsidRDefault="00D90F53" w:rsidP="00354BB9">
      <w:pPr>
        <w:spacing w:after="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9.14 </w:t>
      </w:r>
      <w:r w:rsidRPr="000C0BE7">
        <w:rPr>
          <w:sz w:val="18"/>
          <w:szCs w:val="18"/>
        </w:rPr>
        <w:t xml:space="preserve">Proporción del contenido disponible </w:t>
      </w:r>
      <w:r>
        <w:rPr>
          <w:sz w:val="18"/>
          <w:szCs w:val="18"/>
        </w:rPr>
        <w:t>en</w:t>
      </w:r>
      <w:r w:rsidRPr="000C0BE7">
        <w:rPr>
          <w:sz w:val="18"/>
          <w:szCs w:val="18"/>
        </w:rPr>
        <w:t xml:space="preserve"> los servicios "a </w:t>
      </w:r>
      <w:r>
        <w:rPr>
          <w:sz w:val="18"/>
          <w:szCs w:val="18"/>
        </w:rPr>
        <w:t>pedido</w:t>
      </w:r>
      <w:r w:rsidRPr="000C0BE7">
        <w:rPr>
          <w:sz w:val="18"/>
          <w:szCs w:val="18"/>
        </w:rPr>
        <w:t xml:space="preserve">" o no lineales (por ejemplo, servicios de vídeo a la carta) que incluye interpretación </w:t>
      </w:r>
      <w:r>
        <w:rPr>
          <w:sz w:val="18"/>
          <w:szCs w:val="18"/>
        </w:rPr>
        <w:t>en</w:t>
      </w:r>
      <w:r w:rsidRPr="000C0BE7">
        <w:rPr>
          <w:sz w:val="18"/>
          <w:szCs w:val="18"/>
        </w:rPr>
        <w:t xml:space="preserve"> lenguaje de </w:t>
      </w:r>
      <w:r>
        <w:rPr>
          <w:sz w:val="18"/>
          <w:szCs w:val="18"/>
        </w:rPr>
        <w:t>señas</w:t>
      </w:r>
      <w:r w:rsidRPr="000C0BE7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audio</w:t>
      </w:r>
      <w:r w:rsidRPr="000C0BE7">
        <w:rPr>
          <w:sz w:val="18"/>
          <w:szCs w:val="18"/>
        </w:rPr>
        <w:t>descripción</w:t>
      </w:r>
      <w:proofErr w:type="spellEnd"/>
      <w:r w:rsidRPr="000C0BE7">
        <w:rPr>
          <w:sz w:val="18"/>
          <w:szCs w:val="18"/>
        </w:rPr>
        <w:t xml:space="preserve"> y otras </w:t>
      </w:r>
      <w:r>
        <w:rPr>
          <w:sz w:val="18"/>
          <w:szCs w:val="18"/>
        </w:rPr>
        <w:t xml:space="preserve">funciones, herramientas </w:t>
      </w:r>
      <w:r w:rsidRPr="000C0BE7">
        <w:rPr>
          <w:sz w:val="18"/>
          <w:szCs w:val="18"/>
        </w:rPr>
        <w:t xml:space="preserve">y medios relacionados con la accesibilidad, </w:t>
      </w:r>
      <w:r>
        <w:rPr>
          <w:sz w:val="18"/>
          <w:szCs w:val="18"/>
        </w:rPr>
        <w:t>desagregados</w:t>
      </w:r>
      <w:r w:rsidRPr="000C0BE7">
        <w:rPr>
          <w:sz w:val="18"/>
          <w:szCs w:val="18"/>
        </w:rPr>
        <w:t xml:space="preserve"> por la </w:t>
      </w:r>
      <w:r>
        <w:rPr>
          <w:sz w:val="18"/>
          <w:szCs w:val="18"/>
        </w:rPr>
        <w:t>titularidad</w:t>
      </w:r>
      <w:r w:rsidRPr="000C0BE7">
        <w:rPr>
          <w:sz w:val="18"/>
          <w:szCs w:val="18"/>
        </w:rPr>
        <w:t xml:space="preserve"> de los medios (privados/públicos) y </w:t>
      </w:r>
      <w:r>
        <w:rPr>
          <w:sz w:val="18"/>
          <w:szCs w:val="18"/>
        </w:rPr>
        <w:t>herramientas</w:t>
      </w:r>
      <w:r w:rsidRPr="000C0BE7">
        <w:rPr>
          <w:sz w:val="18"/>
          <w:szCs w:val="18"/>
        </w:rPr>
        <w:t xml:space="preserve"> de accesibilidad ofrecidas.</w:t>
      </w:r>
    </w:p>
    <w:p w14:paraId="244F63C0" w14:textId="10CECE23" w:rsidR="00D90F53" w:rsidRPr="00D90F53" w:rsidRDefault="00D90F53" w:rsidP="00354BB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9.15 Número de informes publicados en formatos accesibles por autoridades públicas dirigidos al público en general, desagregados por tipo de formato y por proporción en relación al número total de informes publicados. (</w:t>
      </w:r>
      <w:proofErr w:type="spellStart"/>
      <w:r w:rsidRPr="00A45BDF">
        <w:rPr>
          <w:i/>
          <w:sz w:val="18"/>
          <w:szCs w:val="18"/>
        </w:rPr>
        <w:t>Ibid</w:t>
      </w:r>
      <w:proofErr w:type="spellEnd"/>
      <w:r>
        <w:rPr>
          <w:sz w:val="18"/>
          <w:szCs w:val="18"/>
        </w:rPr>
        <w:t>. 21.16)</w:t>
      </w:r>
    </w:p>
    <w:p w14:paraId="14B294CB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9.16 Implementación de auditorías sobre accesibilidad en las instalaciones, servicios y programas gubernamentales que requieran la participación de personas con discapacidad y las organizaciones que las representan, incluyendo protocolos, procedimientos, servicios e instalaciones de emergencias.</w:t>
      </w:r>
    </w:p>
    <w:p w14:paraId="2202F3A2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9.17 Adopción de guías sobre contratación pública que establezcan criterios de diseño universal y accesibilidad y que exijan que los productos y servicios incluyan diseño y componentes accesibles.</w:t>
      </w:r>
      <w:r>
        <w:rPr>
          <w:rStyle w:val="EndnoteReference"/>
          <w:rFonts w:cstheme="minorHAnsi"/>
          <w:sz w:val="18"/>
          <w:szCs w:val="18"/>
        </w:rPr>
        <w:endnoteReference w:id="7"/>
      </w:r>
    </w:p>
    <w:p w14:paraId="6649570E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9.18 Número y proporción de profesionales, en particular ingenieros, arquitectos, planificadores urbanos, operadores de transporte, diseñadores web, proveedores de servicios públicos, operadores de medios de comunicación, funcionarios de contratación pública y otros profesionales que hayan sido formados en diseño universal y estándares de accesibilidad.</w:t>
      </w:r>
    </w:p>
    <w:p w14:paraId="269D9FAF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9.19 </w:t>
      </w:r>
      <w:r w:rsidRPr="009E7005">
        <w:rPr>
          <w:sz w:val="18"/>
          <w:szCs w:val="18"/>
        </w:rPr>
        <w:t xml:space="preserve">Campañas y actividades </w:t>
      </w:r>
      <w:r>
        <w:rPr>
          <w:sz w:val="18"/>
          <w:szCs w:val="18"/>
        </w:rPr>
        <w:t>de concienciación</w:t>
      </w:r>
      <w:r w:rsidRPr="009E7005">
        <w:rPr>
          <w:sz w:val="18"/>
          <w:szCs w:val="18"/>
        </w:rPr>
        <w:t xml:space="preserve"> </w:t>
      </w:r>
      <w:r>
        <w:rPr>
          <w:sz w:val="18"/>
          <w:szCs w:val="18"/>
        </w:rPr>
        <w:t>que promuevan</w:t>
      </w:r>
      <w:r w:rsidRPr="009E70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la accesibilidad en todos los servicios abiertos al público y que fomenten el conocimiento del diseño universal y de los estándares de accesibilidad por parte de los profesionales pertinentes, fabricantes y proveedores de servicios, así como también informar a las personas de sus derechos y responsabilidades cuando tengan que ver con la accesibilidad. </w:t>
      </w:r>
    </w:p>
    <w:p w14:paraId="0803D01F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9.20 Procesos de consulta llevados a cabo para asegurar la participación activa de las personas con discapacidad, incluyendo las organizaciones que las representan , en el diseño, la implementación y el monitoreo de leyes, reglamentos, políticas y programas, en relación con la accesibilidad al entorno construido, el transporte, la información y la comunicación.</w:t>
      </w:r>
      <w:r w:rsidRPr="000C6C47">
        <w:rPr>
          <w:rStyle w:val="EndnoteReference"/>
          <w:rFonts w:cstheme="minorHAnsi"/>
          <w:sz w:val="18"/>
          <w:szCs w:val="18"/>
        </w:rPr>
        <w:endnoteReference w:id="8"/>
      </w:r>
    </w:p>
    <w:p w14:paraId="1553FD0C" w14:textId="77777777" w:rsidR="00D90F53" w:rsidRPr="000C6C47" w:rsidRDefault="00D90F53" w:rsidP="000C0BE7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9.21 Proporción de denuncias recibidas que han sido investigadas y resueltas</w:t>
      </w:r>
      <w:r w:rsidDel="00E401C4">
        <w:rPr>
          <w:sz w:val="18"/>
          <w:szCs w:val="18"/>
        </w:rPr>
        <w:t xml:space="preserve"> </w:t>
      </w:r>
      <w:r>
        <w:rPr>
          <w:sz w:val="18"/>
          <w:szCs w:val="18"/>
        </w:rPr>
        <w:t>referidas a la accesibilidad de personas con discapacidad; proporción de las mismas resueltas a favor del denunciante, y proporción de estas últimas cumplidas por el gobierno o el responsable; todas ellas desagregadas por tipo de mecanismo.</w:t>
      </w:r>
    </w:p>
    <w:p w14:paraId="2F1A1908" w14:textId="77777777" w:rsidR="00D90F53" w:rsidRDefault="00D90F53" w:rsidP="000C6C47">
      <w:pPr>
        <w:spacing w:after="0" w:line="240" w:lineRule="auto"/>
        <w:jc w:val="both"/>
        <w:rPr>
          <w:b/>
          <w:sz w:val="18"/>
          <w:szCs w:val="18"/>
        </w:rPr>
      </w:pPr>
    </w:p>
    <w:p w14:paraId="521F6949" w14:textId="773FC2E1" w:rsidR="00D90F53" w:rsidRPr="000C6C47" w:rsidRDefault="00657A31" w:rsidP="000C6C47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Indicadores de R</w:t>
      </w:r>
      <w:r w:rsidR="00D90F53">
        <w:rPr>
          <w:b/>
          <w:sz w:val="18"/>
          <w:szCs w:val="18"/>
        </w:rPr>
        <w:t xml:space="preserve">esultado </w:t>
      </w:r>
    </w:p>
    <w:p w14:paraId="1A16EAA4" w14:textId="77777777" w:rsidR="00D90F53" w:rsidRPr="00A45BDF" w:rsidRDefault="00D90F53" w:rsidP="000C0BE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45BDF">
        <w:rPr>
          <w:sz w:val="18"/>
          <w:szCs w:val="18"/>
        </w:rPr>
        <w:t>9.22 Proporción de la población que tiene acceso</w:t>
      </w:r>
      <w:r>
        <w:rPr>
          <w:sz w:val="18"/>
          <w:szCs w:val="18"/>
        </w:rPr>
        <w:t xml:space="preserve"> sin inconvenientes</w:t>
      </w:r>
      <w:r w:rsidRPr="00A45BDF">
        <w:rPr>
          <w:sz w:val="18"/>
          <w:szCs w:val="18"/>
        </w:rPr>
        <w:t xml:space="preserve"> al transporte público, </w:t>
      </w:r>
      <w:r>
        <w:rPr>
          <w:sz w:val="18"/>
          <w:szCs w:val="18"/>
        </w:rPr>
        <w:t>desagregado</w:t>
      </w:r>
      <w:r w:rsidRPr="00A45BDF">
        <w:rPr>
          <w:sz w:val="18"/>
          <w:szCs w:val="18"/>
        </w:rPr>
        <w:t xml:space="preserve"> por sexo, edad y personas con discapacidad (indicador 11.2.1 de los ODS).</w:t>
      </w:r>
    </w:p>
    <w:p w14:paraId="7C34563D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9.23 Proporción media de la superficie construida de las ciudades que se dedica a espacios abiertos para uso público general, desagregada por sexo, edad y personas con discapacidad (indicador 11.7.1 de los ODS).</w:t>
      </w:r>
    </w:p>
    <w:p w14:paraId="7EDD58FE" w14:textId="77777777" w:rsidR="00D90F53" w:rsidRPr="000C6C47" w:rsidRDefault="00D90F53" w:rsidP="00D90F53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9.24 Proporción de personas con discapacidad que declaran poder acceder a edificios públicos en zonas urbanas y rurales, incluidos edificios gubernamentales en capitales nacionales y regionales.</w:t>
      </w:r>
    </w:p>
    <w:p w14:paraId="0CAC0BC7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9.25 Proporción de individuos que utilizan internet (indicador 17.8.1 de los ODS) desagregada por edad, sexo y discapacidad.  </w:t>
      </w:r>
    </w:p>
    <w:p w14:paraId="3F4C7C61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lastRenderedPageBreak/>
        <w:t>9.26 Proporción de personas con discapacidad que declaran estar satisfechos con el acceso a los servicios de emergencia a través de medios de comunicación alternativos, desagregados por sexo, edad y discapacidad.</w:t>
      </w:r>
    </w:p>
    <w:p w14:paraId="744C59B8" w14:textId="77777777" w:rsidR="00D90F53" w:rsidRPr="000C6C47" w:rsidRDefault="00D90F53" w:rsidP="00354B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9.27 Proporción de personas con discapacidad a las que se ha otorgado el uso de comunicaciones alternativas</w:t>
      </w:r>
      <w:r w:rsidRPr="000C6C47">
        <w:rPr>
          <w:rStyle w:val="EndnoteReference"/>
          <w:rFonts w:cstheme="minorHAnsi"/>
          <w:sz w:val="18"/>
          <w:szCs w:val="18"/>
        </w:rPr>
        <w:endnoteReference w:id="9"/>
      </w:r>
      <w:r>
        <w:rPr>
          <w:sz w:val="18"/>
          <w:szCs w:val="18"/>
        </w:rPr>
        <w:t xml:space="preserve"> en interacciones oficiales, desagregadas por tipo de servicio público utilizado, edad, sexo y discapacidad.</w:t>
      </w:r>
    </w:p>
    <w:p w14:paraId="26FE20A3" w14:textId="77777777" w:rsidR="0073485C" w:rsidRPr="00C154B3" w:rsidRDefault="0073485C" w:rsidP="00220F2F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08A8939D" w14:textId="4D8E9285" w:rsidR="00884069" w:rsidRDefault="0088406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5EC4BCD" w14:textId="369398A4" w:rsidR="00F912D8" w:rsidRDefault="00AB208C" w:rsidP="00C154B3">
      <w:pPr>
        <w:spacing w:after="0"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</w:t>
      </w:r>
    </w:p>
    <w:p w14:paraId="5753A557" w14:textId="364844F1" w:rsidR="00314034" w:rsidRPr="00C154B3" w:rsidRDefault="00314034" w:rsidP="00314034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>*V</w:t>
      </w:r>
      <w:r w:rsidRPr="00550281">
        <w:rPr>
          <w:sz w:val="18"/>
          <w:szCs w:val="18"/>
        </w:rPr>
        <w:t xml:space="preserve">éase la </w:t>
      </w:r>
      <w:hyperlink r:id="rId11" w:history="1">
        <w:r w:rsidRPr="00A376F5">
          <w:rPr>
            <w:rStyle w:val="Hyperlink"/>
            <w:sz w:val="18"/>
            <w:szCs w:val="18"/>
          </w:rPr>
          <w:t>Observación general Nº 2</w:t>
        </w:r>
      </w:hyperlink>
      <w:r>
        <w:rPr>
          <w:rStyle w:val="Hyperlink"/>
          <w:sz w:val="18"/>
          <w:szCs w:val="18"/>
        </w:rPr>
        <w:t xml:space="preserve"> </w:t>
      </w:r>
      <w:r>
        <w:rPr>
          <w:sz w:val="18"/>
          <w:szCs w:val="18"/>
        </w:rPr>
        <w:t>del Comité de la CDPD.</w:t>
      </w:r>
    </w:p>
    <w:sectPr w:rsidR="00314034" w:rsidRPr="00C154B3" w:rsidSect="00C154B3">
      <w:pgSz w:w="15840" w:h="12240" w:orient="landscape"/>
      <w:pgMar w:top="113" w:right="284" w:bottom="113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03B" w14:textId="77777777" w:rsidR="0079610F" w:rsidRDefault="0079610F" w:rsidP="0064710C">
      <w:pPr>
        <w:spacing w:after="0" w:line="240" w:lineRule="auto"/>
      </w:pPr>
      <w:r>
        <w:separator/>
      </w:r>
    </w:p>
  </w:endnote>
  <w:endnote w:type="continuationSeparator" w:id="0">
    <w:p w14:paraId="34C54503" w14:textId="77777777" w:rsidR="0079610F" w:rsidRDefault="0079610F" w:rsidP="0064710C">
      <w:pPr>
        <w:spacing w:after="0" w:line="240" w:lineRule="auto"/>
      </w:pPr>
      <w:r>
        <w:continuationSeparator/>
      </w:r>
    </w:p>
  </w:endnote>
  <w:endnote w:id="1">
    <w:p w14:paraId="301AE8CC" w14:textId="77777777" w:rsidR="00D90F53" w:rsidRPr="00E10AEA" w:rsidRDefault="00D90F53" w:rsidP="000C6C47">
      <w:pPr>
        <w:pStyle w:val="NoSpacing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Debe contener al menos los siguientes elementos:</w:t>
      </w:r>
    </w:p>
    <w:p w14:paraId="1361A4D1" w14:textId="77777777" w:rsidR="00D90F53" w:rsidRPr="00E10AEA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Aplicación del principio de diseño universal en el desarrollo de estándares y guías de accesibilidad;</w:t>
      </w:r>
    </w:p>
    <w:p w14:paraId="23FC9D13" w14:textId="77777777" w:rsidR="00D90F53" w:rsidRPr="00E10AEA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Obligación de cumplir con las normas técnicas específicas del sector;</w:t>
      </w:r>
    </w:p>
    <w:p w14:paraId="2D22AFC1" w14:textId="77777777" w:rsidR="00D90F53" w:rsidRPr="00E10AEA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Disponibilidad de sanciones disuasorias efectivas por violación de los estándares de accesibilidad;</w:t>
      </w:r>
    </w:p>
    <w:p w14:paraId="26BD4E64" w14:textId="77777777" w:rsidR="00D90F53" w:rsidRPr="00E10AEA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Establecimiento de una entidad independiente para monitorear el cumplimiento de los estándares de accesibilidad;</w:t>
      </w:r>
    </w:p>
    <w:p w14:paraId="47750C8C" w14:textId="77777777" w:rsidR="00D90F53" w:rsidRPr="00E10AEA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Inclusión de tecnologías y dispositivos de asistencia, así como asistencia humana o animal en la definición de accesibilidad;</w:t>
      </w:r>
    </w:p>
    <w:p w14:paraId="706F35DE" w14:textId="77777777" w:rsidR="00D90F53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Cumplimiento de los estándares de accesibilidad en todos los contratos públicos, concesiones y demás acuerdos de financiamiento;</w:t>
      </w:r>
    </w:p>
    <w:p w14:paraId="75726BC6" w14:textId="77777777" w:rsidR="00D90F53" w:rsidRPr="00E10AEA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Obligación de consultar estrechamente a las organizaciones que representan a las personas con discapacidad en todas las iniciativas relacionadas con la accesibilidad;</w:t>
      </w:r>
    </w:p>
    <w:p w14:paraId="419D7AF3" w14:textId="77777777" w:rsidR="00D90F53" w:rsidRPr="00E10AEA" w:rsidRDefault="00D90F53" w:rsidP="000C6C47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Incentivos que promuevan la accesibilidad, tales como exenciones fiscales para las modificaciones de los dispositivos</w:t>
      </w:r>
      <w:r w:rsidRPr="000C0BE7">
        <w:rPr>
          <w:sz w:val="18"/>
          <w:szCs w:val="18"/>
        </w:rPr>
        <w:t xml:space="preserve"> </w:t>
      </w:r>
      <w:r>
        <w:rPr>
          <w:sz w:val="18"/>
          <w:szCs w:val="18"/>
        </w:rPr>
        <w:t>a fin de hacerlos más accesibles, para importar/exportar tecnologías o dispositivos de asistencia apropiados, vehículos y asistencia financiera para la compra de dispositivos de asistencia, dispositivos de comunicación o modificaciones en el hogar;</w:t>
      </w:r>
    </w:p>
    <w:p w14:paraId="51828508" w14:textId="77777777" w:rsidR="00D90F53" w:rsidRPr="00E10AEA" w:rsidRDefault="00D90F53" w:rsidP="000C6C47">
      <w:pPr>
        <w:pStyle w:val="EndnoteText"/>
        <w:numPr>
          <w:ilvl w:val="0"/>
          <w:numId w:val="11"/>
        </w:numPr>
        <w:ind w:left="714" w:hanging="357"/>
        <w:rPr>
          <w:rFonts w:cstheme="minorHAnsi"/>
          <w:sz w:val="18"/>
          <w:szCs w:val="18"/>
        </w:rPr>
      </w:pPr>
      <w:r>
        <w:rPr>
          <w:sz w:val="18"/>
          <w:szCs w:val="18"/>
        </w:rPr>
        <w:t>Inclusión de módulos de accesibilidad y diseño universal en los planes de estudio de las profesiones pertinentes.</w:t>
      </w:r>
    </w:p>
  </w:endnote>
  <w:endnote w:id="2">
    <w:p w14:paraId="17366C0F" w14:textId="77777777" w:rsidR="00D90F53" w:rsidRPr="00E10AEA" w:rsidRDefault="00D90F53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 w:rsidRPr="000C0BE7">
        <w:rPr>
          <w:sz w:val="18"/>
          <w:szCs w:val="18"/>
        </w:rPr>
        <w:t xml:space="preserve">Este indicador se refiere, por ejemplo, a las disposiciones sobre accesibilidad en la legislación sobre telecomunicaciones, los códigos de radiodifusión, </w:t>
      </w:r>
      <w:r>
        <w:rPr>
          <w:sz w:val="18"/>
          <w:szCs w:val="18"/>
        </w:rPr>
        <w:t>regulaciones conexas</w:t>
      </w:r>
      <w:r w:rsidRPr="000C0BE7">
        <w:rPr>
          <w:sz w:val="18"/>
          <w:szCs w:val="18"/>
        </w:rPr>
        <w:t xml:space="preserve"> y </w:t>
      </w:r>
      <w:r>
        <w:rPr>
          <w:sz w:val="18"/>
          <w:szCs w:val="18"/>
        </w:rPr>
        <w:t>lo referido a</w:t>
      </w:r>
      <w:r w:rsidRPr="000C0BE7">
        <w:rPr>
          <w:sz w:val="18"/>
          <w:szCs w:val="18"/>
        </w:rPr>
        <w:t xml:space="preserve"> Internet, las tecnologías digitales, el teléfono, incluidos los servicios de retransmisión de telecomunicaciones y la telefonía móvil. "</w:t>
      </w:r>
      <w:r>
        <w:rPr>
          <w:sz w:val="18"/>
          <w:szCs w:val="18"/>
        </w:rPr>
        <w:t>Redes</w:t>
      </w:r>
      <w:r w:rsidRPr="000C0BE7">
        <w:rPr>
          <w:sz w:val="18"/>
          <w:szCs w:val="18"/>
        </w:rPr>
        <w:t xml:space="preserve"> sociales" incluye sitios web, plataformas en línea y aplicaciones móviles. Véase, por ejemplo, el </w:t>
      </w:r>
      <w:hyperlink r:id="rId1" w:history="1">
        <w:r w:rsidRPr="000C0BE7">
          <w:rPr>
            <w:rStyle w:val="Hyperlink"/>
            <w:sz w:val="18"/>
            <w:szCs w:val="18"/>
          </w:rPr>
          <w:t>Suplemento 17 de la serie H del UIT-T</w:t>
        </w:r>
      </w:hyperlink>
      <w:r w:rsidRPr="000C0BE7">
        <w:rPr>
          <w:sz w:val="18"/>
          <w:szCs w:val="18"/>
        </w:rPr>
        <w:t xml:space="preserve"> | Guía 71 de la ISO/CEI: Guía para abordar la </w:t>
      </w:r>
      <w:r>
        <w:rPr>
          <w:sz w:val="18"/>
          <w:szCs w:val="18"/>
        </w:rPr>
        <w:t>accesibilidad en las normas y</w:t>
      </w:r>
      <w:r w:rsidRPr="000C0BE7">
        <w:rPr>
          <w:sz w:val="18"/>
          <w:szCs w:val="18"/>
        </w:rPr>
        <w:t xml:space="preserve"> </w:t>
      </w:r>
      <w:hyperlink r:id="rId2" w:history="1">
        <w:r w:rsidRPr="000C0BE7">
          <w:rPr>
            <w:rStyle w:val="Hyperlink"/>
            <w:sz w:val="18"/>
            <w:szCs w:val="18"/>
          </w:rPr>
          <w:t>UIT-T F.790</w:t>
        </w:r>
      </w:hyperlink>
      <w:r>
        <w:rPr>
          <w:sz w:val="18"/>
          <w:szCs w:val="18"/>
        </w:rPr>
        <w:t>: Directrices de accesibilidad de</w:t>
      </w:r>
      <w:r w:rsidRPr="000C0BE7">
        <w:rPr>
          <w:sz w:val="18"/>
          <w:szCs w:val="18"/>
        </w:rPr>
        <w:t xml:space="preserve"> las telecomunicaciones para las personas de edad y las personas con discapacidades. Para más información, véase https://www.itu.int/en/ITU-T/accessibility/Pages/default.aspx.</w:t>
      </w:r>
    </w:p>
  </w:endnote>
  <w:endnote w:id="3">
    <w:p w14:paraId="1DDC415C" w14:textId="77777777" w:rsidR="00D90F53" w:rsidRPr="00E10AEA" w:rsidRDefault="00D90F53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Esto debería incluir disposiciones sobre:</w:t>
      </w:r>
    </w:p>
    <w:p w14:paraId="25C42BF5" w14:textId="77777777" w:rsidR="00D90F53" w:rsidRPr="00E10AEA" w:rsidRDefault="00D90F53" w:rsidP="000C6C47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cstheme="minorHAnsi"/>
          <w:sz w:val="18"/>
          <w:szCs w:val="18"/>
        </w:rPr>
      </w:pPr>
      <w:r>
        <w:rPr>
          <w:sz w:val="18"/>
          <w:szCs w:val="18"/>
        </w:rPr>
        <w:t>La adopción de estándares técnicos obligatorios para un acceso sin barreras que rijan la aprobación de todos los diseños de medios de transporte, edificios y servicios relacionados con las TIC y que sean adoptados en estrecha consulta con las organizaciones que representan a las personas con discapacidad teniendo en cuenta los estándares reconocidos internacionalmente;</w:t>
      </w:r>
    </w:p>
    <w:p w14:paraId="71D71F0E" w14:textId="77777777" w:rsidR="00D90F53" w:rsidRPr="00E10AEA" w:rsidRDefault="00D90F53" w:rsidP="000C6C47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cstheme="minorHAnsi"/>
          <w:sz w:val="18"/>
          <w:szCs w:val="18"/>
        </w:rPr>
      </w:pPr>
      <w:r>
        <w:rPr>
          <w:sz w:val="18"/>
          <w:szCs w:val="18"/>
        </w:rPr>
        <w:t>Requisito de llevar a cabo una auditoría inicial y periódica para identificar los obstáculos a la accesibilidad del entorno físico y el transporte, los edificios, las instalaciones y los servicios abiertos al público, así como de las tecnologías de la información y la comunicación, y que verifique el uso de los fondos públicos que contribuyan a las barreras o que las eliminen , ejecutada con la participación estrecha y consistente de las organizaciones que representan a las personas con discapacidad.</w:t>
      </w:r>
    </w:p>
  </w:endnote>
  <w:endnote w:id="4">
    <w:p w14:paraId="64CF601C" w14:textId="77777777" w:rsidR="00D90F53" w:rsidRPr="00E10AEA" w:rsidRDefault="00D90F53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Dependiendo de la legislación que regule el sistema de servicios de transporte, pueden ser relevantes los diferentes criterios de desglose.</w:t>
      </w:r>
    </w:p>
  </w:endnote>
  <w:endnote w:id="5">
    <w:p w14:paraId="02A6EE1D" w14:textId="77777777" w:rsidR="00D90F53" w:rsidRPr="000200DC" w:rsidRDefault="00D90F53" w:rsidP="000C6C47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Se podrían proporcionar diferentes medidas, por ejemplo, servicios de </w:t>
      </w:r>
      <w:proofErr w:type="spellStart"/>
      <w:r>
        <w:rPr>
          <w:sz w:val="18"/>
          <w:szCs w:val="18"/>
        </w:rPr>
        <w:t>paratránsito</w:t>
      </w:r>
      <w:proofErr w:type="spellEnd"/>
      <w:r>
        <w:rPr>
          <w:sz w:val="18"/>
          <w:szCs w:val="18"/>
        </w:rPr>
        <w:t>; subsidios o ayudas a las personas con discapacidad para que puedan acceder a otros medios de transporte accesibles; etc.</w:t>
      </w:r>
    </w:p>
  </w:endnote>
  <w:endnote w:id="6">
    <w:p w14:paraId="59097D24" w14:textId="77777777" w:rsidR="00D90F53" w:rsidRPr="00A45BDF" w:rsidRDefault="00D90F53" w:rsidP="000C0BE7">
      <w:pPr>
        <w:pStyle w:val="EndnoteText"/>
        <w:rPr>
          <w:rFonts w:cstheme="minorHAnsi"/>
          <w:sz w:val="18"/>
          <w:szCs w:val="18"/>
        </w:rPr>
      </w:pPr>
      <w:r w:rsidRPr="000F2C92">
        <w:rPr>
          <w:rStyle w:val="EndnoteReference"/>
          <w:rFonts w:cstheme="minorHAnsi"/>
          <w:sz w:val="18"/>
          <w:szCs w:val="18"/>
        </w:rPr>
        <w:endnoteRef/>
      </w:r>
      <w:r w:rsidRPr="000C0BE7">
        <w:rPr>
          <w:rFonts w:cstheme="minorHAnsi"/>
          <w:sz w:val="18"/>
          <w:szCs w:val="18"/>
        </w:rPr>
        <w:t xml:space="preserve"> </w:t>
      </w:r>
      <w:r w:rsidRPr="00A45BDF">
        <w:rPr>
          <w:rFonts w:cstheme="minorHAnsi"/>
          <w:sz w:val="18"/>
          <w:szCs w:val="18"/>
        </w:rPr>
        <w:t>Véase la Recomendación UIT-T H.702 en la que se describen las funciones para la visualización de información sobre accesibilidad, como subtítulo</w:t>
      </w:r>
      <w:r>
        <w:rPr>
          <w:rFonts w:cstheme="minorHAnsi"/>
          <w:sz w:val="18"/>
          <w:szCs w:val="18"/>
        </w:rPr>
        <w:t>s</w:t>
      </w:r>
      <w:r w:rsidRPr="00A45BDF">
        <w:rPr>
          <w:rFonts w:cstheme="minorHAnsi"/>
          <w:sz w:val="18"/>
          <w:szCs w:val="18"/>
        </w:rPr>
        <w:t>, lenguaje de s</w:t>
      </w:r>
      <w:r>
        <w:rPr>
          <w:rFonts w:cstheme="minorHAnsi"/>
          <w:sz w:val="18"/>
          <w:szCs w:val="18"/>
        </w:rPr>
        <w:t>eña</w:t>
      </w:r>
      <w:r w:rsidRPr="00A45BDF">
        <w:rPr>
          <w:rFonts w:cstheme="minorHAnsi"/>
          <w:sz w:val="18"/>
          <w:szCs w:val="18"/>
        </w:rPr>
        <w:t>s</w:t>
      </w:r>
      <w:r w:rsidRPr="000C0BE7">
        <w:rPr>
          <w:rFonts w:cstheme="minorHAnsi"/>
          <w:sz w:val="18"/>
          <w:szCs w:val="18"/>
        </w:rPr>
        <w:t xml:space="preserve"> y </w:t>
      </w:r>
      <w:proofErr w:type="spellStart"/>
      <w:r w:rsidRPr="000C0BE7">
        <w:rPr>
          <w:rFonts w:cstheme="minorHAnsi"/>
          <w:sz w:val="18"/>
          <w:szCs w:val="18"/>
        </w:rPr>
        <w:t>audio</w:t>
      </w:r>
      <w:r w:rsidRPr="00A45BDF">
        <w:rPr>
          <w:rFonts w:cstheme="minorHAnsi"/>
          <w:sz w:val="18"/>
          <w:szCs w:val="18"/>
        </w:rPr>
        <w:t>descripción</w:t>
      </w:r>
      <w:proofErr w:type="spellEnd"/>
      <w:r w:rsidRPr="000C0BE7">
        <w:rPr>
          <w:rFonts w:cstheme="minorHAnsi"/>
          <w:sz w:val="18"/>
          <w:szCs w:val="18"/>
        </w:rPr>
        <w:t>.</w:t>
      </w:r>
    </w:p>
  </w:endnote>
  <w:endnote w:id="7">
    <w:p w14:paraId="5C12A72B" w14:textId="77777777" w:rsidR="00D90F53" w:rsidRPr="000C0BE7" w:rsidRDefault="00D90F53" w:rsidP="000C0BE7">
      <w:pPr>
        <w:pStyle w:val="EndnoteText"/>
        <w:rPr>
          <w:rFonts w:cstheme="minorHAnsi"/>
          <w:sz w:val="18"/>
          <w:szCs w:val="18"/>
        </w:rPr>
      </w:pPr>
      <w:r w:rsidRPr="000F2C92">
        <w:rPr>
          <w:rStyle w:val="EndnoteReference"/>
          <w:rFonts w:cstheme="minorHAnsi"/>
          <w:sz w:val="18"/>
          <w:szCs w:val="18"/>
        </w:rPr>
        <w:endnoteRef/>
      </w:r>
      <w:r w:rsidRPr="000C0BE7">
        <w:rPr>
          <w:rFonts w:cstheme="minorHAnsi"/>
          <w:sz w:val="18"/>
          <w:szCs w:val="18"/>
        </w:rPr>
        <w:t xml:space="preserve"> </w:t>
      </w:r>
      <w:r w:rsidRPr="00A45BDF">
        <w:rPr>
          <w:rFonts w:cstheme="minorHAnsi"/>
          <w:sz w:val="18"/>
          <w:szCs w:val="18"/>
        </w:rPr>
        <w:t xml:space="preserve">Las </w:t>
      </w:r>
      <w:r>
        <w:rPr>
          <w:rFonts w:cstheme="minorHAnsi"/>
          <w:sz w:val="18"/>
          <w:szCs w:val="18"/>
        </w:rPr>
        <w:t>guías</w:t>
      </w:r>
      <w:r w:rsidRPr="00A45BDF">
        <w:rPr>
          <w:rFonts w:cstheme="minorHAnsi"/>
          <w:sz w:val="18"/>
          <w:szCs w:val="18"/>
        </w:rPr>
        <w:t xml:space="preserve"> pueden establecer criterios que exijan</w:t>
      </w:r>
      <w:r w:rsidRPr="000C0BE7">
        <w:rPr>
          <w:rFonts w:cstheme="minorHAnsi"/>
          <w:sz w:val="18"/>
          <w:szCs w:val="18"/>
        </w:rPr>
        <w:t xml:space="preserve">: </w:t>
      </w:r>
    </w:p>
    <w:p w14:paraId="52A40C57" w14:textId="77777777" w:rsidR="00D90F53" w:rsidRPr="000C0BE7" w:rsidRDefault="00D90F53" w:rsidP="000C0BE7">
      <w:pPr>
        <w:pStyle w:val="EndnoteText"/>
        <w:rPr>
          <w:rFonts w:cstheme="minorHAnsi"/>
          <w:sz w:val="18"/>
          <w:szCs w:val="18"/>
        </w:rPr>
      </w:pPr>
      <w:r w:rsidRPr="000C0BE7">
        <w:rPr>
          <w:rFonts w:cstheme="minorHAnsi"/>
          <w:sz w:val="18"/>
          <w:szCs w:val="18"/>
        </w:rPr>
        <w:t xml:space="preserve">- </w:t>
      </w:r>
      <w:r>
        <w:rPr>
          <w:rFonts w:cstheme="minorHAnsi"/>
          <w:sz w:val="18"/>
          <w:szCs w:val="18"/>
        </w:rPr>
        <w:t xml:space="preserve">que los </w:t>
      </w:r>
      <w:r w:rsidRPr="00A45BDF">
        <w:rPr>
          <w:rFonts w:cstheme="minorHAnsi"/>
          <w:sz w:val="18"/>
          <w:szCs w:val="18"/>
        </w:rPr>
        <w:t xml:space="preserve">planes de licitación y de adquisición de </w:t>
      </w:r>
      <w:r>
        <w:rPr>
          <w:rFonts w:cstheme="minorHAnsi"/>
          <w:sz w:val="18"/>
          <w:szCs w:val="18"/>
        </w:rPr>
        <w:t>concesiones</w:t>
      </w:r>
      <w:r w:rsidRPr="00A45BDF">
        <w:rPr>
          <w:rFonts w:cstheme="minorHAnsi"/>
          <w:sz w:val="18"/>
          <w:szCs w:val="18"/>
        </w:rPr>
        <w:t xml:space="preserve"> incluyan especificaciones de accesibilidad</w:t>
      </w:r>
      <w:r w:rsidRPr="000C0BE7">
        <w:rPr>
          <w:rFonts w:cstheme="minorHAnsi"/>
          <w:sz w:val="18"/>
          <w:szCs w:val="18"/>
        </w:rPr>
        <w:t>.</w:t>
      </w:r>
    </w:p>
    <w:p w14:paraId="7A7A38C6" w14:textId="77777777" w:rsidR="00D90F53" w:rsidRPr="000C0BE7" w:rsidRDefault="00D90F53" w:rsidP="000C0BE7">
      <w:pPr>
        <w:pStyle w:val="EndnoteText"/>
        <w:rPr>
          <w:rFonts w:cstheme="minorHAnsi"/>
          <w:sz w:val="18"/>
          <w:szCs w:val="18"/>
        </w:rPr>
      </w:pPr>
      <w:r w:rsidRPr="000C0BE7">
        <w:rPr>
          <w:rFonts w:cstheme="minorHAnsi"/>
          <w:sz w:val="18"/>
          <w:szCs w:val="18"/>
        </w:rPr>
        <w:t xml:space="preserve">- </w:t>
      </w:r>
      <w:r w:rsidRPr="002F2DF3">
        <w:rPr>
          <w:rFonts w:cstheme="minorHAnsi"/>
          <w:sz w:val="18"/>
          <w:szCs w:val="18"/>
        </w:rPr>
        <w:t>especificaciones de accesibilidad</w:t>
      </w:r>
      <w:r w:rsidRPr="00A45BDF">
        <w:rPr>
          <w:rFonts w:cstheme="minorHAnsi"/>
          <w:sz w:val="18"/>
          <w:szCs w:val="18"/>
        </w:rPr>
        <w:t xml:space="preserve"> en los criterios de evaluaci</w:t>
      </w:r>
      <w:r>
        <w:rPr>
          <w:rFonts w:cstheme="minorHAnsi"/>
          <w:sz w:val="18"/>
          <w:szCs w:val="18"/>
        </w:rPr>
        <w:t>ón</w:t>
      </w:r>
      <w:r w:rsidRPr="000C0BE7">
        <w:rPr>
          <w:rFonts w:cstheme="minorHAnsi"/>
          <w:sz w:val="18"/>
          <w:szCs w:val="18"/>
        </w:rPr>
        <w:t>.</w:t>
      </w:r>
    </w:p>
    <w:p w14:paraId="3DE0F599" w14:textId="77777777" w:rsidR="00D90F53" w:rsidRPr="000C0BE7" w:rsidRDefault="00D90F53" w:rsidP="000C0BE7">
      <w:pPr>
        <w:pStyle w:val="EndnoteText"/>
        <w:rPr>
          <w:rFonts w:cstheme="minorHAnsi"/>
          <w:sz w:val="18"/>
          <w:szCs w:val="18"/>
        </w:rPr>
      </w:pPr>
      <w:r w:rsidRPr="000C0BE7">
        <w:rPr>
          <w:rFonts w:cstheme="minorHAnsi"/>
          <w:sz w:val="18"/>
          <w:szCs w:val="18"/>
        </w:rPr>
        <w:t xml:space="preserve">- </w:t>
      </w:r>
      <w:r>
        <w:rPr>
          <w:rFonts w:cstheme="minorHAnsi"/>
          <w:sz w:val="18"/>
          <w:szCs w:val="18"/>
        </w:rPr>
        <w:t xml:space="preserve">que los </w:t>
      </w:r>
      <w:r w:rsidRPr="00A45BDF">
        <w:rPr>
          <w:rFonts w:cstheme="minorHAnsi"/>
          <w:sz w:val="18"/>
          <w:szCs w:val="18"/>
        </w:rPr>
        <w:t>contratos de suministro especifi</w:t>
      </w:r>
      <w:r>
        <w:rPr>
          <w:rFonts w:cstheme="minorHAnsi"/>
          <w:sz w:val="18"/>
          <w:szCs w:val="18"/>
        </w:rPr>
        <w:t>quen</w:t>
      </w:r>
      <w:r w:rsidRPr="00A45BDF">
        <w:rPr>
          <w:rFonts w:cstheme="minorHAnsi"/>
          <w:sz w:val="18"/>
          <w:szCs w:val="18"/>
        </w:rPr>
        <w:t xml:space="preserve"> si los productos y servicios tienen (o no tienen) características accesibles</w:t>
      </w:r>
      <w:r w:rsidRPr="000C0BE7">
        <w:rPr>
          <w:rFonts w:cstheme="minorHAnsi"/>
          <w:sz w:val="18"/>
          <w:szCs w:val="18"/>
        </w:rPr>
        <w:t xml:space="preserve">. </w:t>
      </w:r>
    </w:p>
    <w:p w14:paraId="7A3AB72F" w14:textId="77777777" w:rsidR="00D90F53" w:rsidRPr="000C0BE7" w:rsidRDefault="00D90F53" w:rsidP="000C0BE7">
      <w:pPr>
        <w:pStyle w:val="EndnoteText"/>
        <w:rPr>
          <w:rFonts w:cstheme="minorHAnsi"/>
          <w:sz w:val="18"/>
          <w:szCs w:val="18"/>
        </w:rPr>
      </w:pPr>
      <w:r w:rsidRPr="00A45BDF">
        <w:rPr>
          <w:rFonts w:cstheme="minorHAnsi"/>
          <w:sz w:val="18"/>
          <w:szCs w:val="18"/>
        </w:rPr>
        <w:t>Las personas con discapacidad deben tener acceso a los procedimientos de adquisición y deben tener derecho a participar en los procesos de adquisición como oficiales de adquisiciones en entidades o proveedores</w:t>
      </w:r>
      <w:r w:rsidRPr="000C0BE7">
        <w:rPr>
          <w:rFonts w:cstheme="minorHAnsi"/>
          <w:sz w:val="18"/>
          <w:szCs w:val="18"/>
        </w:rPr>
        <w:t>.</w:t>
      </w:r>
    </w:p>
  </w:endnote>
  <w:endnote w:id="8">
    <w:p w14:paraId="399286A7" w14:textId="3E7159C5" w:rsidR="00D90F53" w:rsidRPr="00E10AEA" w:rsidRDefault="00D90F53" w:rsidP="000C6C47">
      <w:pPr>
        <w:pStyle w:val="EndnoteText"/>
        <w:jc w:val="both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la verificación del cumplimiento de las actividades concretas emprendidas por las autoridades públicas para involucrar a las personas con discapacidad en los procesos de toma de decisiones relacionados con cuestiones que les afectan directa o indirectamente, de conformidad con el artículo 4.3 de la CDPD y </w:t>
      </w:r>
      <w:hyperlink r:id="rId3" w:history="1">
        <w:r w:rsidRPr="005B3F0F">
          <w:rPr>
            <w:rStyle w:val="Hyperlink"/>
            <w:sz w:val="18"/>
            <w:szCs w:val="18"/>
          </w:rPr>
          <w:t>la Observación general N.º 7</w:t>
        </w:r>
      </w:hyperlink>
      <w:bookmarkStart w:id="0" w:name="_GoBack"/>
      <w:bookmarkEnd w:id="0"/>
      <w:r>
        <w:rPr>
          <w:sz w:val="18"/>
          <w:szCs w:val="18"/>
        </w:rPr>
        <w:t xml:space="preserve"> del Comité, incluidas reuniones de consulta, sesiones informativas técnicas, encuestas de consulta en línea, solicitud de comentarios sobre proyectos de ley y políticas, entre otros métodos participativos. A este respecto, los Estados deben:</w:t>
      </w:r>
    </w:p>
    <w:p w14:paraId="454482D1" w14:textId="77777777" w:rsidR="00D90F53" w:rsidRPr="00E10AEA" w:rsidRDefault="00D90F53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asegurar que los procesos de consulta sean transparentes y accesibles</w:t>
      </w:r>
    </w:p>
    <w:p w14:paraId="705B7712" w14:textId="77777777" w:rsidR="00D90F53" w:rsidRPr="00E10AEA" w:rsidRDefault="00D90F53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garantizar que se entregue información adecuada y accesible</w:t>
      </w:r>
    </w:p>
    <w:p w14:paraId="7FF3E3FF" w14:textId="77777777" w:rsidR="00D90F53" w:rsidRPr="00E10AEA" w:rsidRDefault="00D90F53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no retener información, condicionar o impedir que las organizaciones de personas con discapacidad expresen libremente sus opiniones.</w:t>
      </w:r>
    </w:p>
    <w:p w14:paraId="4A7EB495" w14:textId="77777777" w:rsidR="00D90F53" w:rsidRPr="00E10AEA" w:rsidRDefault="00D90F53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registradas.</w:t>
      </w:r>
    </w:p>
    <w:p w14:paraId="79E29736" w14:textId="77777777" w:rsidR="00D90F53" w:rsidRPr="00E10AEA" w:rsidRDefault="00D90F53" w:rsidP="000C6C47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garantizar una participación temprana y continua. </w:t>
      </w:r>
    </w:p>
    <w:p w14:paraId="04CFDFB7" w14:textId="77777777" w:rsidR="00D90F53" w:rsidRPr="00AD4676" w:rsidRDefault="00D90F53" w:rsidP="00AD4676">
      <w:pPr>
        <w:pStyle w:val="EndnoteText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sz w:val="18"/>
          <w:szCs w:val="18"/>
        </w:rPr>
        <w:t>cubrir los gastos relacionados de los participantes.</w:t>
      </w:r>
    </w:p>
  </w:endnote>
  <w:endnote w:id="9">
    <w:p w14:paraId="35C634F1" w14:textId="77777777" w:rsidR="00D90F53" w:rsidRPr="00E10AEA" w:rsidRDefault="00D90F53" w:rsidP="000C6C47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rFonts w:cstheme="minorHAnsi"/>
          <w:sz w:val="18"/>
          <w:szCs w:val="18"/>
        </w:rPr>
        <w:endnoteRef/>
      </w:r>
      <w:r>
        <w:rPr>
          <w:sz w:val="18"/>
          <w:szCs w:val="18"/>
        </w:rPr>
        <w:t xml:space="preserve"> Tales como el lenguaje de señas, Braille, voz a texto o sistema de fácil lectura, </w:t>
      </w:r>
      <w:proofErr w:type="spellStart"/>
      <w:r>
        <w:rPr>
          <w:sz w:val="18"/>
          <w:szCs w:val="18"/>
        </w:rPr>
        <w:t>subtitulación</w:t>
      </w:r>
      <w:proofErr w:type="spellEnd"/>
      <w:r>
        <w:rPr>
          <w:sz w:val="18"/>
          <w:szCs w:val="18"/>
        </w:rPr>
        <w:t xml:space="preserve"> en tiempo real.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2AC8" w14:textId="77777777" w:rsidR="0079610F" w:rsidRDefault="0079610F" w:rsidP="0064710C">
      <w:pPr>
        <w:spacing w:after="0" w:line="240" w:lineRule="auto"/>
      </w:pPr>
      <w:r>
        <w:separator/>
      </w:r>
    </w:p>
  </w:footnote>
  <w:footnote w:type="continuationSeparator" w:id="0">
    <w:p w14:paraId="393D359B" w14:textId="77777777" w:rsidR="0079610F" w:rsidRDefault="0079610F" w:rsidP="0064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1E3"/>
    <w:multiLevelType w:val="hybridMultilevel"/>
    <w:tmpl w:val="9E34CB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B27"/>
    <w:multiLevelType w:val="hybridMultilevel"/>
    <w:tmpl w:val="595A60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602"/>
    <w:multiLevelType w:val="hybridMultilevel"/>
    <w:tmpl w:val="23AA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8B3"/>
    <w:multiLevelType w:val="multilevel"/>
    <w:tmpl w:val="6CD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136C1"/>
    <w:multiLevelType w:val="hybridMultilevel"/>
    <w:tmpl w:val="DD803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8F2EB4"/>
    <w:multiLevelType w:val="hybridMultilevel"/>
    <w:tmpl w:val="71FE91D2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712C2"/>
    <w:multiLevelType w:val="multilevel"/>
    <w:tmpl w:val="82F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518EB"/>
    <w:multiLevelType w:val="hybridMultilevel"/>
    <w:tmpl w:val="2592C80C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A4849"/>
    <w:multiLevelType w:val="hybridMultilevel"/>
    <w:tmpl w:val="7C206084"/>
    <w:lvl w:ilvl="0" w:tplc="657E2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54B74"/>
    <w:multiLevelType w:val="hybridMultilevel"/>
    <w:tmpl w:val="DBF28FF6"/>
    <w:lvl w:ilvl="0" w:tplc="657E2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97419"/>
    <w:multiLevelType w:val="hybridMultilevel"/>
    <w:tmpl w:val="2A381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2297"/>
    <w:multiLevelType w:val="hybridMultilevel"/>
    <w:tmpl w:val="6F9AE7B2"/>
    <w:lvl w:ilvl="0" w:tplc="93FE12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14D7B"/>
    <w:multiLevelType w:val="hybridMultilevel"/>
    <w:tmpl w:val="2D1285C4"/>
    <w:lvl w:ilvl="0" w:tplc="16EE09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2C30"/>
    <w:multiLevelType w:val="hybridMultilevel"/>
    <w:tmpl w:val="F2FAE89C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1"/>
    <w:rsid w:val="000016D1"/>
    <w:rsid w:val="00015A35"/>
    <w:rsid w:val="000200DC"/>
    <w:rsid w:val="000400CC"/>
    <w:rsid w:val="00076BA0"/>
    <w:rsid w:val="00077584"/>
    <w:rsid w:val="00086888"/>
    <w:rsid w:val="00091D3E"/>
    <w:rsid w:val="000A1877"/>
    <w:rsid w:val="000A4748"/>
    <w:rsid w:val="000C0BE7"/>
    <w:rsid w:val="000C6C47"/>
    <w:rsid w:val="000C7137"/>
    <w:rsid w:val="000E5005"/>
    <w:rsid w:val="000E5C5A"/>
    <w:rsid w:val="000F3441"/>
    <w:rsid w:val="00106F73"/>
    <w:rsid w:val="001243E2"/>
    <w:rsid w:val="00125EEB"/>
    <w:rsid w:val="0013672B"/>
    <w:rsid w:val="001A4A99"/>
    <w:rsid w:val="001B2A35"/>
    <w:rsid w:val="001D0F5E"/>
    <w:rsid w:val="001D11E9"/>
    <w:rsid w:val="001E0B81"/>
    <w:rsid w:val="001E450F"/>
    <w:rsid w:val="001E626E"/>
    <w:rsid w:val="001F473F"/>
    <w:rsid w:val="00214380"/>
    <w:rsid w:val="00220F2F"/>
    <w:rsid w:val="0022362A"/>
    <w:rsid w:val="00236F79"/>
    <w:rsid w:val="00241848"/>
    <w:rsid w:val="002658D6"/>
    <w:rsid w:val="002658FC"/>
    <w:rsid w:val="00274605"/>
    <w:rsid w:val="00282C3D"/>
    <w:rsid w:val="00282EAB"/>
    <w:rsid w:val="002A40C8"/>
    <w:rsid w:val="002C2137"/>
    <w:rsid w:val="002F320F"/>
    <w:rsid w:val="002F5000"/>
    <w:rsid w:val="00314034"/>
    <w:rsid w:val="003174D6"/>
    <w:rsid w:val="003279FD"/>
    <w:rsid w:val="00333E1F"/>
    <w:rsid w:val="00347EFE"/>
    <w:rsid w:val="00354BB9"/>
    <w:rsid w:val="00365373"/>
    <w:rsid w:val="003759C9"/>
    <w:rsid w:val="003844D1"/>
    <w:rsid w:val="003937BE"/>
    <w:rsid w:val="003A1E43"/>
    <w:rsid w:val="003B1FB1"/>
    <w:rsid w:val="003B2CBD"/>
    <w:rsid w:val="003B748F"/>
    <w:rsid w:val="003E344E"/>
    <w:rsid w:val="00446502"/>
    <w:rsid w:val="0045025F"/>
    <w:rsid w:val="004536CB"/>
    <w:rsid w:val="00454AC7"/>
    <w:rsid w:val="00460D4E"/>
    <w:rsid w:val="004762D5"/>
    <w:rsid w:val="0048698D"/>
    <w:rsid w:val="004934E6"/>
    <w:rsid w:val="004945E6"/>
    <w:rsid w:val="004B4549"/>
    <w:rsid w:val="004D622C"/>
    <w:rsid w:val="005064C4"/>
    <w:rsid w:val="005068B9"/>
    <w:rsid w:val="00515E17"/>
    <w:rsid w:val="0052234C"/>
    <w:rsid w:val="00534D57"/>
    <w:rsid w:val="005458DD"/>
    <w:rsid w:val="0057244D"/>
    <w:rsid w:val="00596165"/>
    <w:rsid w:val="005968FF"/>
    <w:rsid w:val="005B3F0F"/>
    <w:rsid w:val="005B402C"/>
    <w:rsid w:val="005C2333"/>
    <w:rsid w:val="005E7508"/>
    <w:rsid w:val="00610517"/>
    <w:rsid w:val="00634507"/>
    <w:rsid w:val="0064710C"/>
    <w:rsid w:val="00657A31"/>
    <w:rsid w:val="006712C8"/>
    <w:rsid w:val="006A473F"/>
    <w:rsid w:val="006B5CDD"/>
    <w:rsid w:val="00706456"/>
    <w:rsid w:val="00725069"/>
    <w:rsid w:val="00731BB8"/>
    <w:rsid w:val="00733190"/>
    <w:rsid w:val="0073485C"/>
    <w:rsid w:val="007651E5"/>
    <w:rsid w:val="00781554"/>
    <w:rsid w:val="00786018"/>
    <w:rsid w:val="0079610F"/>
    <w:rsid w:val="007B106B"/>
    <w:rsid w:val="007D0A55"/>
    <w:rsid w:val="00813F13"/>
    <w:rsid w:val="00825F41"/>
    <w:rsid w:val="00830B3F"/>
    <w:rsid w:val="00833CED"/>
    <w:rsid w:val="00834507"/>
    <w:rsid w:val="00837DDF"/>
    <w:rsid w:val="008475DB"/>
    <w:rsid w:val="00856546"/>
    <w:rsid w:val="0086586A"/>
    <w:rsid w:val="00870EE1"/>
    <w:rsid w:val="00884069"/>
    <w:rsid w:val="0088443B"/>
    <w:rsid w:val="008A011C"/>
    <w:rsid w:val="008C1E91"/>
    <w:rsid w:val="008C2443"/>
    <w:rsid w:val="008D3A81"/>
    <w:rsid w:val="008D42A1"/>
    <w:rsid w:val="00903DCE"/>
    <w:rsid w:val="0090489A"/>
    <w:rsid w:val="009060F9"/>
    <w:rsid w:val="0091368C"/>
    <w:rsid w:val="0092722B"/>
    <w:rsid w:val="00940216"/>
    <w:rsid w:val="009458B5"/>
    <w:rsid w:val="0095132B"/>
    <w:rsid w:val="0095546F"/>
    <w:rsid w:val="00962EA5"/>
    <w:rsid w:val="00972E2B"/>
    <w:rsid w:val="009856D5"/>
    <w:rsid w:val="0099238F"/>
    <w:rsid w:val="009A0658"/>
    <w:rsid w:val="009E7005"/>
    <w:rsid w:val="009E79FD"/>
    <w:rsid w:val="009F0B9A"/>
    <w:rsid w:val="009F1546"/>
    <w:rsid w:val="009F6E73"/>
    <w:rsid w:val="009F7BF7"/>
    <w:rsid w:val="00A20956"/>
    <w:rsid w:val="00A328E5"/>
    <w:rsid w:val="00A374A2"/>
    <w:rsid w:val="00A45BDF"/>
    <w:rsid w:val="00A46B75"/>
    <w:rsid w:val="00A54740"/>
    <w:rsid w:val="00A66BF5"/>
    <w:rsid w:val="00A67832"/>
    <w:rsid w:val="00AB208C"/>
    <w:rsid w:val="00AD4676"/>
    <w:rsid w:val="00AD6841"/>
    <w:rsid w:val="00AE1D6D"/>
    <w:rsid w:val="00B048C8"/>
    <w:rsid w:val="00B202D5"/>
    <w:rsid w:val="00B2318D"/>
    <w:rsid w:val="00B42269"/>
    <w:rsid w:val="00B45EF4"/>
    <w:rsid w:val="00B6178F"/>
    <w:rsid w:val="00B64A24"/>
    <w:rsid w:val="00B76261"/>
    <w:rsid w:val="00B9761E"/>
    <w:rsid w:val="00BA2AE9"/>
    <w:rsid w:val="00BB1F30"/>
    <w:rsid w:val="00BD5D3F"/>
    <w:rsid w:val="00BE7F49"/>
    <w:rsid w:val="00BF2390"/>
    <w:rsid w:val="00BF288D"/>
    <w:rsid w:val="00C154B3"/>
    <w:rsid w:val="00C40834"/>
    <w:rsid w:val="00C42238"/>
    <w:rsid w:val="00C47BC6"/>
    <w:rsid w:val="00C518F5"/>
    <w:rsid w:val="00C65DFD"/>
    <w:rsid w:val="00C67D44"/>
    <w:rsid w:val="00C76D7F"/>
    <w:rsid w:val="00C81D45"/>
    <w:rsid w:val="00CC3784"/>
    <w:rsid w:val="00CD4B47"/>
    <w:rsid w:val="00CE4779"/>
    <w:rsid w:val="00CF4455"/>
    <w:rsid w:val="00D271A0"/>
    <w:rsid w:val="00D7611D"/>
    <w:rsid w:val="00D90F53"/>
    <w:rsid w:val="00D92323"/>
    <w:rsid w:val="00DB21AE"/>
    <w:rsid w:val="00DB7B0D"/>
    <w:rsid w:val="00DD1BBF"/>
    <w:rsid w:val="00DF38DC"/>
    <w:rsid w:val="00E10AEA"/>
    <w:rsid w:val="00E17C49"/>
    <w:rsid w:val="00E401C4"/>
    <w:rsid w:val="00E67043"/>
    <w:rsid w:val="00E72B46"/>
    <w:rsid w:val="00E8572C"/>
    <w:rsid w:val="00E9369A"/>
    <w:rsid w:val="00EB25CF"/>
    <w:rsid w:val="00ED2528"/>
    <w:rsid w:val="00ED6825"/>
    <w:rsid w:val="00F050E5"/>
    <w:rsid w:val="00F35413"/>
    <w:rsid w:val="00F63625"/>
    <w:rsid w:val="00F656F3"/>
    <w:rsid w:val="00F66BBB"/>
    <w:rsid w:val="00F80440"/>
    <w:rsid w:val="00F912D8"/>
    <w:rsid w:val="00FA3F4E"/>
    <w:rsid w:val="00FC2221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9C3F"/>
  <w14:defaultImageDpi w14:val="32767"/>
  <w15:chartTrackingRefBased/>
  <w15:docId w15:val="{D4C32132-7834-4257-AE6A-6CAD640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B1"/>
    <w:pPr>
      <w:ind w:left="720"/>
      <w:contextualSpacing/>
    </w:pPr>
  </w:style>
  <w:style w:type="table" w:styleId="TableGrid">
    <w:name w:val="Table Grid"/>
    <w:basedOn w:val="TableNormal"/>
    <w:uiPriority w:val="39"/>
    <w:rsid w:val="003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46"/>
    <w:rPr>
      <w:rFonts w:ascii="Segoe UI" w:hAnsi="Segoe UI" w:cs="Segoe UI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4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502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502"/>
    <w:rPr>
      <w:b/>
      <w:bCs/>
      <w:sz w:val="20"/>
      <w:szCs w:val="20"/>
      <w:lang w:val="es-ES"/>
    </w:rPr>
  </w:style>
  <w:style w:type="paragraph" w:customStyle="1" w:styleId="xmsonormal">
    <w:name w:val="x_msonormal"/>
    <w:basedOn w:val="Normal"/>
    <w:rsid w:val="0028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10C"/>
    <w:rPr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4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10C"/>
    <w:rPr>
      <w:sz w:val="22"/>
      <w:szCs w:val="22"/>
      <w:lang w:val="es-ES"/>
    </w:rPr>
  </w:style>
  <w:style w:type="paragraph" w:styleId="NoSpacing">
    <w:name w:val="No Spacing"/>
    <w:uiPriority w:val="1"/>
    <w:qFormat/>
    <w:rsid w:val="005C2333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8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85C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34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348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3485C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73485C"/>
    <w:rPr>
      <w:vertAlign w:val="superscript"/>
    </w:rPr>
  </w:style>
  <w:style w:type="paragraph" w:styleId="Revision">
    <w:name w:val="Revision"/>
    <w:hidden/>
    <w:uiPriority w:val="99"/>
    <w:semiHidden/>
    <w:rsid w:val="008345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B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internet.ohchr.org/_layouts/15/treatybodyexternal/Download.aspx?symbolno=CRPD/C/GC/2&amp;Lang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www.itu.int/rec/T-REC-F.790" TargetMode="External"/><Relationship Id="rId1" Type="http://schemas.openxmlformats.org/officeDocument/2006/relationships/hyperlink" Target="https://www.itu.int/rec/T-REC-H.Sup1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9356-4D8C-4913-8762-7A48846E432F}"/>
</file>

<file path=customXml/itemProps2.xml><?xml version="1.0" encoding="utf-8"?>
<ds:datastoreItem xmlns:ds="http://schemas.openxmlformats.org/officeDocument/2006/customXml" ds:itemID="{9EFB49AB-AAE5-4E54-B911-524505052EC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909DF4-68E8-413F-907D-B8856997E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E1545-ECF6-4814-8994-AC93749E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6</cp:revision>
  <cp:lastPrinted>2018-07-18T09:57:00Z</cp:lastPrinted>
  <dcterms:created xsi:type="dcterms:W3CDTF">2020-06-30T12:38:00Z</dcterms:created>
  <dcterms:modified xsi:type="dcterms:W3CDTF">2020-07-02T08:46:00Z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