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615" w:type="dxa"/>
        <w:jc w:val="center"/>
        <w:tblLook w:val="04A0" w:firstRow="1" w:lastRow="0" w:firstColumn="1" w:lastColumn="0" w:noHBand="0" w:noVBand="1"/>
      </w:tblPr>
      <w:tblGrid>
        <w:gridCol w:w="1086"/>
        <w:gridCol w:w="3612"/>
        <w:gridCol w:w="3679"/>
        <w:gridCol w:w="7238"/>
      </w:tblGrid>
      <w:tr w:rsidR="00DB21AE" w:rsidRPr="00ED6825" w14:paraId="63EB661F" w14:textId="77777777" w:rsidTr="00C154B3">
        <w:trPr>
          <w:jc w:val="center"/>
        </w:trPr>
        <w:tc>
          <w:tcPr>
            <w:tcW w:w="15615" w:type="dxa"/>
            <w:gridSpan w:val="4"/>
            <w:shd w:val="clear" w:color="auto" w:fill="BFBFBF" w:themeFill="background1" w:themeFillShade="BF"/>
          </w:tcPr>
          <w:p w14:paraId="090A1C46" w14:textId="48C984D7" w:rsidR="00C518F5" w:rsidRPr="000C6C47" w:rsidRDefault="00DB21AE" w:rsidP="000C6C4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Artículo 9 - Indicadores sobre accesibilidad</w:t>
            </w:r>
            <w:r w:rsidR="00A9442F">
              <w:rPr>
                <w:b/>
                <w:sz w:val="18"/>
                <w:szCs w:val="18"/>
              </w:rPr>
              <w:t>*</w:t>
            </w:r>
          </w:p>
        </w:tc>
      </w:tr>
      <w:tr w:rsidR="00962EA5" w:rsidRPr="00ED6825" w14:paraId="1A528994" w14:textId="77777777" w:rsidTr="00C154B3">
        <w:trPr>
          <w:jc w:val="center"/>
        </w:trPr>
        <w:tc>
          <w:tcPr>
            <w:tcW w:w="15615" w:type="dxa"/>
            <w:gridSpan w:val="4"/>
          </w:tcPr>
          <w:p w14:paraId="07210F3F" w14:textId="06D8AC01" w:rsidR="00962EA5" w:rsidRPr="000200DC" w:rsidRDefault="00534D57" w:rsidP="000200DC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Acceso, en igualdad de condiciones con los demás, al entorno físico, al transporte, a los servicios, a la información y las comunicaciones, a los sistemas y a otras instalaciones y servicios abiertos o prestados al público</w:t>
            </w:r>
          </w:p>
        </w:tc>
      </w:tr>
      <w:tr w:rsidR="00DB21AE" w:rsidRPr="00ED6825" w14:paraId="0D4D7D48" w14:textId="77777777" w:rsidTr="00E10AEA">
        <w:trPr>
          <w:trHeight w:val="425"/>
          <w:jc w:val="center"/>
        </w:trPr>
        <w:tc>
          <w:tcPr>
            <w:tcW w:w="1054" w:type="dxa"/>
          </w:tcPr>
          <w:p w14:paraId="58B9920B" w14:textId="53BFACDB" w:rsidR="00DB21AE" w:rsidRPr="000C6C47" w:rsidRDefault="00DB21AE" w:rsidP="000C6C4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Atributos/ Indicadores</w:t>
            </w:r>
          </w:p>
        </w:tc>
        <w:tc>
          <w:tcPr>
            <w:tcW w:w="3619" w:type="dxa"/>
          </w:tcPr>
          <w:p w14:paraId="6224A794" w14:textId="03646351" w:rsidR="00DB21AE" w:rsidRPr="000C6C47" w:rsidRDefault="000400CC" w:rsidP="000C6C4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Carreteras y transporte</w:t>
            </w:r>
          </w:p>
        </w:tc>
        <w:tc>
          <w:tcPr>
            <w:tcW w:w="3686" w:type="dxa"/>
          </w:tcPr>
          <w:p w14:paraId="333DD513" w14:textId="7AE32E1E" w:rsidR="00DB21AE" w:rsidRPr="000C6C47" w:rsidRDefault="00DB21AE" w:rsidP="000C6C4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Edificios, instalaciones interiores y exteriores y servicios abiertos o prestados al público</w:t>
            </w:r>
          </w:p>
        </w:tc>
        <w:tc>
          <w:tcPr>
            <w:tcW w:w="7256" w:type="dxa"/>
          </w:tcPr>
          <w:p w14:paraId="6623FA7D" w14:textId="3170C8AC" w:rsidR="00DB21AE" w:rsidRPr="000C6C47" w:rsidRDefault="00DB21AE" w:rsidP="000C6C4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Información y comunicaciones y otros servicios, inclu</w:t>
            </w:r>
            <w:r w:rsidR="0057244D">
              <w:rPr>
                <w:b/>
                <w:sz w:val="18"/>
                <w:szCs w:val="18"/>
              </w:rPr>
              <w:t xml:space="preserve">yendo </w:t>
            </w:r>
            <w:r>
              <w:rPr>
                <w:b/>
                <w:sz w:val="18"/>
                <w:szCs w:val="18"/>
              </w:rPr>
              <w:t>las TIC, los servicios electrónicos y los servicios de emergencia</w:t>
            </w:r>
          </w:p>
        </w:tc>
      </w:tr>
      <w:tr w:rsidR="005068B9" w:rsidRPr="00ED6825" w14:paraId="0426877B" w14:textId="77777777" w:rsidTr="00834507">
        <w:trPr>
          <w:jc w:val="center"/>
        </w:trPr>
        <w:tc>
          <w:tcPr>
            <w:tcW w:w="1054" w:type="dxa"/>
            <w:vMerge w:val="restart"/>
          </w:tcPr>
          <w:p w14:paraId="274EEFAD" w14:textId="77777777" w:rsidR="005068B9" w:rsidRPr="000C6C47" w:rsidRDefault="005068B9" w:rsidP="000C6C4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Estructura</w:t>
            </w:r>
          </w:p>
          <w:p w14:paraId="714CBAA8" w14:textId="42633296" w:rsidR="005068B9" w:rsidRPr="000C6C47" w:rsidRDefault="005068B9" w:rsidP="000C6C4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561" w:type="dxa"/>
            <w:gridSpan w:val="3"/>
          </w:tcPr>
          <w:p w14:paraId="27A1C59B" w14:textId="35E12086" w:rsidR="005068B9" w:rsidRPr="000C6C47" w:rsidRDefault="005C2333" w:rsidP="00354BB9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9.1 Legislación promulgada que garanti</w:t>
            </w:r>
            <w:r w:rsidR="0057244D">
              <w:rPr>
                <w:sz w:val="18"/>
                <w:szCs w:val="18"/>
              </w:rPr>
              <w:t xml:space="preserve">ce </w:t>
            </w:r>
            <w:r>
              <w:rPr>
                <w:sz w:val="18"/>
                <w:szCs w:val="18"/>
              </w:rPr>
              <w:t>el derecho al acceso, en igualdad de condiciones con l</w:t>
            </w:r>
            <w:r w:rsidR="00A66BF5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s demás, al entorno físico, el transporte, los servicios, la información y las comunicaciones, incluidas las TIC, y </w:t>
            </w:r>
            <w:r w:rsidR="00A66BF5">
              <w:rPr>
                <w:sz w:val="18"/>
                <w:szCs w:val="18"/>
              </w:rPr>
              <w:t xml:space="preserve">a </w:t>
            </w:r>
            <w:r>
              <w:rPr>
                <w:sz w:val="18"/>
                <w:szCs w:val="18"/>
              </w:rPr>
              <w:t>otras instalaciones y servicios abiertos o prestados al público, tanto en las zonas urbanas como en las rurales</w:t>
            </w:r>
            <w:r w:rsidR="0073485C" w:rsidRPr="000C6C47">
              <w:rPr>
                <w:rStyle w:val="EndnoteReference"/>
                <w:rFonts w:cstheme="minorHAnsi"/>
                <w:sz w:val="18"/>
                <w:szCs w:val="18"/>
                <w:lang w:val="en-US"/>
              </w:rPr>
              <w:endnoteReference w:id="1"/>
            </w:r>
            <w:r w:rsidR="00A66BF5">
              <w:rPr>
                <w:sz w:val="18"/>
                <w:szCs w:val="18"/>
              </w:rPr>
              <w:t>.</w:t>
            </w:r>
          </w:p>
        </w:tc>
      </w:tr>
      <w:tr w:rsidR="005068B9" w:rsidRPr="00ED6825" w14:paraId="070ECBCB" w14:textId="77777777" w:rsidTr="00E10AEA">
        <w:trPr>
          <w:jc w:val="center"/>
        </w:trPr>
        <w:tc>
          <w:tcPr>
            <w:tcW w:w="1054" w:type="dxa"/>
            <w:vMerge/>
          </w:tcPr>
          <w:p w14:paraId="70CBEDE6" w14:textId="55DEE203" w:rsidR="005068B9" w:rsidRPr="000C6C47" w:rsidRDefault="005068B9" w:rsidP="00354BB9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9" w:type="dxa"/>
          </w:tcPr>
          <w:p w14:paraId="681907A6" w14:textId="18A9750C" w:rsidR="005068B9" w:rsidRPr="000C6C47" w:rsidRDefault="005C2333" w:rsidP="00354BB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9.2 La legislación sobre transporte aéreo, ferroviario, marítimo</w:t>
            </w:r>
            <w:r w:rsidR="00A67832">
              <w:rPr>
                <w:sz w:val="18"/>
                <w:szCs w:val="18"/>
              </w:rPr>
              <w:t xml:space="preserve"> y fluvial</w:t>
            </w:r>
            <w:r>
              <w:rPr>
                <w:sz w:val="18"/>
                <w:szCs w:val="18"/>
              </w:rPr>
              <w:t xml:space="preserve"> y por carretera de pasajeros incorpora </w:t>
            </w:r>
            <w:r w:rsidR="0057244D">
              <w:rPr>
                <w:sz w:val="18"/>
                <w:szCs w:val="18"/>
              </w:rPr>
              <w:t xml:space="preserve">estándares obligatorios </w:t>
            </w:r>
            <w:r>
              <w:rPr>
                <w:sz w:val="18"/>
                <w:szCs w:val="18"/>
              </w:rPr>
              <w:t>de accesibilidad.</w:t>
            </w:r>
          </w:p>
          <w:p w14:paraId="5A7279FA" w14:textId="1FE8ADC0" w:rsidR="005068B9" w:rsidRPr="000C6C47" w:rsidRDefault="005068B9" w:rsidP="00354BB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9A27424" w14:textId="59E40179" w:rsidR="005068B9" w:rsidRPr="000C6C47" w:rsidRDefault="005C2333" w:rsidP="00354BB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9.3 La legislación sobre construcción y planificación</w:t>
            </w:r>
            <w:r w:rsidR="0057244D">
              <w:rPr>
                <w:sz w:val="18"/>
                <w:szCs w:val="18"/>
              </w:rPr>
              <w:t xml:space="preserve">, incluyendo los requisitos para otorgar la autorización, </w:t>
            </w:r>
            <w:r>
              <w:rPr>
                <w:sz w:val="18"/>
                <w:szCs w:val="18"/>
              </w:rPr>
              <w:t xml:space="preserve">incorpora </w:t>
            </w:r>
            <w:r w:rsidR="0057244D">
              <w:rPr>
                <w:sz w:val="18"/>
                <w:szCs w:val="18"/>
              </w:rPr>
              <w:t xml:space="preserve">estándares obligatorios </w:t>
            </w:r>
            <w:r>
              <w:rPr>
                <w:sz w:val="18"/>
                <w:szCs w:val="18"/>
              </w:rPr>
              <w:t>de accesibilidad sobre el entorno físico y los servicios abiertos al público</w:t>
            </w:r>
            <w:r w:rsidR="00A66BF5">
              <w:rPr>
                <w:sz w:val="18"/>
                <w:szCs w:val="18"/>
              </w:rPr>
              <w:t xml:space="preserve"> (</w:t>
            </w:r>
            <w:r w:rsidR="00A66BF5" w:rsidRPr="00A45BDF">
              <w:rPr>
                <w:i/>
                <w:sz w:val="18"/>
                <w:szCs w:val="18"/>
              </w:rPr>
              <w:t>Ibid</w:t>
            </w:r>
            <w:r w:rsidR="00A66BF5">
              <w:rPr>
                <w:sz w:val="18"/>
                <w:szCs w:val="18"/>
              </w:rPr>
              <w:t>. 20.7)</w:t>
            </w:r>
            <w:r>
              <w:rPr>
                <w:sz w:val="18"/>
                <w:szCs w:val="18"/>
              </w:rPr>
              <w:t>.</w:t>
            </w:r>
          </w:p>
          <w:p w14:paraId="74BE5B89" w14:textId="365C45E7" w:rsidR="005068B9" w:rsidRPr="000C6C47" w:rsidRDefault="005068B9" w:rsidP="00354BB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56" w:type="dxa"/>
          </w:tcPr>
          <w:p w14:paraId="32E4E95A" w14:textId="54B0F80A" w:rsidR="005068B9" w:rsidRPr="000C6C47" w:rsidRDefault="005C2333" w:rsidP="00354BB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9.4 </w:t>
            </w:r>
            <w:r w:rsidR="00A66BF5">
              <w:rPr>
                <w:sz w:val="18"/>
                <w:szCs w:val="18"/>
              </w:rPr>
              <w:t>Marco legal que establ</w:t>
            </w:r>
            <w:r w:rsidR="005B402C">
              <w:rPr>
                <w:sz w:val="18"/>
                <w:szCs w:val="18"/>
              </w:rPr>
              <w:t>ezca</w:t>
            </w:r>
            <w:r w:rsidR="00A66BF5">
              <w:rPr>
                <w:sz w:val="18"/>
                <w:szCs w:val="18"/>
              </w:rPr>
              <w:t xml:space="preserve"> </w:t>
            </w:r>
            <w:r w:rsidR="0057244D">
              <w:rPr>
                <w:sz w:val="18"/>
                <w:szCs w:val="18"/>
              </w:rPr>
              <w:t>estándares</w:t>
            </w:r>
            <w:r w:rsidR="00A66BF5">
              <w:rPr>
                <w:sz w:val="18"/>
                <w:szCs w:val="18"/>
              </w:rPr>
              <w:t xml:space="preserve"> obligatori</w:t>
            </w:r>
            <w:r w:rsidR="0057244D">
              <w:rPr>
                <w:sz w:val="18"/>
                <w:szCs w:val="18"/>
              </w:rPr>
              <w:t>o</w:t>
            </w:r>
            <w:r w:rsidR="00A66BF5">
              <w:rPr>
                <w:sz w:val="18"/>
                <w:szCs w:val="18"/>
              </w:rPr>
              <w:t xml:space="preserve">s de </w:t>
            </w:r>
            <w:r w:rsidR="0057244D">
              <w:rPr>
                <w:sz w:val="18"/>
                <w:szCs w:val="18"/>
              </w:rPr>
              <w:t>accesibilidad</w:t>
            </w:r>
            <w:r w:rsidR="00A66BF5">
              <w:rPr>
                <w:sz w:val="18"/>
                <w:szCs w:val="18"/>
              </w:rPr>
              <w:t xml:space="preserve"> </w:t>
            </w:r>
            <w:r w:rsidR="005B402C">
              <w:rPr>
                <w:sz w:val="18"/>
                <w:szCs w:val="18"/>
              </w:rPr>
              <w:t>a</w:t>
            </w:r>
            <w:r w:rsidR="00A66BF5">
              <w:rPr>
                <w:sz w:val="18"/>
                <w:szCs w:val="18"/>
              </w:rPr>
              <w:t xml:space="preserve"> la información y</w:t>
            </w:r>
            <w:r w:rsidR="0057244D">
              <w:rPr>
                <w:sz w:val="18"/>
                <w:szCs w:val="18"/>
              </w:rPr>
              <w:t xml:space="preserve"> </w:t>
            </w:r>
            <w:r w:rsidR="005B402C">
              <w:rPr>
                <w:sz w:val="18"/>
                <w:szCs w:val="18"/>
              </w:rPr>
              <w:t>a</w:t>
            </w:r>
            <w:r w:rsidR="00A66BF5">
              <w:rPr>
                <w:sz w:val="18"/>
                <w:szCs w:val="18"/>
              </w:rPr>
              <w:t xml:space="preserve"> la</w:t>
            </w:r>
            <w:r w:rsidR="00086888">
              <w:rPr>
                <w:sz w:val="18"/>
                <w:szCs w:val="18"/>
              </w:rPr>
              <w:t>s</w:t>
            </w:r>
            <w:r w:rsidR="00A66BF5">
              <w:rPr>
                <w:sz w:val="18"/>
                <w:szCs w:val="18"/>
              </w:rPr>
              <w:t xml:space="preserve"> comunicaci</w:t>
            </w:r>
            <w:r w:rsidR="00086888">
              <w:rPr>
                <w:sz w:val="18"/>
                <w:szCs w:val="18"/>
              </w:rPr>
              <w:t>ones</w:t>
            </w:r>
            <w:r w:rsidR="00A66BF5">
              <w:rPr>
                <w:sz w:val="18"/>
                <w:szCs w:val="18"/>
              </w:rPr>
              <w:t xml:space="preserve"> tanto para agentes públicos como privados que proporcion</w:t>
            </w:r>
            <w:r w:rsidR="00D7611D">
              <w:rPr>
                <w:sz w:val="18"/>
                <w:szCs w:val="18"/>
              </w:rPr>
              <w:t>e</w:t>
            </w:r>
            <w:r w:rsidR="00A66BF5">
              <w:rPr>
                <w:sz w:val="18"/>
                <w:szCs w:val="18"/>
              </w:rPr>
              <w:t>n información y servicios al público en general, incluyendo los medios de comunicación masiva, internet y las redes sociales.</w:t>
            </w:r>
            <w:r w:rsidR="007651E5" w:rsidRPr="000C6C47">
              <w:rPr>
                <w:rStyle w:val="EndnoteReference"/>
                <w:rFonts w:cstheme="minorHAnsi"/>
                <w:sz w:val="18"/>
                <w:szCs w:val="18"/>
              </w:rPr>
              <w:endnoteReference w:id="2"/>
            </w:r>
            <w:r w:rsidR="00A66BF5">
              <w:rPr>
                <w:rStyle w:val="EndnoteReference"/>
                <w:sz w:val="18"/>
                <w:szCs w:val="18"/>
              </w:rPr>
              <w:t xml:space="preserve"> </w:t>
            </w:r>
            <w:r w:rsidR="00A66BF5" w:rsidRPr="00A45BDF">
              <w:rPr>
                <w:rStyle w:val="EndnoteReference"/>
                <w:sz w:val="18"/>
                <w:szCs w:val="18"/>
                <w:vertAlign w:val="baseline"/>
              </w:rPr>
              <w:t>(</w:t>
            </w:r>
            <w:r w:rsidR="00A66BF5" w:rsidRPr="00A45BDF">
              <w:rPr>
                <w:rStyle w:val="EndnoteReference"/>
                <w:i/>
                <w:sz w:val="18"/>
                <w:szCs w:val="18"/>
                <w:vertAlign w:val="baseline"/>
              </w:rPr>
              <w:t>Ibid</w:t>
            </w:r>
            <w:r w:rsidR="00A66BF5">
              <w:rPr>
                <w:rStyle w:val="EndnoteReference"/>
                <w:sz w:val="18"/>
                <w:szCs w:val="18"/>
                <w:vertAlign w:val="baseline"/>
              </w:rPr>
              <w:t>. 21.1.2)</w:t>
            </w:r>
          </w:p>
          <w:p w14:paraId="05A5E02B" w14:textId="5D6E5CA8" w:rsidR="005068B9" w:rsidRPr="000C6C47" w:rsidRDefault="005C2333" w:rsidP="00354BB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9.5 </w:t>
            </w:r>
            <w:r w:rsidR="00106F73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egislación que regula los servicios de emergencia</w:t>
            </w:r>
            <w:r w:rsidR="00A66BF5">
              <w:rPr>
                <w:sz w:val="18"/>
                <w:szCs w:val="18"/>
              </w:rPr>
              <w:t>, incluidos los planes de emergencia y refugios,</w:t>
            </w:r>
            <w:r>
              <w:rPr>
                <w:sz w:val="18"/>
                <w:szCs w:val="18"/>
              </w:rPr>
              <w:t xml:space="preserve"> incorpora </w:t>
            </w:r>
            <w:r w:rsidR="00D7611D">
              <w:rPr>
                <w:sz w:val="18"/>
                <w:szCs w:val="18"/>
              </w:rPr>
              <w:t xml:space="preserve">estándares obligatorios de </w:t>
            </w:r>
            <w:r>
              <w:rPr>
                <w:sz w:val="18"/>
                <w:szCs w:val="18"/>
              </w:rPr>
              <w:t>accesibilidad.</w:t>
            </w:r>
          </w:p>
          <w:p w14:paraId="45CA904E" w14:textId="6DE58899" w:rsidR="00365373" w:rsidRPr="000C6C47" w:rsidRDefault="005C2333" w:rsidP="00354BB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9.6 </w:t>
            </w:r>
            <w:r w:rsidR="00106F73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egislación que regula la información y las comunicaciones gubernamentales destinadas al público en general garantiza el pleno acceso a los sitios web y </w:t>
            </w:r>
            <w:r w:rsidR="00D7611D">
              <w:rPr>
                <w:sz w:val="18"/>
                <w:szCs w:val="18"/>
              </w:rPr>
              <w:t xml:space="preserve">a las </w:t>
            </w:r>
            <w:r>
              <w:rPr>
                <w:sz w:val="18"/>
                <w:szCs w:val="18"/>
              </w:rPr>
              <w:t>aplicaciones del sector público, así como la disponibilidad de la información gubernamental en formatos alternativos.</w:t>
            </w:r>
          </w:p>
        </w:tc>
      </w:tr>
      <w:tr w:rsidR="005068B9" w:rsidRPr="00ED6825" w14:paraId="489772B7" w14:textId="77777777" w:rsidTr="00015A35">
        <w:trPr>
          <w:trHeight w:val="328"/>
          <w:jc w:val="center"/>
        </w:trPr>
        <w:tc>
          <w:tcPr>
            <w:tcW w:w="1054" w:type="dxa"/>
            <w:vMerge/>
          </w:tcPr>
          <w:p w14:paraId="2F5594FD" w14:textId="77777777" w:rsidR="005068B9" w:rsidRPr="000C6C47" w:rsidRDefault="005068B9" w:rsidP="000200DC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561" w:type="dxa"/>
            <w:gridSpan w:val="3"/>
          </w:tcPr>
          <w:p w14:paraId="01417E50" w14:textId="19B6412F" w:rsidR="005068B9" w:rsidRPr="000C6C47" w:rsidRDefault="008C2443" w:rsidP="000C0BE7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9.7 Existencia de una estrategia y o plan nacional </w:t>
            </w:r>
            <w:r w:rsidR="00D7611D">
              <w:rPr>
                <w:sz w:val="18"/>
                <w:szCs w:val="18"/>
              </w:rPr>
              <w:t xml:space="preserve">integral </w:t>
            </w:r>
            <w:r>
              <w:rPr>
                <w:sz w:val="18"/>
                <w:szCs w:val="18"/>
              </w:rPr>
              <w:t xml:space="preserve">de accesibilidad para </w:t>
            </w:r>
            <w:r w:rsidR="00A66BF5">
              <w:rPr>
                <w:sz w:val="18"/>
                <w:szCs w:val="18"/>
              </w:rPr>
              <w:t xml:space="preserve">identificar y </w:t>
            </w:r>
            <w:r>
              <w:rPr>
                <w:sz w:val="18"/>
                <w:szCs w:val="18"/>
              </w:rPr>
              <w:t>eliminar l</w:t>
            </w:r>
            <w:r w:rsidR="00D7611D">
              <w:rPr>
                <w:sz w:val="18"/>
                <w:szCs w:val="18"/>
              </w:rPr>
              <w:t xml:space="preserve">as barreras </w:t>
            </w:r>
            <w:r w:rsidR="00106F73">
              <w:rPr>
                <w:sz w:val="18"/>
                <w:szCs w:val="18"/>
              </w:rPr>
              <w:t xml:space="preserve">existentes </w:t>
            </w:r>
            <w:r w:rsidR="0073485C" w:rsidRPr="000C6C47">
              <w:rPr>
                <w:rStyle w:val="EndnoteReference"/>
                <w:rFonts w:cstheme="minorHAnsi"/>
                <w:sz w:val="18"/>
                <w:szCs w:val="18"/>
              </w:rPr>
              <w:endnoteReference w:id="3"/>
            </w:r>
            <w:r>
              <w:rPr>
                <w:sz w:val="18"/>
                <w:szCs w:val="18"/>
              </w:rPr>
              <w:t>.</w:t>
            </w:r>
          </w:p>
        </w:tc>
      </w:tr>
      <w:tr w:rsidR="0045025F" w:rsidRPr="00ED6825" w14:paraId="3938CEA1" w14:textId="77777777" w:rsidTr="00BF288D">
        <w:trPr>
          <w:trHeight w:val="2343"/>
          <w:jc w:val="center"/>
        </w:trPr>
        <w:tc>
          <w:tcPr>
            <w:tcW w:w="1054" w:type="dxa"/>
            <w:vMerge w:val="restart"/>
          </w:tcPr>
          <w:p w14:paraId="5DACDAD9" w14:textId="6414155F" w:rsidR="0045025F" w:rsidRPr="000C6C47" w:rsidRDefault="0045025F" w:rsidP="000C6C4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Proceso </w:t>
            </w:r>
          </w:p>
        </w:tc>
        <w:tc>
          <w:tcPr>
            <w:tcW w:w="3619" w:type="dxa"/>
          </w:tcPr>
          <w:p w14:paraId="11603D83" w14:textId="6C7E90D3" w:rsidR="001E626E" w:rsidRPr="000C6C47" w:rsidRDefault="008C2443" w:rsidP="00354BB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9.8 Número y proporción de unidades de servicios de transporte </w:t>
            </w:r>
            <w:r w:rsidR="00086888">
              <w:rPr>
                <w:sz w:val="18"/>
                <w:szCs w:val="18"/>
              </w:rPr>
              <w:t xml:space="preserve">que sean </w:t>
            </w:r>
            <w:r>
              <w:rPr>
                <w:sz w:val="18"/>
                <w:szCs w:val="18"/>
              </w:rPr>
              <w:t xml:space="preserve">accesibles </w:t>
            </w:r>
            <w:r w:rsidR="0088443B">
              <w:rPr>
                <w:sz w:val="18"/>
                <w:szCs w:val="18"/>
              </w:rPr>
              <w:t>para</w:t>
            </w:r>
            <w:r w:rsidR="000868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las personas con discapacidad, </w:t>
            </w:r>
            <w:r w:rsidR="00D7611D">
              <w:rPr>
                <w:sz w:val="18"/>
                <w:szCs w:val="18"/>
              </w:rPr>
              <w:t>de</w:t>
            </w:r>
            <w:r w:rsidR="00086888">
              <w:rPr>
                <w:sz w:val="18"/>
                <w:szCs w:val="18"/>
              </w:rPr>
              <w:t>s</w:t>
            </w:r>
            <w:r w:rsidR="00D7611D">
              <w:rPr>
                <w:sz w:val="18"/>
                <w:szCs w:val="18"/>
              </w:rPr>
              <w:t xml:space="preserve">agregado </w:t>
            </w:r>
            <w:r>
              <w:rPr>
                <w:sz w:val="18"/>
                <w:szCs w:val="18"/>
              </w:rPr>
              <w:t>por tipo de transporte (por ejemplo, autobús, tren, tranvía, metro, taxi, etc.) y por tipo de servicio (por ejemplo, servicio público/servicio privado).</w:t>
            </w:r>
            <w:r>
              <w:rPr>
                <w:rStyle w:val="EndnoteReference"/>
                <w:sz w:val="18"/>
                <w:szCs w:val="18"/>
              </w:rPr>
              <w:t xml:space="preserve"> </w:t>
            </w:r>
            <w:r w:rsidR="008A011C" w:rsidRPr="000C6C47">
              <w:rPr>
                <w:rStyle w:val="EndnoteReference"/>
                <w:rFonts w:cstheme="minorHAnsi"/>
                <w:sz w:val="18"/>
                <w:szCs w:val="18"/>
              </w:rPr>
              <w:endnoteReference w:id="4"/>
            </w:r>
          </w:p>
          <w:p w14:paraId="4B54A833" w14:textId="79B57587" w:rsidR="00B42269" w:rsidRPr="000C6C47" w:rsidRDefault="008C2443" w:rsidP="00354BB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9.9 Medidas para promover y asegurar el acceso a servicios de transporte alternativos y accesibles para las personas con discapacidad</w:t>
            </w:r>
            <w:r w:rsidR="000C0BE7">
              <w:rPr>
                <w:sz w:val="18"/>
                <w:szCs w:val="18"/>
              </w:rPr>
              <w:t>.</w:t>
            </w:r>
            <w:r w:rsidR="001D11E9" w:rsidRPr="000C6C47">
              <w:rPr>
                <w:rStyle w:val="EndnoteReference"/>
                <w:rFonts w:cstheme="minorHAnsi"/>
                <w:sz w:val="18"/>
                <w:szCs w:val="18"/>
              </w:rPr>
              <w:endnoteReference w:id="5"/>
            </w:r>
          </w:p>
        </w:tc>
        <w:tc>
          <w:tcPr>
            <w:tcW w:w="3686" w:type="dxa"/>
          </w:tcPr>
          <w:p w14:paraId="0298610E" w14:textId="32D95BD8" w:rsidR="0045025F" w:rsidRDefault="008C2443" w:rsidP="00354BB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9.10 </w:t>
            </w:r>
            <w:r w:rsidR="000C0BE7">
              <w:rPr>
                <w:sz w:val="18"/>
                <w:szCs w:val="18"/>
              </w:rPr>
              <w:t xml:space="preserve">Número y proporción de edificios e instalaciones públicas o gubernamentales existentes que cumplen </w:t>
            </w:r>
            <w:r w:rsidR="00D7611D">
              <w:rPr>
                <w:sz w:val="18"/>
                <w:szCs w:val="18"/>
              </w:rPr>
              <w:t>con los estándares de</w:t>
            </w:r>
            <w:r w:rsidR="000C0BE7">
              <w:rPr>
                <w:sz w:val="18"/>
                <w:szCs w:val="18"/>
              </w:rPr>
              <w:t xml:space="preserve"> accesibilidad.</w:t>
            </w:r>
          </w:p>
          <w:p w14:paraId="32EFAF06" w14:textId="1A0AB11E" w:rsidR="00E9369A" w:rsidRPr="000C6C47" w:rsidRDefault="008C2443" w:rsidP="00354BB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9.11 </w:t>
            </w:r>
            <w:r w:rsidR="000C0BE7">
              <w:rPr>
                <w:sz w:val="18"/>
                <w:szCs w:val="18"/>
              </w:rPr>
              <w:t xml:space="preserve">Número y proporción de edificios </w:t>
            </w:r>
            <w:r w:rsidR="00D7611D">
              <w:rPr>
                <w:sz w:val="18"/>
                <w:szCs w:val="18"/>
              </w:rPr>
              <w:t>recién</w:t>
            </w:r>
            <w:r w:rsidR="000C0BE7">
              <w:rPr>
                <w:sz w:val="18"/>
                <w:szCs w:val="18"/>
              </w:rPr>
              <w:t xml:space="preserve"> </w:t>
            </w:r>
            <w:r w:rsidR="00D7611D">
              <w:rPr>
                <w:sz w:val="18"/>
                <w:szCs w:val="18"/>
              </w:rPr>
              <w:t>construidos</w:t>
            </w:r>
            <w:r w:rsidR="000C0BE7">
              <w:rPr>
                <w:sz w:val="18"/>
                <w:szCs w:val="18"/>
              </w:rPr>
              <w:t xml:space="preserve"> que cumplen </w:t>
            </w:r>
            <w:r w:rsidR="00D7611D">
              <w:rPr>
                <w:sz w:val="18"/>
                <w:szCs w:val="18"/>
              </w:rPr>
              <w:t>los estándares de accesibilidad</w:t>
            </w:r>
            <w:r w:rsidR="000C0BE7">
              <w:rPr>
                <w:sz w:val="18"/>
                <w:szCs w:val="18"/>
              </w:rPr>
              <w:t>.</w:t>
            </w:r>
          </w:p>
          <w:p w14:paraId="09C57F8D" w14:textId="098B8ADF" w:rsidR="0045025F" w:rsidRPr="000C6C47" w:rsidRDefault="0045025F" w:rsidP="00354BB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56" w:type="dxa"/>
          </w:tcPr>
          <w:p w14:paraId="5BE4E69D" w14:textId="401A750F" w:rsidR="008C2443" w:rsidRPr="000C6C47" w:rsidRDefault="00BD5D3F" w:rsidP="00354BB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9.12 </w:t>
            </w:r>
            <w:r w:rsidR="000C0BE7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roporción de </w:t>
            </w:r>
            <w:r w:rsidR="00D7611D">
              <w:rPr>
                <w:sz w:val="18"/>
                <w:szCs w:val="18"/>
              </w:rPr>
              <w:t xml:space="preserve">páginas </w:t>
            </w:r>
            <w:r>
              <w:rPr>
                <w:sz w:val="18"/>
                <w:szCs w:val="18"/>
              </w:rPr>
              <w:t xml:space="preserve">web </w:t>
            </w:r>
            <w:r w:rsidR="000C0BE7">
              <w:rPr>
                <w:sz w:val="18"/>
                <w:szCs w:val="18"/>
              </w:rPr>
              <w:t xml:space="preserve">gubernamentales </w:t>
            </w:r>
            <w:r>
              <w:rPr>
                <w:sz w:val="18"/>
                <w:szCs w:val="18"/>
              </w:rPr>
              <w:t xml:space="preserve">que cumplen </w:t>
            </w:r>
            <w:r w:rsidR="00D7611D">
              <w:rPr>
                <w:sz w:val="18"/>
                <w:szCs w:val="18"/>
              </w:rPr>
              <w:t xml:space="preserve">los estándares </w:t>
            </w:r>
            <w:r>
              <w:rPr>
                <w:sz w:val="18"/>
                <w:szCs w:val="18"/>
              </w:rPr>
              <w:t>de accesibilidad.</w:t>
            </w:r>
            <w:r w:rsidR="000C0BE7">
              <w:rPr>
                <w:sz w:val="18"/>
                <w:szCs w:val="18"/>
              </w:rPr>
              <w:t xml:space="preserve"> (</w:t>
            </w:r>
            <w:r w:rsidR="000C0BE7" w:rsidRPr="00A45BDF">
              <w:rPr>
                <w:i/>
                <w:sz w:val="18"/>
                <w:szCs w:val="18"/>
              </w:rPr>
              <w:t>Ibid</w:t>
            </w:r>
            <w:r w:rsidR="000C0BE7">
              <w:rPr>
                <w:sz w:val="18"/>
                <w:szCs w:val="18"/>
              </w:rPr>
              <w:t>. 21.15)</w:t>
            </w:r>
          </w:p>
          <w:p w14:paraId="5FAA8CE1" w14:textId="38FC77E3" w:rsidR="008C2443" w:rsidRPr="000C6C47" w:rsidRDefault="00BD5D3F" w:rsidP="00354BB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9.13 Proporción de </w:t>
            </w:r>
            <w:r w:rsidR="00D7611D">
              <w:rPr>
                <w:sz w:val="18"/>
                <w:szCs w:val="18"/>
              </w:rPr>
              <w:t>transmisiones televisivas</w:t>
            </w:r>
            <w:r>
              <w:rPr>
                <w:sz w:val="18"/>
                <w:szCs w:val="18"/>
              </w:rPr>
              <w:t xml:space="preserve">, y </w:t>
            </w:r>
            <w:r w:rsidR="000C0BE7">
              <w:rPr>
                <w:sz w:val="18"/>
                <w:szCs w:val="18"/>
              </w:rPr>
              <w:t>proporción del tiempo durante el cual</w:t>
            </w:r>
            <w:r>
              <w:rPr>
                <w:sz w:val="18"/>
                <w:szCs w:val="18"/>
              </w:rPr>
              <w:t xml:space="preserve"> incluyen interpretación </w:t>
            </w:r>
            <w:r w:rsidR="000C0BE7">
              <w:rPr>
                <w:sz w:val="18"/>
                <w:szCs w:val="18"/>
              </w:rPr>
              <w:t xml:space="preserve">en </w:t>
            </w:r>
            <w:r>
              <w:rPr>
                <w:sz w:val="18"/>
                <w:szCs w:val="18"/>
              </w:rPr>
              <w:t>lenguaje de señas</w:t>
            </w:r>
            <w:r w:rsidR="000C0BE7">
              <w:rPr>
                <w:sz w:val="18"/>
                <w:szCs w:val="18"/>
              </w:rPr>
              <w:t xml:space="preserve">, </w:t>
            </w:r>
            <w:proofErr w:type="spellStart"/>
            <w:r w:rsidR="000C0BE7">
              <w:rPr>
                <w:sz w:val="18"/>
                <w:szCs w:val="18"/>
              </w:rPr>
              <w:t>audiodescripción</w:t>
            </w:r>
            <w:proofErr w:type="spellEnd"/>
            <w:r w:rsidR="000C0BE7">
              <w:rPr>
                <w:sz w:val="18"/>
                <w:szCs w:val="18"/>
              </w:rPr>
              <w:t xml:space="preserve">, </w:t>
            </w:r>
            <w:proofErr w:type="spellStart"/>
            <w:r w:rsidR="000C0BE7">
              <w:rPr>
                <w:sz w:val="18"/>
                <w:szCs w:val="18"/>
              </w:rPr>
              <w:t>subtitulación</w:t>
            </w:r>
            <w:proofErr w:type="spellEnd"/>
            <w:r>
              <w:rPr>
                <w:sz w:val="18"/>
                <w:szCs w:val="18"/>
              </w:rPr>
              <w:t xml:space="preserve"> y otras </w:t>
            </w:r>
            <w:r w:rsidR="00CD4B47">
              <w:rPr>
                <w:sz w:val="18"/>
                <w:szCs w:val="18"/>
              </w:rPr>
              <w:t xml:space="preserve">funciones </w:t>
            </w:r>
            <w:r>
              <w:rPr>
                <w:sz w:val="18"/>
                <w:szCs w:val="18"/>
              </w:rPr>
              <w:t>relacionad</w:t>
            </w:r>
            <w:r w:rsidR="00CD4B47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s con la accesibilidad, </w:t>
            </w:r>
            <w:r w:rsidR="00CD4B47">
              <w:rPr>
                <w:sz w:val="18"/>
                <w:szCs w:val="18"/>
              </w:rPr>
              <w:t xml:space="preserve">desagregados </w:t>
            </w:r>
            <w:r>
              <w:rPr>
                <w:sz w:val="18"/>
                <w:szCs w:val="18"/>
              </w:rPr>
              <w:t xml:space="preserve">por titularidad de los medios de comunicación (privados/públicos), tipo de </w:t>
            </w:r>
            <w:r w:rsidR="000C0BE7">
              <w:rPr>
                <w:sz w:val="18"/>
                <w:szCs w:val="18"/>
              </w:rPr>
              <w:t xml:space="preserve">contenido </w:t>
            </w:r>
            <w:r>
              <w:rPr>
                <w:sz w:val="18"/>
                <w:szCs w:val="18"/>
              </w:rPr>
              <w:t>(noticias/otro tipo de programación</w:t>
            </w:r>
            <w:r w:rsidR="000C0BE7">
              <w:rPr>
                <w:sz w:val="18"/>
                <w:szCs w:val="18"/>
              </w:rPr>
              <w:t>, incluyendo programas infantiles</w:t>
            </w:r>
            <w:r>
              <w:rPr>
                <w:sz w:val="18"/>
                <w:szCs w:val="18"/>
              </w:rPr>
              <w:t xml:space="preserve">) y </w:t>
            </w:r>
            <w:r w:rsidR="00CD4B47">
              <w:rPr>
                <w:sz w:val="18"/>
                <w:szCs w:val="18"/>
              </w:rPr>
              <w:t xml:space="preserve"> </w:t>
            </w:r>
            <w:r w:rsidR="00086888">
              <w:rPr>
                <w:sz w:val="18"/>
                <w:szCs w:val="18"/>
              </w:rPr>
              <w:t>herramientas</w:t>
            </w:r>
            <w:r w:rsidR="00CD4B47">
              <w:rPr>
                <w:sz w:val="18"/>
                <w:szCs w:val="18"/>
              </w:rPr>
              <w:t xml:space="preserve"> de </w:t>
            </w:r>
            <w:r>
              <w:rPr>
                <w:sz w:val="18"/>
                <w:szCs w:val="18"/>
              </w:rPr>
              <w:t>accesibilidad ofrecid</w:t>
            </w:r>
            <w:r w:rsidR="00086888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s.</w:t>
            </w:r>
            <w:r w:rsidR="000C0BE7" w:rsidRPr="003B3AEB">
              <w:rPr>
                <w:rStyle w:val="EndnoteReference"/>
                <w:rFonts w:cstheme="minorHAnsi"/>
                <w:sz w:val="18"/>
                <w:szCs w:val="18"/>
              </w:rPr>
              <w:endnoteReference w:id="6"/>
            </w:r>
          </w:p>
          <w:p w14:paraId="0C96A625" w14:textId="65117C98" w:rsidR="000C0BE7" w:rsidRDefault="00BD5D3F" w:rsidP="00354BB9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9.14 </w:t>
            </w:r>
            <w:r w:rsidR="000C0BE7" w:rsidRPr="000C0BE7">
              <w:rPr>
                <w:sz w:val="18"/>
                <w:szCs w:val="18"/>
              </w:rPr>
              <w:t xml:space="preserve">Proporción del contenido disponible </w:t>
            </w:r>
            <w:r w:rsidR="000C0BE7">
              <w:rPr>
                <w:sz w:val="18"/>
                <w:szCs w:val="18"/>
              </w:rPr>
              <w:t>en</w:t>
            </w:r>
            <w:r w:rsidR="000C0BE7" w:rsidRPr="000C0BE7">
              <w:rPr>
                <w:sz w:val="18"/>
                <w:szCs w:val="18"/>
              </w:rPr>
              <w:t xml:space="preserve"> los servicios "a </w:t>
            </w:r>
            <w:r w:rsidR="00086888">
              <w:rPr>
                <w:sz w:val="18"/>
                <w:szCs w:val="18"/>
              </w:rPr>
              <w:t>pedido</w:t>
            </w:r>
            <w:r w:rsidR="000C0BE7" w:rsidRPr="000C0BE7">
              <w:rPr>
                <w:sz w:val="18"/>
                <w:szCs w:val="18"/>
              </w:rPr>
              <w:t xml:space="preserve">" o no lineales (por ejemplo, servicios de vídeo a la carta) que incluye interpretación </w:t>
            </w:r>
            <w:r w:rsidR="000C0BE7">
              <w:rPr>
                <w:sz w:val="18"/>
                <w:szCs w:val="18"/>
              </w:rPr>
              <w:t>en</w:t>
            </w:r>
            <w:r w:rsidR="000C0BE7" w:rsidRPr="000C0BE7">
              <w:rPr>
                <w:sz w:val="18"/>
                <w:szCs w:val="18"/>
              </w:rPr>
              <w:t xml:space="preserve"> lenguaje de </w:t>
            </w:r>
            <w:r w:rsidR="000C0BE7">
              <w:rPr>
                <w:sz w:val="18"/>
                <w:szCs w:val="18"/>
              </w:rPr>
              <w:t>señas</w:t>
            </w:r>
            <w:r w:rsidR="000C0BE7" w:rsidRPr="000C0BE7">
              <w:rPr>
                <w:sz w:val="18"/>
                <w:szCs w:val="18"/>
              </w:rPr>
              <w:t xml:space="preserve">, </w:t>
            </w:r>
            <w:proofErr w:type="spellStart"/>
            <w:r w:rsidR="000C0BE7">
              <w:rPr>
                <w:sz w:val="18"/>
                <w:szCs w:val="18"/>
              </w:rPr>
              <w:t>audio</w:t>
            </w:r>
            <w:r w:rsidR="000C0BE7" w:rsidRPr="000C0BE7">
              <w:rPr>
                <w:sz w:val="18"/>
                <w:szCs w:val="18"/>
              </w:rPr>
              <w:t>descripción</w:t>
            </w:r>
            <w:proofErr w:type="spellEnd"/>
            <w:r w:rsidR="000C0BE7" w:rsidRPr="000C0BE7">
              <w:rPr>
                <w:sz w:val="18"/>
                <w:szCs w:val="18"/>
              </w:rPr>
              <w:t xml:space="preserve"> y otras </w:t>
            </w:r>
            <w:r w:rsidR="00086888">
              <w:rPr>
                <w:sz w:val="18"/>
                <w:szCs w:val="18"/>
              </w:rPr>
              <w:t xml:space="preserve">funciones, herramientas </w:t>
            </w:r>
            <w:r w:rsidR="000C0BE7" w:rsidRPr="000C0BE7">
              <w:rPr>
                <w:sz w:val="18"/>
                <w:szCs w:val="18"/>
              </w:rPr>
              <w:t xml:space="preserve">y medios relacionados con la accesibilidad, </w:t>
            </w:r>
            <w:r w:rsidR="0088443B">
              <w:rPr>
                <w:sz w:val="18"/>
                <w:szCs w:val="18"/>
              </w:rPr>
              <w:t>desagregados</w:t>
            </w:r>
            <w:r w:rsidR="000C0BE7" w:rsidRPr="000C0BE7">
              <w:rPr>
                <w:sz w:val="18"/>
                <w:szCs w:val="18"/>
              </w:rPr>
              <w:t xml:space="preserve"> por la </w:t>
            </w:r>
            <w:r w:rsidR="000C0BE7">
              <w:rPr>
                <w:sz w:val="18"/>
                <w:szCs w:val="18"/>
              </w:rPr>
              <w:t>titularidad</w:t>
            </w:r>
            <w:r w:rsidR="000C0BE7" w:rsidRPr="000C0BE7">
              <w:rPr>
                <w:sz w:val="18"/>
                <w:szCs w:val="18"/>
              </w:rPr>
              <w:t xml:space="preserve"> de los medios (privados/públicos) y </w:t>
            </w:r>
            <w:r w:rsidR="00086888">
              <w:rPr>
                <w:sz w:val="18"/>
                <w:szCs w:val="18"/>
              </w:rPr>
              <w:t>herramientas</w:t>
            </w:r>
            <w:r w:rsidR="000C0BE7" w:rsidRPr="000C0BE7">
              <w:rPr>
                <w:sz w:val="18"/>
                <w:szCs w:val="18"/>
              </w:rPr>
              <w:t xml:space="preserve"> de accesibilidad ofrecidas.</w:t>
            </w:r>
          </w:p>
          <w:p w14:paraId="78BB0196" w14:textId="7BA3D148" w:rsidR="00884069" w:rsidRPr="000C6C47" w:rsidRDefault="000C0BE7" w:rsidP="000C0BE7">
            <w:pPr>
              <w:spacing w:after="0" w:line="240" w:lineRule="auto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9.15 </w:t>
            </w:r>
            <w:r w:rsidR="00BD5D3F">
              <w:rPr>
                <w:sz w:val="18"/>
                <w:szCs w:val="18"/>
              </w:rPr>
              <w:t xml:space="preserve">Número de informes </w:t>
            </w:r>
            <w:r>
              <w:rPr>
                <w:sz w:val="18"/>
                <w:szCs w:val="18"/>
              </w:rPr>
              <w:t xml:space="preserve">publicados </w:t>
            </w:r>
            <w:r w:rsidR="005064C4">
              <w:rPr>
                <w:sz w:val="18"/>
                <w:szCs w:val="18"/>
              </w:rPr>
              <w:t xml:space="preserve">en formatos accesibles </w:t>
            </w:r>
            <w:r>
              <w:rPr>
                <w:sz w:val="18"/>
                <w:szCs w:val="18"/>
              </w:rPr>
              <w:t xml:space="preserve">por autoridades públicas </w:t>
            </w:r>
            <w:r w:rsidR="005064C4">
              <w:rPr>
                <w:sz w:val="18"/>
                <w:szCs w:val="18"/>
              </w:rPr>
              <w:t>dirigidos</w:t>
            </w:r>
            <w:r w:rsidR="00BD5D3F">
              <w:rPr>
                <w:sz w:val="18"/>
                <w:szCs w:val="18"/>
              </w:rPr>
              <w:t xml:space="preserve"> al público en general, </w:t>
            </w:r>
            <w:r w:rsidR="00086888">
              <w:rPr>
                <w:sz w:val="18"/>
                <w:szCs w:val="18"/>
              </w:rPr>
              <w:t xml:space="preserve">desagregados </w:t>
            </w:r>
            <w:r w:rsidR="00BD5D3F">
              <w:rPr>
                <w:sz w:val="18"/>
                <w:szCs w:val="18"/>
              </w:rPr>
              <w:t xml:space="preserve">por tipo de formato y </w:t>
            </w:r>
            <w:r w:rsidR="00B9761E">
              <w:rPr>
                <w:sz w:val="18"/>
                <w:szCs w:val="18"/>
              </w:rPr>
              <w:t xml:space="preserve">por </w:t>
            </w:r>
            <w:r w:rsidR="00BD5D3F">
              <w:rPr>
                <w:sz w:val="18"/>
                <w:szCs w:val="18"/>
              </w:rPr>
              <w:t xml:space="preserve">proporción </w:t>
            </w:r>
            <w:r w:rsidR="00086888">
              <w:rPr>
                <w:sz w:val="18"/>
                <w:szCs w:val="18"/>
              </w:rPr>
              <w:t xml:space="preserve">en relación al número </w:t>
            </w:r>
            <w:r w:rsidR="00BD5D3F">
              <w:rPr>
                <w:sz w:val="18"/>
                <w:szCs w:val="18"/>
              </w:rPr>
              <w:t>total de informes publicados.</w:t>
            </w:r>
            <w:r>
              <w:rPr>
                <w:sz w:val="18"/>
                <w:szCs w:val="18"/>
              </w:rPr>
              <w:t xml:space="preserve"> (</w:t>
            </w:r>
            <w:r w:rsidRPr="00A45BDF">
              <w:rPr>
                <w:i/>
                <w:sz w:val="18"/>
                <w:szCs w:val="18"/>
              </w:rPr>
              <w:t>Ibid</w:t>
            </w:r>
            <w:r>
              <w:rPr>
                <w:sz w:val="18"/>
                <w:szCs w:val="18"/>
              </w:rPr>
              <w:t>. 21.16)</w:t>
            </w:r>
          </w:p>
        </w:tc>
      </w:tr>
      <w:tr w:rsidR="00BA2AE9" w:rsidRPr="00ED6825" w14:paraId="3240829E" w14:textId="77777777" w:rsidTr="008C2443">
        <w:trPr>
          <w:trHeight w:val="2261"/>
          <w:jc w:val="center"/>
        </w:trPr>
        <w:tc>
          <w:tcPr>
            <w:tcW w:w="1054" w:type="dxa"/>
            <w:vMerge/>
          </w:tcPr>
          <w:p w14:paraId="7D417143" w14:textId="77777777" w:rsidR="00BA2AE9" w:rsidRPr="000C6C47" w:rsidRDefault="00BA2AE9" w:rsidP="00354BB9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561" w:type="dxa"/>
            <w:gridSpan w:val="3"/>
          </w:tcPr>
          <w:p w14:paraId="06126F75" w14:textId="1D12C43E" w:rsidR="00BA2AE9" w:rsidRPr="000C6C47" w:rsidRDefault="00BA2AE9" w:rsidP="00354BB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  <w:r w:rsidR="000C0BE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="000C0BE7">
              <w:rPr>
                <w:sz w:val="18"/>
                <w:szCs w:val="18"/>
              </w:rPr>
              <w:t xml:space="preserve">Implementación </w:t>
            </w:r>
            <w:r>
              <w:rPr>
                <w:sz w:val="18"/>
                <w:szCs w:val="18"/>
              </w:rPr>
              <w:t>de auditoría</w:t>
            </w:r>
            <w:r w:rsidR="000C0BE7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</w:t>
            </w:r>
            <w:r w:rsidR="00B9761E">
              <w:rPr>
                <w:sz w:val="18"/>
                <w:szCs w:val="18"/>
              </w:rPr>
              <w:t>s</w:t>
            </w:r>
            <w:r w:rsidR="005064C4">
              <w:rPr>
                <w:sz w:val="18"/>
                <w:szCs w:val="18"/>
              </w:rPr>
              <w:t>o</w:t>
            </w:r>
            <w:r w:rsidR="00B9761E">
              <w:rPr>
                <w:sz w:val="18"/>
                <w:szCs w:val="18"/>
              </w:rPr>
              <w:t xml:space="preserve">bre </w:t>
            </w:r>
            <w:r>
              <w:rPr>
                <w:sz w:val="18"/>
                <w:szCs w:val="18"/>
              </w:rPr>
              <w:t xml:space="preserve">accesibilidad </w:t>
            </w:r>
            <w:r w:rsidR="000C0BE7">
              <w:rPr>
                <w:sz w:val="18"/>
                <w:szCs w:val="18"/>
              </w:rPr>
              <w:t xml:space="preserve">en las instalaciones, servicios y programas gubernamentales </w:t>
            </w:r>
            <w:r>
              <w:rPr>
                <w:sz w:val="18"/>
                <w:szCs w:val="18"/>
              </w:rPr>
              <w:t>que requiera</w:t>
            </w:r>
            <w:r w:rsidR="000C0BE7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 la participación de </w:t>
            </w:r>
            <w:r w:rsidR="000C0BE7">
              <w:rPr>
                <w:sz w:val="18"/>
                <w:szCs w:val="18"/>
              </w:rPr>
              <w:t xml:space="preserve">personas </w:t>
            </w:r>
            <w:r>
              <w:rPr>
                <w:sz w:val="18"/>
                <w:szCs w:val="18"/>
              </w:rPr>
              <w:t xml:space="preserve">con discapacidad y </w:t>
            </w:r>
            <w:r w:rsidR="005064C4">
              <w:rPr>
                <w:sz w:val="18"/>
                <w:szCs w:val="18"/>
              </w:rPr>
              <w:t xml:space="preserve">las </w:t>
            </w:r>
            <w:r>
              <w:rPr>
                <w:sz w:val="18"/>
                <w:szCs w:val="18"/>
              </w:rPr>
              <w:t xml:space="preserve">organizaciones </w:t>
            </w:r>
            <w:r w:rsidR="005064C4">
              <w:rPr>
                <w:sz w:val="18"/>
                <w:szCs w:val="18"/>
              </w:rPr>
              <w:t>que las representan</w:t>
            </w:r>
            <w:r w:rsidR="000C0BE7">
              <w:rPr>
                <w:sz w:val="18"/>
                <w:szCs w:val="18"/>
              </w:rPr>
              <w:t>, incluyendo protocolos, procedimientos, servicios e instalaciones de emergencias</w:t>
            </w:r>
            <w:r>
              <w:rPr>
                <w:sz w:val="18"/>
                <w:szCs w:val="18"/>
              </w:rPr>
              <w:t>.</w:t>
            </w:r>
          </w:p>
          <w:p w14:paraId="1EEAFB7E" w14:textId="25A66600" w:rsidR="00BA2AE9" w:rsidRPr="000C6C47" w:rsidRDefault="00BD5D3F" w:rsidP="00354BB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  <w:r w:rsidR="000C0BE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 w:rsidR="000C0BE7">
              <w:rPr>
                <w:sz w:val="18"/>
                <w:szCs w:val="18"/>
              </w:rPr>
              <w:t xml:space="preserve">Adopción de </w:t>
            </w:r>
            <w:r w:rsidR="005064C4">
              <w:rPr>
                <w:sz w:val="18"/>
                <w:szCs w:val="18"/>
              </w:rPr>
              <w:t>guías</w:t>
            </w:r>
            <w:r w:rsidR="000C0BE7">
              <w:rPr>
                <w:sz w:val="18"/>
                <w:szCs w:val="18"/>
              </w:rPr>
              <w:t xml:space="preserve"> </w:t>
            </w:r>
            <w:r w:rsidR="005064C4">
              <w:rPr>
                <w:sz w:val="18"/>
                <w:szCs w:val="18"/>
              </w:rPr>
              <w:t>sobre</w:t>
            </w:r>
            <w:r w:rsidR="000C0BE7">
              <w:rPr>
                <w:sz w:val="18"/>
                <w:szCs w:val="18"/>
              </w:rPr>
              <w:t xml:space="preserve"> contratación pública que establezcan criterios de </w:t>
            </w:r>
            <w:r>
              <w:rPr>
                <w:sz w:val="18"/>
                <w:szCs w:val="18"/>
              </w:rPr>
              <w:t xml:space="preserve">diseño universal y accesibilidad </w:t>
            </w:r>
            <w:r w:rsidR="000C0BE7">
              <w:rPr>
                <w:sz w:val="18"/>
                <w:szCs w:val="18"/>
              </w:rPr>
              <w:t xml:space="preserve">y que exijan que los productos y servicios incluyan diseño y </w:t>
            </w:r>
            <w:r w:rsidR="005064C4">
              <w:rPr>
                <w:sz w:val="18"/>
                <w:szCs w:val="18"/>
              </w:rPr>
              <w:t>componentes</w:t>
            </w:r>
            <w:r w:rsidR="000C0BE7">
              <w:rPr>
                <w:sz w:val="18"/>
                <w:szCs w:val="18"/>
              </w:rPr>
              <w:t xml:space="preserve"> </w:t>
            </w:r>
            <w:r w:rsidR="005064C4">
              <w:rPr>
                <w:sz w:val="18"/>
                <w:szCs w:val="18"/>
              </w:rPr>
              <w:t>accesibles</w:t>
            </w:r>
            <w:r>
              <w:rPr>
                <w:sz w:val="18"/>
                <w:szCs w:val="18"/>
              </w:rPr>
              <w:t>.</w:t>
            </w:r>
            <w:r w:rsidR="000C0BE7">
              <w:rPr>
                <w:rStyle w:val="EndnoteReference"/>
                <w:rFonts w:cstheme="minorHAnsi"/>
                <w:sz w:val="18"/>
                <w:szCs w:val="18"/>
              </w:rPr>
              <w:endnoteReference w:id="7"/>
            </w:r>
          </w:p>
          <w:p w14:paraId="37BEC5C0" w14:textId="6BE495DA" w:rsidR="00BA2AE9" w:rsidRPr="000C6C47" w:rsidRDefault="00BD5D3F" w:rsidP="00354BB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  <w:r w:rsidR="000C0BE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Número y </w:t>
            </w:r>
            <w:r w:rsidR="000C0BE7">
              <w:rPr>
                <w:sz w:val="18"/>
                <w:szCs w:val="18"/>
              </w:rPr>
              <w:t xml:space="preserve">proporción </w:t>
            </w:r>
            <w:r>
              <w:rPr>
                <w:sz w:val="18"/>
                <w:szCs w:val="18"/>
              </w:rPr>
              <w:t xml:space="preserve">de profesionales, en particular ingenieros, arquitectos, </w:t>
            </w:r>
            <w:r w:rsidR="000C0BE7">
              <w:rPr>
                <w:sz w:val="18"/>
                <w:szCs w:val="18"/>
              </w:rPr>
              <w:t xml:space="preserve">planificadores urbanos, </w:t>
            </w:r>
            <w:r>
              <w:rPr>
                <w:sz w:val="18"/>
                <w:szCs w:val="18"/>
              </w:rPr>
              <w:t xml:space="preserve">operadores de transporte, </w:t>
            </w:r>
            <w:r w:rsidR="000C0BE7">
              <w:rPr>
                <w:sz w:val="18"/>
                <w:szCs w:val="18"/>
              </w:rPr>
              <w:t xml:space="preserve">diseñadores web, </w:t>
            </w:r>
            <w:r>
              <w:rPr>
                <w:sz w:val="18"/>
                <w:szCs w:val="18"/>
              </w:rPr>
              <w:t>proveedores de servicios públicos, operadores de medios de comunicación</w:t>
            </w:r>
            <w:r w:rsidR="000C0BE7">
              <w:rPr>
                <w:sz w:val="18"/>
                <w:szCs w:val="18"/>
              </w:rPr>
              <w:t>, funcionarios de contratación pública</w:t>
            </w:r>
            <w:r>
              <w:rPr>
                <w:sz w:val="18"/>
                <w:szCs w:val="18"/>
              </w:rPr>
              <w:t xml:space="preserve"> y otros </w:t>
            </w:r>
            <w:r w:rsidR="000C0BE7">
              <w:rPr>
                <w:sz w:val="18"/>
                <w:szCs w:val="18"/>
              </w:rPr>
              <w:t>profesionales</w:t>
            </w:r>
            <w:r w:rsidR="00A54740">
              <w:rPr>
                <w:sz w:val="18"/>
                <w:szCs w:val="18"/>
              </w:rPr>
              <w:t xml:space="preserve"> que hayan sido</w:t>
            </w:r>
            <w:r w:rsidR="000C0BE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formados en diseño universal y</w:t>
            </w:r>
            <w:r w:rsidR="00A54740">
              <w:rPr>
                <w:sz w:val="18"/>
                <w:szCs w:val="18"/>
              </w:rPr>
              <w:t xml:space="preserve"> estándares </w:t>
            </w:r>
            <w:r>
              <w:rPr>
                <w:sz w:val="18"/>
                <w:szCs w:val="18"/>
              </w:rPr>
              <w:t>de accesibilidad.</w:t>
            </w:r>
          </w:p>
          <w:p w14:paraId="2CB51A56" w14:textId="52D44B54" w:rsidR="00BA2AE9" w:rsidRPr="000C6C47" w:rsidRDefault="00BD5D3F" w:rsidP="00354BB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  <w:r w:rsidR="000C0BE7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="009E7005" w:rsidRPr="009E7005">
              <w:rPr>
                <w:sz w:val="18"/>
                <w:szCs w:val="18"/>
              </w:rPr>
              <w:t xml:space="preserve">Campañas y actividades </w:t>
            </w:r>
            <w:r w:rsidR="00A54740">
              <w:rPr>
                <w:sz w:val="18"/>
                <w:szCs w:val="18"/>
              </w:rPr>
              <w:t>de concienciación</w:t>
            </w:r>
            <w:r w:rsidR="009E7005" w:rsidRPr="009E7005">
              <w:rPr>
                <w:sz w:val="18"/>
                <w:szCs w:val="18"/>
              </w:rPr>
              <w:t xml:space="preserve"> </w:t>
            </w:r>
            <w:r w:rsidR="00A54740">
              <w:rPr>
                <w:sz w:val="18"/>
                <w:szCs w:val="18"/>
              </w:rPr>
              <w:t>que promuevan</w:t>
            </w:r>
            <w:r w:rsidR="00A54740" w:rsidRPr="009E7005">
              <w:rPr>
                <w:sz w:val="18"/>
                <w:szCs w:val="18"/>
              </w:rPr>
              <w:t xml:space="preserve"> </w:t>
            </w:r>
            <w:r w:rsidR="00A54740">
              <w:rPr>
                <w:sz w:val="18"/>
                <w:szCs w:val="18"/>
              </w:rPr>
              <w:t>la a</w:t>
            </w:r>
            <w:r w:rsidR="000C0BE7">
              <w:rPr>
                <w:sz w:val="18"/>
                <w:szCs w:val="18"/>
              </w:rPr>
              <w:t xml:space="preserve">ccesibilidad en todos los servicios abiertos al público y </w:t>
            </w:r>
            <w:r w:rsidR="009A0658">
              <w:rPr>
                <w:sz w:val="18"/>
                <w:szCs w:val="18"/>
              </w:rPr>
              <w:t>que fomenten</w:t>
            </w:r>
            <w:r w:rsidR="000C0BE7">
              <w:rPr>
                <w:sz w:val="18"/>
                <w:szCs w:val="18"/>
              </w:rPr>
              <w:t xml:space="preserve"> el conocimiento del diseño universal y </w:t>
            </w:r>
            <w:r w:rsidR="009A0658">
              <w:rPr>
                <w:sz w:val="18"/>
                <w:szCs w:val="18"/>
              </w:rPr>
              <w:t>de los estándares de</w:t>
            </w:r>
            <w:r w:rsidR="000C0BE7">
              <w:rPr>
                <w:sz w:val="18"/>
                <w:szCs w:val="18"/>
              </w:rPr>
              <w:t xml:space="preserve"> accesibilidad por parte de </w:t>
            </w:r>
            <w:r w:rsidR="009A0658">
              <w:rPr>
                <w:sz w:val="18"/>
                <w:szCs w:val="18"/>
              </w:rPr>
              <w:t xml:space="preserve">los </w:t>
            </w:r>
            <w:r w:rsidR="000C0BE7">
              <w:rPr>
                <w:sz w:val="18"/>
                <w:szCs w:val="18"/>
              </w:rPr>
              <w:t>profesionales</w:t>
            </w:r>
            <w:r w:rsidR="009A0658">
              <w:rPr>
                <w:sz w:val="18"/>
                <w:szCs w:val="18"/>
              </w:rPr>
              <w:t xml:space="preserve"> pertinentes</w:t>
            </w:r>
            <w:r w:rsidR="000C0BE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fabricantes</w:t>
            </w:r>
            <w:r w:rsidR="000C0BE7">
              <w:rPr>
                <w:sz w:val="18"/>
                <w:szCs w:val="18"/>
              </w:rPr>
              <w:t xml:space="preserve"> y</w:t>
            </w:r>
            <w:r>
              <w:rPr>
                <w:sz w:val="18"/>
                <w:szCs w:val="18"/>
              </w:rPr>
              <w:t xml:space="preserve"> proveedores de servicios</w:t>
            </w:r>
            <w:r w:rsidR="000C0BE7">
              <w:rPr>
                <w:sz w:val="18"/>
                <w:szCs w:val="18"/>
              </w:rPr>
              <w:t>, así como</w:t>
            </w:r>
            <w:r w:rsidR="009A0658">
              <w:rPr>
                <w:sz w:val="18"/>
                <w:szCs w:val="18"/>
              </w:rPr>
              <w:t xml:space="preserve"> también</w:t>
            </w:r>
            <w:r w:rsidR="000C0BE7">
              <w:rPr>
                <w:sz w:val="18"/>
                <w:szCs w:val="18"/>
              </w:rPr>
              <w:t xml:space="preserve"> informar</w:t>
            </w:r>
            <w:r>
              <w:rPr>
                <w:sz w:val="18"/>
                <w:szCs w:val="18"/>
              </w:rPr>
              <w:t xml:space="preserve"> a las personas de sus derechos y responsabilidades </w:t>
            </w:r>
            <w:r w:rsidR="009A0658">
              <w:rPr>
                <w:sz w:val="18"/>
                <w:szCs w:val="18"/>
              </w:rPr>
              <w:t xml:space="preserve">cuando tengan que ver </w:t>
            </w:r>
            <w:r>
              <w:rPr>
                <w:sz w:val="18"/>
                <w:szCs w:val="18"/>
              </w:rPr>
              <w:t xml:space="preserve">con la accesibilidad. </w:t>
            </w:r>
          </w:p>
          <w:p w14:paraId="3AC028F0" w14:textId="135D3B6C" w:rsidR="00BA2AE9" w:rsidRPr="000C6C47" w:rsidRDefault="00BD5D3F" w:rsidP="00354BB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="000C0BE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Procesos de consulta </w:t>
            </w:r>
            <w:r w:rsidR="00E401C4">
              <w:rPr>
                <w:sz w:val="18"/>
                <w:szCs w:val="18"/>
              </w:rPr>
              <w:t xml:space="preserve">llevados a cabo </w:t>
            </w:r>
            <w:r>
              <w:rPr>
                <w:sz w:val="18"/>
                <w:szCs w:val="18"/>
              </w:rPr>
              <w:t xml:space="preserve">para asegurar la participación activa de las personas con discapacidad, </w:t>
            </w:r>
            <w:r w:rsidR="00E401C4">
              <w:rPr>
                <w:sz w:val="18"/>
                <w:szCs w:val="18"/>
              </w:rPr>
              <w:t>incluyendo las organizaciones que las representan</w:t>
            </w:r>
            <w:r>
              <w:rPr>
                <w:sz w:val="18"/>
                <w:szCs w:val="18"/>
              </w:rPr>
              <w:t xml:space="preserve"> , en el diseño, la implementación y el monitoreo de leyes, reglamentos, políticas y programas, en relación con la accesibilidad al entorno construido, el transporte, la información y la comunicación</w:t>
            </w:r>
            <w:r w:rsidR="009E7005">
              <w:rPr>
                <w:sz w:val="18"/>
                <w:szCs w:val="18"/>
              </w:rPr>
              <w:t>.</w:t>
            </w:r>
            <w:r w:rsidR="00BA2AE9" w:rsidRPr="000C6C47">
              <w:rPr>
                <w:rStyle w:val="EndnoteReference"/>
                <w:rFonts w:cstheme="minorHAnsi"/>
                <w:sz w:val="18"/>
                <w:szCs w:val="18"/>
              </w:rPr>
              <w:endnoteReference w:id="8"/>
            </w:r>
          </w:p>
          <w:p w14:paraId="24E2F793" w14:textId="6A7A2B4C" w:rsidR="00BA2AE9" w:rsidRPr="000C6C47" w:rsidRDefault="00BA2AE9" w:rsidP="000C0BE7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  <w:r w:rsidR="000C0B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="000C0BE7">
              <w:rPr>
                <w:sz w:val="18"/>
                <w:szCs w:val="18"/>
              </w:rPr>
              <w:t xml:space="preserve">Proporción </w:t>
            </w:r>
            <w:r>
              <w:rPr>
                <w:sz w:val="18"/>
                <w:szCs w:val="18"/>
              </w:rPr>
              <w:t xml:space="preserve">de </w:t>
            </w:r>
            <w:r w:rsidR="00E401C4">
              <w:rPr>
                <w:sz w:val="18"/>
                <w:szCs w:val="18"/>
              </w:rPr>
              <w:t xml:space="preserve">denuncias </w:t>
            </w:r>
            <w:r w:rsidR="009E7005">
              <w:rPr>
                <w:sz w:val="18"/>
                <w:szCs w:val="18"/>
              </w:rPr>
              <w:t xml:space="preserve">recibidas </w:t>
            </w:r>
            <w:r w:rsidR="00E401C4">
              <w:rPr>
                <w:sz w:val="18"/>
                <w:szCs w:val="18"/>
              </w:rPr>
              <w:t>que han sido investigadas y resueltas</w:t>
            </w:r>
            <w:r w:rsidR="00E401C4" w:rsidDel="00E401C4">
              <w:rPr>
                <w:sz w:val="18"/>
                <w:szCs w:val="18"/>
              </w:rPr>
              <w:t xml:space="preserve"> </w:t>
            </w:r>
            <w:r w:rsidR="00E401C4">
              <w:rPr>
                <w:sz w:val="18"/>
                <w:szCs w:val="18"/>
              </w:rPr>
              <w:t>referidas a</w:t>
            </w:r>
            <w:r>
              <w:rPr>
                <w:sz w:val="18"/>
                <w:szCs w:val="18"/>
              </w:rPr>
              <w:t xml:space="preserve"> la accesibilidad de personas con discapacidad</w:t>
            </w:r>
            <w:r w:rsidR="000C0BE7">
              <w:rPr>
                <w:sz w:val="18"/>
                <w:szCs w:val="18"/>
              </w:rPr>
              <w:t>; proporción de las mismas resueltas</w:t>
            </w:r>
            <w:r>
              <w:rPr>
                <w:sz w:val="18"/>
                <w:szCs w:val="18"/>
              </w:rPr>
              <w:t xml:space="preserve"> a favor del denunciante, </w:t>
            </w:r>
            <w:r w:rsidR="000C0BE7">
              <w:rPr>
                <w:sz w:val="18"/>
                <w:szCs w:val="18"/>
              </w:rPr>
              <w:t xml:space="preserve">y proporción de estas últimas cumplidas por el gobierno o el responsable; todas ellas </w:t>
            </w:r>
            <w:r w:rsidR="00E401C4">
              <w:rPr>
                <w:sz w:val="18"/>
                <w:szCs w:val="18"/>
              </w:rPr>
              <w:t xml:space="preserve">desagregadas </w:t>
            </w:r>
            <w:r>
              <w:rPr>
                <w:sz w:val="18"/>
                <w:szCs w:val="18"/>
              </w:rPr>
              <w:t>por tipo de mecanismo</w:t>
            </w:r>
            <w:r w:rsidR="000C0BE7">
              <w:rPr>
                <w:sz w:val="18"/>
                <w:szCs w:val="18"/>
              </w:rPr>
              <w:t>.</w:t>
            </w:r>
          </w:p>
        </w:tc>
      </w:tr>
      <w:tr w:rsidR="0045025F" w:rsidRPr="00ED6825" w14:paraId="374A82DB" w14:textId="77777777" w:rsidTr="00E10AEA">
        <w:trPr>
          <w:jc w:val="center"/>
        </w:trPr>
        <w:tc>
          <w:tcPr>
            <w:tcW w:w="1054" w:type="dxa"/>
          </w:tcPr>
          <w:p w14:paraId="535BC922" w14:textId="5B3280E9" w:rsidR="0045025F" w:rsidRPr="000C6C47" w:rsidRDefault="0045025F" w:rsidP="000C6C4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Resultado </w:t>
            </w:r>
          </w:p>
        </w:tc>
        <w:tc>
          <w:tcPr>
            <w:tcW w:w="3619" w:type="dxa"/>
          </w:tcPr>
          <w:p w14:paraId="0340049B" w14:textId="3D366512" w:rsidR="00ED2528" w:rsidRPr="00A45BDF" w:rsidRDefault="00BD5D3F" w:rsidP="000C0BE7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A45BDF">
              <w:rPr>
                <w:sz w:val="18"/>
                <w:szCs w:val="18"/>
              </w:rPr>
              <w:t>9.2</w:t>
            </w:r>
            <w:r w:rsidR="000C0BE7" w:rsidRPr="00A45BDF">
              <w:rPr>
                <w:sz w:val="18"/>
                <w:szCs w:val="18"/>
              </w:rPr>
              <w:t>2</w:t>
            </w:r>
            <w:r w:rsidRPr="00A45BDF">
              <w:rPr>
                <w:sz w:val="18"/>
                <w:szCs w:val="18"/>
              </w:rPr>
              <w:t xml:space="preserve"> Proporción de la población que tiene acceso</w:t>
            </w:r>
            <w:r w:rsidR="00E401C4">
              <w:rPr>
                <w:sz w:val="18"/>
                <w:szCs w:val="18"/>
              </w:rPr>
              <w:t xml:space="preserve"> sin inconvenientes</w:t>
            </w:r>
            <w:r w:rsidRPr="00A45BDF">
              <w:rPr>
                <w:sz w:val="18"/>
                <w:szCs w:val="18"/>
              </w:rPr>
              <w:t xml:space="preserve"> al transporte público, </w:t>
            </w:r>
            <w:r w:rsidR="00E401C4">
              <w:rPr>
                <w:sz w:val="18"/>
                <w:szCs w:val="18"/>
              </w:rPr>
              <w:t>desagregado</w:t>
            </w:r>
            <w:r w:rsidR="00E401C4" w:rsidRPr="00A45BDF">
              <w:rPr>
                <w:sz w:val="18"/>
                <w:szCs w:val="18"/>
              </w:rPr>
              <w:t xml:space="preserve"> </w:t>
            </w:r>
            <w:r w:rsidRPr="00A45BDF">
              <w:rPr>
                <w:sz w:val="18"/>
                <w:szCs w:val="18"/>
              </w:rPr>
              <w:t>por sexo, edad y personas con discapacidad (indicador 11.2.1 de los ODS).</w:t>
            </w:r>
          </w:p>
        </w:tc>
        <w:tc>
          <w:tcPr>
            <w:tcW w:w="3686" w:type="dxa"/>
          </w:tcPr>
          <w:p w14:paraId="37287D2A" w14:textId="279FC593" w:rsidR="0045025F" w:rsidRPr="000C6C47" w:rsidRDefault="005C2333" w:rsidP="00354BB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  <w:r w:rsidR="000C0BE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Proporción media de la superficie </w:t>
            </w:r>
            <w:r w:rsidR="001E0B81">
              <w:rPr>
                <w:sz w:val="18"/>
                <w:szCs w:val="18"/>
              </w:rPr>
              <w:t xml:space="preserve">construida </w:t>
            </w:r>
            <w:r>
              <w:rPr>
                <w:sz w:val="18"/>
                <w:szCs w:val="18"/>
              </w:rPr>
              <w:t xml:space="preserve">de las ciudades que se dedica a espacios abiertos para uso público </w:t>
            </w:r>
            <w:r w:rsidR="001E0B81">
              <w:rPr>
                <w:sz w:val="18"/>
                <w:szCs w:val="18"/>
              </w:rPr>
              <w:t>general</w:t>
            </w:r>
            <w:r>
              <w:rPr>
                <w:sz w:val="18"/>
                <w:szCs w:val="18"/>
              </w:rPr>
              <w:t xml:space="preserve">, </w:t>
            </w:r>
            <w:r w:rsidR="001E0B81">
              <w:rPr>
                <w:sz w:val="18"/>
                <w:szCs w:val="18"/>
              </w:rPr>
              <w:t xml:space="preserve">desagregada </w:t>
            </w:r>
            <w:r>
              <w:rPr>
                <w:sz w:val="18"/>
                <w:szCs w:val="18"/>
              </w:rPr>
              <w:t>por sexo, edad y personas con discapacidad (indicador 11.7.1 de los ODS).</w:t>
            </w:r>
          </w:p>
          <w:p w14:paraId="49FD6D53" w14:textId="2CDFEAAB" w:rsidR="0045025F" w:rsidRPr="000C6C47" w:rsidRDefault="008C2443" w:rsidP="00354BB9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  <w:r w:rsidR="000C0BE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Proporción de personas con discapacidad que declaran </w:t>
            </w:r>
            <w:r w:rsidR="001E0B81">
              <w:rPr>
                <w:sz w:val="18"/>
                <w:szCs w:val="18"/>
              </w:rPr>
              <w:t>poder acceder</w:t>
            </w:r>
            <w:r>
              <w:rPr>
                <w:sz w:val="18"/>
                <w:szCs w:val="18"/>
              </w:rPr>
              <w:t xml:space="preserve"> a edificios públicos en zonas urbanas y rurales, incluidos edificios gubernamentales en capitales nacionales y regionales.</w:t>
            </w:r>
          </w:p>
        </w:tc>
        <w:tc>
          <w:tcPr>
            <w:tcW w:w="7256" w:type="dxa"/>
          </w:tcPr>
          <w:p w14:paraId="454158CA" w14:textId="03964743" w:rsidR="00C47BC6" w:rsidRPr="000C6C47" w:rsidRDefault="008C2443" w:rsidP="00354BB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="000C0BE7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Proporción de </w:t>
            </w:r>
            <w:r w:rsidR="001E0B81">
              <w:rPr>
                <w:sz w:val="18"/>
                <w:szCs w:val="18"/>
              </w:rPr>
              <w:t xml:space="preserve">individuos </w:t>
            </w:r>
            <w:r>
              <w:rPr>
                <w:sz w:val="18"/>
                <w:szCs w:val="18"/>
              </w:rPr>
              <w:t xml:space="preserve">que utilizan internet (indicador 17.8.1 de los ODS) </w:t>
            </w:r>
            <w:r w:rsidR="001E0B81">
              <w:rPr>
                <w:sz w:val="18"/>
                <w:szCs w:val="18"/>
              </w:rPr>
              <w:t xml:space="preserve">desagregada </w:t>
            </w:r>
            <w:r>
              <w:rPr>
                <w:sz w:val="18"/>
                <w:szCs w:val="18"/>
              </w:rPr>
              <w:t xml:space="preserve">por edad, sexo y discapacidad.  </w:t>
            </w:r>
          </w:p>
          <w:p w14:paraId="68DAE4A0" w14:textId="543ACA6E" w:rsidR="0045025F" w:rsidRPr="000C6C47" w:rsidRDefault="00BD5D3F" w:rsidP="00354BB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  <w:r w:rsidR="000C0BE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Proporción de personas con discapacidad que declaran </w:t>
            </w:r>
            <w:r w:rsidR="000C0BE7">
              <w:rPr>
                <w:sz w:val="18"/>
                <w:szCs w:val="18"/>
              </w:rPr>
              <w:t>estar satisfechos con el</w:t>
            </w:r>
            <w:r>
              <w:rPr>
                <w:sz w:val="18"/>
                <w:szCs w:val="18"/>
              </w:rPr>
              <w:t xml:space="preserve"> acceso a los servicios de emergencia a través de medios de comunicación alternativos</w:t>
            </w:r>
            <w:r w:rsidR="000C0BE7">
              <w:rPr>
                <w:sz w:val="18"/>
                <w:szCs w:val="18"/>
              </w:rPr>
              <w:t xml:space="preserve">, </w:t>
            </w:r>
            <w:r w:rsidR="001E0B81">
              <w:rPr>
                <w:sz w:val="18"/>
                <w:szCs w:val="18"/>
              </w:rPr>
              <w:t>desagregados</w:t>
            </w:r>
            <w:r w:rsidR="000C0BE7">
              <w:rPr>
                <w:sz w:val="18"/>
                <w:szCs w:val="18"/>
              </w:rPr>
              <w:t xml:space="preserve"> por sexo, edad y discapacidad</w:t>
            </w:r>
            <w:r>
              <w:rPr>
                <w:sz w:val="18"/>
                <w:szCs w:val="18"/>
              </w:rPr>
              <w:t>.</w:t>
            </w:r>
          </w:p>
          <w:p w14:paraId="1A57D9C8" w14:textId="42D702AE" w:rsidR="00C47BC6" w:rsidRPr="000C6C47" w:rsidRDefault="00BD5D3F" w:rsidP="00354BB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  <w:r w:rsidR="000C0BE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Proporción de personas con discapacidad a las que se ha </w:t>
            </w:r>
            <w:r w:rsidR="001E0B81">
              <w:rPr>
                <w:sz w:val="18"/>
                <w:szCs w:val="18"/>
              </w:rPr>
              <w:t xml:space="preserve">otorgado </w:t>
            </w:r>
            <w:r>
              <w:rPr>
                <w:sz w:val="18"/>
                <w:szCs w:val="18"/>
              </w:rPr>
              <w:t>el uso de comunicaciones alternativas</w:t>
            </w:r>
            <w:r w:rsidR="004934E6" w:rsidRPr="000C6C47">
              <w:rPr>
                <w:rStyle w:val="EndnoteReference"/>
                <w:rFonts w:cstheme="minorHAnsi"/>
                <w:sz w:val="18"/>
                <w:szCs w:val="18"/>
              </w:rPr>
              <w:endnoteReference w:id="9"/>
            </w:r>
            <w:r>
              <w:rPr>
                <w:sz w:val="18"/>
                <w:szCs w:val="18"/>
              </w:rPr>
              <w:t xml:space="preserve"> en interacciones oficiales, </w:t>
            </w:r>
            <w:r w:rsidR="001E0B81">
              <w:rPr>
                <w:sz w:val="18"/>
                <w:szCs w:val="18"/>
              </w:rPr>
              <w:t xml:space="preserve">desagregadas </w:t>
            </w:r>
            <w:r>
              <w:rPr>
                <w:sz w:val="18"/>
                <w:szCs w:val="18"/>
              </w:rPr>
              <w:t>por tipo de servicio público utilizado, edad, sexo y discapacidad.</w:t>
            </w:r>
          </w:p>
        </w:tc>
      </w:tr>
    </w:tbl>
    <w:p w14:paraId="26FE20A3" w14:textId="77777777" w:rsidR="0073485C" w:rsidRPr="00C154B3" w:rsidRDefault="0073485C" w:rsidP="00220F2F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p w14:paraId="08A8939D" w14:textId="4D8E9285" w:rsidR="00884069" w:rsidRDefault="00884069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45EC4BCD" w14:textId="75F9FB27" w:rsidR="00F912D8" w:rsidRDefault="00AB208C" w:rsidP="00C154B3">
      <w:pPr>
        <w:spacing w:after="0" w:line="240" w:lineRule="auto"/>
        <w:contextualSpacing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ANEXO</w:t>
      </w:r>
    </w:p>
    <w:p w14:paraId="1661D561" w14:textId="77777777" w:rsidR="00A9442F" w:rsidRDefault="00A9442F" w:rsidP="00A9442F">
      <w:pPr>
        <w:spacing w:after="0" w:line="240" w:lineRule="auto"/>
        <w:contextualSpacing/>
        <w:rPr>
          <w:sz w:val="18"/>
          <w:szCs w:val="18"/>
        </w:rPr>
      </w:pPr>
    </w:p>
    <w:p w14:paraId="1224F936" w14:textId="7BC02BEB" w:rsidR="00A9442F" w:rsidRPr="00C154B3" w:rsidRDefault="00A9442F" w:rsidP="00A9442F">
      <w:pPr>
        <w:spacing w:after="0" w:line="240" w:lineRule="auto"/>
        <w:contextualSpacing/>
        <w:rPr>
          <w:rFonts w:cstheme="minorHAnsi"/>
          <w:b/>
          <w:sz w:val="18"/>
          <w:szCs w:val="18"/>
        </w:rPr>
      </w:pPr>
      <w:r>
        <w:rPr>
          <w:sz w:val="18"/>
          <w:szCs w:val="18"/>
        </w:rPr>
        <w:t>*V</w:t>
      </w:r>
      <w:r w:rsidRPr="00550281">
        <w:rPr>
          <w:sz w:val="18"/>
          <w:szCs w:val="18"/>
        </w:rPr>
        <w:t xml:space="preserve">éase la </w:t>
      </w:r>
      <w:hyperlink r:id="rId11" w:history="1">
        <w:r w:rsidRPr="00A376F5">
          <w:rPr>
            <w:rStyle w:val="Hyperlink"/>
            <w:sz w:val="18"/>
            <w:szCs w:val="18"/>
          </w:rPr>
          <w:t>Observación general Nº 2</w:t>
        </w:r>
      </w:hyperlink>
      <w:r>
        <w:rPr>
          <w:rStyle w:val="Hyperlink"/>
          <w:sz w:val="18"/>
          <w:szCs w:val="18"/>
        </w:rPr>
        <w:t xml:space="preserve"> </w:t>
      </w:r>
      <w:r>
        <w:rPr>
          <w:sz w:val="18"/>
          <w:szCs w:val="18"/>
        </w:rPr>
        <w:t>del Comité de la CDPD.</w:t>
      </w:r>
    </w:p>
    <w:sectPr w:rsidR="00A9442F" w:rsidRPr="00C154B3" w:rsidSect="00C154B3">
      <w:pgSz w:w="15840" w:h="12240" w:orient="landscape"/>
      <w:pgMar w:top="113" w:right="284" w:bottom="113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B403B" w14:textId="77777777" w:rsidR="0079610F" w:rsidRDefault="0079610F" w:rsidP="0064710C">
      <w:pPr>
        <w:spacing w:after="0" w:line="240" w:lineRule="auto"/>
      </w:pPr>
      <w:r>
        <w:separator/>
      </w:r>
    </w:p>
  </w:endnote>
  <w:endnote w:type="continuationSeparator" w:id="0">
    <w:p w14:paraId="34C54503" w14:textId="77777777" w:rsidR="0079610F" w:rsidRDefault="0079610F" w:rsidP="0064710C">
      <w:pPr>
        <w:spacing w:after="0" w:line="240" w:lineRule="auto"/>
      </w:pPr>
      <w:r>
        <w:continuationSeparator/>
      </w:r>
    </w:p>
  </w:endnote>
  <w:endnote w:id="1">
    <w:p w14:paraId="7B60E24A" w14:textId="55CBD141" w:rsidR="0073485C" w:rsidRPr="00E10AEA" w:rsidRDefault="0073485C" w:rsidP="000C6C47">
      <w:pPr>
        <w:pStyle w:val="NoSpacing"/>
        <w:rPr>
          <w:rFonts w:cstheme="minorHAnsi"/>
          <w:sz w:val="18"/>
          <w:szCs w:val="18"/>
        </w:rPr>
      </w:pPr>
      <w:r>
        <w:rPr>
          <w:rStyle w:val="EndnoteReference"/>
          <w:rFonts w:cstheme="minorHAnsi"/>
          <w:sz w:val="18"/>
          <w:szCs w:val="18"/>
        </w:rPr>
        <w:endnoteRef/>
      </w:r>
      <w:r>
        <w:rPr>
          <w:sz w:val="18"/>
          <w:szCs w:val="18"/>
        </w:rPr>
        <w:t xml:space="preserve"> Debe contener al menos los siguientes elementos:</w:t>
      </w:r>
    </w:p>
    <w:p w14:paraId="4ED6368E" w14:textId="7197D2D4" w:rsidR="0073485C" w:rsidRPr="00E10AEA" w:rsidRDefault="00BA2AE9" w:rsidP="000C6C47">
      <w:pPr>
        <w:pStyle w:val="NoSpacing"/>
        <w:numPr>
          <w:ilvl w:val="0"/>
          <w:numId w:val="11"/>
        </w:numPr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Aplicación del principio de diseño universal en el desarrollo de estándares y </w:t>
      </w:r>
      <w:r w:rsidR="001E0B81">
        <w:rPr>
          <w:sz w:val="18"/>
          <w:szCs w:val="18"/>
        </w:rPr>
        <w:t xml:space="preserve">guías </w:t>
      </w:r>
      <w:r>
        <w:rPr>
          <w:sz w:val="18"/>
          <w:szCs w:val="18"/>
        </w:rPr>
        <w:t>de accesibilidad;</w:t>
      </w:r>
    </w:p>
    <w:p w14:paraId="0AF7C13A" w14:textId="77777777" w:rsidR="0073485C" w:rsidRPr="00E10AEA" w:rsidRDefault="0073485C" w:rsidP="000C6C47">
      <w:pPr>
        <w:pStyle w:val="NoSpacing"/>
        <w:numPr>
          <w:ilvl w:val="0"/>
          <w:numId w:val="11"/>
        </w:numPr>
        <w:rPr>
          <w:rFonts w:cstheme="minorHAnsi"/>
          <w:sz w:val="18"/>
          <w:szCs w:val="18"/>
        </w:rPr>
      </w:pPr>
      <w:r>
        <w:rPr>
          <w:sz w:val="18"/>
          <w:szCs w:val="18"/>
        </w:rPr>
        <w:t>Obligación de cumplir con las normas técnicas específicas del sector;</w:t>
      </w:r>
    </w:p>
    <w:p w14:paraId="5DBC872A" w14:textId="687FF909" w:rsidR="0073485C" w:rsidRPr="00E10AEA" w:rsidRDefault="0073485C" w:rsidP="000C6C47">
      <w:pPr>
        <w:pStyle w:val="NoSpacing"/>
        <w:numPr>
          <w:ilvl w:val="0"/>
          <w:numId w:val="11"/>
        </w:numPr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Disponibilidad de sanciones disuasorias efectivas por violación de </w:t>
      </w:r>
      <w:r w:rsidR="001E0B81">
        <w:rPr>
          <w:sz w:val="18"/>
          <w:szCs w:val="18"/>
        </w:rPr>
        <w:t>los estándares</w:t>
      </w:r>
      <w:r>
        <w:rPr>
          <w:sz w:val="18"/>
          <w:szCs w:val="18"/>
        </w:rPr>
        <w:t xml:space="preserve"> de accesibilidad;</w:t>
      </w:r>
    </w:p>
    <w:p w14:paraId="249A3FD5" w14:textId="5EFD4813" w:rsidR="0073485C" w:rsidRPr="00E10AEA" w:rsidRDefault="0073485C" w:rsidP="000C6C47">
      <w:pPr>
        <w:pStyle w:val="NoSpacing"/>
        <w:numPr>
          <w:ilvl w:val="0"/>
          <w:numId w:val="11"/>
        </w:numPr>
        <w:rPr>
          <w:rFonts w:cstheme="minorHAnsi"/>
          <w:sz w:val="18"/>
          <w:szCs w:val="18"/>
        </w:rPr>
      </w:pPr>
      <w:r>
        <w:rPr>
          <w:sz w:val="18"/>
          <w:szCs w:val="18"/>
        </w:rPr>
        <w:t>Establecimiento de una entidad independiente para monitorear el cumplimiento de l</w:t>
      </w:r>
      <w:r w:rsidR="001E0B81">
        <w:rPr>
          <w:sz w:val="18"/>
          <w:szCs w:val="18"/>
        </w:rPr>
        <w:t>o</w:t>
      </w:r>
      <w:r>
        <w:rPr>
          <w:sz w:val="18"/>
          <w:szCs w:val="18"/>
        </w:rPr>
        <w:t xml:space="preserve">s </w:t>
      </w:r>
      <w:r w:rsidR="001E0B81">
        <w:rPr>
          <w:sz w:val="18"/>
          <w:szCs w:val="18"/>
        </w:rPr>
        <w:t xml:space="preserve">estándares </w:t>
      </w:r>
      <w:r>
        <w:rPr>
          <w:sz w:val="18"/>
          <w:szCs w:val="18"/>
        </w:rPr>
        <w:t>de accesibilidad;</w:t>
      </w:r>
    </w:p>
    <w:p w14:paraId="4C8FA598" w14:textId="77777777" w:rsidR="0073485C" w:rsidRPr="00E10AEA" w:rsidRDefault="0073485C" w:rsidP="000C6C47">
      <w:pPr>
        <w:pStyle w:val="NoSpacing"/>
        <w:numPr>
          <w:ilvl w:val="0"/>
          <w:numId w:val="11"/>
        </w:numPr>
        <w:rPr>
          <w:rFonts w:cstheme="minorHAnsi"/>
          <w:sz w:val="18"/>
          <w:szCs w:val="18"/>
        </w:rPr>
      </w:pPr>
      <w:r>
        <w:rPr>
          <w:sz w:val="18"/>
          <w:szCs w:val="18"/>
        </w:rPr>
        <w:t>Inclusión de tecnologías y dispositivos de asistencia, así como asistencia humana o animal en la definición de accesibilidad;</w:t>
      </w:r>
    </w:p>
    <w:p w14:paraId="3DD0A28B" w14:textId="6D3219E6" w:rsidR="0073485C" w:rsidRDefault="00940216" w:rsidP="000C6C47">
      <w:pPr>
        <w:pStyle w:val="NoSpacing"/>
        <w:numPr>
          <w:ilvl w:val="0"/>
          <w:numId w:val="11"/>
        </w:numPr>
        <w:rPr>
          <w:rFonts w:cstheme="minorHAnsi"/>
          <w:sz w:val="18"/>
          <w:szCs w:val="18"/>
        </w:rPr>
      </w:pPr>
      <w:r>
        <w:rPr>
          <w:sz w:val="18"/>
          <w:szCs w:val="18"/>
        </w:rPr>
        <w:t>Cumplimiento de l</w:t>
      </w:r>
      <w:r w:rsidR="001E0B81">
        <w:rPr>
          <w:sz w:val="18"/>
          <w:szCs w:val="18"/>
        </w:rPr>
        <w:t xml:space="preserve">os estándares </w:t>
      </w:r>
      <w:r>
        <w:rPr>
          <w:sz w:val="18"/>
          <w:szCs w:val="18"/>
        </w:rPr>
        <w:t>de accesibilidad en todos los contratos públicos</w:t>
      </w:r>
      <w:r w:rsidR="000C0BE7">
        <w:rPr>
          <w:sz w:val="18"/>
          <w:szCs w:val="18"/>
        </w:rPr>
        <w:t xml:space="preserve">, concesiones y demás </w:t>
      </w:r>
      <w:r w:rsidR="001E0B81">
        <w:rPr>
          <w:sz w:val="18"/>
          <w:szCs w:val="18"/>
        </w:rPr>
        <w:t>acuerdos</w:t>
      </w:r>
      <w:r w:rsidR="000C0BE7">
        <w:rPr>
          <w:sz w:val="18"/>
          <w:szCs w:val="18"/>
        </w:rPr>
        <w:t xml:space="preserve"> de </w:t>
      </w:r>
      <w:r w:rsidR="001E0B81">
        <w:rPr>
          <w:sz w:val="18"/>
          <w:szCs w:val="18"/>
        </w:rPr>
        <w:t>financiamiento</w:t>
      </w:r>
      <w:r>
        <w:rPr>
          <w:sz w:val="18"/>
          <w:szCs w:val="18"/>
        </w:rPr>
        <w:t>;</w:t>
      </w:r>
    </w:p>
    <w:p w14:paraId="07F87EAC" w14:textId="361883EB" w:rsidR="0073485C" w:rsidRPr="00E10AEA" w:rsidRDefault="0073485C" w:rsidP="000C6C47">
      <w:pPr>
        <w:pStyle w:val="NoSpacing"/>
        <w:numPr>
          <w:ilvl w:val="0"/>
          <w:numId w:val="11"/>
        </w:numPr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Obligación de consultar estrechamente a las organizaciones </w:t>
      </w:r>
      <w:r w:rsidR="001E0B81">
        <w:rPr>
          <w:sz w:val="18"/>
          <w:szCs w:val="18"/>
        </w:rPr>
        <w:t>que representan a</w:t>
      </w:r>
      <w:r>
        <w:rPr>
          <w:sz w:val="18"/>
          <w:szCs w:val="18"/>
        </w:rPr>
        <w:t xml:space="preserve"> las personas con discapacidad en todas las iniciativas relacionadas con la accesibilidad;</w:t>
      </w:r>
    </w:p>
    <w:p w14:paraId="63204D98" w14:textId="496A51BE" w:rsidR="0073485C" w:rsidRPr="00E10AEA" w:rsidRDefault="0073485C" w:rsidP="000C6C47">
      <w:pPr>
        <w:pStyle w:val="NoSpacing"/>
        <w:numPr>
          <w:ilvl w:val="0"/>
          <w:numId w:val="11"/>
        </w:numPr>
        <w:rPr>
          <w:rFonts w:cstheme="minorHAnsi"/>
          <w:sz w:val="18"/>
          <w:szCs w:val="18"/>
        </w:rPr>
      </w:pPr>
      <w:r>
        <w:rPr>
          <w:sz w:val="18"/>
          <w:szCs w:val="18"/>
        </w:rPr>
        <w:t>Incentivos que promuevan la accesibilidad, tales como exenciones fiscales para las modificaciones de los dispositivos</w:t>
      </w:r>
      <w:r w:rsidR="000C0BE7" w:rsidRPr="000C0BE7">
        <w:rPr>
          <w:sz w:val="18"/>
          <w:szCs w:val="18"/>
        </w:rPr>
        <w:t xml:space="preserve"> </w:t>
      </w:r>
      <w:r w:rsidR="000C0BE7">
        <w:rPr>
          <w:sz w:val="18"/>
          <w:szCs w:val="18"/>
        </w:rPr>
        <w:t>a fin de hacerlos más accesibles</w:t>
      </w:r>
      <w:r>
        <w:rPr>
          <w:sz w:val="18"/>
          <w:szCs w:val="18"/>
        </w:rPr>
        <w:t>, para importar/exportar tecnologías o dispositivos de asistencia apropiados, vehículos y asistencia financiera para la compra de dispositivos de asistencia, dispositivos de comunicación o modificaciones en el hogar;</w:t>
      </w:r>
    </w:p>
    <w:p w14:paraId="0126E11E" w14:textId="15F800D5" w:rsidR="00F050E5" w:rsidRPr="00E10AEA" w:rsidRDefault="0073485C" w:rsidP="000C6C47">
      <w:pPr>
        <w:pStyle w:val="EndnoteText"/>
        <w:numPr>
          <w:ilvl w:val="0"/>
          <w:numId w:val="11"/>
        </w:numPr>
        <w:ind w:left="714" w:hanging="357"/>
        <w:rPr>
          <w:rFonts w:cstheme="minorHAnsi"/>
          <w:sz w:val="18"/>
          <w:szCs w:val="18"/>
        </w:rPr>
      </w:pPr>
      <w:r>
        <w:rPr>
          <w:sz w:val="18"/>
          <w:szCs w:val="18"/>
        </w:rPr>
        <w:t>Inclusión de módulos de accesibilidad y diseño universal en los planes de estudio de las profesiones pertinentes.</w:t>
      </w:r>
    </w:p>
  </w:endnote>
  <w:endnote w:id="2">
    <w:p w14:paraId="56CDC3FC" w14:textId="27EEBB37" w:rsidR="007651E5" w:rsidRPr="00E10AEA" w:rsidRDefault="007651E5" w:rsidP="000C6C47">
      <w:pPr>
        <w:pStyle w:val="EndnoteText"/>
        <w:rPr>
          <w:rFonts w:cstheme="minorHAnsi"/>
          <w:sz w:val="18"/>
          <w:szCs w:val="18"/>
        </w:rPr>
      </w:pPr>
      <w:r>
        <w:rPr>
          <w:rStyle w:val="EndnoteReference"/>
          <w:rFonts w:cstheme="minorHAnsi"/>
          <w:sz w:val="18"/>
          <w:szCs w:val="18"/>
        </w:rPr>
        <w:endnoteRef/>
      </w:r>
      <w:r>
        <w:rPr>
          <w:sz w:val="18"/>
          <w:szCs w:val="18"/>
        </w:rPr>
        <w:t xml:space="preserve"> </w:t>
      </w:r>
      <w:r w:rsidR="000C0BE7" w:rsidRPr="000C0BE7">
        <w:rPr>
          <w:sz w:val="18"/>
          <w:szCs w:val="18"/>
        </w:rPr>
        <w:t xml:space="preserve">Este indicador se refiere, por ejemplo, a las disposiciones sobre accesibilidad en la legislación sobre telecomunicaciones, los códigos de radiodifusión, </w:t>
      </w:r>
      <w:r w:rsidR="001E0B81">
        <w:rPr>
          <w:sz w:val="18"/>
          <w:szCs w:val="18"/>
        </w:rPr>
        <w:t>regulaciones conexas</w:t>
      </w:r>
      <w:r w:rsidR="000C0BE7" w:rsidRPr="000C0BE7">
        <w:rPr>
          <w:sz w:val="18"/>
          <w:szCs w:val="18"/>
        </w:rPr>
        <w:t xml:space="preserve"> y </w:t>
      </w:r>
      <w:r w:rsidR="00FC2221">
        <w:rPr>
          <w:sz w:val="18"/>
          <w:szCs w:val="18"/>
        </w:rPr>
        <w:t>lo referido a</w:t>
      </w:r>
      <w:r w:rsidR="000C0BE7" w:rsidRPr="000C0BE7">
        <w:rPr>
          <w:sz w:val="18"/>
          <w:szCs w:val="18"/>
        </w:rPr>
        <w:t xml:space="preserve"> Internet, las tecnologías digitales, el teléfono, incluidos los servicios de retransmisión de telecomunicaciones y la telefonía móvil. "</w:t>
      </w:r>
      <w:r w:rsidR="000C0BE7">
        <w:rPr>
          <w:sz w:val="18"/>
          <w:szCs w:val="18"/>
        </w:rPr>
        <w:t>Redes</w:t>
      </w:r>
      <w:r w:rsidR="000C0BE7" w:rsidRPr="000C0BE7">
        <w:rPr>
          <w:sz w:val="18"/>
          <w:szCs w:val="18"/>
        </w:rPr>
        <w:t xml:space="preserve"> sociales" incluye sitios web, plataformas en línea y aplicaciones móviles. Véase, por ejemplo, el </w:t>
      </w:r>
      <w:hyperlink r:id="rId1" w:history="1">
        <w:r w:rsidR="000C0BE7" w:rsidRPr="000C0BE7">
          <w:rPr>
            <w:rStyle w:val="Hyperlink"/>
            <w:sz w:val="18"/>
            <w:szCs w:val="18"/>
          </w:rPr>
          <w:t>Suplemento 17 de la serie H del UIT-T</w:t>
        </w:r>
      </w:hyperlink>
      <w:r w:rsidR="000C0BE7" w:rsidRPr="000C0BE7">
        <w:rPr>
          <w:sz w:val="18"/>
          <w:szCs w:val="18"/>
        </w:rPr>
        <w:t xml:space="preserve"> | Guía 71 de la ISO/CEI: Guía para abordar la </w:t>
      </w:r>
      <w:r w:rsidR="000C0BE7">
        <w:rPr>
          <w:sz w:val="18"/>
          <w:szCs w:val="18"/>
        </w:rPr>
        <w:t>accesibilidad en las normas y</w:t>
      </w:r>
      <w:r w:rsidR="000C0BE7" w:rsidRPr="000C0BE7">
        <w:rPr>
          <w:sz w:val="18"/>
          <w:szCs w:val="18"/>
        </w:rPr>
        <w:t xml:space="preserve"> </w:t>
      </w:r>
      <w:hyperlink r:id="rId2" w:history="1">
        <w:r w:rsidR="000C0BE7" w:rsidRPr="000C0BE7">
          <w:rPr>
            <w:rStyle w:val="Hyperlink"/>
            <w:sz w:val="18"/>
            <w:szCs w:val="18"/>
          </w:rPr>
          <w:t>UIT-T F.790</w:t>
        </w:r>
      </w:hyperlink>
      <w:r w:rsidR="000C0BE7">
        <w:rPr>
          <w:sz w:val="18"/>
          <w:szCs w:val="18"/>
        </w:rPr>
        <w:t>: Directrices de accesibilidad de</w:t>
      </w:r>
      <w:r w:rsidR="000C0BE7" w:rsidRPr="000C0BE7">
        <w:rPr>
          <w:sz w:val="18"/>
          <w:szCs w:val="18"/>
        </w:rPr>
        <w:t xml:space="preserve"> las telecomunicaciones para las personas de edad y las personas con discapacidades. Para más información, véase https://www.itu.int/en/ITU-T/accessibility/Pages/default.aspx.</w:t>
      </w:r>
    </w:p>
  </w:endnote>
  <w:endnote w:id="3">
    <w:p w14:paraId="41B29D0F" w14:textId="125FCB12" w:rsidR="0073485C" w:rsidRPr="00E10AEA" w:rsidRDefault="0073485C" w:rsidP="000C6C47">
      <w:pPr>
        <w:pStyle w:val="EndnoteText"/>
        <w:rPr>
          <w:rFonts w:cstheme="minorHAnsi"/>
          <w:sz w:val="18"/>
          <w:szCs w:val="18"/>
        </w:rPr>
      </w:pPr>
      <w:r>
        <w:rPr>
          <w:rStyle w:val="EndnoteReference"/>
          <w:rFonts w:cstheme="minorHAnsi"/>
          <w:sz w:val="18"/>
          <w:szCs w:val="18"/>
        </w:rPr>
        <w:endnoteRef/>
      </w:r>
      <w:r>
        <w:rPr>
          <w:sz w:val="18"/>
          <w:szCs w:val="18"/>
        </w:rPr>
        <w:t xml:space="preserve"> Esto debería incluir disposiciones sobre:</w:t>
      </w:r>
    </w:p>
    <w:p w14:paraId="6D553B52" w14:textId="3C62933D" w:rsidR="0073485C" w:rsidRPr="00E10AEA" w:rsidRDefault="0073485C" w:rsidP="000C6C47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La adopción de </w:t>
      </w:r>
      <w:r w:rsidR="00FC2221">
        <w:rPr>
          <w:sz w:val="18"/>
          <w:szCs w:val="18"/>
        </w:rPr>
        <w:t xml:space="preserve">estándares </w:t>
      </w:r>
      <w:r>
        <w:rPr>
          <w:sz w:val="18"/>
          <w:szCs w:val="18"/>
        </w:rPr>
        <w:t>técnic</w:t>
      </w:r>
      <w:r w:rsidR="00FC2221">
        <w:rPr>
          <w:sz w:val="18"/>
          <w:szCs w:val="18"/>
        </w:rPr>
        <w:t>o</w:t>
      </w:r>
      <w:r>
        <w:rPr>
          <w:sz w:val="18"/>
          <w:szCs w:val="18"/>
        </w:rPr>
        <w:t>s obligatori</w:t>
      </w:r>
      <w:r w:rsidR="00FC2221">
        <w:rPr>
          <w:sz w:val="18"/>
          <w:szCs w:val="18"/>
        </w:rPr>
        <w:t>os</w:t>
      </w:r>
      <w:r>
        <w:rPr>
          <w:sz w:val="18"/>
          <w:szCs w:val="18"/>
        </w:rPr>
        <w:t xml:space="preserve"> para un acceso sin barreras que rijan la aprobación de todos los diseños de medios de transporte, edificios y servicios relacionados con las TIC </w:t>
      </w:r>
      <w:r w:rsidR="00FC2221">
        <w:rPr>
          <w:sz w:val="18"/>
          <w:szCs w:val="18"/>
        </w:rPr>
        <w:t>y que sean adoptados</w:t>
      </w:r>
      <w:r>
        <w:rPr>
          <w:sz w:val="18"/>
          <w:szCs w:val="18"/>
        </w:rPr>
        <w:t xml:space="preserve"> en estrecha consulta con las organizaciones </w:t>
      </w:r>
      <w:r w:rsidR="00FC2221">
        <w:rPr>
          <w:sz w:val="18"/>
          <w:szCs w:val="18"/>
        </w:rPr>
        <w:t>que representan a las</w:t>
      </w:r>
      <w:r>
        <w:rPr>
          <w:sz w:val="18"/>
          <w:szCs w:val="18"/>
        </w:rPr>
        <w:t xml:space="preserve"> personas con discapacidad teniendo en cuenta </w:t>
      </w:r>
      <w:r w:rsidR="00FC2221">
        <w:rPr>
          <w:sz w:val="18"/>
          <w:szCs w:val="18"/>
        </w:rPr>
        <w:t>los estándares</w:t>
      </w:r>
      <w:r>
        <w:rPr>
          <w:sz w:val="18"/>
          <w:szCs w:val="18"/>
        </w:rPr>
        <w:t xml:space="preserve"> reconocid</w:t>
      </w:r>
      <w:r w:rsidR="00FC2221">
        <w:rPr>
          <w:sz w:val="18"/>
          <w:szCs w:val="18"/>
        </w:rPr>
        <w:t>o</w:t>
      </w:r>
      <w:r>
        <w:rPr>
          <w:sz w:val="18"/>
          <w:szCs w:val="18"/>
        </w:rPr>
        <w:t>s internacionalmente;</w:t>
      </w:r>
    </w:p>
    <w:p w14:paraId="7FFE3618" w14:textId="13D65E36" w:rsidR="0073485C" w:rsidRPr="00E10AEA" w:rsidRDefault="0073485C" w:rsidP="000C6C47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Requisito de llevar a cabo una auditoría inicial y periódica para identificar los obstáculos a la accesibilidad del entorno físico y el transporte, los edificios, las instalaciones y los servicios abiertos al público, así como de las tecnologías de la información y la comunicación, y </w:t>
      </w:r>
      <w:r w:rsidR="00C65DFD">
        <w:rPr>
          <w:sz w:val="18"/>
          <w:szCs w:val="18"/>
        </w:rPr>
        <w:t xml:space="preserve">que verifique </w:t>
      </w:r>
      <w:r>
        <w:rPr>
          <w:sz w:val="18"/>
          <w:szCs w:val="18"/>
        </w:rPr>
        <w:t xml:space="preserve">el uso de los fondos públicos </w:t>
      </w:r>
      <w:r w:rsidR="00C65DFD">
        <w:rPr>
          <w:sz w:val="18"/>
          <w:szCs w:val="18"/>
        </w:rPr>
        <w:t xml:space="preserve">que contribuyan a las barreras o que las eliminen </w:t>
      </w:r>
      <w:r>
        <w:rPr>
          <w:sz w:val="18"/>
          <w:szCs w:val="18"/>
        </w:rPr>
        <w:t>,</w:t>
      </w:r>
      <w:r w:rsidR="00C65DFD">
        <w:rPr>
          <w:sz w:val="18"/>
          <w:szCs w:val="18"/>
        </w:rPr>
        <w:t xml:space="preserve"> ejecutada</w:t>
      </w:r>
      <w:r>
        <w:rPr>
          <w:sz w:val="18"/>
          <w:szCs w:val="18"/>
        </w:rPr>
        <w:t xml:space="preserve"> con la participación estrecha y </w:t>
      </w:r>
      <w:r w:rsidR="00C65DFD">
        <w:rPr>
          <w:sz w:val="18"/>
          <w:szCs w:val="18"/>
        </w:rPr>
        <w:t xml:space="preserve">consistente </w:t>
      </w:r>
      <w:r>
        <w:rPr>
          <w:sz w:val="18"/>
          <w:szCs w:val="18"/>
        </w:rPr>
        <w:t>de</w:t>
      </w:r>
      <w:r w:rsidR="00C65DFD">
        <w:rPr>
          <w:sz w:val="18"/>
          <w:szCs w:val="18"/>
        </w:rPr>
        <w:t xml:space="preserve"> las</w:t>
      </w:r>
      <w:r>
        <w:rPr>
          <w:sz w:val="18"/>
          <w:szCs w:val="18"/>
        </w:rPr>
        <w:t xml:space="preserve"> organizaciones </w:t>
      </w:r>
      <w:r w:rsidR="00C65DFD">
        <w:rPr>
          <w:sz w:val="18"/>
          <w:szCs w:val="18"/>
        </w:rPr>
        <w:t xml:space="preserve">que representan a </w:t>
      </w:r>
      <w:r>
        <w:rPr>
          <w:sz w:val="18"/>
          <w:szCs w:val="18"/>
        </w:rPr>
        <w:t>las personas con discapacidad.</w:t>
      </w:r>
    </w:p>
  </w:endnote>
  <w:endnote w:id="4">
    <w:p w14:paraId="05C00A17" w14:textId="11519CBB" w:rsidR="008A011C" w:rsidRPr="00E10AEA" w:rsidRDefault="008A011C" w:rsidP="000C6C47">
      <w:pPr>
        <w:pStyle w:val="EndnoteText"/>
        <w:rPr>
          <w:rFonts w:cstheme="minorHAnsi"/>
          <w:sz w:val="18"/>
          <w:szCs w:val="18"/>
        </w:rPr>
      </w:pPr>
      <w:r>
        <w:rPr>
          <w:rStyle w:val="EndnoteReference"/>
          <w:rFonts w:cstheme="minorHAnsi"/>
          <w:sz w:val="18"/>
          <w:szCs w:val="18"/>
        </w:rPr>
        <w:endnoteRef/>
      </w:r>
      <w:r>
        <w:rPr>
          <w:sz w:val="18"/>
          <w:szCs w:val="18"/>
        </w:rPr>
        <w:t xml:space="preserve"> Dependiendo de la legislación que regule el sistema de servicios de transporte, pueden ser relevantes </w:t>
      </w:r>
      <w:r w:rsidR="00C65DFD">
        <w:rPr>
          <w:sz w:val="18"/>
          <w:szCs w:val="18"/>
        </w:rPr>
        <w:t xml:space="preserve">los </w:t>
      </w:r>
      <w:r>
        <w:rPr>
          <w:sz w:val="18"/>
          <w:szCs w:val="18"/>
        </w:rPr>
        <w:t>diferentes criterios de desglose.</w:t>
      </w:r>
    </w:p>
  </w:endnote>
  <w:endnote w:id="5">
    <w:p w14:paraId="22ED6009" w14:textId="099DC9FC" w:rsidR="001D11E9" w:rsidRPr="000200DC" w:rsidRDefault="001D11E9" w:rsidP="000C6C47">
      <w:pPr>
        <w:pStyle w:val="EndnoteText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Se podrían proporcionar diferentes medidas, por ejemplo, servicios de paratránsito; subsidios o ayudas a las personas con discapacidad para que puedan acceder a otros medios de transporte accesibles; etc.</w:t>
      </w:r>
    </w:p>
  </w:endnote>
  <w:endnote w:id="6">
    <w:p w14:paraId="1FB00F8D" w14:textId="12474733" w:rsidR="000C0BE7" w:rsidRPr="00A45BDF" w:rsidRDefault="000C0BE7" w:rsidP="000C0BE7">
      <w:pPr>
        <w:pStyle w:val="EndnoteText"/>
        <w:rPr>
          <w:rFonts w:cstheme="minorHAnsi"/>
          <w:sz w:val="18"/>
          <w:szCs w:val="18"/>
        </w:rPr>
      </w:pPr>
      <w:r w:rsidRPr="000F2C92">
        <w:rPr>
          <w:rStyle w:val="EndnoteReference"/>
          <w:rFonts w:cstheme="minorHAnsi"/>
          <w:sz w:val="18"/>
          <w:szCs w:val="18"/>
        </w:rPr>
        <w:endnoteRef/>
      </w:r>
      <w:r w:rsidRPr="000C0BE7">
        <w:rPr>
          <w:rFonts w:cstheme="minorHAnsi"/>
          <w:sz w:val="18"/>
          <w:szCs w:val="18"/>
        </w:rPr>
        <w:t xml:space="preserve"> </w:t>
      </w:r>
      <w:r w:rsidRPr="00A45BDF">
        <w:rPr>
          <w:rFonts w:cstheme="minorHAnsi"/>
          <w:sz w:val="18"/>
          <w:szCs w:val="18"/>
        </w:rPr>
        <w:t>Véase la Recomendación UIT-T H.702 en la que se describen las funciones para la visualización de información sobre accesibilidad, como subtítulo</w:t>
      </w:r>
      <w:r>
        <w:rPr>
          <w:rFonts w:cstheme="minorHAnsi"/>
          <w:sz w:val="18"/>
          <w:szCs w:val="18"/>
        </w:rPr>
        <w:t>s</w:t>
      </w:r>
      <w:r w:rsidRPr="00A45BDF">
        <w:rPr>
          <w:rFonts w:cstheme="minorHAnsi"/>
          <w:sz w:val="18"/>
          <w:szCs w:val="18"/>
        </w:rPr>
        <w:t>, lenguaje de s</w:t>
      </w:r>
      <w:r>
        <w:rPr>
          <w:rFonts w:cstheme="minorHAnsi"/>
          <w:sz w:val="18"/>
          <w:szCs w:val="18"/>
        </w:rPr>
        <w:t>eña</w:t>
      </w:r>
      <w:r w:rsidRPr="00A45BDF">
        <w:rPr>
          <w:rFonts w:cstheme="minorHAnsi"/>
          <w:sz w:val="18"/>
          <w:szCs w:val="18"/>
        </w:rPr>
        <w:t>s</w:t>
      </w:r>
      <w:r w:rsidRPr="000C0BE7">
        <w:rPr>
          <w:rFonts w:cstheme="minorHAnsi"/>
          <w:sz w:val="18"/>
          <w:szCs w:val="18"/>
        </w:rPr>
        <w:t xml:space="preserve"> y </w:t>
      </w:r>
      <w:proofErr w:type="spellStart"/>
      <w:r w:rsidRPr="000C0BE7">
        <w:rPr>
          <w:rFonts w:cstheme="minorHAnsi"/>
          <w:sz w:val="18"/>
          <w:szCs w:val="18"/>
        </w:rPr>
        <w:t>audio</w:t>
      </w:r>
      <w:r w:rsidRPr="00A45BDF">
        <w:rPr>
          <w:rFonts w:cstheme="minorHAnsi"/>
          <w:sz w:val="18"/>
          <w:szCs w:val="18"/>
        </w:rPr>
        <w:t>descripción</w:t>
      </w:r>
      <w:proofErr w:type="spellEnd"/>
      <w:r w:rsidRPr="000C0BE7">
        <w:rPr>
          <w:rFonts w:cstheme="minorHAnsi"/>
          <w:sz w:val="18"/>
          <w:szCs w:val="18"/>
        </w:rPr>
        <w:t>.</w:t>
      </w:r>
    </w:p>
  </w:endnote>
  <w:endnote w:id="7">
    <w:p w14:paraId="1F62349B" w14:textId="21E90C38" w:rsidR="000C0BE7" w:rsidRPr="000C0BE7" w:rsidRDefault="000C0BE7" w:rsidP="000C0BE7">
      <w:pPr>
        <w:pStyle w:val="EndnoteText"/>
        <w:rPr>
          <w:rFonts w:cstheme="minorHAnsi"/>
          <w:sz w:val="18"/>
          <w:szCs w:val="18"/>
        </w:rPr>
      </w:pPr>
      <w:r w:rsidRPr="000F2C92">
        <w:rPr>
          <w:rStyle w:val="EndnoteReference"/>
          <w:rFonts w:cstheme="minorHAnsi"/>
          <w:sz w:val="18"/>
          <w:szCs w:val="18"/>
        </w:rPr>
        <w:endnoteRef/>
      </w:r>
      <w:r w:rsidRPr="000C0BE7">
        <w:rPr>
          <w:rFonts w:cstheme="minorHAnsi"/>
          <w:sz w:val="18"/>
          <w:szCs w:val="18"/>
        </w:rPr>
        <w:t xml:space="preserve"> </w:t>
      </w:r>
      <w:r w:rsidRPr="00A45BDF">
        <w:rPr>
          <w:rFonts w:cstheme="minorHAnsi"/>
          <w:sz w:val="18"/>
          <w:szCs w:val="18"/>
        </w:rPr>
        <w:t xml:space="preserve">Las </w:t>
      </w:r>
      <w:r w:rsidR="00C65DFD">
        <w:rPr>
          <w:rFonts w:cstheme="minorHAnsi"/>
          <w:sz w:val="18"/>
          <w:szCs w:val="18"/>
        </w:rPr>
        <w:t>guías</w:t>
      </w:r>
      <w:r w:rsidRPr="00A45BDF">
        <w:rPr>
          <w:rFonts w:cstheme="minorHAnsi"/>
          <w:sz w:val="18"/>
          <w:szCs w:val="18"/>
        </w:rPr>
        <w:t xml:space="preserve"> pueden establecer criterios que exijan</w:t>
      </w:r>
      <w:r w:rsidRPr="000C0BE7">
        <w:rPr>
          <w:rFonts w:cstheme="minorHAnsi"/>
          <w:sz w:val="18"/>
          <w:szCs w:val="18"/>
        </w:rPr>
        <w:t xml:space="preserve">: </w:t>
      </w:r>
    </w:p>
    <w:p w14:paraId="1588DA7B" w14:textId="382A2420" w:rsidR="000C0BE7" w:rsidRPr="000C0BE7" w:rsidRDefault="000C0BE7" w:rsidP="000C0BE7">
      <w:pPr>
        <w:pStyle w:val="EndnoteText"/>
        <w:rPr>
          <w:rFonts w:cstheme="minorHAnsi"/>
          <w:sz w:val="18"/>
          <w:szCs w:val="18"/>
        </w:rPr>
      </w:pPr>
      <w:r w:rsidRPr="000C0BE7">
        <w:rPr>
          <w:rFonts w:cstheme="minorHAnsi"/>
          <w:sz w:val="18"/>
          <w:szCs w:val="18"/>
        </w:rPr>
        <w:t xml:space="preserve">- </w:t>
      </w:r>
      <w:r>
        <w:rPr>
          <w:rFonts w:cstheme="minorHAnsi"/>
          <w:sz w:val="18"/>
          <w:szCs w:val="18"/>
        </w:rPr>
        <w:t xml:space="preserve">que los </w:t>
      </w:r>
      <w:r w:rsidRPr="00A45BDF">
        <w:rPr>
          <w:rFonts w:cstheme="minorHAnsi"/>
          <w:sz w:val="18"/>
          <w:szCs w:val="18"/>
        </w:rPr>
        <w:t xml:space="preserve">planes de licitación y de adquisición de </w:t>
      </w:r>
      <w:r>
        <w:rPr>
          <w:rFonts w:cstheme="minorHAnsi"/>
          <w:sz w:val="18"/>
          <w:szCs w:val="18"/>
        </w:rPr>
        <w:t>concesiones</w:t>
      </w:r>
      <w:r w:rsidRPr="00A45BDF">
        <w:rPr>
          <w:rFonts w:cstheme="minorHAnsi"/>
          <w:sz w:val="18"/>
          <w:szCs w:val="18"/>
        </w:rPr>
        <w:t xml:space="preserve"> incluyan especificaciones de accesibilidad</w:t>
      </w:r>
      <w:r w:rsidRPr="000C0BE7">
        <w:rPr>
          <w:rFonts w:cstheme="minorHAnsi"/>
          <w:sz w:val="18"/>
          <w:szCs w:val="18"/>
        </w:rPr>
        <w:t>.</w:t>
      </w:r>
    </w:p>
    <w:p w14:paraId="3E324EB1" w14:textId="75CC6572" w:rsidR="000C0BE7" w:rsidRPr="000C0BE7" w:rsidRDefault="000C0BE7" w:rsidP="000C0BE7">
      <w:pPr>
        <w:pStyle w:val="EndnoteText"/>
        <w:rPr>
          <w:rFonts w:cstheme="minorHAnsi"/>
          <w:sz w:val="18"/>
          <w:szCs w:val="18"/>
        </w:rPr>
      </w:pPr>
      <w:r w:rsidRPr="000C0BE7">
        <w:rPr>
          <w:rFonts w:cstheme="minorHAnsi"/>
          <w:sz w:val="18"/>
          <w:szCs w:val="18"/>
        </w:rPr>
        <w:t xml:space="preserve">- </w:t>
      </w:r>
      <w:r w:rsidRPr="002F2DF3">
        <w:rPr>
          <w:rFonts w:cstheme="minorHAnsi"/>
          <w:sz w:val="18"/>
          <w:szCs w:val="18"/>
        </w:rPr>
        <w:t>especificaciones de accesibilidad</w:t>
      </w:r>
      <w:r w:rsidRPr="00A45BDF">
        <w:rPr>
          <w:rFonts w:cstheme="minorHAnsi"/>
          <w:sz w:val="18"/>
          <w:szCs w:val="18"/>
        </w:rPr>
        <w:t xml:space="preserve"> en los criterios de evaluaci</w:t>
      </w:r>
      <w:r>
        <w:rPr>
          <w:rFonts w:cstheme="minorHAnsi"/>
          <w:sz w:val="18"/>
          <w:szCs w:val="18"/>
        </w:rPr>
        <w:t>ón</w:t>
      </w:r>
      <w:r w:rsidRPr="000C0BE7">
        <w:rPr>
          <w:rFonts w:cstheme="minorHAnsi"/>
          <w:sz w:val="18"/>
          <w:szCs w:val="18"/>
        </w:rPr>
        <w:t>.</w:t>
      </w:r>
    </w:p>
    <w:p w14:paraId="2B01A402" w14:textId="28C37A22" w:rsidR="000C0BE7" w:rsidRPr="000C0BE7" w:rsidRDefault="000C0BE7" w:rsidP="000C0BE7">
      <w:pPr>
        <w:pStyle w:val="EndnoteText"/>
        <w:rPr>
          <w:rFonts w:cstheme="minorHAnsi"/>
          <w:sz w:val="18"/>
          <w:szCs w:val="18"/>
        </w:rPr>
      </w:pPr>
      <w:r w:rsidRPr="000C0BE7">
        <w:rPr>
          <w:rFonts w:cstheme="minorHAnsi"/>
          <w:sz w:val="18"/>
          <w:szCs w:val="18"/>
        </w:rPr>
        <w:t xml:space="preserve">- </w:t>
      </w:r>
      <w:r>
        <w:rPr>
          <w:rFonts w:cstheme="minorHAnsi"/>
          <w:sz w:val="18"/>
          <w:szCs w:val="18"/>
        </w:rPr>
        <w:t xml:space="preserve">que los </w:t>
      </w:r>
      <w:r w:rsidRPr="00A45BDF">
        <w:rPr>
          <w:rFonts w:cstheme="minorHAnsi"/>
          <w:sz w:val="18"/>
          <w:szCs w:val="18"/>
        </w:rPr>
        <w:t>contratos de suministro especifi</w:t>
      </w:r>
      <w:r>
        <w:rPr>
          <w:rFonts w:cstheme="minorHAnsi"/>
          <w:sz w:val="18"/>
          <w:szCs w:val="18"/>
        </w:rPr>
        <w:t>quen</w:t>
      </w:r>
      <w:r w:rsidRPr="00A45BDF">
        <w:rPr>
          <w:rFonts w:cstheme="minorHAnsi"/>
          <w:sz w:val="18"/>
          <w:szCs w:val="18"/>
        </w:rPr>
        <w:t xml:space="preserve"> si los productos y servicios tienen (o no tienen) características accesibles</w:t>
      </w:r>
      <w:r w:rsidRPr="000C0BE7">
        <w:rPr>
          <w:rFonts w:cstheme="minorHAnsi"/>
          <w:sz w:val="18"/>
          <w:szCs w:val="18"/>
        </w:rPr>
        <w:t xml:space="preserve">. </w:t>
      </w:r>
    </w:p>
    <w:p w14:paraId="78FDB40B" w14:textId="69B3506C" w:rsidR="000C0BE7" w:rsidRPr="000C0BE7" w:rsidRDefault="000C0BE7" w:rsidP="000C0BE7">
      <w:pPr>
        <w:pStyle w:val="EndnoteText"/>
        <w:rPr>
          <w:rFonts w:cstheme="minorHAnsi"/>
          <w:sz w:val="18"/>
          <w:szCs w:val="18"/>
        </w:rPr>
      </w:pPr>
      <w:r w:rsidRPr="00A45BDF">
        <w:rPr>
          <w:rFonts w:cstheme="minorHAnsi"/>
          <w:sz w:val="18"/>
          <w:szCs w:val="18"/>
        </w:rPr>
        <w:t>Las personas con discapacidad deben tener acceso a los procedimientos de adquisición y deben tener derecho a participar en los procesos de adquisición como oficiales de adquisiciones en entidades o proveedores</w:t>
      </w:r>
      <w:r w:rsidRPr="000C0BE7">
        <w:rPr>
          <w:rFonts w:cstheme="minorHAnsi"/>
          <w:sz w:val="18"/>
          <w:szCs w:val="18"/>
        </w:rPr>
        <w:t>.</w:t>
      </w:r>
    </w:p>
  </w:endnote>
  <w:endnote w:id="8">
    <w:p w14:paraId="5D56F8CD" w14:textId="4DDB3014" w:rsidR="00BA2AE9" w:rsidRPr="00E10AEA" w:rsidRDefault="00BA2AE9" w:rsidP="000C6C47">
      <w:pPr>
        <w:pStyle w:val="EndnoteText"/>
        <w:jc w:val="both"/>
        <w:rPr>
          <w:rFonts w:cstheme="minorHAnsi"/>
          <w:sz w:val="18"/>
          <w:szCs w:val="18"/>
        </w:rPr>
      </w:pPr>
      <w:r>
        <w:rPr>
          <w:rStyle w:val="EndnoteReference"/>
          <w:rFonts w:cstheme="minorHAnsi"/>
          <w:sz w:val="18"/>
          <w:szCs w:val="18"/>
        </w:rPr>
        <w:endnoteRef/>
      </w:r>
      <w:r>
        <w:rPr>
          <w:sz w:val="18"/>
          <w:szCs w:val="18"/>
        </w:rPr>
        <w:t xml:space="preserve"> Este indicador requiere la</w:t>
      </w:r>
      <w:r w:rsidR="000C0BE7">
        <w:rPr>
          <w:sz w:val="18"/>
          <w:szCs w:val="18"/>
        </w:rPr>
        <w:t xml:space="preserve"> verificación d</w:t>
      </w:r>
      <w:r>
        <w:rPr>
          <w:sz w:val="18"/>
          <w:szCs w:val="18"/>
        </w:rPr>
        <w:t>el cumplimiento de las actividades concretas emprendidas por las autoridades públicas para involucrar a las personas con discapacidad en los procesos de toma de decisiones relacionados con cuestiones que les afectan directa o indirectamente, de conformidad con el artículo 4.3 de la CDPD</w:t>
      </w:r>
      <w:r w:rsidR="000C0BE7">
        <w:rPr>
          <w:sz w:val="18"/>
          <w:szCs w:val="18"/>
        </w:rPr>
        <w:t xml:space="preserve"> y la </w:t>
      </w:r>
      <w:hyperlink r:id="rId3" w:history="1">
        <w:r w:rsidR="000C0BE7" w:rsidRPr="008C6047">
          <w:rPr>
            <w:rStyle w:val="Hyperlink"/>
            <w:sz w:val="18"/>
            <w:szCs w:val="18"/>
          </w:rPr>
          <w:t>Observación general N.º 7</w:t>
        </w:r>
      </w:hyperlink>
      <w:bookmarkStart w:id="0" w:name="_GoBack"/>
      <w:bookmarkEnd w:id="0"/>
      <w:r w:rsidR="000C0BE7">
        <w:rPr>
          <w:sz w:val="18"/>
          <w:szCs w:val="18"/>
        </w:rPr>
        <w:t xml:space="preserve"> del Comité,</w:t>
      </w:r>
      <w:r>
        <w:rPr>
          <w:sz w:val="18"/>
          <w:szCs w:val="18"/>
        </w:rPr>
        <w:t xml:space="preserve"> incluidas reuniones de consulta, sesiones informativas técnicas, encuestas de consulta en línea, solicitud de comentarios sobre proyectos de ley y políticas, entre otros métodos participativos. A este respecto, los Estados deben</w:t>
      </w:r>
      <w:r w:rsidR="000C0BE7">
        <w:rPr>
          <w:sz w:val="18"/>
          <w:szCs w:val="18"/>
        </w:rPr>
        <w:t>:</w:t>
      </w:r>
    </w:p>
    <w:p w14:paraId="6C93C01D" w14:textId="56F256DE" w:rsidR="00BA2AE9" w:rsidRPr="00E10AEA" w:rsidRDefault="00A45BDF" w:rsidP="000C6C47">
      <w:pPr>
        <w:pStyle w:val="EndnoteText"/>
        <w:numPr>
          <w:ilvl w:val="0"/>
          <w:numId w:val="10"/>
        </w:numPr>
        <w:rPr>
          <w:rFonts w:cstheme="minorHAnsi"/>
          <w:sz w:val="18"/>
          <w:szCs w:val="18"/>
        </w:rPr>
      </w:pPr>
      <w:r>
        <w:rPr>
          <w:sz w:val="18"/>
          <w:szCs w:val="18"/>
        </w:rPr>
        <w:t>asegurar que</w:t>
      </w:r>
      <w:r w:rsidR="00BA2AE9">
        <w:rPr>
          <w:sz w:val="18"/>
          <w:szCs w:val="18"/>
        </w:rPr>
        <w:t xml:space="preserve"> los procesos de consulta</w:t>
      </w:r>
      <w:r>
        <w:rPr>
          <w:sz w:val="18"/>
          <w:szCs w:val="18"/>
        </w:rPr>
        <w:t xml:space="preserve"> sean transparentes y accesibles</w:t>
      </w:r>
    </w:p>
    <w:p w14:paraId="7B3E0B19" w14:textId="29FB646E" w:rsidR="00BA2AE9" w:rsidRPr="00E10AEA" w:rsidRDefault="00BA2AE9" w:rsidP="000C6C47">
      <w:pPr>
        <w:pStyle w:val="EndnoteText"/>
        <w:numPr>
          <w:ilvl w:val="0"/>
          <w:numId w:val="10"/>
        </w:numPr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garantizar </w:t>
      </w:r>
      <w:r w:rsidR="00A45BDF">
        <w:rPr>
          <w:sz w:val="18"/>
          <w:szCs w:val="18"/>
        </w:rPr>
        <w:t>que se entregue</w:t>
      </w:r>
      <w:r>
        <w:rPr>
          <w:sz w:val="18"/>
          <w:szCs w:val="18"/>
        </w:rPr>
        <w:t xml:space="preserve"> información adecuada y accesible</w:t>
      </w:r>
    </w:p>
    <w:p w14:paraId="163CB3F2" w14:textId="2C48AB60" w:rsidR="00BA2AE9" w:rsidRPr="00E10AEA" w:rsidRDefault="00BA2AE9" w:rsidP="000C6C47">
      <w:pPr>
        <w:pStyle w:val="EndnoteText"/>
        <w:numPr>
          <w:ilvl w:val="0"/>
          <w:numId w:val="10"/>
        </w:numPr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no </w:t>
      </w:r>
      <w:r w:rsidR="00A45BDF">
        <w:rPr>
          <w:sz w:val="18"/>
          <w:szCs w:val="18"/>
        </w:rPr>
        <w:t xml:space="preserve">retener </w:t>
      </w:r>
      <w:r>
        <w:rPr>
          <w:sz w:val="18"/>
          <w:szCs w:val="18"/>
        </w:rPr>
        <w:t>información, condicionar o impedir que las organizaciones de personas con discapacidad expresen libremente sus opiniones.</w:t>
      </w:r>
    </w:p>
    <w:p w14:paraId="31D01A1D" w14:textId="77777777" w:rsidR="00BA2AE9" w:rsidRPr="00E10AEA" w:rsidRDefault="00BA2AE9" w:rsidP="000C6C47">
      <w:pPr>
        <w:pStyle w:val="EndnoteText"/>
        <w:numPr>
          <w:ilvl w:val="0"/>
          <w:numId w:val="10"/>
        </w:numPr>
        <w:rPr>
          <w:rFonts w:cstheme="minorHAnsi"/>
          <w:sz w:val="18"/>
          <w:szCs w:val="18"/>
        </w:rPr>
      </w:pPr>
      <w:r>
        <w:rPr>
          <w:sz w:val="18"/>
          <w:szCs w:val="18"/>
        </w:rPr>
        <w:t>incluir tanto a las organizaciones registradas como a las no registradas.</w:t>
      </w:r>
    </w:p>
    <w:p w14:paraId="1786A427" w14:textId="77777777" w:rsidR="00BA2AE9" w:rsidRPr="00E10AEA" w:rsidRDefault="00BA2AE9" w:rsidP="000C6C47">
      <w:pPr>
        <w:pStyle w:val="EndnoteText"/>
        <w:numPr>
          <w:ilvl w:val="0"/>
          <w:numId w:val="10"/>
        </w:numPr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garantizar una participación temprana y continua. </w:t>
      </w:r>
    </w:p>
    <w:p w14:paraId="4CD6D094" w14:textId="7CF7E788" w:rsidR="00972E2B" w:rsidRPr="00AD4676" w:rsidRDefault="00BA2AE9" w:rsidP="00AD4676">
      <w:pPr>
        <w:pStyle w:val="EndnoteText"/>
        <w:numPr>
          <w:ilvl w:val="0"/>
          <w:numId w:val="10"/>
        </w:numPr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cubrir los gastos relacionados </w:t>
      </w:r>
      <w:r w:rsidR="000C0BE7">
        <w:rPr>
          <w:sz w:val="18"/>
          <w:szCs w:val="18"/>
        </w:rPr>
        <w:t xml:space="preserve">de </w:t>
      </w:r>
      <w:r>
        <w:rPr>
          <w:sz w:val="18"/>
          <w:szCs w:val="18"/>
        </w:rPr>
        <w:t>los participantes</w:t>
      </w:r>
      <w:r w:rsidR="000C0BE7">
        <w:rPr>
          <w:sz w:val="18"/>
          <w:szCs w:val="18"/>
        </w:rPr>
        <w:t>.</w:t>
      </w:r>
    </w:p>
  </w:endnote>
  <w:endnote w:id="9">
    <w:p w14:paraId="633CF55B" w14:textId="56A0BBB4" w:rsidR="004934E6" w:rsidRPr="00E10AEA" w:rsidRDefault="004934E6" w:rsidP="000C6C47">
      <w:pPr>
        <w:pStyle w:val="EndnoteText"/>
        <w:rPr>
          <w:rFonts w:cstheme="minorHAnsi"/>
          <w:sz w:val="18"/>
          <w:szCs w:val="18"/>
        </w:rPr>
      </w:pPr>
      <w:r>
        <w:rPr>
          <w:rStyle w:val="EndnoteReference"/>
          <w:rFonts w:cstheme="minorHAnsi"/>
          <w:sz w:val="18"/>
          <w:szCs w:val="18"/>
        </w:rPr>
        <w:endnoteRef/>
      </w:r>
      <w:r>
        <w:rPr>
          <w:sz w:val="18"/>
          <w:szCs w:val="18"/>
        </w:rPr>
        <w:t xml:space="preserve"> Tales como el lenguaje de señas, Braille, voz a texto o sistem</w:t>
      </w:r>
      <w:r w:rsidR="00B202D5">
        <w:rPr>
          <w:sz w:val="18"/>
          <w:szCs w:val="18"/>
        </w:rPr>
        <w:t>a de fácil lectura</w:t>
      </w:r>
      <w:r w:rsidR="000C0BE7">
        <w:rPr>
          <w:sz w:val="18"/>
          <w:szCs w:val="18"/>
        </w:rPr>
        <w:t xml:space="preserve">, </w:t>
      </w:r>
      <w:proofErr w:type="spellStart"/>
      <w:r w:rsidR="000C0BE7">
        <w:rPr>
          <w:sz w:val="18"/>
          <w:szCs w:val="18"/>
        </w:rPr>
        <w:t>subtitulación</w:t>
      </w:r>
      <w:proofErr w:type="spellEnd"/>
      <w:r w:rsidR="000C0BE7">
        <w:rPr>
          <w:sz w:val="18"/>
          <w:szCs w:val="18"/>
        </w:rPr>
        <w:t xml:space="preserve"> en tiempo real</w:t>
      </w:r>
      <w:r>
        <w:rPr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92AC8" w14:textId="77777777" w:rsidR="0079610F" w:rsidRDefault="0079610F" w:rsidP="0064710C">
      <w:pPr>
        <w:spacing w:after="0" w:line="240" w:lineRule="auto"/>
      </w:pPr>
      <w:r>
        <w:separator/>
      </w:r>
    </w:p>
  </w:footnote>
  <w:footnote w:type="continuationSeparator" w:id="0">
    <w:p w14:paraId="393D359B" w14:textId="77777777" w:rsidR="0079610F" w:rsidRDefault="0079610F" w:rsidP="00647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01E3"/>
    <w:multiLevelType w:val="hybridMultilevel"/>
    <w:tmpl w:val="9E34CB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B27"/>
    <w:multiLevelType w:val="hybridMultilevel"/>
    <w:tmpl w:val="595A60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A78B3"/>
    <w:multiLevelType w:val="multilevel"/>
    <w:tmpl w:val="6CD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2136C1"/>
    <w:multiLevelType w:val="hybridMultilevel"/>
    <w:tmpl w:val="DD803C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41343"/>
    <w:multiLevelType w:val="hybridMultilevel"/>
    <w:tmpl w:val="C08E9634"/>
    <w:lvl w:ilvl="0" w:tplc="FF643DBC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8F2EB4"/>
    <w:multiLevelType w:val="hybridMultilevel"/>
    <w:tmpl w:val="71FE91D2"/>
    <w:lvl w:ilvl="0" w:tplc="657E2BE0">
      <w:start w:val="1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8712C2"/>
    <w:multiLevelType w:val="multilevel"/>
    <w:tmpl w:val="82F8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9518EB"/>
    <w:multiLevelType w:val="hybridMultilevel"/>
    <w:tmpl w:val="2592C80C"/>
    <w:lvl w:ilvl="0" w:tplc="657E2BE0">
      <w:start w:val="1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042916"/>
    <w:multiLevelType w:val="hybridMultilevel"/>
    <w:tmpl w:val="B84E17C6"/>
    <w:lvl w:ilvl="0" w:tplc="E09C83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 w:val="0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A4849"/>
    <w:multiLevelType w:val="hybridMultilevel"/>
    <w:tmpl w:val="7C206084"/>
    <w:lvl w:ilvl="0" w:tplc="657E2B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54B74"/>
    <w:multiLevelType w:val="hybridMultilevel"/>
    <w:tmpl w:val="DBF28FF6"/>
    <w:lvl w:ilvl="0" w:tplc="657E2B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97419"/>
    <w:multiLevelType w:val="hybridMultilevel"/>
    <w:tmpl w:val="2A3812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B2297"/>
    <w:multiLevelType w:val="hybridMultilevel"/>
    <w:tmpl w:val="6F9AE7B2"/>
    <w:lvl w:ilvl="0" w:tplc="93FE12B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14D7B"/>
    <w:multiLevelType w:val="hybridMultilevel"/>
    <w:tmpl w:val="2D1285C4"/>
    <w:lvl w:ilvl="0" w:tplc="16EE095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92C30"/>
    <w:multiLevelType w:val="hybridMultilevel"/>
    <w:tmpl w:val="F2FAE89C"/>
    <w:lvl w:ilvl="0" w:tplc="657E2BE0">
      <w:start w:val="1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4"/>
  </w:num>
  <w:num w:numId="8">
    <w:abstractNumId w:val="9"/>
  </w:num>
  <w:num w:numId="9">
    <w:abstractNumId w:val="10"/>
  </w:num>
  <w:num w:numId="10">
    <w:abstractNumId w:val="8"/>
  </w:num>
  <w:num w:numId="11">
    <w:abstractNumId w:val="12"/>
  </w:num>
  <w:num w:numId="12">
    <w:abstractNumId w:val="11"/>
  </w:num>
  <w:num w:numId="13">
    <w:abstractNumId w:val="0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B1"/>
    <w:rsid w:val="000016D1"/>
    <w:rsid w:val="00015A35"/>
    <w:rsid w:val="000200DC"/>
    <w:rsid w:val="000400CC"/>
    <w:rsid w:val="00076BA0"/>
    <w:rsid w:val="00077584"/>
    <w:rsid w:val="00086888"/>
    <w:rsid w:val="00091D3E"/>
    <w:rsid w:val="000A1877"/>
    <w:rsid w:val="000A4748"/>
    <w:rsid w:val="000C0BE7"/>
    <w:rsid w:val="000C6C47"/>
    <w:rsid w:val="000C7137"/>
    <w:rsid w:val="000E5005"/>
    <w:rsid w:val="000E5C5A"/>
    <w:rsid w:val="000F3441"/>
    <w:rsid w:val="00106F73"/>
    <w:rsid w:val="001243E2"/>
    <w:rsid w:val="00125EEB"/>
    <w:rsid w:val="0013672B"/>
    <w:rsid w:val="001A4A99"/>
    <w:rsid w:val="001B2A35"/>
    <w:rsid w:val="001D0F5E"/>
    <w:rsid w:val="001D11E9"/>
    <w:rsid w:val="001E0B81"/>
    <w:rsid w:val="001E450F"/>
    <w:rsid w:val="001E626E"/>
    <w:rsid w:val="001F473F"/>
    <w:rsid w:val="00214380"/>
    <w:rsid w:val="00220F2F"/>
    <w:rsid w:val="0022362A"/>
    <w:rsid w:val="00236F79"/>
    <w:rsid w:val="00241848"/>
    <w:rsid w:val="002658D6"/>
    <w:rsid w:val="002658FC"/>
    <w:rsid w:val="00274605"/>
    <w:rsid w:val="00282C3D"/>
    <w:rsid w:val="00282EAB"/>
    <w:rsid w:val="002A40C8"/>
    <w:rsid w:val="002C2137"/>
    <w:rsid w:val="002F320F"/>
    <w:rsid w:val="002F5000"/>
    <w:rsid w:val="003174D6"/>
    <w:rsid w:val="003279FD"/>
    <w:rsid w:val="00333E1F"/>
    <w:rsid w:val="00347EFE"/>
    <w:rsid w:val="00354BB9"/>
    <w:rsid w:val="00365373"/>
    <w:rsid w:val="003759C9"/>
    <w:rsid w:val="003844D1"/>
    <w:rsid w:val="003937BE"/>
    <w:rsid w:val="003A1E43"/>
    <w:rsid w:val="003B1FB1"/>
    <w:rsid w:val="003B2CBD"/>
    <w:rsid w:val="003B748F"/>
    <w:rsid w:val="003E344E"/>
    <w:rsid w:val="00446502"/>
    <w:rsid w:val="0045025F"/>
    <w:rsid w:val="004536CB"/>
    <w:rsid w:val="00454AC7"/>
    <w:rsid w:val="00460D4E"/>
    <w:rsid w:val="004762D5"/>
    <w:rsid w:val="0048698D"/>
    <w:rsid w:val="004934E6"/>
    <w:rsid w:val="004945E6"/>
    <w:rsid w:val="004B4549"/>
    <w:rsid w:val="004D622C"/>
    <w:rsid w:val="005064C4"/>
    <w:rsid w:val="005068B9"/>
    <w:rsid w:val="0052234C"/>
    <w:rsid w:val="00534D57"/>
    <w:rsid w:val="005458DD"/>
    <w:rsid w:val="0057244D"/>
    <w:rsid w:val="00596165"/>
    <w:rsid w:val="005968FF"/>
    <w:rsid w:val="005B402C"/>
    <w:rsid w:val="005C2333"/>
    <w:rsid w:val="005E7508"/>
    <w:rsid w:val="00610517"/>
    <w:rsid w:val="00634507"/>
    <w:rsid w:val="0064710C"/>
    <w:rsid w:val="006712C8"/>
    <w:rsid w:val="006A473F"/>
    <w:rsid w:val="006B5CDD"/>
    <w:rsid w:val="00706456"/>
    <w:rsid w:val="00725069"/>
    <w:rsid w:val="00731BB8"/>
    <w:rsid w:val="00733190"/>
    <w:rsid w:val="0073485C"/>
    <w:rsid w:val="007651E5"/>
    <w:rsid w:val="00781554"/>
    <w:rsid w:val="00786018"/>
    <w:rsid w:val="0079610F"/>
    <w:rsid w:val="007B106B"/>
    <w:rsid w:val="007D0A55"/>
    <w:rsid w:val="00813F13"/>
    <w:rsid w:val="00825F41"/>
    <w:rsid w:val="00830B3F"/>
    <w:rsid w:val="00833CED"/>
    <w:rsid w:val="00834507"/>
    <w:rsid w:val="00837DDF"/>
    <w:rsid w:val="008475DB"/>
    <w:rsid w:val="00856546"/>
    <w:rsid w:val="0086586A"/>
    <w:rsid w:val="00870EE1"/>
    <w:rsid w:val="00884069"/>
    <w:rsid w:val="0088443B"/>
    <w:rsid w:val="008A011C"/>
    <w:rsid w:val="008C1E91"/>
    <w:rsid w:val="008C2443"/>
    <w:rsid w:val="008C6047"/>
    <w:rsid w:val="008D3A81"/>
    <w:rsid w:val="008D42A1"/>
    <w:rsid w:val="00903DCE"/>
    <w:rsid w:val="0090489A"/>
    <w:rsid w:val="009060F9"/>
    <w:rsid w:val="0091368C"/>
    <w:rsid w:val="0092722B"/>
    <w:rsid w:val="00940216"/>
    <w:rsid w:val="009458B5"/>
    <w:rsid w:val="0095132B"/>
    <w:rsid w:val="0095546F"/>
    <w:rsid w:val="00962EA5"/>
    <w:rsid w:val="00972E2B"/>
    <w:rsid w:val="009856D5"/>
    <w:rsid w:val="0099238F"/>
    <w:rsid w:val="009A0658"/>
    <w:rsid w:val="009E7005"/>
    <w:rsid w:val="009E79FD"/>
    <w:rsid w:val="009F0B9A"/>
    <w:rsid w:val="009F1546"/>
    <w:rsid w:val="009F6E73"/>
    <w:rsid w:val="009F7BF7"/>
    <w:rsid w:val="00A20956"/>
    <w:rsid w:val="00A328E5"/>
    <w:rsid w:val="00A374A2"/>
    <w:rsid w:val="00A45BDF"/>
    <w:rsid w:val="00A46B75"/>
    <w:rsid w:val="00A54740"/>
    <w:rsid w:val="00A66BF5"/>
    <w:rsid w:val="00A67832"/>
    <w:rsid w:val="00A9442F"/>
    <w:rsid w:val="00AB208C"/>
    <w:rsid w:val="00AD4676"/>
    <w:rsid w:val="00AD6841"/>
    <w:rsid w:val="00AE1D6D"/>
    <w:rsid w:val="00B048C8"/>
    <w:rsid w:val="00B202D5"/>
    <w:rsid w:val="00B2318D"/>
    <w:rsid w:val="00B42269"/>
    <w:rsid w:val="00B45EF4"/>
    <w:rsid w:val="00B6178F"/>
    <w:rsid w:val="00B64A24"/>
    <w:rsid w:val="00B76261"/>
    <w:rsid w:val="00B9761E"/>
    <w:rsid w:val="00BA2AE9"/>
    <w:rsid w:val="00BB1F30"/>
    <w:rsid w:val="00BD5D3F"/>
    <w:rsid w:val="00BE7F49"/>
    <w:rsid w:val="00BF2390"/>
    <w:rsid w:val="00BF288D"/>
    <w:rsid w:val="00C154B3"/>
    <w:rsid w:val="00C40834"/>
    <w:rsid w:val="00C42238"/>
    <w:rsid w:val="00C47BC6"/>
    <w:rsid w:val="00C518F5"/>
    <w:rsid w:val="00C65DFD"/>
    <w:rsid w:val="00C67D44"/>
    <w:rsid w:val="00C76D7F"/>
    <w:rsid w:val="00C81D45"/>
    <w:rsid w:val="00CC3784"/>
    <w:rsid w:val="00CD4B47"/>
    <w:rsid w:val="00CE4779"/>
    <w:rsid w:val="00CF4455"/>
    <w:rsid w:val="00D271A0"/>
    <w:rsid w:val="00D7611D"/>
    <w:rsid w:val="00D92323"/>
    <w:rsid w:val="00DB21AE"/>
    <w:rsid w:val="00DB7B0D"/>
    <w:rsid w:val="00DD1BBF"/>
    <w:rsid w:val="00DF38DC"/>
    <w:rsid w:val="00E10AEA"/>
    <w:rsid w:val="00E17C49"/>
    <w:rsid w:val="00E401C4"/>
    <w:rsid w:val="00E67043"/>
    <w:rsid w:val="00E72B46"/>
    <w:rsid w:val="00E8572C"/>
    <w:rsid w:val="00E9369A"/>
    <w:rsid w:val="00EB25CF"/>
    <w:rsid w:val="00ED2528"/>
    <w:rsid w:val="00ED6825"/>
    <w:rsid w:val="00F050E5"/>
    <w:rsid w:val="00F35413"/>
    <w:rsid w:val="00F63625"/>
    <w:rsid w:val="00F656F3"/>
    <w:rsid w:val="00F66BBB"/>
    <w:rsid w:val="00F80440"/>
    <w:rsid w:val="00F912D8"/>
    <w:rsid w:val="00FA3F4E"/>
    <w:rsid w:val="00FC2221"/>
    <w:rsid w:val="00FD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A9C3F"/>
  <w14:defaultImageDpi w14:val="32767"/>
  <w15:chartTrackingRefBased/>
  <w15:docId w15:val="{D4C32132-7834-4257-AE6A-6CAD640C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FB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FB1"/>
    <w:pPr>
      <w:ind w:left="720"/>
      <w:contextualSpacing/>
    </w:pPr>
  </w:style>
  <w:style w:type="table" w:styleId="TableGrid">
    <w:name w:val="Table Grid"/>
    <w:basedOn w:val="TableNormal"/>
    <w:uiPriority w:val="39"/>
    <w:rsid w:val="003B1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1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546"/>
    <w:rPr>
      <w:rFonts w:ascii="Segoe UI" w:hAnsi="Segoe UI" w:cs="Segoe UI"/>
      <w:sz w:val="18"/>
      <w:szCs w:val="18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46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5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502"/>
    <w:rPr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502"/>
    <w:rPr>
      <w:b/>
      <w:bCs/>
      <w:sz w:val="20"/>
      <w:szCs w:val="20"/>
      <w:lang w:val="es-ES"/>
    </w:rPr>
  </w:style>
  <w:style w:type="paragraph" w:customStyle="1" w:styleId="xmsonormal">
    <w:name w:val="x_msonormal"/>
    <w:basedOn w:val="Normal"/>
    <w:rsid w:val="00282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47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10C"/>
    <w:rPr>
      <w:sz w:val="22"/>
      <w:szCs w:val="22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647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10C"/>
    <w:rPr>
      <w:sz w:val="22"/>
      <w:szCs w:val="22"/>
      <w:lang w:val="es-ES"/>
    </w:rPr>
  </w:style>
  <w:style w:type="paragraph" w:styleId="NoSpacing">
    <w:name w:val="No Spacing"/>
    <w:uiPriority w:val="1"/>
    <w:qFormat/>
    <w:rsid w:val="005C2333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48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485C"/>
    <w:rPr>
      <w:sz w:val="20"/>
      <w:szCs w:val="20"/>
      <w:lang w:val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73485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73485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3485C"/>
    <w:rPr>
      <w:sz w:val="20"/>
      <w:szCs w:val="20"/>
      <w:lang w:val="es-ES"/>
    </w:rPr>
  </w:style>
  <w:style w:type="character" w:styleId="EndnoteReference">
    <w:name w:val="endnote reference"/>
    <w:basedOn w:val="DefaultParagraphFont"/>
    <w:uiPriority w:val="99"/>
    <w:unhideWhenUsed/>
    <w:rsid w:val="0073485C"/>
    <w:rPr>
      <w:vertAlign w:val="superscript"/>
    </w:rPr>
  </w:style>
  <w:style w:type="paragraph" w:styleId="Revision">
    <w:name w:val="Revision"/>
    <w:hidden/>
    <w:uiPriority w:val="99"/>
    <w:semiHidden/>
    <w:rsid w:val="00834507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C0BE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44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binternet.ohchr.org/_layouts/15/treatybodyexternal/Download.aspx?symbolno=CRPD/C/GC/2&amp;Lang=en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binternet.ohchr.org/_layouts/treatybodyexternal/Download.aspx?symbolno=CRPD/C/GC/7&amp;Lang=en" TargetMode="External"/><Relationship Id="rId2" Type="http://schemas.openxmlformats.org/officeDocument/2006/relationships/hyperlink" Target="https://www.itu.int/rec/T-REC-F.790" TargetMode="External"/><Relationship Id="rId1" Type="http://schemas.openxmlformats.org/officeDocument/2006/relationships/hyperlink" Target="https://www.itu.int/rec/T-REC-H.Sup17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B49AB-AAE5-4E54-B911-524505052ECF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E0CA1F-FAB3-4C9D-BADA-D04DF06697E9}"/>
</file>

<file path=customXml/itemProps3.xml><?xml version="1.0" encoding="utf-8"?>
<ds:datastoreItem xmlns:ds="http://schemas.openxmlformats.org/officeDocument/2006/customXml" ds:itemID="{86909DF4-68E8-413F-907D-B8856997E5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6532E8-EB57-4680-93FF-25035486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1084</Words>
  <Characters>6184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Mont</dc:creator>
  <cp:keywords/>
  <dc:description/>
  <cp:lastModifiedBy>LEE Victoria</cp:lastModifiedBy>
  <cp:revision>4</cp:revision>
  <cp:lastPrinted>2018-07-18T09:57:00Z</cp:lastPrinted>
  <dcterms:created xsi:type="dcterms:W3CDTF">2020-06-16T15:28:00Z</dcterms:created>
  <dcterms:modified xsi:type="dcterms:W3CDTF">2020-07-02T08:46:00Z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