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3EA8F" w14:textId="77777777" w:rsidR="00B16CEF" w:rsidRPr="00777185" w:rsidRDefault="00B16CEF" w:rsidP="001D2FA1">
      <w:pPr>
        <w:spacing w:line="0" w:lineRule="atLeast"/>
        <w:rPr>
          <w:sz w:val="4"/>
          <w:szCs w:val="4"/>
        </w:rPr>
      </w:pPr>
    </w:p>
    <w:p w14:paraId="6F4A58EC" w14:textId="77777777" w:rsidR="00B16CEF" w:rsidRPr="00777185" w:rsidRDefault="00B16CEF" w:rsidP="001D2FA1">
      <w:pPr>
        <w:spacing w:line="0" w:lineRule="atLeast"/>
        <w:rPr>
          <w:sz w:val="4"/>
          <w:szCs w:val="4"/>
        </w:rPr>
      </w:pPr>
    </w:p>
    <w:tbl>
      <w:tblPr>
        <w:tblStyle w:val="TableGrid"/>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5"/>
        <w:gridCol w:w="198"/>
        <w:gridCol w:w="2580"/>
      </w:tblGrid>
      <w:tr w:rsidR="00B16CEF" w:rsidRPr="007967D6" w14:paraId="48367553" w14:textId="77777777" w:rsidTr="00D77A02">
        <w:trPr>
          <w:trHeight w:val="3289"/>
        </w:trPr>
        <w:tc>
          <w:tcPr>
            <w:tcW w:w="7115" w:type="dxa"/>
          </w:tcPr>
          <w:sdt>
            <w:sdtPr>
              <w:rPr>
                <w:lang w:val="en-GB"/>
              </w:rPr>
              <w:alias w:val="360Recipient"/>
              <w:id w:val="773512296"/>
              <w:placeholder>
                <w:docPart w:val="2A7A73992B7A4316892F609FE7EE22FE"/>
              </w:placeholder>
              <w:dataBinding w:prefixMappings="xmlns:gbs='http://www.software-innovation.no/growBusinessDocument'" w:xpath="/gbs:GrowBusinessDocument/gbs:ToActivityContactJOINEX.Name[@gbs:key='773512296']" w:storeItemID="{4F868269-64EA-4E74-B31B-A7FF801805E5}"/>
              <w:text/>
            </w:sdtPr>
            <w:sdtEndPr/>
            <w:sdtContent>
              <w:p w14:paraId="124241EF" w14:textId="77777777" w:rsidR="00B16CEF" w:rsidRPr="00B16CEF" w:rsidRDefault="00B16CEF" w:rsidP="001D2FA1">
                <w:pPr>
                  <w:rPr>
                    <w:lang w:val="en-GB"/>
                  </w:rPr>
                </w:pPr>
                <w:r w:rsidRPr="00B16CEF">
                  <w:rPr>
                    <w:lang w:val="en-GB"/>
                  </w:rPr>
                  <w:t>UN Special Rapporteur on the rights of persons with disabilities</w:t>
                </w:r>
              </w:p>
            </w:sdtContent>
          </w:sdt>
          <w:sdt>
            <w:sdtPr>
              <w:rPr>
                <w:lang w:val="en-GB"/>
              </w:rPr>
              <w:alias w:val="360Address"/>
              <w:tag w:val="DocumentNumber"/>
              <w:id w:val="-1869683060"/>
              <w:placeholder>
                <w:docPart w:val="2A7A73992B7A4316892F609FE7EE22FE"/>
              </w:placeholder>
              <w:dataBinding w:prefixMappings="xmlns:gbs='http://www.software-innovation.no/growBusinessDocument'" w:xpath="/gbs:GrowBusinessDocument/gbs:ToActivityContactJOINEX.Address[@gbs:key='2425284236']" w:storeItemID="{4F868269-64EA-4E74-B31B-A7FF801805E5}"/>
              <w:text/>
            </w:sdtPr>
            <w:sdtEndPr/>
            <w:sdtContent>
              <w:p w14:paraId="12E82C64" w14:textId="77777777" w:rsidR="00B16CEF" w:rsidRPr="00B16CEF" w:rsidRDefault="00B16CEF" w:rsidP="001D2FA1">
                <w:pPr>
                  <w:rPr>
                    <w:lang w:val="en-GB"/>
                  </w:rPr>
                </w:pPr>
                <w:r w:rsidRPr="00B16CEF">
                  <w:rPr>
                    <w:lang w:val="en-GB"/>
                  </w:rPr>
                  <w:t>OHCHR-UNOG</w:t>
                </w:r>
              </w:p>
            </w:sdtContent>
          </w:sdt>
          <w:sdt>
            <w:sdtPr>
              <w:rPr>
                <w:lang w:val="en-GB"/>
              </w:rPr>
              <w:alias w:val="360Zip"/>
              <w:id w:val="-350026773"/>
              <w:placeholder>
                <w:docPart w:val="2A7A73992B7A4316892F609FE7EE22FE"/>
              </w:placeholder>
              <w:dataBinding w:prefixMappings="xmlns:gbs='http://www.software-innovation.no/growBusinessDocument'" w:xpath="/gbs:GrowBusinessDocument/gbs:ToActivityContactJOINEX.Zip[@gbs:key='3944940523']" w:storeItemID="{4F868269-64EA-4E74-B31B-A7FF801805E5}"/>
              <w:text/>
            </w:sdtPr>
            <w:sdtEndPr/>
            <w:sdtContent>
              <w:p w14:paraId="6FFBC580" w14:textId="77777777" w:rsidR="00B16CEF" w:rsidRPr="00B16CEF" w:rsidRDefault="00B16CEF" w:rsidP="001D2FA1">
                <w:pPr>
                  <w:rPr>
                    <w:lang w:val="en-GB"/>
                  </w:rPr>
                </w:pPr>
                <w:r w:rsidRPr="00B16CEF">
                  <w:rPr>
                    <w:lang w:val="en-GB"/>
                  </w:rPr>
                  <w:t>CH-1211 Geneva 10</w:t>
                </w:r>
              </w:p>
            </w:sdtContent>
          </w:sdt>
          <w:p w14:paraId="28D4C327" w14:textId="77777777" w:rsidR="00B16CEF" w:rsidRPr="007967D6" w:rsidRDefault="00B16CEF" w:rsidP="001D2FA1">
            <w:pPr>
              <w:rPr>
                <w:lang w:val="en-US"/>
              </w:rPr>
            </w:pPr>
            <w:r w:rsidRPr="00EB51CB">
              <w:rPr>
                <w:rStyle w:val="LineNumber"/>
                <w:lang w:val="en-GB"/>
              </w:rPr>
              <w:t xml:space="preserve">Email: </w:t>
            </w:r>
            <w:hyperlink r:id="rId9" w:history="1">
              <w:r w:rsidRPr="00EB51CB">
                <w:rPr>
                  <w:rStyle w:val="Hyperlink"/>
                  <w:lang w:val="en-GB"/>
                </w:rPr>
                <w:t>sr.disability@ohchr.org</w:t>
              </w:r>
            </w:hyperlink>
          </w:p>
        </w:tc>
        <w:tc>
          <w:tcPr>
            <w:tcW w:w="198" w:type="dxa"/>
          </w:tcPr>
          <w:p w14:paraId="054F6831" w14:textId="77777777" w:rsidR="00B16CEF" w:rsidRPr="00773A11" w:rsidRDefault="00B16CEF" w:rsidP="001D2FA1">
            <w:pPr>
              <w:rPr>
                <w:lang w:val="en-US"/>
              </w:rPr>
            </w:pPr>
          </w:p>
        </w:tc>
        <w:tc>
          <w:tcPr>
            <w:tcW w:w="2580" w:type="dxa"/>
          </w:tcPr>
          <w:sdt>
            <w:sdtPr>
              <w:rPr>
                <w:lang w:val="en-US"/>
              </w:rPr>
              <w:tag w:val="{&quot;templafy&quot;:{&quot;id&quot;:&quot;9be7f707-3732-4ef2-9f39-6e7e8f564254&quot;}}"/>
              <w:id w:val="-125543306"/>
              <w:placeholder>
                <w:docPart w:val="D8CC8A3ADA0445C9AD7CE63767C5DA34"/>
              </w:placeholder>
            </w:sdtPr>
            <w:sdtEndPr/>
            <w:sdtContent>
              <w:p w14:paraId="525CDC0B" w14:textId="77777777" w:rsidR="00B16CEF" w:rsidRDefault="00B16CEF" w:rsidP="001D2FA1">
                <w:pPr>
                  <w:pStyle w:val="Template-Adresse"/>
                  <w:rPr>
                    <w:lang w:val="en-US"/>
                  </w:rPr>
                </w:pPr>
                <w:r>
                  <w:rPr>
                    <w:lang w:val="en-US"/>
                  </w:rPr>
                  <w:t>Wilders Plads 8K</w:t>
                </w:r>
              </w:p>
              <w:p w14:paraId="4F726D55" w14:textId="77777777" w:rsidR="00B16CEF" w:rsidRDefault="00B16CEF" w:rsidP="001D2FA1">
                <w:pPr>
                  <w:pStyle w:val="Template-Adresse"/>
                  <w:rPr>
                    <w:lang w:val="en-US"/>
                  </w:rPr>
                </w:pPr>
                <w:r>
                  <w:rPr>
                    <w:lang w:val="en-US"/>
                  </w:rPr>
                  <w:t>DK-1403 Copenhagen K</w:t>
                </w:r>
              </w:p>
            </w:sdtContent>
          </w:sdt>
          <w:sdt>
            <w:sdtPr>
              <w:rPr>
                <w:lang w:val="nb-NO"/>
              </w:rPr>
              <w:alias w:val="group"/>
              <w:tag w:val="{&quot;templafy&quot;:{&quot;id&quot;:&quot;6bf652ad-4503-464e-8199-e48b0d49cc27&quot;}}"/>
              <w:id w:val="1251931184"/>
              <w:placeholder>
                <w:docPart w:val="D8CC8A3ADA0445C9AD7CE63767C5DA34"/>
              </w:placeholder>
            </w:sdtPr>
            <w:sdtEndPr/>
            <w:sdtContent>
              <w:p w14:paraId="73D93FD3" w14:textId="77777777" w:rsidR="00B16CEF" w:rsidRPr="00243A00" w:rsidRDefault="0008302C" w:rsidP="001D2FA1">
                <w:pPr>
                  <w:pStyle w:val="Template-Adresse"/>
                  <w:rPr>
                    <w:lang w:val="nb-NO"/>
                  </w:rPr>
                </w:pPr>
                <w:sdt>
                  <w:sdtPr>
                    <w:rPr>
                      <w:lang w:val="nb-NO"/>
                    </w:rPr>
                    <w:tag w:val="{&quot;templafy&quot;:{&quot;id&quot;:&quot;2dbf6c42-316a-4ea9-bf69-24b682c4346e&quot;}}"/>
                    <w:id w:val="430093630"/>
                    <w:placeholder>
                      <w:docPart w:val="D8CC8A3ADA0445C9AD7CE63767C5DA34"/>
                    </w:placeholder>
                  </w:sdtPr>
                  <w:sdtEndPr/>
                  <w:sdtContent>
                    <w:r w:rsidR="00B16CEF">
                      <w:rPr>
                        <w:lang w:val="nb-NO"/>
                      </w:rPr>
                      <w:t>Phone</w:t>
                    </w:r>
                  </w:sdtContent>
                </w:sdt>
                <w:r w:rsidR="00B16CEF" w:rsidRPr="00243A00">
                  <w:rPr>
                    <w:lang w:val="nb-NO"/>
                  </w:rPr>
                  <w:t xml:space="preserve"> </w:t>
                </w:r>
                <w:sdt>
                  <w:sdtPr>
                    <w:rPr>
                      <w:lang w:val="nb-NO"/>
                    </w:rPr>
                    <w:tag w:val="{&quot;templafy&quot;:{&quot;id&quot;:&quot;0e7b2651-f546-47fb-9e0d-fe6c48c5968b&quot;}}"/>
                    <w:id w:val="1233042368"/>
                    <w:placeholder>
                      <w:docPart w:val="945EB7948B52432A9BEF55F5311C4B7D"/>
                    </w:placeholder>
                  </w:sdtPr>
                  <w:sdtEndPr/>
                  <w:sdtContent>
                    <w:r w:rsidR="00B16CEF" w:rsidRPr="00B16CEF">
                      <w:rPr>
                        <w:lang w:val="en-GB"/>
                      </w:rPr>
                      <w:t>+45 3269 8888</w:t>
                    </w:r>
                  </w:sdtContent>
                </w:sdt>
              </w:p>
            </w:sdtContent>
          </w:sdt>
          <w:sdt>
            <w:sdtPr>
              <w:rPr>
                <w:lang w:val="nb-NO"/>
              </w:rPr>
              <w:alias w:val="group"/>
              <w:tag w:val="{&quot;templafy&quot;:{&quot;id&quot;:&quot;732ad65d-a9f3-426d-9524-f7836b249bca&quot;}}"/>
              <w:id w:val="-1277710702"/>
              <w:placeholder>
                <w:docPart w:val="D8CC8A3ADA0445C9AD7CE63767C5DA34"/>
              </w:placeholder>
            </w:sdtPr>
            <w:sdtEndPr/>
            <w:sdtContent>
              <w:p w14:paraId="70727BB5" w14:textId="328ABCC0" w:rsidR="00B16CEF" w:rsidRPr="00243A00" w:rsidRDefault="0008302C" w:rsidP="001D2FA1">
                <w:pPr>
                  <w:pStyle w:val="Template-Adresse"/>
                  <w:rPr>
                    <w:lang w:val="nb-NO"/>
                  </w:rPr>
                </w:pPr>
                <w:sdt>
                  <w:sdtPr>
                    <w:rPr>
                      <w:lang w:val="nb-NO"/>
                    </w:rPr>
                    <w:tag w:val="{&quot;templafy&quot;:{&quot;id&quot;:&quot;f8e676be-5ce7-4730-ba86-109df3e55246&quot;}}"/>
                    <w:id w:val="310144736"/>
                    <w:placeholder>
                      <w:docPart w:val="D8CC8A3ADA0445C9AD7CE63767C5DA34"/>
                    </w:placeholder>
                  </w:sdtPr>
                  <w:sdtEndPr/>
                  <w:sdtContent>
                    <w:r w:rsidR="00B16CEF">
                      <w:rPr>
                        <w:lang w:val="nb-NO"/>
                      </w:rPr>
                      <w:t>CELL</w:t>
                    </w:r>
                  </w:sdtContent>
                </w:sdt>
                <w:r w:rsidR="00B16CEF" w:rsidRPr="00243A00">
                  <w:rPr>
                    <w:lang w:val="nb-NO"/>
                  </w:rPr>
                  <w:t xml:space="preserve"> </w:t>
                </w:r>
                <w:sdt>
                  <w:sdtPr>
                    <w:rPr>
                      <w:lang w:val="nb-NO"/>
                    </w:rPr>
                    <w:tag w:val="{&quot;templafy&quot;:{&quot;id&quot;:&quot;7e9efd57-d04d-4470-b297-48c17d937ce2&quot;}}"/>
                    <w:id w:val="240069823"/>
                    <w:placeholder>
                      <w:docPart w:val="3FC1FFEF83504257B2EBAAF0678A1733"/>
                    </w:placeholder>
                  </w:sdtPr>
                  <w:sdtEndPr/>
                  <w:sdtContent>
                    <w:r w:rsidR="00B16CEF" w:rsidRPr="00B16CEF">
                      <w:rPr>
                        <w:lang w:val="en-GB"/>
                      </w:rPr>
                      <w:t>+45</w:t>
                    </w:r>
                    <w:r w:rsidR="00D54CE2">
                      <w:rPr>
                        <w:lang w:val="en-GB"/>
                      </w:rPr>
                      <w:t xml:space="preserve"> </w:t>
                    </w:r>
                    <w:r w:rsidR="00B16CEF" w:rsidRPr="00B16CEF">
                      <w:rPr>
                        <w:lang w:val="en-GB"/>
                      </w:rPr>
                      <w:t>9132</w:t>
                    </w:r>
                    <w:r w:rsidR="00D54CE2">
                      <w:rPr>
                        <w:lang w:val="en-GB"/>
                      </w:rPr>
                      <w:t xml:space="preserve"> 565</w:t>
                    </w:r>
                    <w:r w:rsidR="00B16CEF" w:rsidRPr="00B16CEF">
                      <w:rPr>
                        <w:lang w:val="en-GB"/>
                      </w:rPr>
                      <w:t>1</w:t>
                    </w:r>
                  </w:sdtContent>
                </w:sdt>
              </w:p>
            </w:sdtContent>
          </w:sdt>
          <w:sdt>
            <w:sdtPr>
              <w:rPr>
                <w:lang w:val="nb-NO"/>
              </w:rPr>
              <w:alias w:val="group"/>
              <w:tag w:val="{&quot;templafy&quot;:{&quot;id&quot;:&quot;67a97bb5-1d73-4b63-8447-3a0c01baf6f6&quot;}}"/>
              <w:id w:val="942109323"/>
              <w:placeholder>
                <w:docPart w:val="D8CC8A3ADA0445C9AD7CE63767C5DA34"/>
              </w:placeholder>
            </w:sdtPr>
            <w:sdtEndPr/>
            <w:sdtContent>
              <w:p w14:paraId="7300CAE8" w14:textId="5523F5F5" w:rsidR="00B16CEF" w:rsidRPr="00243A00" w:rsidRDefault="0008302C" w:rsidP="001D2FA1">
                <w:pPr>
                  <w:pStyle w:val="Template-Adresse"/>
                  <w:rPr>
                    <w:lang w:val="nb-NO"/>
                  </w:rPr>
                </w:pPr>
                <w:sdt>
                  <w:sdtPr>
                    <w:rPr>
                      <w:lang w:val="nb-NO"/>
                    </w:rPr>
                    <w:tag w:val="{&quot;templafy&quot;:{&quot;id&quot;:&quot;98acaaa8-c333-4d0c-87d3-b5063132255e&quot;}}"/>
                    <w:id w:val="1976335733"/>
                    <w:placeholder>
                      <w:docPart w:val="D8CC8A3ADA0445C9AD7CE63767C5DA34"/>
                    </w:placeholder>
                  </w:sdtPr>
                  <w:sdtEndPr/>
                  <w:sdtContent>
                    <w:r w:rsidR="00D54CE2">
                      <w:rPr>
                        <w:lang w:val="nb-NO"/>
                      </w:rPr>
                      <w:t>Mefr</w:t>
                    </w:r>
                    <w:r w:rsidR="00B16CEF">
                      <w:rPr>
                        <w:lang w:val="nb-NO"/>
                      </w:rPr>
                      <w:t>@humanrights.dk</w:t>
                    </w:r>
                  </w:sdtContent>
                </w:sdt>
              </w:p>
            </w:sdtContent>
          </w:sdt>
          <w:sdt>
            <w:sdtPr>
              <w:rPr>
                <w:lang w:val="nb-NO"/>
              </w:rPr>
              <w:alias w:val="group"/>
              <w:tag w:val="{&quot;templafy&quot;:{&quot;id&quot;:&quot;3d0d24c6-ce3d-4717-8491-5ecc50a09fee&quot;}}"/>
              <w:id w:val="449751373"/>
              <w:placeholder>
                <w:docPart w:val="D8CC8A3ADA0445C9AD7CE63767C5DA34"/>
              </w:placeholder>
            </w:sdtPr>
            <w:sdtEndPr/>
            <w:sdtContent>
              <w:p w14:paraId="007525BD" w14:textId="77777777" w:rsidR="00B16CEF" w:rsidRPr="00243A00" w:rsidRDefault="0008302C" w:rsidP="001D2FA1">
                <w:pPr>
                  <w:pStyle w:val="Template-Adresse"/>
                  <w:rPr>
                    <w:lang w:val="nb-NO"/>
                  </w:rPr>
                </w:pPr>
                <w:sdt>
                  <w:sdtPr>
                    <w:rPr>
                      <w:lang w:val="nb-NO"/>
                    </w:rPr>
                    <w:tag w:val="{&quot;templafy&quot;:{&quot;id&quot;:&quot;51db95c3-7781-41e8-a808-932809191c4c&quot;}}"/>
                    <w:id w:val="-236557363"/>
                    <w:placeholder>
                      <w:docPart w:val="D8CC8A3ADA0445C9AD7CE63767C5DA34"/>
                    </w:placeholder>
                  </w:sdtPr>
                  <w:sdtEndPr/>
                  <w:sdtContent>
                    <w:r w:rsidR="00B16CEF">
                      <w:rPr>
                        <w:lang w:val="nb-NO"/>
                      </w:rPr>
                      <w:t>humanrights.dk</w:t>
                    </w:r>
                  </w:sdtContent>
                </w:sdt>
              </w:p>
            </w:sdtContent>
          </w:sdt>
          <w:p w14:paraId="29357617" w14:textId="77777777" w:rsidR="00B16CEF" w:rsidRPr="00243A00" w:rsidRDefault="00B16CEF" w:rsidP="001D2FA1">
            <w:pPr>
              <w:pStyle w:val="Template-Adresse"/>
              <w:rPr>
                <w:lang w:val="nb-NO"/>
              </w:rPr>
            </w:pPr>
          </w:p>
          <w:p w14:paraId="03000D34" w14:textId="77777777" w:rsidR="00B16CEF" w:rsidRDefault="0008302C" w:rsidP="001D2FA1">
            <w:pPr>
              <w:pStyle w:val="Template-Docinfo"/>
              <w:rPr>
                <w:lang w:val="nb-NO"/>
              </w:rPr>
            </w:pPr>
            <w:sdt>
              <w:sdtPr>
                <w:rPr>
                  <w:lang w:val="nb-NO"/>
                </w:rPr>
                <w:tag w:val="{&quot;templafy&quot;:{&quot;id&quot;:&quot;37b18075-f67a-4f14-bd7e-51e037c06661&quot;}}"/>
                <w:id w:val="133067827"/>
                <w:placeholder>
                  <w:docPart w:val="D8CC8A3ADA0445C9AD7CE63767C5DA34"/>
                </w:placeholder>
              </w:sdtPr>
              <w:sdtEndPr/>
              <w:sdtContent>
                <w:r w:rsidR="00B16CEF">
                  <w:rPr>
                    <w:lang w:val="nb-NO"/>
                  </w:rPr>
                  <w:t>Doc. No.</w:t>
                </w:r>
              </w:sdtContent>
            </w:sdt>
            <w:r w:rsidR="00B16CEF" w:rsidRPr="00243A00">
              <w:rPr>
                <w:lang w:val="nb-NO"/>
              </w:rPr>
              <w:t xml:space="preserve"> </w:t>
            </w:r>
            <w:sdt>
              <w:sdtPr>
                <w:rPr>
                  <w:lang w:val="nb-NO"/>
                </w:rPr>
                <w:alias w:val="360DocumentNumber"/>
                <w:tag w:val="DocumentNumber"/>
                <w:id w:val="787855222"/>
                <w:placeholder>
                  <w:docPart w:val="ACDC61009BA6417BBA960AF863120364"/>
                </w:placeholder>
                <w:dataBinding w:prefixMappings="xmlns:gbs='http://www.software-innovation.no/growBusinessDocument'" w:xpath="/gbs:GrowBusinessDocument/gbs:DocumentNumber[@gbs:key='787855222']" w:storeItemID="{4F868269-64EA-4E74-B31B-A7FF801805E5}"/>
                <w:text/>
              </w:sdtPr>
              <w:sdtEndPr/>
              <w:sdtContent>
                <w:r w:rsidR="00B16CEF">
                  <w:rPr>
                    <w:lang w:val="nb-NO"/>
                  </w:rPr>
                  <w:t>19/01448-2</w:t>
                </w:r>
              </w:sdtContent>
            </w:sdt>
          </w:p>
          <w:p w14:paraId="34072F63" w14:textId="77777777" w:rsidR="00B16CEF" w:rsidRDefault="00B16CEF" w:rsidP="001D2FA1">
            <w:pPr>
              <w:pStyle w:val="Template-Docinfo"/>
              <w:rPr>
                <w:lang w:val="nb-NO"/>
              </w:rPr>
            </w:pPr>
          </w:p>
          <w:sdt>
            <w:sdtPr>
              <w:tag w:val="{&quot;templafy&quot;:{&quot;id&quot;:&quot;1df780ca-cb0d-4884-8e28-3851196876db&quot;}}"/>
              <w:id w:val="1371425908"/>
              <w:placeholder>
                <w:docPart w:val="D8CC8A3ADA0445C9AD7CE63767C5DA34"/>
              </w:placeholder>
            </w:sdtPr>
            <w:sdtEndPr/>
            <w:sdtContent>
              <w:p w14:paraId="12B1C099" w14:textId="22266FFC" w:rsidR="00B16CEF" w:rsidRDefault="00E74996" w:rsidP="001D2FA1">
                <w:pPr>
                  <w:pStyle w:val="Template-Docinfo"/>
                </w:pPr>
                <w:r>
                  <w:t xml:space="preserve">15 august </w:t>
                </w:r>
                <w:r w:rsidR="00B16CEF">
                  <w:t>2019</w:t>
                </w:r>
              </w:p>
            </w:sdtContent>
          </w:sdt>
        </w:tc>
      </w:tr>
    </w:tbl>
    <w:p w14:paraId="6C3FDB23" w14:textId="75E495A4" w:rsidR="00B16CEF" w:rsidRDefault="00B16CEF" w:rsidP="005C4DA5">
      <w:pPr>
        <w:pStyle w:val="Heading1"/>
      </w:pPr>
      <w:r w:rsidRPr="005C4DA5">
        <w:t xml:space="preserve">Questionnaire on good practices to ensure effective access to justice for persons with disabilities </w:t>
      </w:r>
    </w:p>
    <w:p w14:paraId="37B45521" w14:textId="1D0FE69B" w:rsidR="00F64BE9" w:rsidRPr="00F64BE9" w:rsidRDefault="005C4DA5" w:rsidP="005C4DA5">
      <w:pPr>
        <w:spacing w:after="240"/>
        <w:rPr>
          <w:lang w:val="en-GB"/>
        </w:rPr>
      </w:pPr>
      <w:r>
        <w:rPr>
          <w:lang w:val="en-GB"/>
        </w:rPr>
        <w:br/>
      </w:r>
      <w:r w:rsidR="00B16CEF" w:rsidRPr="00B16CEF">
        <w:rPr>
          <w:lang w:val="en-GB"/>
        </w:rPr>
        <w:t>The Danish Institute for Human Rights (DI</w:t>
      </w:r>
      <w:r w:rsidR="00B16CEF">
        <w:rPr>
          <w:lang w:val="en-GB"/>
        </w:rPr>
        <w:t>HR) welcomes the call for input</w:t>
      </w:r>
      <w:r w:rsidR="00B16CEF" w:rsidRPr="00B16CEF">
        <w:rPr>
          <w:lang w:val="en-GB"/>
        </w:rPr>
        <w:t xml:space="preserve"> in relation to the </w:t>
      </w:r>
      <w:r w:rsidR="00B16CEF">
        <w:rPr>
          <w:lang w:val="en-GB"/>
        </w:rPr>
        <w:t>questionnaire</w:t>
      </w:r>
      <w:r w:rsidR="00B16CEF" w:rsidRPr="00B16CEF">
        <w:rPr>
          <w:lang w:val="en-GB"/>
        </w:rPr>
        <w:t xml:space="preserve"> on good practices to ensure effective access to justice for persons with disabilities by</w:t>
      </w:r>
      <w:r w:rsidR="00B16CEF">
        <w:rPr>
          <w:lang w:val="en-GB"/>
        </w:rPr>
        <w:t xml:space="preserve"> the UN</w:t>
      </w:r>
      <w:r w:rsidR="00B16CEF" w:rsidRPr="00B16CEF">
        <w:rPr>
          <w:lang w:val="en-GB"/>
        </w:rPr>
        <w:t xml:space="preserve"> Special Rapporteur on the rights of persons with disabilities, Ms. Catalina Devandas-Aguilar. Pursuant to the call, DIHR would like </w:t>
      </w:r>
      <w:r w:rsidR="00CC462E">
        <w:rPr>
          <w:lang w:val="en-GB"/>
        </w:rPr>
        <w:t xml:space="preserve">to </w:t>
      </w:r>
      <w:r w:rsidR="00B16CEF" w:rsidRPr="00B16CEF">
        <w:rPr>
          <w:lang w:val="en-GB"/>
        </w:rPr>
        <w:t xml:space="preserve">submit information </w:t>
      </w:r>
      <w:r w:rsidR="00F64BE9">
        <w:rPr>
          <w:lang w:val="en-GB"/>
        </w:rPr>
        <w:t>on</w:t>
      </w:r>
      <w:r w:rsidR="00B16CEF" w:rsidRPr="00B16CEF">
        <w:rPr>
          <w:lang w:val="en-GB" w:eastAsia="en-GB"/>
        </w:rPr>
        <w:t xml:space="preserve"> access to justice for persons with disabilities</w:t>
      </w:r>
      <w:r w:rsidR="00B16CEF">
        <w:rPr>
          <w:lang w:val="en-GB" w:eastAsia="en-GB"/>
        </w:rPr>
        <w:t xml:space="preserve"> in Denmark</w:t>
      </w:r>
      <w:r w:rsidR="00B16CEF" w:rsidRPr="00B16CEF">
        <w:rPr>
          <w:lang w:val="en-GB"/>
        </w:rPr>
        <w:t>.</w:t>
      </w:r>
      <w:r w:rsidR="00CC462E">
        <w:rPr>
          <w:lang w:val="en-GB"/>
        </w:rPr>
        <w:t xml:space="preserve"> DIHR has not within the time frame </w:t>
      </w:r>
      <w:r w:rsidR="003F75B5">
        <w:rPr>
          <w:lang w:val="en-GB"/>
        </w:rPr>
        <w:t>been able to provide infor</w:t>
      </w:r>
      <w:r w:rsidR="006C6ABC">
        <w:rPr>
          <w:lang w:val="en-GB"/>
        </w:rPr>
        <w:t xml:space="preserve">mation </w:t>
      </w:r>
      <w:r w:rsidR="00F64BE9">
        <w:rPr>
          <w:lang w:val="en-GB"/>
        </w:rPr>
        <w:t>regarding</w:t>
      </w:r>
      <w:r w:rsidR="006C6ABC">
        <w:rPr>
          <w:lang w:val="en-GB"/>
        </w:rPr>
        <w:t xml:space="preserve"> all questions and therefore</w:t>
      </w:r>
      <w:r w:rsidR="005419B6">
        <w:rPr>
          <w:lang w:val="en-GB"/>
        </w:rPr>
        <w:t xml:space="preserve"> the present answer </w:t>
      </w:r>
      <w:r w:rsidR="003F75B5">
        <w:rPr>
          <w:lang w:val="en-GB"/>
        </w:rPr>
        <w:t>concern</w:t>
      </w:r>
      <w:r w:rsidR="005419B6">
        <w:rPr>
          <w:lang w:val="en-GB"/>
        </w:rPr>
        <w:t>s</w:t>
      </w:r>
      <w:r w:rsidR="003F75B5">
        <w:rPr>
          <w:lang w:val="en-GB"/>
        </w:rPr>
        <w:t xml:space="preserve"> mostly question 1, 2 and 4. </w:t>
      </w:r>
    </w:p>
    <w:p w14:paraId="29571939" w14:textId="45267202" w:rsidR="008877C0" w:rsidRPr="005C4DA5" w:rsidRDefault="003F75B5" w:rsidP="005C4DA5">
      <w:pPr>
        <w:pStyle w:val="Heading3"/>
      </w:pPr>
      <w:r w:rsidRPr="005C4DA5">
        <w:t xml:space="preserve">Concerning </w:t>
      </w:r>
      <w:r w:rsidR="00D54CE2" w:rsidRPr="005C4DA5">
        <w:t>a</w:t>
      </w:r>
      <w:r w:rsidRPr="005C4DA5">
        <w:t xml:space="preserve">ccess to </w:t>
      </w:r>
      <w:r w:rsidR="00D54CE2" w:rsidRPr="005C4DA5">
        <w:t>j</w:t>
      </w:r>
      <w:r w:rsidRPr="005C4DA5">
        <w:t xml:space="preserve">ustice for </w:t>
      </w:r>
      <w:r w:rsidR="00D54CE2" w:rsidRPr="005C4DA5">
        <w:t>p</w:t>
      </w:r>
      <w:r w:rsidRPr="005C4DA5">
        <w:t xml:space="preserve">ersons with </w:t>
      </w:r>
      <w:r w:rsidR="00D54CE2" w:rsidRPr="005C4DA5">
        <w:t>d</w:t>
      </w:r>
      <w:r w:rsidR="008877C0" w:rsidRPr="005C4DA5">
        <w:t>isabilities</w:t>
      </w:r>
      <w:r w:rsidR="0038074C" w:rsidRPr="005C4DA5">
        <w:t xml:space="preserve"> </w:t>
      </w:r>
      <w:r w:rsidRPr="005C4DA5">
        <w:t xml:space="preserve">in </w:t>
      </w:r>
      <w:r w:rsidR="00D54CE2" w:rsidRPr="005C4DA5">
        <w:t>g</w:t>
      </w:r>
      <w:r w:rsidRPr="005C4DA5">
        <w:t>eneral</w:t>
      </w:r>
    </w:p>
    <w:p w14:paraId="7D8D2762" w14:textId="68801D70" w:rsidR="009B46FB" w:rsidRPr="00F64BE9" w:rsidRDefault="009B46FB" w:rsidP="005C4DA5">
      <w:pPr>
        <w:spacing w:after="240"/>
        <w:rPr>
          <w:color w:val="000000"/>
          <w:highlight w:val="lightGray"/>
          <w:lang w:val="en-GB"/>
        </w:rPr>
      </w:pPr>
      <w:r w:rsidRPr="0083452A">
        <w:rPr>
          <w:color w:val="000000"/>
        </w:rPr>
        <w:t>T</w:t>
      </w:r>
      <w:r w:rsidRPr="0083452A">
        <w:t xml:space="preserve">he Danish Act on Public Administration administers access to justice </w:t>
      </w:r>
      <w:r w:rsidR="006C6ABC" w:rsidRPr="0083452A">
        <w:t>regarding</w:t>
      </w:r>
      <w:r w:rsidRPr="0083452A">
        <w:t xml:space="preserve"> administrative decisions</w:t>
      </w:r>
      <w:r w:rsidRPr="0083452A">
        <w:rPr>
          <w:color w:val="000000"/>
        </w:rPr>
        <w:t xml:space="preserve">, while the Danish Administration of Justice </w:t>
      </w:r>
      <w:r w:rsidRPr="0083452A">
        <w:t xml:space="preserve">Act administers access to justice in the judicial system. Both acts generally provide the same rights, obligations and use the same principles </w:t>
      </w:r>
      <w:r w:rsidR="006C6ABC" w:rsidRPr="0083452A">
        <w:t>regarding</w:t>
      </w:r>
      <w:r w:rsidRPr="0083452A">
        <w:t xml:space="preserve"> persons with disabilities and persons without disabilities. </w:t>
      </w:r>
      <w:r w:rsidRPr="0083452A">
        <w:rPr>
          <w:color w:val="000000"/>
          <w:lang w:val="en-US"/>
        </w:rPr>
        <w:t xml:space="preserve">However, the Danish Administration of Justice Act contains some </w:t>
      </w:r>
      <w:r w:rsidR="00453B2C">
        <w:rPr>
          <w:color w:val="000000"/>
        </w:rPr>
        <w:t xml:space="preserve">provisions that adapt </w:t>
      </w:r>
      <w:r w:rsidRPr="0083452A">
        <w:rPr>
          <w:color w:val="000000"/>
        </w:rPr>
        <w:t xml:space="preserve">judicial proceedings to persons with disabilities. Furthermore, the Danish Guardianship Act </w:t>
      </w:r>
      <w:r w:rsidRPr="0083452A">
        <w:rPr>
          <w:lang w:val="en-US"/>
        </w:rPr>
        <w:t xml:space="preserve">and the Administration of Justice Act administers access to justice for persons </w:t>
      </w:r>
      <w:r w:rsidR="00F64BE9">
        <w:rPr>
          <w:lang w:val="en-US"/>
        </w:rPr>
        <w:t xml:space="preserve">with disabilities </w:t>
      </w:r>
      <w:r w:rsidRPr="0083452A">
        <w:rPr>
          <w:lang w:val="en-US"/>
        </w:rPr>
        <w:t>under guardianship</w:t>
      </w:r>
      <w:r w:rsidR="00F64BE9">
        <w:rPr>
          <w:lang w:val="en-US"/>
        </w:rPr>
        <w:t xml:space="preserve"> </w:t>
      </w:r>
      <w:r w:rsidR="00F64BE9" w:rsidRPr="0083452A">
        <w:rPr>
          <w:lang w:val="en-US"/>
        </w:rPr>
        <w:t>specifically</w:t>
      </w:r>
      <w:r w:rsidRPr="0083452A">
        <w:rPr>
          <w:lang w:val="en-US"/>
        </w:rPr>
        <w:t>.</w:t>
      </w:r>
      <w:r w:rsidRPr="006E2B17">
        <w:rPr>
          <w:color w:val="000000"/>
          <w:highlight w:val="lightGray"/>
        </w:rPr>
        <w:t xml:space="preserve"> </w:t>
      </w:r>
    </w:p>
    <w:p w14:paraId="60769371" w14:textId="4287A7D7" w:rsidR="001A755C" w:rsidRPr="005C4DA5" w:rsidRDefault="0083452A" w:rsidP="005C4DA5">
      <w:pPr>
        <w:pStyle w:val="Heading3"/>
      </w:pPr>
      <w:r w:rsidRPr="005C4DA5">
        <w:t>C</w:t>
      </w:r>
      <w:r w:rsidR="001A755C" w:rsidRPr="005C4DA5">
        <w:t>oncerning guardianship</w:t>
      </w:r>
    </w:p>
    <w:p w14:paraId="60D9C4B1" w14:textId="35DCB79D" w:rsidR="00167660" w:rsidRDefault="001A755C" w:rsidP="005C4DA5">
      <w:pPr>
        <w:spacing w:after="240"/>
        <w:rPr>
          <w:lang w:val="en-US"/>
        </w:rPr>
      </w:pPr>
      <w:r>
        <w:rPr>
          <w:lang w:val="en-US"/>
        </w:rPr>
        <w:t>A person may be placed</w:t>
      </w:r>
      <w:r w:rsidRPr="00AC2EB5">
        <w:rPr>
          <w:lang w:val="en-US"/>
        </w:rPr>
        <w:t xml:space="preserve"> under </w:t>
      </w:r>
      <w:r>
        <w:rPr>
          <w:lang w:val="en-US"/>
        </w:rPr>
        <w:t>different</w:t>
      </w:r>
      <w:r w:rsidR="00453B2C">
        <w:rPr>
          <w:lang w:val="en-US"/>
        </w:rPr>
        <w:t xml:space="preserve"> types</w:t>
      </w:r>
      <w:r>
        <w:rPr>
          <w:lang w:val="en-US"/>
        </w:rPr>
        <w:t xml:space="preserve"> of guardianship</w:t>
      </w:r>
      <w:r w:rsidRPr="00AC2EB5">
        <w:rPr>
          <w:lang w:val="en-US"/>
        </w:rPr>
        <w:t>.</w:t>
      </w:r>
      <w:r>
        <w:rPr>
          <w:lang w:val="en-US"/>
        </w:rPr>
        <w:t xml:space="preserve"> A person is placed under </w:t>
      </w:r>
      <w:r w:rsidRPr="007A2199">
        <w:rPr>
          <w:lang w:val="en-US"/>
        </w:rPr>
        <w:t>financial and</w:t>
      </w:r>
      <w:r>
        <w:rPr>
          <w:lang w:val="en-US"/>
        </w:rPr>
        <w:t>/or</w:t>
      </w:r>
      <w:r w:rsidRPr="007A2199">
        <w:rPr>
          <w:lang w:val="en-US"/>
        </w:rPr>
        <w:t xml:space="preserve"> personal guardianship in</w:t>
      </w:r>
      <w:r>
        <w:rPr>
          <w:lang w:val="en-US"/>
        </w:rPr>
        <w:t xml:space="preserve"> accordance with</w:t>
      </w:r>
      <w:r w:rsidRPr="007A2199">
        <w:rPr>
          <w:lang w:val="en-US"/>
        </w:rPr>
        <w:t xml:space="preserve"> the Guardianship Act </w:t>
      </w:r>
      <w:r>
        <w:rPr>
          <w:lang w:val="en-US"/>
        </w:rPr>
        <w:t>Section</w:t>
      </w:r>
      <w:r w:rsidRPr="007A2199">
        <w:rPr>
          <w:lang w:val="en-US"/>
        </w:rPr>
        <w:t xml:space="preserve"> 5 if the person requests </w:t>
      </w:r>
      <w:r>
        <w:rPr>
          <w:lang w:val="en-US"/>
        </w:rPr>
        <w:t>for or needs a guardian</w:t>
      </w:r>
      <w:r w:rsidRPr="007A2199">
        <w:rPr>
          <w:lang w:val="en-US"/>
        </w:rPr>
        <w:t xml:space="preserve"> </w:t>
      </w:r>
      <w:r>
        <w:rPr>
          <w:lang w:val="en-US"/>
        </w:rPr>
        <w:t xml:space="preserve">due to a </w:t>
      </w:r>
      <w:r w:rsidRPr="007A2199">
        <w:rPr>
          <w:lang w:val="en-US"/>
        </w:rPr>
        <w:t xml:space="preserve">weakened </w:t>
      </w:r>
      <w:r>
        <w:rPr>
          <w:lang w:val="en-US"/>
        </w:rPr>
        <w:t>state e.g. mental illness, severe dementia, mental retardation or other types of impairment that make the person unable to look after his or her person and/or financial affairs</w:t>
      </w:r>
      <w:r w:rsidRPr="00AC2EB5">
        <w:rPr>
          <w:lang w:val="en-US"/>
        </w:rPr>
        <w:t>.</w:t>
      </w:r>
      <w:r>
        <w:rPr>
          <w:lang w:val="en-US"/>
        </w:rPr>
        <w:t xml:space="preserve"> The guardian is a legal representative and can enter into legally binding agreements</w:t>
      </w:r>
      <w:r w:rsidRPr="00180AA5">
        <w:rPr>
          <w:color w:val="ED1C24" w:themeColor="accent6"/>
          <w:lang w:val="en-US"/>
        </w:rPr>
        <w:t xml:space="preserve"> </w:t>
      </w:r>
      <w:r>
        <w:rPr>
          <w:lang w:val="en-US"/>
        </w:rPr>
        <w:t xml:space="preserve">on behalf of the person under guardianship. However, the person under guardianship is not deprived of his or her legal capacity. </w:t>
      </w:r>
    </w:p>
    <w:p w14:paraId="591CA3C9" w14:textId="23A93031" w:rsidR="001A755C" w:rsidRDefault="001A755C" w:rsidP="005C4DA5">
      <w:pPr>
        <w:spacing w:after="240"/>
        <w:rPr>
          <w:color w:val="ED1C24" w:themeColor="accent6"/>
          <w:lang w:val="en-US"/>
        </w:rPr>
      </w:pPr>
      <w:r>
        <w:rPr>
          <w:lang w:val="en-US"/>
        </w:rPr>
        <w:t>D</w:t>
      </w:r>
      <w:r w:rsidR="00F64BE9">
        <w:rPr>
          <w:lang w:val="en-US"/>
        </w:rPr>
        <w:t>eprivation of</w:t>
      </w:r>
      <w:r w:rsidRPr="00AC2EB5">
        <w:rPr>
          <w:lang w:val="en-US"/>
        </w:rPr>
        <w:t xml:space="preserve"> legal capacity</w:t>
      </w:r>
      <w:r>
        <w:rPr>
          <w:lang w:val="en-US"/>
        </w:rPr>
        <w:t xml:space="preserve"> is provided for in the Guardianship Act Section</w:t>
      </w:r>
      <w:r w:rsidRPr="00AC2EB5">
        <w:rPr>
          <w:lang w:val="en-US"/>
        </w:rPr>
        <w:t xml:space="preserve"> 6</w:t>
      </w:r>
      <w:r>
        <w:rPr>
          <w:lang w:val="en-US"/>
        </w:rPr>
        <w:t xml:space="preserve">. A person is </w:t>
      </w:r>
      <w:r w:rsidR="00453B2C">
        <w:rPr>
          <w:lang w:val="en-US"/>
        </w:rPr>
        <w:t>deprived of legal capacity</w:t>
      </w:r>
      <w:r>
        <w:rPr>
          <w:lang w:val="en-US"/>
        </w:rPr>
        <w:t xml:space="preserve"> if the person is </w:t>
      </w:r>
      <w:r w:rsidRPr="00031E86">
        <w:rPr>
          <w:lang w:val="en-US"/>
        </w:rPr>
        <w:t>under full</w:t>
      </w:r>
      <w:r w:rsidR="003F75B5">
        <w:rPr>
          <w:lang w:val="en-US"/>
        </w:rPr>
        <w:t xml:space="preserve"> or partial</w:t>
      </w:r>
      <w:r w:rsidRPr="00031E86">
        <w:rPr>
          <w:lang w:val="en-US"/>
        </w:rPr>
        <w:t xml:space="preserve"> financial guardianship in accordance with </w:t>
      </w:r>
      <w:r>
        <w:rPr>
          <w:lang w:val="en-US"/>
        </w:rPr>
        <w:t>Section</w:t>
      </w:r>
      <w:r w:rsidRPr="00031E86">
        <w:rPr>
          <w:lang w:val="en-US"/>
        </w:rPr>
        <w:t xml:space="preserve"> 5, but still enter</w:t>
      </w:r>
      <w:r w:rsidR="00E927E3">
        <w:rPr>
          <w:lang w:val="en-US"/>
        </w:rPr>
        <w:t>s</w:t>
      </w:r>
      <w:r w:rsidRPr="00031E86">
        <w:rPr>
          <w:lang w:val="en-US"/>
        </w:rPr>
        <w:t xml:space="preserve"> into legally binding agreements that are detrimental</w:t>
      </w:r>
      <w:r>
        <w:rPr>
          <w:lang w:val="en-US"/>
        </w:rPr>
        <w:t xml:space="preserve"> to the person</w:t>
      </w:r>
      <w:r w:rsidRPr="00031E86">
        <w:rPr>
          <w:lang w:val="en-US"/>
        </w:rPr>
        <w:t xml:space="preserve">. </w:t>
      </w:r>
      <w:r>
        <w:rPr>
          <w:lang w:val="en-US"/>
        </w:rPr>
        <w:t>A person is therefore placed under such guardianship i</w:t>
      </w:r>
      <w:r w:rsidRPr="00031E86">
        <w:rPr>
          <w:lang w:val="en-US"/>
        </w:rPr>
        <w:t xml:space="preserve">n order to prevent the person from exposing his or her assets, income or other economic interests of deteriorating substantially. </w:t>
      </w:r>
    </w:p>
    <w:p w14:paraId="55A4DC3D" w14:textId="7DFF9E10" w:rsidR="00167660" w:rsidRDefault="001A755C" w:rsidP="005C4DA5">
      <w:pPr>
        <w:spacing w:after="240"/>
        <w:rPr>
          <w:lang w:val="en-US"/>
        </w:rPr>
      </w:pPr>
      <w:r>
        <w:rPr>
          <w:lang w:val="en-US"/>
        </w:rPr>
        <w:t>The less intrusive co-</w:t>
      </w:r>
      <w:r w:rsidRPr="00AC2EB5">
        <w:rPr>
          <w:lang w:val="en-US"/>
        </w:rPr>
        <w:t>guardianship</w:t>
      </w:r>
      <w:r>
        <w:rPr>
          <w:lang w:val="en-US"/>
        </w:rPr>
        <w:t xml:space="preserve"> is provided for</w:t>
      </w:r>
      <w:r w:rsidRPr="00AC2EB5">
        <w:rPr>
          <w:lang w:val="en-US"/>
        </w:rPr>
        <w:t xml:space="preserve"> in </w:t>
      </w:r>
      <w:r w:rsidR="00E927E3">
        <w:rPr>
          <w:lang w:val="en-US"/>
        </w:rPr>
        <w:t xml:space="preserve">the Guardianship Act </w:t>
      </w:r>
      <w:r>
        <w:rPr>
          <w:lang w:val="en-US"/>
        </w:rPr>
        <w:t>Section</w:t>
      </w:r>
      <w:r w:rsidRPr="00AC2EB5">
        <w:rPr>
          <w:lang w:val="en-US"/>
        </w:rPr>
        <w:t xml:space="preserve"> 7.</w:t>
      </w:r>
      <w:r>
        <w:rPr>
          <w:lang w:val="en-US"/>
        </w:rPr>
        <w:t xml:space="preserve"> This guardianship requires that </w:t>
      </w:r>
      <w:r w:rsidRPr="007A2199">
        <w:rPr>
          <w:lang w:val="en-US"/>
        </w:rPr>
        <w:t>the person has requested the guardianship</w:t>
      </w:r>
      <w:r>
        <w:rPr>
          <w:lang w:val="en-US"/>
        </w:rPr>
        <w:t xml:space="preserve"> and need help to administer his or her assets or to handle other economic affairs due to inexperience, impaired health or similar problems. A person under such guardianship makes decisions along with his or her guardian. The guardian cannot make decisions without the person under guardianship, and the person under guardianship keeps his or her legal capacity.</w:t>
      </w:r>
    </w:p>
    <w:p w14:paraId="17552F97" w14:textId="12E80F2D" w:rsidR="001A755C" w:rsidRDefault="001A755C" w:rsidP="005C4DA5">
      <w:pPr>
        <w:spacing w:after="240"/>
        <w:rPr>
          <w:lang w:val="en-US" w:eastAsia="da-DK"/>
        </w:rPr>
      </w:pPr>
      <w:r w:rsidRPr="00475B98">
        <w:rPr>
          <w:lang w:val="en-US" w:eastAsia="da-DK"/>
        </w:rPr>
        <w:t>In accordance with</w:t>
      </w:r>
      <w:r>
        <w:rPr>
          <w:lang w:val="en-US" w:eastAsia="da-DK"/>
        </w:rPr>
        <w:t xml:space="preserve"> </w:t>
      </w:r>
      <w:r w:rsidRPr="00475B98">
        <w:rPr>
          <w:lang w:val="en-US" w:eastAsia="da-DK"/>
        </w:rPr>
        <w:t xml:space="preserve">the Guardianship Act </w:t>
      </w:r>
      <w:r>
        <w:rPr>
          <w:lang w:val="en-US" w:eastAsia="da-DK"/>
        </w:rPr>
        <w:t>Section</w:t>
      </w:r>
      <w:r w:rsidRPr="00475B98">
        <w:rPr>
          <w:lang w:val="en-US" w:eastAsia="da-DK"/>
        </w:rPr>
        <w:t xml:space="preserve"> 16 a request to establish, modify or terminate a guardianship can be made by the person under guardianship, th</w:t>
      </w:r>
      <w:r>
        <w:rPr>
          <w:lang w:val="en-US" w:eastAsia="da-DK"/>
        </w:rPr>
        <w:t>is</w:t>
      </w:r>
      <w:r w:rsidRPr="00475B98">
        <w:rPr>
          <w:lang w:val="en-US" w:eastAsia="da-DK"/>
        </w:rPr>
        <w:t xml:space="preserve"> person’s spouse, child, sibling or other family members, the guardian, the Municipality Council, th</w:t>
      </w:r>
      <w:r w:rsidR="00E927E3">
        <w:rPr>
          <w:lang w:val="en-US" w:eastAsia="da-DK"/>
        </w:rPr>
        <w:t>e Regional Municipality Council or</w:t>
      </w:r>
      <w:r w:rsidRPr="00475B98">
        <w:rPr>
          <w:lang w:val="en-US" w:eastAsia="da-DK"/>
        </w:rPr>
        <w:t xml:space="preserve"> the Commissio</w:t>
      </w:r>
      <w:r w:rsidR="00E927E3">
        <w:rPr>
          <w:lang w:val="en-US" w:eastAsia="da-DK"/>
        </w:rPr>
        <w:t>ner of the police district.</w:t>
      </w:r>
    </w:p>
    <w:p w14:paraId="74215AE7" w14:textId="55724870" w:rsidR="005C4DA5" w:rsidRDefault="001A755C" w:rsidP="005C4DA5">
      <w:pPr>
        <w:spacing w:after="240"/>
        <w:rPr>
          <w:lang w:val="en-US"/>
        </w:rPr>
      </w:pPr>
      <w:r>
        <w:rPr>
          <w:lang w:val="en-US"/>
        </w:rPr>
        <w:t>T</w:t>
      </w:r>
      <w:r w:rsidRPr="00394513">
        <w:rPr>
          <w:lang w:val="en-US"/>
        </w:rPr>
        <w:t>he</w:t>
      </w:r>
      <w:r>
        <w:rPr>
          <w:lang w:val="en-US"/>
        </w:rPr>
        <w:t xml:space="preserve"> </w:t>
      </w:r>
      <w:r w:rsidR="00460F51">
        <w:rPr>
          <w:lang w:val="en-US"/>
        </w:rPr>
        <w:t xml:space="preserve">Danish </w:t>
      </w:r>
      <w:r w:rsidR="00A86C3C">
        <w:rPr>
          <w:lang w:val="en-US"/>
        </w:rPr>
        <w:t>Agency of Family Law</w:t>
      </w:r>
      <w:r>
        <w:rPr>
          <w:lang w:val="en-US"/>
        </w:rPr>
        <w:t xml:space="preserve"> decides whether a person should be placed under</w:t>
      </w:r>
      <w:r w:rsidRPr="00394513">
        <w:rPr>
          <w:lang w:val="en-US"/>
        </w:rPr>
        <w:t xml:space="preserve"> </w:t>
      </w:r>
      <w:r>
        <w:rPr>
          <w:lang w:val="en-US"/>
        </w:rPr>
        <w:t xml:space="preserve">guardianship in accordance with </w:t>
      </w:r>
      <w:r w:rsidR="00F54C7E">
        <w:rPr>
          <w:lang w:val="en-US"/>
        </w:rPr>
        <w:t xml:space="preserve">The Guardianship Act </w:t>
      </w:r>
      <w:r>
        <w:rPr>
          <w:lang w:val="en-US"/>
        </w:rPr>
        <w:t xml:space="preserve">Section 5 and 7, while the court decides whether a person should be placed under guardianship in accordance with Section 6. The </w:t>
      </w:r>
      <w:r w:rsidR="00A86C3C">
        <w:rPr>
          <w:lang w:val="en-US"/>
        </w:rPr>
        <w:t>Agency of Family Law</w:t>
      </w:r>
      <w:r>
        <w:rPr>
          <w:lang w:val="en-US"/>
        </w:rPr>
        <w:t>’s decision to place a person under guardianship i</w:t>
      </w:r>
      <w:r w:rsidRPr="00235C55">
        <w:rPr>
          <w:lang w:val="en-US"/>
        </w:rPr>
        <w:t xml:space="preserve">n accordance with </w:t>
      </w:r>
      <w:r>
        <w:rPr>
          <w:lang w:val="en-US"/>
        </w:rPr>
        <w:t>Section</w:t>
      </w:r>
      <w:r w:rsidRPr="00235C55">
        <w:rPr>
          <w:lang w:val="en-US"/>
        </w:rPr>
        <w:t xml:space="preserve"> 5 </w:t>
      </w:r>
      <w:r>
        <w:rPr>
          <w:lang w:val="en-US"/>
        </w:rPr>
        <w:t>or</w:t>
      </w:r>
      <w:r w:rsidRPr="00235C55">
        <w:rPr>
          <w:lang w:val="en-US"/>
        </w:rPr>
        <w:t xml:space="preserve"> 7 </w:t>
      </w:r>
      <w:r>
        <w:rPr>
          <w:lang w:val="en-US"/>
        </w:rPr>
        <w:t xml:space="preserve">and the </w:t>
      </w:r>
      <w:r w:rsidR="00A86C3C">
        <w:rPr>
          <w:lang w:val="en-US"/>
        </w:rPr>
        <w:t>Agency of Family Law</w:t>
      </w:r>
      <w:r>
        <w:rPr>
          <w:lang w:val="en-US"/>
        </w:rPr>
        <w:t>’s</w:t>
      </w:r>
      <w:r w:rsidRPr="00235C55">
        <w:rPr>
          <w:lang w:val="en-US"/>
        </w:rPr>
        <w:t xml:space="preserve"> d</w:t>
      </w:r>
      <w:r w:rsidRPr="00E954CB">
        <w:rPr>
          <w:lang w:val="en-US"/>
        </w:rPr>
        <w:t>ecision to modify or terminate a guardianship can be appealed</w:t>
      </w:r>
      <w:r>
        <w:rPr>
          <w:lang w:val="en-US"/>
        </w:rPr>
        <w:t xml:space="preserve"> </w:t>
      </w:r>
      <w:r w:rsidRPr="00E954CB">
        <w:rPr>
          <w:lang w:val="en-US"/>
        </w:rPr>
        <w:t xml:space="preserve">to the </w:t>
      </w:r>
      <w:r>
        <w:rPr>
          <w:lang w:val="en-US"/>
        </w:rPr>
        <w:t xml:space="preserve">court in accordance with the Guardianship Act Section 22 and the Administration of Justice Act chapter 43. </w:t>
      </w:r>
    </w:p>
    <w:p w14:paraId="3FF17A52" w14:textId="4B0E06A2" w:rsidR="00D77A02" w:rsidRDefault="001A755C" w:rsidP="005C4DA5">
      <w:pPr>
        <w:spacing w:after="240"/>
        <w:rPr>
          <w:lang w:val="en-US"/>
        </w:rPr>
      </w:pPr>
      <w:r w:rsidRPr="00475B98">
        <w:rPr>
          <w:lang w:val="en-US"/>
        </w:rPr>
        <w:t>The guardian</w:t>
      </w:r>
      <w:r>
        <w:rPr>
          <w:lang w:val="en-US"/>
        </w:rPr>
        <w:t xml:space="preserve"> must</w:t>
      </w:r>
      <w:r w:rsidRPr="00475B98">
        <w:rPr>
          <w:lang w:val="en-US"/>
        </w:rPr>
        <w:t xml:space="preserve"> in accordance with</w:t>
      </w:r>
      <w:r>
        <w:rPr>
          <w:lang w:val="en-US"/>
        </w:rPr>
        <w:t xml:space="preserve"> </w:t>
      </w:r>
      <w:r w:rsidRPr="00475B98">
        <w:rPr>
          <w:lang w:val="en-US"/>
        </w:rPr>
        <w:t xml:space="preserve">the Guardianship Act </w:t>
      </w:r>
      <w:r>
        <w:rPr>
          <w:lang w:val="en-US"/>
        </w:rPr>
        <w:t>Section</w:t>
      </w:r>
      <w:r w:rsidRPr="00475B98">
        <w:rPr>
          <w:lang w:val="en-US"/>
        </w:rPr>
        <w:t xml:space="preserve"> 26 consult the person under guardianship before the guardian decide on important matters, unless </w:t>
      </w:r>
      <w:r>
        <w:rPr>
          <w:lang w:val="en-US"/>
        </w:rPr>
        <w:t>the person</w:t>
      </w:r>
      <w:r w:rsidR="00D54CE2">
        <w:rPr>
          <w:lang w:val="en-US"/>
        </w:rPr>
        <w:t xml:space="preserve"> is</w:t>
      </w:r>
      <w:r w:rsidRPr="00475B98">
        <w:rPr>
          <w:lang w:val="en-US"/>
        </w:rPr>
        <w:t xml:space="preserve"> </w:t>
      </w:r>
      <w:r>
        <w:rPr>
          <w:lang w:val="en-US"/>
        </w:rPr>
        <w:t xml:space="preserve">unable to </w:t>
      </w:r>
      <w:r w:rsidRPr="00475B98">
        <w:rPr>
          <w:lang w:val="en-US"/>
        </w:rPr>
        <w:t>understand the importance of the decision</w:t>
      </w:r>
      <w:r w:rsidRPr="00475B98">
        <w:rPr>
          <w:color w:val="ED1C24" w:themeColor="accent6"/>
          <w:lang w:val="en-US"/>
        </w:rPr>
        <w:t xml:space="preserve"> </w:t>
      </w:r>
      <w:r w:rsidRPr="00475B98">
        <w:rPr>
          <w:lang w:val="en-US"/>
        </w:rPr>
        <w:t>or consulting the person under guardianship cannot be done without significant difficulties.</w:t>
      </w:r>
    </w:p>
    <w:p w14:paraId="15E5A9B8" w14:textId="5EFBD524" w:rsidR="001A755C" w:rsidRDefault="001A755C" w:rsidP="005C4DA5">
      <w:pPr>
        <w:spacing w:after="240"/>
        <w:rPr>
          <w:lang w:val="en-US"/>
        </w:rPr>
      </w:pPr>
    </w:p>
    <w:p w14:paraId="544832DF" w14:textId="36670923" w:rsidR="00D54CE2" w:rsidRPr="0083452A" w:rsidRDefault="00D54CE2" w:rsidP="005C4DA5">
      <w:pPr>
        <w:spacing w:after="240"/>
        <w:rPr>
          <w:lang w:val="en-US"/>
        </w:rPr>
      </w:pPr>
      <w:r w:rsidRPr="0083452A">
        <w:t>T</w:t>
      </w:r>
      <w:r w:rsidRPr="0083452A">
        <w:rPr>
          <w:lang w:val="en-US"/>
        </w:rPr>
        <w:t xml:space="preserve">he Administration of Justice Act Section 257(1) prescribes that persons </w:t>
      </w:r>
      <w:r w:rsidR="00F54C7E">
        <w:rPr>
          <w:lang w:val="en-US"/>
        </w:rPr>
        <w:t>deprived of their legal capacity</w:t>
      </w:r>
      <w:r w:rsidRPr="0083452A">
        <w:rPr>
          <w:lang w:val="en-US"/>
        </w:rPr>
        <w:t xml:space="preserve"> in accordance with the Guardianship Act Section 6 cannot represent themselves in court.</w:t>
      </w:r>
    </w:p>
    <w:p w14:paraId="365CBA9C" w14:textId="720AEAAA" w:rsidR="00D54CE2" w:rsidRPr="005B4C99" w:rsidRDefault="00D54CE2" w:rsidP="005C4DA5">
      <w:pPr>
        <w:spacing w:after="240"/>
        <w:rPr>
          <w:lang w:val="en-US"/>
        </w:rPr>
      </w:pPr>
      <w:r w:rsidRPr="0083452A">
        <w:rPr>
          <w:lang w:val="en-US"/>
        </w:rPr>
        <w:t>A person placed under guar</w:t>
      </w:r>
      <w:r w:rsidR="00453B2C">
        <w:rPr>
          <w:lang w:val="en-US"/>
        </w:rPr>
        <w:t xml:space="preserve">dianship in accordance with the </w:t>
      </w:r>
      <w:r w:rsidRPr="0083452A">
        <w:rPr>
          <w:lang w:val="en-US"/>
        </w:rPr>
        <w:t>Guardianship Act Section 6 will be represented by his or her guardian. The guardian is obliged to follow the rules in the Guardianship Act Section 26. Furthermore, the guardian is required to obtain consent from a person under guardianship in order to initiate judicial proceedings in the situations referred to in the Administration of Justice Act</w:t>
      </w:r>
      <w:r w:rsidRPr="0083452A" w:rsidDel="00C27310">
        <w:rPr>
          <w:lang w:val="en-US"/>
        </w:rPr>
        <w:t xml:space="preserve"> </w:t>
      </w:r>
      <w:r w:rsidRPr="0083452A">
        <w:rPr>
          <w:lang w:val="en-US"/>
        </w:rPr>
        <w:t>Section 257(2).  For example, a guardian need the consent of the person placed under guardianship in order to initiate judicial proceedings concerning valid and legally binding agreements, which the person placed under guardianship have entered into.</w:t>
      </w:r>
    </w:p>
    <w:p w14:paraId="30644A0B" w14:textId="171082B6" w:rsidR="00167660" w:rsidRPr="005C4DA5" w:rsidRDefault="006D5107" w:rsidP="005C4DA5">
      <w:pPr>
        <w:pStyle w:val="Heading3"/>
      </w:pPr>
      <w:r w:rsidRPr="005C4DA5">
        <w:t>Representation in civil cases</w:t>
      </w:r>
    </w:p>
    <w:p w14:paraId="2BD326B4" w14:textId="4DE042D5" w:rsidR="00167660" w:rsidRPr="004B1B00" w:rsidRDefault="006D5107" w:rsidP="005C4DA5">
      <w:pPr>
        <w:spacing w:after="240"/>
        <w:rPr>
          <w:lang w:val="en-US"/>
        </w:rPr>
      </w:pPr>
      <w:r w:rsidRPr="004B1B00">
        <w:rPr>
          <w:lang w:val="en-US"/>
        </w:rPr>
        <w:t xml:space="preserve">In general, pursuant to the Administration of Justice Act a plaintiff or a defendant can choose to be represented in court by a process agent e.g. an attorney.  </w:t>
      </w:r>
    </w:p>
    <w:p w14:paraId="28EFB4A8" w14:textId="7A4310C7" w:rsidR="006D5107" w:rsidRDefault="006D5107" w:rsidP="005C4DA5">
      <w:pPr>
        <w:spacing w:after="240"/>
        <w:rPr>
          <w:lang w:val="en-US"/>
        </w:rPr>
      </w:pPr>
      <w:r w:rsidRPr="004B1B00">
        <w:t>According to</w:t>
      </w:r>
      <w:r w:rsidR="00F54C7E">
        <w:t xml:space="preserve"> the Administration of Justice Act</w:t>
      </w:r>
      <w:r w:rsidRPr="004B1B00">
        <w:t xml:space="preserve"> Section </w:t>
      </w:r>
      <w:r w:rsidRPr="004B1B00">
        <w:rPr>
          <w:lang w:val="en-US"/>
        </w:rPr>
        <w:t>259 a plaintiff or a defendant can also choose to represent him- or herself in court, unless the court assesses that the case will not be presented in an appropriate manner without assistance.</w:t>
      </w:r>
      <w:r w:rsidRPr="00972037">
        <w:rPr>
          <w:lang w:val="en-US"/>
        </w:rPr>
        <w:t xml:space="preserve"> </w:t>
      </w:r>
    </w:p>
    <w:p w14:paraId="0EF25EA9" w14:textId="77777777" w:rsidR="006D5107" w:rsidRPr="005C4DA5" w:rsidRDefault="006D5107" w:rsidP="005C4DA5">
      <w:pPr>
        <w:pStyle w:val="Heading3"/>
      </w:pPr>
      <w:r w:rsidRPr="005C4DA5">
        <w:t>Representation in criminal cases</w:t>
      </w:r>
    </w:p>
    <w:p w14:paraId="032633C5" w14:textId="223182B1" w:rsidR="006D5107" w:rsidRDefault="006D5107" w:rsidP="005C4DA5">
      <w:pPr>
        <w:spacing w:after="240"/>
        <w:rPr>
          <w:lang w:val="en-US"/>
        </w:rPr>
      </w:pPr>
      <w:r w:rsidRPr="004B1B00">
        <w:rPr>
          <w:lang w:val="en-US"/>
        </w:rPr>
        <w:t>Generally, in accordance with the Administration of Justice Act Section 729(a) and Section 730-735 a defendant can choose his or her own defense attorney. If the defendant does not choose a defense attorney an attorney will be appointed to the defendant under certain circumstances as described in Section 731-735. According to Section 732 the court appoints an attorney to a defendant if the defendant’s person requires it, e.g. if the defendant</w:t>
      </w:r>
      <w:r w:rsidR="00896208">
        <w:rPr>
          <w:lang w:val="en-US"/>
        </w:rPr>
        <w:t xml:space="preserve"> </w:t>
      </w:r>
      <w:r w:rsidRPr="004B1B00">
        <w:rPr>
          <w:lang w:val="en-US"/>
        </w:rPr>
        <w:t>has a mental disability</w:t>
      </w:r>
      <w:r w:rsidR="00896208">
        <w:rPr>
          <w:lang w:val="en-US"/>
        </w:rPr>
        <w:t>.</w:t>
      </w:r>
    </w:p>
    <w:p w14:paraId="6B9CACC9" w14:textId="77777777" w:rsidR="006D5107" w:rsidRPr="007B0EA5" w:rsidRDefault="006D5107" w:rsidP="005C4DA5">
      <w:pPr>
        <w:pStyle w:val="Heading3"/>
        <w:rPr>
          <w:lang w:val="en-US"/>
        </w:rPr>
      </w:pPr>
      <w:r>
        <w:rPr>
          <w:lang w:val="en-US"/>
        </w:rPr>
        <w:t>Witnesses</w:t>
      </w:r>
    </w:p>
    <w:p w14:paraId="749D78E7" w14:textId="10AF216E" w:rsidR="006D5107" w:rsidRPr="00C5680D" w:rsidRDefault="006D5107" w:rsidP="005C4DA5">
      <w:pPr>
        <w:spacing w:after="240"/>
        <w:rPr>
          <w:lang w:val="en-US"/>
        </w:rPr>
      </w:pPr>
      <w:r w:rsidRPr="0083452A">
        <w:rPr>
          <w:lang w:val="en-US"/>
        </w:rPr>
        <w:t>The Administration of Justice Act Section 168 sets out an obligation to give evidence as a witness in court unless the person concerned can be exempted</w:t>
      </w:r>
      <w:r w:rsidRPr="0083452A">
        <w:rPr>
          <w:color w:val="FF0000"/>
          <w:lang w:val="en-US"/>
        </w:rPr>
        <w:t xml:space="preserve"> </w:t>
      </w:r>
      <w:r w:rsidRPr="0083452A">
        <w:rPr>
          <w:lang w:val="en-US"/>
        </w:rPr>
        <w:t>or is excluded</w:t>
      </w:r>
      <w:r w:rsidRPr="0083452A">
        <w:rPr>
          <w:color w:val="FF0000"/>
          <w:lang w:val="en-US"/>
        </w:rPr>
        <w:t xml:space="preserve"> </w:t>
      </w:r>
      <w:r w:rsidRPr="0083452A">
        <w:rPr>
          <w:lang w:val="en-US"/>
        </w:rPr>
        <w:t>in accordance with Section 169</w:t>
      </w:r>
      <w:r w:rsidR="0083452A">
        <w:rPr>
          <w:lang w:val="en-US"/>
        </w:rPr>
        <w:t>-172(a), in cases of e.g. holding a public</w:t>
      </w:r>
      <w:r w:rsidR="00167660">
        <w:rPr>
          <w:lang w:val="en-US"/>
        </w:rPr>
        <w:t xml:space="preserve"> office or avoiding incrimination</w:t>
      </w:r>
      <w:r w:rsidRPr="0083452A">
        <w:rPr>
          <w:lang w:val="en-US"/>
        </w:rPr>
        <w:t>. However, it is presumed that persons incapable of giving reliable evidence cannot be required to witness.</w:t>
      </w:r>
      <w:r>
        <w:rPr>
          <w:rFonts w:ascii="Arial" w:hAnsi="Arial" w:cs="Arial"/>
          <w:color w:val="222222"/>
          <w:sz w:val="23"/>
          <w:szCs w:val="23"/>
        </w:rPr>
        <w:t xml:space="preserve"> </w:t>
      </w:r>
    </w:p>
    <w:p w14:paraId="30E035A5" w14:textId="6D92F144" w:rsidR="006D5107" w:rsidRPr="006D5107" w:rsidRDefault="006D5107" w:rsidP="005C4DA5">
      <w:pPr>
        <w:spacing w:after="240"/>
      </w:pPr>
      <w:r w:rsidRPr="004B1B00">
        <w:rPr>
          <w:lang w:val="en-US"/>
        </w:rPr>
        <w:t>In accordance with</w:t>
      </w:r>
      <w:r w:rsidR="00167660">
        <w:rPr>
          <w:lang w:val="en-US"/>
        </w:rPr>
        <w:t xml:space="preserve"> the Administration of Justice Act</w:t>
      </w:r>
      <w:r w:rsidRPr="004B1B00">
        <w:rPr>
          <w:lang w:val="en-US"/>
        </w:rPr>
        <w:t xml:space="preserve"> Section 149(5) </w:t>
      </w:r>
      <w:r w:rsidRPr="00F31F8C">
        <w:rPr>
          <w:lang w:val="en-US"/>
        </w:rPr>
        <w:t>(please view the attached provisions)</w:t>
      </w:r>
      <w:r w:rsidRPr="004B1B00">
        <w:rPr>
          <w:lang w:val="en-US"/>
        </w:rPr>
        <w:t xml:space="preserve"> a witness, a plaintiff or a defendant can be granted a sign interpre</w:t>
      </w:r>
      <w:r w:rsidR="00896208">
        <w:rPr>
          <w:lang w:val="en-US"/>
        </w:rPr>
        <w:t>ter if he or she is deaf or has</w:t>
      </w:r>
      <w:r w:rsidRPr="004B1B00">
        <w:rPr>
          <w:lang w:val="en-US"/>
        </w:rPr>
        <w:t xml:space="preserve"> a severe hearing impairment. Likewise, examination and proceedings involving a mute person will be conducted in writing and answers will, if requested, be delivered with the assistance of an interpreter. Deaf persons, persons with hearing impairment, deafened or mute persons also have access to assistance by a consultant with expertise in their disability during the court </w:t>
      </w:r>
      <w:r w:rsidRPr="004B1B00">
        <w:rPr>
          <w:rFonts w:asciiTheme="minorHAnsi" w:hAnsiTheme="minorHAnsi"/>
          <w:lang w:val="en-US"/>
        </w:rPr>
        <w:t>hearings.</w:t>
      </w:r>
      <w:r w:rsidR="00167660" w:rsidRPr="006D5107">
        <w:t xml:space="preserve"> </w:t>
      </w:r>
    </w:p>
    <w:p w14:paraId="7B4C30ED" w14:textId="6289F08E" w:rsidR="0038074C" w:rsidRPr="0038074C" w:rsidRDefault="00896208" w:rsidP="005C4DA5">
      <w:pPr>
        <w:pStyle w:val="Heading3"/>
        <w:rPr>
          <w:lang w:val="en-GB"/>
        </w:rPr>
      </w:pPr>
      <w:r>
        <w:rPr>
          <w:lang w:val="en-GB"/>
        </w:rPr>
        <w:t xml:space="preserve">The </w:t>
      </w:r>
      <w:r w:rsidR="00BF0A6D">
        <w:rPr>
          <w:lang w:val="en-GB"/>
        </w:rPr>
        <w:t>Danish Act on a Ban on Discrimination on the Grounds of Disability</w:t>
      </w:r>
    </w:p>
    <w:p w14:paraId="7DEE9EDA" w14:textId="606837E2" w:rsidR="002A76BC" w:rsidRDefault="00896208" w:rsidP="005C4DA5">
      <w:pPr>
        <w:spacing w:after="240"/>
        <w:rPr>
          <w:lang w:val="en-GB"/>
        </w:rPr>
      </w:pPr>
      <w:r>
        <w:rPr>
          <w:lang w:val="en-GB"/>
        </w:rPr>
        <w:t>In 2018</w:t>
      </w:r>
      <w:r w:rsidR="008877C0">
        <w:rPr>
          <w:lang w:val="en-GB"/>
        </w:rPr>
        <w:t xml:space="preserve"> the </w:t>
      </w:r>
      <w:r w:rsidR="00BF0A6D">
        <w:rPr>
          <w:lang w:val="en-GB"/>
        </w:rPr>
        <w:t>Danish Parliament enacted the Danish Act on a Ban on Discrimination on the Grounds of Disability. This act</w:t>
      </w:r>
      <w:r w:rsidR="008877C0">
        <w:rPr>
          <w:lang w:val="en-GB"/>
        </w:rPr>
        <w:t xml:space="preserve"> implies a substantial step forward concerning the rights of per</w:t>
      </w:r>
      <w:r w:rsidR="00BF0A6D">
        <w:rPr>
          <w:lang w:val="en-GB"/>
        </w:rPr>
        <w:t xml:space="preserve">sons with disabilities. This act in interaction with </w:t>
      </w:r>
      <w:r w:rsidR="00F16F13">
        <w:rPr>
          <w:lang w:val="en-GB"/>
        </w:rPr>
        <w:t xml:space="preserve">the </w:t>
      </w:r>
      <w:r w:rsidR="00BF0A6D">
        <w:rPr>
          <w:lang w:val="en-GB"/>
        </w:rPr>
        <w:t xml:space="preserve">older </w:t>
      </w:r>
      <w:r w:rsidR="00F16F13" w:rsidRPr="00F16F13">
        <w:rPr>
          <w:lang w:val="en-GB"/>
        </w:rPr>
        <w:t>Act on Prohibition of Discrimination in the Labour Market etc.</w:t>
      </w:r>
      <w:r w:rsidR="00F16F13">
        <w:rPr>
          <w:lang w:val="en-GB"/>
        </w:rPr>
        <w:t xml:space="preserve"> </w:t>
      </w:r>
      <w:r w:rsidR="008877C0">
        <w:rPr>
          <w:lang w:val="en-GB"/>
        </w:rPr>
        <w:t>generates a general prohibition of discriminati</w:t>
      </w:r>
      <w:r>
        <w:rPr>
          <w:lang w:val="en-GB"/>
        </w:rPr>
        <w:t>on of persons with disabilities</w:t>
      </w:r>
      <w:r w:rsidR="008877C0">
        <w:rPr>
          <w:lang w:val="en-GB"/>
        </w:rPr>
        <w:t xml:space="preserve"> which covers all areas of society. </w:t>
      </w:r>
      <w:r w:rsidR="00933D97">
        <w:rPr>
          <w:lang w:val="en-GB"/>
        </w:rPr>
        <w:t xml:space="preserve">The new </w:t>
      </w:r>
      <w:r>
        <w:rPr>
          <w:lang w:val="en-GB"/>
        </w:rPr>
        <w:t>a</w:t>
      </w:r>
      <w:r w:rsidR="002A76BC">
        <w:rPr>
          <w:lang w:val="en-GB"/>
        </w:rPr>
        <w:t>ct</w:t>
      </w:r>
      <w:r w:rsidR="00933D97">
        <w:rPr>
          <w:lang w:val="en-GB"/>
        </w:rPr>
        <w:t xml:space="preserve"> means that </w:t>
      </w:r>
      <w:r w:rsidR="0038074C">
        <w:rPr>
          <w:lang w:val="en-GB"/>
        </w:rPr>
        <w:t xml:space="preserve">also </w:t>
      </w:r>
      <w:r w:rsidR="00933D97">
        <w:rPr>
          <w:lang w:val="en-GB"/>
        </w:rPr>
        <w:t>cases about discrimination</w:t>
      </w:r>
      <w:r w:rsidR="007E2257">
        <w:rPr>
          <w:lang w:val="en-GB"/>
        </w:rPr>
        <w:t xml:space="preserve"> on the grounds of disability o</w:t>
      </w:r>
      <w:r w:rsidR="0038074C">
        <w:rPr>
          <w:lang w:val="en-GB"/>
        </w:rPr>
        <w:t xml:space="preserve">utside the labour marked </w:t>
      </w:r>
      <w:r w:rsidR="00933D97">
        <w:rPr>
          <w:lang w:val="en-GB"/>
        </w:rPr>
        <w:t xml:space="preserve">can now be </w:t>
      </w:r>
      <w:r w:rsidR="0038074C">
        <w:rPr>
          <w:lang w:val="en-GB"/>
        </w:rPr>
        <w:t xml:space="preserve">taken before the </w:t>
      </w:r>
      <w:r w:rsidR="00BF0A6D" w:rsidRPr="00BF0A6D">
        <w:rPr>
          <w:lang w:val="en-GB"/>
        </w:rPr>
        <w:t>Danish Bo</w:t>
      </w:r>
      <w:r w:rsidR="002A76BC">
        <w:rPr>
          <w:lang w:val="en-GB"/>
        </w:rPr>
        <w:t>ard</w:t>
      </w:r>
      <w:r w:rsidR="00BF0A6D" w:rsidRPr="00BF0A6D">
        <w:rPr>
          <w:lang w:val="en-GB"/>
        </w:rPr>
        <w:t xml:space="preserve"> o</w:t>
      </w:r>
      <w:r w:rsidR="002A76BC">
        <w:rPr>
          <w:lang w:val="en-GB"/>
        </w:rPr>
        <w:t>f</w:t>
      </w:r>
      <w:r w:rsidR="00BF0A6D" w:rsidRPr="00BF0A6D">
        <w:rPr>
          <w:lang w:val="en-GB"/>
        </w:rPr>
        <w:t xml:space="preserve"> Equal Treatment</w:t>
      </w:r>
      <w:r w:rsidR="0038074C" w:rsidRPr="00BF0A6D">
        <w:rPr>
          <w:lang w:val="en-GB"/>
        </w:rPr>
        <w:t>.</w:t>
      </w:r>
    </w:p>
    <w:p w14:paraId="162C33FC" w14:textId="6FC71458" w:rsidR="00061046" w:rsidRPr="00BF0A6D" w:rsidRDefault="0038074C" w:rsidP="005C4DA5">
      <w:pPr>
        <w:pStyle w:val="Heading3"/>
        <w:rPr>
          <w:lang w:val="en-GB"/>
        </w:rPr>
      </w:pPr>
      <w:r w:rsidRPr="00BF0A6D">
        <w:rPr>
          <w:lang w:val="en-GB"/>
        </w:rPr>
        <w:t xml:space="preserve">The </w:t>
      </w:r>
      <w:r w:rsidR="00BF0A6D">
        <w:rPr>
          <w:lang w:val="en-GB"/>
        </w:rPr>
        <w:t>Danish Bo</w:t>
      </w:r>
      <w:r w:rsidR="002A76BC">
        <w:rPr>
          <w:lang w:val="en-GB"/>
        </w:rPr>
        <w:t>ard</w:t>
      </w:r>
      <w:r w:rsidR="00BF0A6D">
        <w:rPr>
          <w:lang w:val="en-GB"/>
        </w:rPr>
        <w:t xml:space="preserve"> o</w:t>
      </w:r>
      <w:r w:rsidR="002A76BC">
        <w:rPr>
          <w:lang w:val="en-GB"/>
        </w:rPr>
        <w:t>f</w:t>
      </w:r>
      <w:r w:rsidR="00BF0A6D">
        <w:rPr>
          <w:lang w:val="en-GB"/>
        </w:rPr>
        <w:t xml:space="preserve"> </w:t>
      </w:r>
      <w:r w:rsidRPr="00BF0A6D">
        <w:rPr>
          <w:lang w:val="en-GB"/>
        </w:rPr>
        <w:t>Equal Treatment</w:t>
      </w:r>
    </w:p>
    <w:p w14:paraId="63290CC2" w14:textId="68BC424C" w:rsidR="00167660" w:rsidRDefault="00BF0A6D" w:rsidP="005C4DA5">
      <w:pPr>
        <w:spacing w:after="240"/>
        <w:rPr>
          <w:lang w:val="en-GB"/>
        </w:rPr>
      </w:pPr>
      <w:r>
        <w:rPr>
          <w:lang w:val="en-GB"/>
        </w:rPr>
        <w:t>The Danish Bo</w:t>
      </w:r>
      <w:r w:rsidR="002A76BC">
        <w:rPr>
          <w:lang w:val="en-GB"/>
        </w:rPr>
        <w:t>a</w:t>
      </w:r>
      <w:r>
        <w:rPr>
          <w:lang w:val="en-GB"/>
        </w:rPr>
        <w:t>rd</w:t>
      </w:r>
      <w:r w:rsidR="002A76BC">
        <w:rPr>
          <w:lang w:val="en-GB"/>
        </w:rPr>
        <w:t xml:space="preserve"> of</w:t>
      </w:r>
      <w:r>
        <w:rPr>
          <w:lang w:val="en-GB"/>
        </w:rPr>
        <w:t xml:space="preserve"> Equal Treatment</w:t>
      </w:r>
      <w:r w:rsidR="00896208">
        <w:rPr>
          <w:lang w:val="en-GB"/>
        </w:rPr>
        <w:t xml:space="preserve"> is an administrative </w:t>
      </w:r>
      <w:r>
        <w:rPr>
          <w:lang w:val="en-GB"/>
        </w:rPr>
        <w:t>bo</w:t>
      </w:r>
      <w:r w:rsidR="002A76BC">
        <w:rPr>
          <w:lang w:val="en-GB"/>
        </w:rPr>
        <w:t>ard</w:t>
      </w:r>
      <w:r w:rsidR="005524E2">
        <w:rPr>
          <w:lang w:val="en-GB"/>
        </w:rPr>
        <w:t xml:space="preserve"> that </w:t>
      </w:r>
      <w:r w:rsidR="005C4DA5">
        <w:rPr>
          <w:lang w:val="en-GB"/>
        </w:rPr>
        <w:t>handl</w:t>
      </w:r>
      <w:r w:rsidR="00896208">
        <w:rPr>
          <w:lang w:val="en-GB"/>
        </w:rPr>
        <w:t>e</w:t>
      </w:r>
      <w:r w:rsidR="005C4DA5">
        <w:rPr>
          <w:lang w:val="en-GB"/>
        </w:rPr>
        <w:t xml:space="preserve">s </w:t>
      </w:r>
      <w:r w:rsidR="005524E2">
        <w:rPr>
          <w:lang w:val="en-GB"/>
        </w:rPr>
        <w:t>cases of discrimination of different reasons, such as gender, ethnicity, age and disability</w:t>
      </w:r>
      <w:r w:rsidR="00C03702">
        <w:rPr>
          <w:lang w:val="en-GB"/>
        </w:rPr>
        <w:t xml:space="preserve">, cf. </w:t>
      </w:r>
      <w:r w:rsidR="005C4DA5">
        <w:rPr>
          <w:lang w:val="en-GB"/>
        </w:rPr>
        <w:t xml:space="preserve">the </w:t>
      </w:r>
      <w:r w:rsidR="00C03702" w:rsidRPr="00531C1D">
        <w:rPr>
          <w:lang w:val="en-GB"/>
        </w:rPr>
        <w:t>Danish Act o</w:t>
      </w:r>
      <w:r w:rsidR="00C03702">
        <w:rPr>
          <w:lang w:val="en-GB"/>
        </w:rPr>
        <w:t xml:space="preserve">n </w:t>
      </w:r>
      <w:r w:rsidR="002A76BC">
        <w:rPr>
          <w:lang w:val="en-GB"/>
        </w:rPr>
        <w:t>the Board of</w:t>
      </w:r>
      <w:r w:rsidR="00C03702">
        <w:rPr>
          <w:lang w:val="en-GB"/>
        </w:rPr>
        <w:t xml:space="preserve"> Equal Treatment Section</w:t>
      </w:r>
      <w:r w:rsidR="00C03702" w:rsidRPr="00531C1D">
        <w:rPr>
          <w:lang w:val="en-GB"/>
        </w:rPr>
        <w:t xml:space="preserve"> 1(1)</w:t>
      </w:r>
      <w:r w:rsidR="005524E2">
        <w:rPr>
          <w:lang w:val="en-GB"/>
        </w:rPr>
        <w:t>.</w:t>
      </w:r>
      <w:r w:rsidR="00C03702">
        <w:rPr>
          <w:lang w:val="en-GB"/>
        </w:rPr>
        <w:t xml:space="preserve"> Access </w:t>
      </w:r>
      <w:r>
        <w:rPr>
          <w:lang w:val="en-GB"/>
        </w:rPr>
        <w:t xml:space="preserve">to the </w:t>
      </w:r>
      <w:r w:rsidR="002A76BC">
        <w:rPr>
          <w:lang w:val="en-GB"/>
        </w:rPr>
        <w:t>Board</w:t>
      </w:r>
      <w:r w:rsidR="005524E2">
        <w:rPr>
          <w:lang w:val="en-GB"/>
        </w:rPr>
        <w:t xml:space="preserve"> for persons who consider themselves being discriminated</w:t>
      </w:r>
      <w:r w:rsidR="00C03702">
        <w:rPr>
          <w:lang w:val="en-GB"/>
        </w:rPr>
        <w:t xml:space="preserve"> is free</w:t>
      </w:r>
      <w:r w:rsidR="005524E2">
        <w:rPr>
          <w:lang w:val="en-GB"/>
        </w:rPr>
        <w:t>.</w:t>
      </w:r>
      <w:r>
        <w:rPr>
          <w:lang w:val="en-GB"/>
        </w:rPr>
        <w:t xml:space="preserve"> The </w:t>
      </w:r>
      <w:r w:rsidR="002A76BC">
        <w:rPr>
          <w:lang w:val="en-GB"/>
        </w:rPr>
        <w:t>Board</w:t>
      </w:r>
      <w:r w:rsidR="005524E2">
        <w:rPr>
          <w:lang w:val="en-GB"/>
        </w:rPr>
        <w:t xml:space="preserve"> has capacity to</w:t>
      </w:r>
      <w:r w:rsidR="00DB161C">
        <w:rPr>
          <w:lang w:val="en-GB"/>
        </w:rPr>
        <w:t xml:space="preserve"> establish </w:t>
      </w:r>
      <w:r w:rsidR="00896208">
        <w:rPr>
          <w:lang w:val="en-GB"/>
        </w:rPr>
        <w:t>whether discrimination has taken place</w:t>
      </w:r>
      <w:r w:rsidR="005C4DA5">
        <w:rPr>
          <w:lang w:val="en-GB"/>
        </w:rPr>
        <w:t xml:space="preserve"> and</w:t>
      </w:r>
      <w:r w:rsidR="006A5BC2">
        <w:rPr>
          <w:lang w:val="en-GB"/>
        </w:rPr>
        <w:t xml:space="preserve"> grant</w:t>
      </w:r>
      <w:r w:rsidR="00DB161C">
        <w:rPr>
          <w:lang w:val="en-GB"/>
        </w:rPr>
        <w:t xml:space="preserve"> compensation </w:t>
      </w:r>
      <w:r w:rsidR="00C03702">
        <w:rPr>
          <w:lang w:val="en-GB"/>
        </w:rPr>
        <w:t xml:space="preserve">cf. </w:t>
      </w:r>
      <w:r w:rsidR="006A5BC2">
        <w:rPr>
          <w:lang w:val="en-GB"/>
        </w:rPr>
        <w:t>the</w:t>
      </w:r>
      <w:r w:rsidR="00C03702" w:rsidRPr="003121BD">
        <w:rPr>
          <w:lang w:val="en-GB"/>
        </w:rPr>
        <w:t xml:space="preserve"> Act on</w:t>
      </w:r>
      <w:r w:rsidR="006A5BC2">
        <w:rPr>
          <w:lang w:val="en-GB"/>
        </w:rPr>
        <w:t xml:space="preserve"> the</w:t>
      </w:r>
      <w:r w:rsidR="00C03702" w:rsidRPr="003121BD">
        <w:rPr>
          <w:lang w:val="en-GB"/>
        </w:rPr>
        <w:t xml:space="preserve"> </w:t>
      </w:r>
      <w:r w:rsidR="002A76BC">
        <w:rPr>
          <w:lang w:val="en-GB"/>
        </w:rPr>
        <w:t>Board of</w:t>
      </w:r>
      <w:r w:rsidR="00C03702" w:rsidRPr="003121BD">
        <w:rPr>
          <w:lang w:val="en-GB"/>
        </w:rPr>
        <w:t xml:space="preserve"> Equal Treatment Section 2</w:t>
      </w:r>
      <w:r w:rsidR="00DB161C">
        <w:rPr>
          <w:lang w:val="en-GB"/>
        </w:rPr>
        <w:t>.</w:t>
      </w:r>
    </w:p>
    <w:p w14:paraId="7CA6EE6F" w14:textId="080E17F5" w:rsidR="00167660" w:rsidRDefault="00BF0A6D" w:rsidP="005C4DA5">
      <w:pPr>
        <w:spacing w:after="240"/>
        <w:rPr>
          <w:lang w:val="en-GB"/>
        </w:rPr>
      </w:pPr>
      <w:r>
        <w:rPr>
          <w:lang w:val="en-GB"/>
        </w:rPr>
        <w:t>As t</w:t>
      </w:r>
      <w:r w:rsidR="00CE3BBA">
        <w:rPr>
          <w:lang w:val="en-GB"/>
        </w:rPr>
        <w:t>he</w:t>
      </w:r>
      <w:r>
        <w:rPr>
          <w:lang w:val="en-GB"/>
        </w:rPr>
        <w:t xml:space="preserve"> Bo</w:t>
      </w:r>
      <w:r w:rsidR="002A76BC">
        <w:rPr>
          <w:lang w:val="en-GB"/>
        </w:rPr>
        <w:t>a</w:t>
      </w:r>
      <w:r>
        <w:rPr>
          <w:lang w:val="en-GB"/>
        </w:rPr>
        <w:t>rd o</w:t>
      </w:r>
      <w:r w:rsidR="002A76BC">
        <w:rPr>
          <w:lang w:val="en-GB"/>
        </w:rPr>
        <w:t>f</w:t>
      </w:r>
      <w:r>
        <w:rPr>
          <w:lang w:val="en-GB"/>
        </w:rPr>
        <w:t xml:space="preserve"> Equal Treatment is an administrative</w:t>
      </w:r>
      <w:r w:rsidR="00CE3BBA">
        <w:rPr>
          <w:lang w:val="en-GB"/>
        </w:rPr>
        <w:t xml:space="preserve"> body</w:t>
      </w:r>
      <w:r>
        <w:rPr>
          <w:lang w:val="en-GB"/>
        </w:rPr>
        <w:t>,</w:t>
      </w:r>
      <w:r w:rsidR="00CE3BBA">
        <w:rPr>
          <w:lang w:val="en-GB"/>
        </w:rPr>
        <w:t xml:space="preserve"> </w:t>
      </w:r>
      <w:r>
        <w:rPr>
          <w:lang w:val="en-GB"/>
        </w:rPr>
        <w:t xml:space="preserve">it’s </w:t>
      </w:r>
      <w:r w:rsidR="00CE3BBA">
        <w:rPr>
          <w:lang w:val="en-GB"/>
        </w:rPr>
        <w:t>subject to the common</w:t>
      </w:r>
      <w:r w:rsidR="0008302C">
        <w:rPr>
          <w:lang w:val="en-GB"/>
        </w:rPr>
        <w:t xml:space="preserve"> public</w:t>
      </w:r>
      <w:r w:rsidR="00CE3BBA">
        <w:rPr>
          <w:lang w:val="en-GB"/>
        </w:rPr>
        <w:t xml:space="preserve"> administration regulation such as the</w:t>
      </w:r>
      <w:r w:rsidR="00CE3BBA" w:rsidRPr="00CE3BBA">
        <w:rPr>
          <w:lang w:val="en-GB"/>
        </w:rPr>
        <w:t xml:space="preserve"> Danish Act on Public Administration</w:t>
      </w:r>
      <w:r w:rsidR="00CE3BBA">
        <w:rPr>
          <w:lang w:val="en-GB"/>
        </w:rPr>
        <w:t xml:space="preserve"> and the </w:t>
      </w:r>
      <w:r w:rsidR="002A76BC" w:rsidRPr="005C4DA5">
        <w:rPr>
          <w:lang w:val="en-GB"/>
        </w:rPr>
        <w:t>Access to Public Administration Files Act.</w:t>
      </w:r>
      <w:r w:rsidR="00CE3BBA">
        <w:rPr>
          <w:lang w:val="en-GB"/>
        </w:rPr>
        <w:t xml:space="preserve"> Hereby the </w:t>
      </w:r>
      <w:r>
        <w:rPr>
          <w:lang w:val="en-GB"/>
        </w:rPr>
        <w:t>Danish Bo</w:t>
      </w:r>
      <w:r w:rsidR="002A76BC">
        <w:rPr>
          <w:lang w:val="en-GB"/>
        </w:rPr>
        <w:t>a</w:t>
      </w:r>
      <w:r>
        <w:rPr>
          <w:lang w:val="en-GB"/>
        </w:rPr>
        <w:t>rd o</w:t>
      </w:r>
      <w:r w:rsidR="002A76BC">
        <w:rPr>
          <w:lang w:val="en-GB"/>
        </w:rPr>
        <w:t>f</w:t>
      </w:r>
      <w:r>
        <w:rPr>
          <w:lang w:val="en-GB"/>
        </w:rPr>
        <w:t xml:space="preserve"> Equal Treatment</w:t>
      </w:r>
      <w:r w:rsidR="00CE3BBA">
        <w:rPr>
          <w:lang w:val="en-GB"/>
        </w:rPr>
        <w:t xml:space="preserve"> is obliged to provide the reasons of </w:t>
      </w:r>
      <w:r w:rsidR="00B97633">
        <w:rPr>
          <w:lang w:val="en-GB"/>
        </w:rPr>
        <w:t>its</w:t>
      </w:r>
      <w:r w:rsidR="00CE3BBA">
        <w:rPr>
          <w:lang w:val="en-GB"/>
        </w:rPr>
        <w:t xml:space="preserve"> decisions, consult the parties and to </w:t>
      </w:r>
      <w:r w:rsidR="00B97633">
        <w:rPr>
          <w:lang w:val="en-GB"/>
        </w:rPr>
        <w:t>provide the required information before it settles the decision.</w:t>
      </w:r>
    </w:p>
    <w:p w14:paraId="0772C2B5" w14:textId="3B7313C1" w:rsidR="00B16CEF" w:rsidRDefault="0008302C" w:rsidP="005C4DA5">
      <w:pPr>
        <w:spacing w:after="240"/>
        <w:rPr>
          <w:lang w:val="en-GB"/>
        </w:rPr>
      </w:pPr>
      <w:r>
        <w:rPr>
          <w:lang w:val="en-GB"/>
        </w:rPr>
        <w:t>D</w:t>
      </w:r>
      <w:r w:rsidR="004F1EB5">
        <w:rPr>
          <w:lang w:val="en-GB"/>
        </w:rPr>
        <w:t>ecisions</w:t>
      </w:r>
      <w:r>
        <w:rPr>
          <w:lang w:val="en-GB"/>
        </w:rPr>
        <w:t xml:space="preserve"> of the Board of Equal Treatment</w:t>
      </w:r>
      <w:r w:rsidR="006A55A9">
        <w:rPr>
          <w:lang w:val="en-GB"/>
        </w:rPr>
        <w:t xml:space="preserve"> can </w:t>
      </w:r>
      <w:r w:rsidR="007F7D9C">
        <w:rPr>
          <w:lang w:val="en-GB"/>
        </w:rPr>
        <w:t xml:space="preserve">be brought before the </w:t>
      </w:r>
      <w:r>
        <w:rPr>
          <w:lang w:val="en-GB"/>
        </w:rPr>
        <w:t xml:space="preserve">Danish </w:t>
      </w:r>
      <w:r w:rsidR="007F7D9C">
        <w:rPr>
          <w:lang w:val="en-GB"/>
        </w:rPr>
        <w:t>c</w:t>
      </w:r>
      <w:r w:rsidR="006A55A9">
        <w:rPr>
          <w:lang w:val="en-GB"/>
        </w:rPr>
        <w:t>ourts</w:t>
      </w:r>
      <w:r w:rsidR="001D2FA1">
        <w:rPr>
          <w:lang w:val="en-GB"/>
        </w:rPr>
        <w:t>,</w:t>
      </w:r>
      <w:r w:rsidR="0091477F">
        <w:rPr>
          <w:lang w:val="en-GB"/>
        </w:rPr>
        <w:t xml:space="preserve"> cf.</w:t>
      </w:r>
      <w:r w:rsidR="0091477F" w:rsidRPr="004F1EB5">
        <w:rPr>
          <w:lang w:val="en-GB"/>
        </w:rPr>
        <w:t xml:space="preserve"> Act </w:t>
      </w:r>
      <w:r w:rsidR="0091477F">
        <w:rPr>
          <w:lang w:val="en-GB"/>
        </w:rPr>
        <w:t>on</w:t>
      </w:r>
      <w:r w:rsidR="007F7D9C">
        <w:rPr>
          <w:lang w:val="en-GB"/>
        </w:rPr>
        <w:t xml:space="preserve"> the</w:t>
      </w:r>
      <w:r w:rsidR="0091477F">
        <w:rPr>
          <w:lang w:val="en-GB"/>
        </w:rPr>
        <w:t xml:space="preserve"> </w:t>
      </w:r>
      <w:r w:rsidR="002A76BC">
        <w:rPr>
          <w:lang w:val="en-GB"/>
        </w:rPr>
        <w:t>Board of</w:t>
      </w:r>
      <w:r w:rsidR="0091477F">
        <w:rPr>
          <w:lang w:val="en-GB"/>
        </w:rPr>
        <w:t xml:space="preserve"> Equal Treatment Section</w:t>
      </w:r>
      <w:r w:rsidR="0091477F" w:rsidRPr="004F1EB5">
        <w:rPr>
          <w:lang w:val="en-GB"/>
        </w:rPr>
        <w:t xml:space="preserve"> 12(1)</w:t>
      </w:r>
      <w:r w:rsidR="0091477F">
        <w:rPr>
          <w:lang w:val="en-GB"/>
        </w:rPr>
        <w:t xml:space="preserve">, </w:t>
      </w:r>
      <w:r w:rsidR="001D2FA1">
        <w:rPr>
          <w:lang w:val="en-GB"/>
        </w:rPr>
        <w:t>wh</w:t>
      </w:r>
      <w:r w:rsidR="004F1EB5">
        <w:rPr>
          <w:lang w:val="en-GB"/>
        </w:rPr>
        <w:t xml:space="preserve">ich means that after the </w:t>
      </w:r>
      <w:r w:rsidR="002A76BC">
        <w:rPr>
          <w:lang w:val="en-GB"/>
        </w:rPr>
        <w:t>Board</w:t>
      </w:r>
      <w:r w:rsidR="001D2FA1">
        <w:rPr>
          <w:lang w:val="en-GB"/>
        </w:rPr>
        <w:t xml:space="preserve"> has taken a decision, the judicial and factual parts of the case can be tried a second time, independent of the </w:t>
      </w:r>
      <w:r w:rsidR="002A76BC">
        <w:rPr>
          <w:lang w:val="en-GB"/>
        </w:rPr>
        <w:t>Board of</w:t>
      </w:r>
      <w:r w:rsidR="004F1EB5">
        <w:rPr>
          <w:lang w:val="en-GB"/>
        </w:rPr>
        <w:t xml:space="preserve"> Equal Treatment</w:t>
      </w:r>
      <w:r w:rsidR="001D2FA1">
        <w:rPr>
          <w:lang w:val="en-GB"/>
        </w:rPr>
        <w:t xml:space="preserve"> and new information can be brought into the case. </w:t>
      </w:r>
      <w:r>
        <w:rPr>
          <w:lang w:val="en-GB"/>
        </w:rPr>
        <w:t>In case</w:t>
      </w:r>
      <w:r w:rsidR="004F1EB5">
        <w:rPr>
          <w:lang w:val="en-GB"/>
        </w:rPr>
        <w:t xml:space="preserve"> </w:t>
      </w:r>
      <w:r>
        <w:rPr>
          <w:lang w:val="en-GB"/>
        </w:rPr>
        <w:t>the Board decides that discrimination has taken place, but</w:t>
      </w:r>
      <w:r w:rsidR="001D2FA1">
        <w:rPr>
          <w:lang w:val="en-GB"/>
        </w:rPr>
        <w:t xml:space="preserve"> </w:t>
      </w:r>
      <w:r>
        <w:rPr>
          <w:lang w:val="en-GB"/>
        </w:rPr>
        <w:t xml:space="preserve">the </w:t>
      </w:r>
      <w:r w:rsidRPr="0008302C">
        <w:rPr>
          <w:lang w:val="en-GB"/>
        </w:rPr>
        <w:t>respondent</w:t>
      </w:r>
      <w:r>
        <w:rPr>
          <w:lang w:val="en-GB"/>
        </w:rPr>
        <w:t xml:space="preserve"> refuses to comply with the decision</w:t>
      </w:r>
      <w:r w:rsidR="00D1403A">
        <w:rPr>
          <w:lang w:val="en-GB"/>
        </w:rPr>
        <w:t xml:space="preserve">, the </w:t>
      </w:r>
      <w:r w:rsidR="002A76BC">
        <w:rPr>
          <w:lang w:val="en-GB"/>
        </w:rPr>
        <w:t>Board</w:t>
      </w:r>
      <w:r>
        <w:rPr>
          <w:lang w:val="en-GB"/>
        </w:rPr>
        <w:t xml:space="preserve"> shall</w:t>
      </w:r>
      <w:r w:rsidR="004F1EB5">
        <w:rPr>
          <w:lang w:val="en-GB"/>
        </w:rPr>
        <w:t xml:space="preserve"> </w:t>
      </w:r>
      <w:r w:rsidR="00531C1D">
        <w:rPr>
          <w:lang w:val="en-GB"/>
        </w:rPr>
        <w:t xml:space="preserve">bring the </w:t>
      </w:r>
      <w:r w:rsidR="002A76BC">
        <w:rPr>
          <w:lang w:val="en-GB"/>
        </w:rPr>
        <w:t>case</w:t>
      </w:r>
      <w:r>
        <w:rPr>
          <w:lang w:val="en-GB"/>
        </w:rPr>
        <w:t xml:space="preserve"> before the Danish c</w:t>
      </w:r>
      <w:r w:rsidR="00D1403A">
        <w:rPr>
          <w:lang w:val="en-GB"/>
        </w:rPr>
        <w:t>ourts</w:t>
      </w:r>
      <w:r>
        <w:rPr>
          <w:lang w:val="en-GB"/>
        </w:rPr>
        <w:t xml:space="preserve"> on behalf of the </w:t>
      </w:r>
      <w:r w:rsidRPr="0008302C">
        <w:rPr>
          <w:lang w:val="en-GB"/>
        </w:rPr>
        <w:t>complainant</w:t>
      </w:r>
      <w:r w:rsidR="0091477F">
        <w:rPr>
          <w:lang w:val="en-GB"/>
        </w:rPr>
        <w:t xml:space="preserve">, cf. </w:t>
      </w:r>
      <w:r>
        <w:rPr>
          <w:lang w:val="en-GB"/>
        </w:rPr>
        <w:t>the</w:t>
      </w:r>
      <w:r w:rsidR="0091477F" w:rsidRPr="004F1EB5">
        <w:rPr>
          <w:lang w:val="en-GB"/>
        </w:rPr>
        <w:t xml:space="preserve"> Act </w:t>
      </w:r>
      <w:r w:rsidR="0091477F">
        <w:rPr>
          <w:lang w:val="en-GB"/>
        </w:rPr>
        <w:t>on</w:t>
      </w:r>
      <w:r>
        <w:rPr>
          <w:lang w:val="en-GB"/>
        </w:rPr>
        <w:t xml:space="preserve"> the</w:t>
      </w:r>
      <w:r w:rsidR="0091477F">
        <w:rPr>
          <w:lang w:val="en-GB"/>
        </w:rPr>
        <w:t xml:space="preserve"> </w:t>
      </w:r>
      <w:r w:rsidR="002A76BC">
        <w:rPr>
          <w:lang w:val="en-GB"/>
        </w:rPr>
        <w:t>Board of</w:t>
      </w:r>
      <w:r w:rsidR="0091477F">
        <w:rPr>
          <w:lang w:val="en-GB"/>
        </w:rPr>
        <w:t xml:space="preserve"> Equal Treatment Section</w:t>
      </w:r>
      <w:r w:rsidR="0091477F" w:rsidRPr="004F1EB5">
        <w:rPr>
          <w:lang w:val="en-GB"/>
        </w:rPr>
        <w:t xml:space="preserve"> </w:t>
      </w:r>
      <w:r w:rsidR="0091477F" w:rsidRPr="003121BD">
        <w:rPr>
          <w:lang w:val="en-GB"/>
        </w:rPr>
        <w:t>12(2)</w:t>
      </w:r>
      <w:r w:rsidR="001343CC">
        <w:rPr>
          <w:lang w:val="en-GB"/>
        </w:rPr>
        <w:t>.</w:t>
      </w:r>
      <w:r w:rsidR="00D1403A">
        <w:rPr>
          <w:lang w:val="en-GB"/>
        </w:rPr>
        <w:t xml:space="preserve"> </w:t>
      </w:r>
      <w:r w:rsidR="001343CC">
        <w:rPr>
          <w:lang w:val="en-GB"/>
        </w:rPr>
        <w:t xml:space="preserve">Hereafter the </w:t>
      </w:r>
      <w:r>
        <w:rPr>
          <w:lang w:val="en-GB"/>
        </w:rPr>
        <w:t>State’s Law Firm (Kammeradvokaten)</w:t>
      </w:r>
      <w:r w:rsidR="001343CC">
        <w:rPr>
          <w:lang w:val="en-GB"/>
        </w:rPr>
        <w:t xml:space="preserve"> will lead t</w:t>
      </w:r>
      <w:r w:rsidR="00531C1D">
        <w:rPr>
          <w:lang w:val="en-GB"/>
        </w:rPr>
        <w:t xml:space="preserve">he case on behalf of the </w:t>
      </w:r>
      <w:r w:rsidR="002A76BC">
        <w:rPr>
          <w:lang w:val="en-GB"/>
        </w:rPr>
        <w:t>Board</w:t>
      </w:r>
      <w:r w:rsidR="001343CC">
        <w:rPr>
          <w:lang w:val="en-GB"/>
        </w:rPr>
        <w:t>.</w:t>
      </w:r>
      <w:bookmarkStart w:id="0" w:name="_GoBack"/>
      <w:bookmarkEnd w:id="0"/>
    </w:p>
    <w:p w14:paraId="24E58DDC" w14:textId="77777777" w:rsidR="005C4DA5" w:rsidRDefault="005C4DA5" w:rsidP="005C4DA5">
      <w:pPr>
        <w:spacing w:after="240"/>
        <w:rPr>
          <w:lang w:val="en-GB"/>
        </w:rPr>
      </w:pPr>
    </w:p>
    <w:p w14:paraId="775B042D" w14:textId="2524086B" w:rsidR="00B16CEF" w:rsidRDefault="0008302C" w:rsidP="005C4DA5">
      <w:pPr>
        <w:keepNext/>
        <w:keepLines/>
        <w:spacing w:line="276" w:lineRule="auto"/>
      </w:pPr>
      <w:sdt>
        <w:sdtPr>
          <w:tag w:val="{&quot;templafy&quot;:{&quot;id&quot;:&quot;92b49187-e1d2-4a98-a1bb-8d3eea71095a&quot;}}"/>
          <w:id w:val="445591106"/>
          <w:placeholder>
            <w:docPart w:val="7FEB248CE6204EBF8DC3F623E988CDEF"/>
          </w:placeholder>
        </w:sdtPr>
        <w:sdtEndPr/>
        <w:sdtContent>
          <w:r w:rsidR="00B16CEF" w:rsidRPr="00EB51CB">
            <w:rPr>
              <w:lang w:val="en-GB"/>
            </w:rPr>
            <w:t>Yours sincerely,</w:t>
          </w:r>
        </w:sdtContent>
      </w:sdt>
    </w:p>
    <w:p w14:paraId="7263C683" w14:textId="77777777" w:rsidR="005C4DA5" w:rsidRPr="00EB51CB" w:rsidRDefault="005C4DA5" w:rsidP="005C4DA5">
      <w:pPr>
        <w:keepNext/>
        <w:keepLines/>
        <w:spacing w:line="276" w:lineRule="auto"/>
        <w:rPr>
          <w:lang w:val="en-GB"/>
        </w:rPr>
      </w:pPr>
    </w:p>
    <w:p w14:paraId="79BC376B" w14:textId="787E1967" w:rsidR="00B16CEF" w:rsidRPr="00EB51CB" w:rsidRDefault="0008302C" w:rsidP="005C4DA5">
      <w:pPr>
        <w:keepNext/>
        <w:keepLines/>
        <w:spacing w:line="276" w:lineRule="auto"/>
        <w:rPr>
          <w:lang w:val="en-GB"/>
        </w:rPr>
      </w:pPr>
      <w:sdt>
        <w:sdtPr>
          <w:tag w:val="{&quot;templafy&quot;:{&quot;id&quot;:&quot;413cf2e2-d74f-4e1d-82c0-d610a752d7c8&quot;}}"/>
          <w:id w:val="639692476"/>
          <w:placeholder>
            <w:docPart w:val="CD000C034B5647AF894948F56BDE51A0"/>
          </w:placeholder>
        </w:sdtPr>
        <w:sdtEndPr/>
        <w:sdtContent>
          <w:r w:rsidR="00D54CE2">
            <w:rPr>
              <w:lang w:val="en-GB"/>
            </w:rPr>
            <w:t>Mette Gaardsted Frandsen</w:t>
          </w:r>
        </w:sdtContent>
      </w:sdt>
      <w:r w:rsidR="00B16CEF" w:rsidRPr="00EB51CB">
        <w:rPr>
          <w:lang w:val="en-GB"/>
        </w:rPr>
        <w:t xml:space="preserve"> </w:t>
      </w:r>
    </w:p>
    <w:sdt>
      <w:sdtPr>
        <w:tag w:val="{&quot;templafy&quot;:{&quot;id&quot;:&quot;d58ebc33-0f4a-46ac-a25b-33006145a847&quot;}}"/>
        <w:id w:val="-1543665834"/>
        <w:placeholder>
          <w:docPart w:val="4811EFCE1063437AAA27FC18DC622011"/>
        </w:placeholder>
      </w:sdtPr>
      <w:sdtEndPr/>
      <w:sdtContent>
        <w:p w14:paraId="44A6F47D" w14:textId="77777777" w:rsidR="00B16CEF" w:rsidRPr="00EB51CB" w:rsidRDefault="00B16CEF" w:rsidP="005C4DA5">
          <w:pPr>
            <w:pStyle w:val="SenderTitle"/>
            <w:spacing w:line="276" w:lineRule="auto"/>
            <w:rPr>
              <w:lang w:val="en-GB"/>
            </w:rPr>
          </w:pPr>
          <w:r w:rsidRPr="00EB51CB">
            <w:rPr>
              <w:lang w:val="en-GB"/>
            </w:rPr>
            <w:t>Legal adviser</w:t>
          </w:r>
        </w:p>
      </w:sdtContent>
    </w:sdt>
    <w:p w14:paraId="53FE398C" w14:textId="1EB65598" w:rsidR="00BB41CD" w:rsidRDefault="00BB41CD" w:rsidP="001D2FA1">
      <w:pPr>
        <w:rPr>
          <w:lang w:val="en-GB"/>
        </w:rPr>
      </w:pPr>
    </w:p>
    <w:p w14:paraId="4FF648E6" w14:textId="4B3DDB05" w:rsidR="007F7D9C" w:rsidRDefault="007F7D9C">
      <w:pPr>
        <w:rPr>
          <w:lang w:val="en-GB"/>
        </w:rPr>
      </w:pPr>
      <w:r>
        <w:rPr>
          <w:lang w:val="en-GB"/>
        </w:rPr>
        <w:br w:type="page"/>
      </w:r>
    </w:p>
    <w:p w14:paraId="1F083D7D" w14:textId="77777777" w:rsidR="00F31F8C" w:rsidRDefault="00F31F8C" w:rsidP="001D2FA1">
      <w:pPr>
        <w:rPr>
          <w:lang w:val="en-GB"/>
        </w:rPr>
      </w:pPr>
    </w:p>
    <w:p w14:paraId="23E9CA88" w14:textId="77777777" w:rsidR="00F31F8C" w:rsidRDefault="00F31F8C" w:rsidP="00F31F8C">
      <w:pPr>
        <w:pStyle w:val="Heading1"/>
        <w:rPr>
          <w:lang w:val="en-US"/>
        </w:rPr>
      </w:pPr>
      <w:r>
        <w:rPr>
          <w:rFonts w:asciiTheme="minorHAnsi" w:hAnsiTheme="minorHAnsi"/>
          <w:lang w:val="en-US"/>
        </w:rPr>
        <w:t xml:space="preserve">Translated provisions from </w:t>
      </w:r>
      <w:r w:rsidRPr="00DE3FB2">
        <w:rPr>
          <w:lang w:val="en-US"/>
        </w:rPr>
        <w:t>the Administration of Justice Act</w:t>
      </w:r>
    </w:p>
    <w:p w14:paraId="5B0B7FB9" w14:textId="77777777" w:rsidR="00F31F8C" w:rsidRDefault="00F31F8C" w:rsidP="00F31F8C">
      <w:pPr>
        <w:pStyle w:val="BodyText"/>
        <w:rPr>
          <w:lang w:val="en-US"/>
        </w:rPr>
      </w:pPr>
    </w:p>
    <w:p w14:paraId="632FCCE6" w14:textId="77777777" w:rsidR="00F31F8C" w:rsidRDefault="00F31F8C" w:rsidP="00F31F8C">
      <w:pPr>
        <w:pStyle w:val="BodyText"/>
        <w:rPr>
          <w:rFonts w:asciiTheme="minorHAnsi" w:hAnsiTheme="minorHAnsi"/>
          <w:b/>
          <w:lang w:val="en-US"/>
        </w:rPr>
      </w:pPr>
      <w:r>
        <w:rPr>
          <w:rFonts w:asciiTheme="minorHAnsi" w:hAnsiTheme="minorHAnsi"/>
          <w:b/>
          <w:lang w:val="en-US"/>
        </w:rPr>
        <w:t>149</w:t>
      </w:r>
    </w:p>
    <w:p w14:paraId="3BD47496" w14:textId="77777777" w:rsidR="00F31F8C" w:rsidRPr="002677E6" w:rsidRDefault="00F31F8C" w:rsidP="00F31F8C">
      <w:pPr>
        <w:pStyle w:val="BodyText"/>
        <w:rPr>
          <w:lang w:val="en-US"/>
        </w:rPr>
      </w:pPr>
      <w:r>
        <w:rPr>
          <w:lang w:val="en-US"/>
        </w:rPr>
        <w:t>(1) T</w:t>
      </w:r>
      <w:r w:rsidRPr="002677E6">
        <w:rPr>
          <w:lang w:val="en-US"/>
        </w:rPr>
        <w:t>he language of the proceedings is Danish. Where possible, the examination of persons who do not master the</w:t>
      </w:r>
      <w:r>
        <w:rPr>
          <w:lang w:val="en-US"/>
        </w:rPr>
        <w:t xml:space="preserve"> Danish language must </w:t>
      </w:r>
      <w:r w:rsidRPr="002677E6">
        <w:rPr>
          <w:lang w:val="en-US"/>
        </w:rPr>
        <w:t>be conducted with the assistance of a translator with a master’s degr</w:t>
      </w:r>
      <w:r>
        <w:rPr>
          <w:lang w:val="en-US"/>
        </w:rPr>
        <w:t xml:space="preserve">ee in translation (language for </w:t>
      </w:r>
      <w:r w:rsidRPr="002677E6">
        <w:rPr>
          <w:lang w:val="en-US"/>
        </w:rPr>
        <w:t>special purposes) or the like. In civil proceedings, however, the use of an interpreter may be dispensed with wh</w:t>
      </w:r>
      <w:r>
        <w:rPr>
          <w:lang w:val="en-US"/>
        </w:rPr>
        <w:t xml:space="preserve">ere </w:t>
      </w:r>
      <w:r w:rsidRPr="002677E6">
        <w:rPr>
          <w:lang w:val="en-US"/>
        </w:rPr>
        <w:t xml:space="preserve">neither party insists on calling in an interpreter and where the court believes that it </w:t>
      </w:r>
      <w:r>
        <w:rPr>
          <w:lang w:val="en-US"/>
        </w:rPr>
        <w:t xml:space="preserve">has sufficient knowledge of the </w:t>
      </w:r>
      <w:r w:rsidRPr="002677E6">
        <w:rPr>
          <w:lang w:val="en-US"/>
        </w:rPr>
        <w:t>foreign language. Subject to the latter condition, the same applies to criminal proceedin</w:t>
      </w:r>
      <w:r>
        <w:rPr>
          <w:lang w:val="en-US"/>
        </w:rPr>
        <w:t xml:space="preserve">gs, with the exception of trial </w:t>
      </w:r>
      <w:r w:rsidRPr="002677E6">
        <w:rPr>
          <w:lang w:val="en-US"/>
        </w:rPr>
        <w:t>hearings in the high courts.</w:t>
      </w:r>
    </w:p>
    <w:p w14:paraId="608980F2" w14:textId="77777777" w:rsidR="00F31F8C" w:rsidRPr="002677E6" w:rsidRDefault="00F31F8C" w:rsidP="00F31F8C">
      <w:pPr>
        <w:pStyle w:val="BodyText"/>
        <w:rPr>
          <w:lang w:val="en-US"/>
        </w:rPr>
      </w:pPr>
      <w:r w:rsidRPr="002677E6">
        <w:rPr>
          <w:lang w:val="en-US"/>
        </w:rPr>
        <w:t>(2) Documents drawn up in a foreign language must be accompanied by a translati</w:t>
      </w:r>
      <w:r>
        <w:rPr>
          <w:lang w:val="en-US"/>
        </w:rPr>
        <w:t xml:space="preserve">on which, if so demanded by the </w:t>
      </w:r>
      <w:r w:rsidRPr="002677E6">
        <w:rPr>
          <w:lang w:val="en-US"/>
        </w:rPr>
        <w:t>court or the opposing party, must be certified by a translator with a master’s degree in tr</w:t>
      </w:r>
      <w:r>
        <w:rPr>
          <w:lang w:val="en-US"/>
        </w:rPr>
        <w:t xml:space="preserve">anslation (language for special </w:t>
      </w:r>
      <w:r w:rsidRPr="002677E6">
        <w:rPr>
          <w:lang w:val="en-US"/>
        </w:rPr>
        <w:t>purposes) or the like. However, the requirement for translation may be waived where both</w:t>
      </w:r>
      <w:r>
        <w:rPr>
          <w:lang w:val="en-US"/>
        </w:rPr>
        <w:t xml:space="preserve"> parties so agree and where the </w:t>
      </w:r>
      <w:r w:rsidRPr="002677E6">
        <w:rPr>
          <w:lang w:val="en-US"/>
        </w:rPr>
        <w:t>court believes that it has sufficient knowledge of the foreign language.</w:t>
      </w:r>
    </w:p>
    <w:p w14:paraId="1624B7AE" w14:textId="77777777" w:rsidR="00F31F8C" w:rsidRPr="002677E6" w:rsidRDefault="00F31F8C" w:rsidP="00F31F8C">
      <w:pPr>
        <w:pStyle w:val="BodyText"/>
        <w:rPr>
          <w:lang w:val="en-US"/>
        </w:rPr>
      </w:pPr>
      <w:r w:rsidRPr="002677E6">
        <w:rPr>
          <w:lang w:val="en-US"/>
        </w:rPr>
        <w:t xml:space="preserve">(3) Notwithstanding the provisions of subsections (1)-(2), a national of another Nordic country may submit documents drawn up in his own language. However, the court will cause the document to be </w:t>
      </w:r>
      <w:r>
        <w:rPr>
          <w:lang w:val="en-US"/>
        </w:rPr>
        <w:t xml:space="preserve">translated into Danish where so </w:t>
      </w:r>
      <w:r w:rsidRPr="002677E6">
        <w:rPr>
          <w:lang w:val="en-US"/>
        </w:rPr>
        <w:t>demanded by the opposing party or deemed necessary by the court. At the request of a national of</w:t>
      </w:r>
      <w:r>
        <w:rPr>
          <w:lang w:val="en-US"/>
        </w:rPr>
        <w:t xml:space="preserve"> another Nordic </w:t>
      </w:r>
      <w:r w:rsidRPr="002677E6">
        <w:rPr>
          <w:lang w:val="en-US"/>
        </w:rPr>
        <w:t>country, the court must cause documents submitted by the opposing party to be trans</w:t>
      </w:r>
      <w:r>
        <w:rPr>
          <w:lang w:val="en-US"/>
        </w:rPr>
        <w:t xml:space="preserve">lated into the relevant foreign </w:t>
      </w:r>
      <w:r w:rsidRPr="002677E6">
        <w:rPr>
          <w:lang w:val="en-US"/>
        </w:rPr>
        <w:t>Nordic language.</w:t>
      </w:r>
    </w:p>
    <w:p w14:paraId="19A75A0B" w14:textId="77777777" w:rsidR="00F31F8C" w:rsidRPr="002677E6" w:rsidRDefault="00F31F8C" w:rsidP="00F31F8C">
      <w:pPr>
        <w:pStyle w:val="BodyText"/>
        <w:rPr>
          <w:lang w:val="en-US"/>
        </w:rPr>
      </w:pPr>
      <w:r>
        <w:rPr>
          <w:lang w:val="en-US"/>
        </w:rPr>
        <w:t>(4) T</w:t>
      </w:r>
      <w:r w:rsidRPr="002677E6">
        <w:rPr>
          <w:lang w:val="en-US"/>
        </w:rPr>
        <w:t>he costs of interpretation in proceedings to which a national of another Nordic country is a party are</w:t>
      </w:r>
      <w:r>
        <w:rPr>
          <w:lang w:val="en-US"/>
        </w:rPr>
        <w:t xml:space="preserve"> payable by the Treasury. T</w:t>
      </w:r>
      <w:r w:rsidRPr="002677E6">
        <w:rPr>
          <w:lang w:val="en-US"/>
        </w:rPr>
        <w:t xml:space="preserve">he same applies to the costs of translation under the </w:t>
      </w:r>
      <w:r>
        <w:rPr>
          <w:lang w:val="en-US"/>
        </w:rPr>
        <w:t xml:space="preserve">provisions of subsection (3). The court may direct that </w:t>
      </w:r>
      <w:r w:rsidRPr="002677E6">
        <w:rPr>
          <w:lang w:val="en-US"/>
        </w:rPr>
        <w:t>such costs are to be refunded by the parties in accordance with the general provisions of this Act on costs.</w:t>
      </w:r>
    </w:p>
    <w:p w14:paraId="44360494" w14:textId="77777777" w:rsidR="00F31F8C" w:rsidRPr="002677E6" w:rsidRDefault="00F31F8C" w:rsidP="00F31F8C">
      <w:pPr>
        <w:pStyle w:val="BodyText"/>
        <w:rPr>
          <w:lang w:val="en-US"/>
        </w:rPr>
      </w:pPr>
      <w:r w:rsidRPr="002677E6">
        <w:rPr>
          <w:lang w:val="en-US"/>
        </w:rPr>
        <w:t>(5) To the extent possible, proceedings involving and examination of deaf persons an</w:t>
      </w:r>
      <w:r>
        <w:rPr>
          <w:lang w:val="en-US"/>
        </w:rPr>
        <w:t xml:space="preserve">d persons with a severe hearing </w:t>
      </w:r>
      <w:r w:rsidRPr="002677E6">
        <w:rPr>
          <w:lang w:val="en-US"/>
        </w:rPr>
        <w:t>impairment must be conducted with the assistance of a qualified interpreter. To t</w:t>
      </w:r>
      <w:r>
        <w:rPr>
          <w:lang w:val="en-US"/>
        </w:rPr>
        <w:t xml:space="preserve">he extent possible, proceedings </w:t>
      </w:r>
      <w:r w:rsidRPr="002677E6">
        <w:rPr>
          <w:lang w:val="en-US"/>
        </w:rPr>
        <w:t>involving and examination of other hearing-impaired and deafened persons must at the re</w:t>
      </w:r>
      <w:r>
        <w:rPr>
          <w:lang w:val="en-US"/>
        </w:rPr>
        <w:t xml:space="preserve">quest of the relevant person be </w:t>
      </w:r>
      <w:r w:rsidRPr="002677E6">
        <w:rPr>
          <w:lang w:val="en-US"/>
        </w:rPr>
        <w:t>conducted with the assistance of a qualified interpreter. As regards dumb persons, ex</w:t>
      </w:r>
      <w:r>
        <w:rPr>
          <w:lang w:val="en-US"/>
        </w:rPr>
        <w:t xml:space="preserve">amination or proceedings may be </w:t>
      </w:r>
      <w:r w:rsidRPr="002677E6">
        <w:rPr>
          <w:lang w:val="en-US"/>
        </w:rPr>
        <w:t xml:space="preserve">conducted </w:t>
      </w:r>
      <w:r w:rsidRPr="002677E6">
        <w:rPr>
          <w:lang w:val="en-US"/>
        </w:rPr>
        <w:lastRenderedPageBreak/>
        <w:t xml:space="preserve">by written questions and answers or on request, where possible, with the assistance of an interpreter. </w:t>
      </w:r>
      <w:r>
        <w:rPr>
          <w:lang w:val="en-US"/>
        </w:rPr>
        <w:t xml:space="preserve">In </w:t>
      </w:r>
      <w:r w:rsidRPr="002677E6">
        <w:rPr>
          <w:lang w:val="en-US"/>
        </w:rPr>
        <w:t>addition, deaf, hearing-impaired, deafened or dumb persons have a right to the assistance of a consultant for deaf people,</w:t>
      </w:r>
      <w:r>
        <w:rPr>
          <w:lang w:val="en-US"/>
        </w:rPr>
        <w:t xml:space="preserve"> </w:t>
      </w:r>
      <w:r w:rsidRPr="002677E6">
        <w:rPr>
          <w:lang w:val="en-US"/>
        </w:rPr>
        <w:t>a consultant for hearing-impaired people or similar assistance during court hearings.</w:t>
      </w:r>
    </w:p>
    <w:p w14:paraId="675A7E86" w14:textId="77777777" w:rsidR="00F31F8C" w:rsidRPr="002677E6" w:rsidRDefault="00F31F8C" w:rsidP="00F31F8C">
      <w:pPr>
        <w:pStyle w:val="BodyText"/>
        <w:rPr>
          <w:lang w:val="en-US"/>
        </w:rPr>
      </w:pPr>
      <w:r w:rsidRPr="002677E6">
        <w:rPr>
          <w:lang w:val="en-US"/>
        </w:rPr>
        <w:t xml:space="preserve">(6) No person may be called in to assist as an interpreter or sign language expert </w:t>
      </w:r>
      <w:r>
        <w:rPr>
          <w:lang w:val="en-US"/>
        </w:rPr>
        <w:t xml:space="preserve">who would be disqualified under </w:t>
      </w:r>
      <w:r w:rsidRPr="002677E6">
        <w:rPr>
          <w:lang w:val="en-US"/>
        </w:rPr>
        <w:t xml:space="preserve">sections 60 and 61 from sitting as a judge in the proceedings. In addition, subject to </w:t>
      </w:r>
      <w:r>
        <w:rPr>
          <w:lang w:val="en-US"/>
        </w:rPr>
        <w:t xml:space="preserve">the necessary modifications and </w:t>
      </w:r>
      <w:r w:rsidRPr="002677E6">
        <w:rPr>
          <w:lang w:val="en-US"/>
        </w:rPr>
        <w:t>unless otherwise provided for by this Act, the provisions applying to witnesses also apply to such persons.</w:t>
      </w:r>
    </w:p>
    <w:p w14:paraId="15B4D5F1" w14:textId="77777777" w:rsidR="00F31F8C" w:rsidRPr="002677E6" w:rsidRDefault="00F31F8C" w:rsidP="00F31F8C">
      <w:pPr>
        <w:pStyle w:val="BodyText"/>
        <w:rPr>
          <w:lang w:val="en-US"/>
        </w:rPr>
      </w:pPr>
      <w:r w:rsidRPr="002677E6">
        <w:rPr>
          <w:lang w:val="en-US"/>
        </w:rPr>
        <w:t>(7) Interpretation may be conducted by use of video communication equipment if the inter</w:t>
      </w:r>
      <w:r>
        <w:rPr>
          <w:lang w:val="en-US"/>
        </w:rPr>
        <w:t xml:space="preserve">preter's attendance at the same </w:t>
      </w:r>
      <w:r w:rsidRPr="002677E6">
        <w:rPr>
          <w:lang w:val="en-US"/>
        </w:rPr>
        <w:t>location as the party, witness or court-appointed expert would cause excessive diffic</w:t>
      </w:r>
      <w:r>
        <w:rPr>
          <w:lang w:val="en-US"/>
        </w:rPr>
        <w:t xml:space="preserve">ulty for the interpreter and if </w:t>
      </w:r>
      <w:r w:rsidRPr="002677E6">
        <w:rPr>
          <w:lang w:val="en-US"/>
        </w:rPr>
        <w:t xml:space="preserve">interpretation by use of video communication equipment is found to be adequate. When </w:t>
      </w:r>
      <w:r>
        <w:rPr>
          <w:lang w:val="en-US"/>
        </w:rPr>
        <w:t xml:space="preserve">an interpreter interprets for a </w:t>
      </w:r>
      <w:r w:rsidRPr="002677E6">
        <w:rPr>
          <w:lang w:val="en-US"/>
        </w:rPr>
        <w:t xml:space="preserve">party, a witness or a court-appointed expert attending by use of telecommunication </w:t>
      </w:r>
      <w:r>
        <w:rPr>
          <w:lang w:val="en-US"/>
        </w:rPr>
        <w:t xml:space="preserve">equipment, the interpreter must </w:t>
      </w:r>
      <w:r w:rsidRPr="002677E6">
        <w:rPr>
          <w:lang w:val="en-US"/>
        </w:rPr>
        <w:t>where possible be at the same location as such party, witness or court-appointed expert.</w:t>
      </w:r>
      <w:r>
        <w:rPr>
          <w:lang w:val="en-US"/>
        </w:rPr>
        <w:t xml:space="preserve"> When an interpreter interprets </w:t>
      </w:r>
      <w:r w:rsidRPr="002677E6">
        <w:rPr>
          <w:lang w:val="en-US"/>
        </w:rPr>
        <w:t xml:space="preserve">for a suspect who is participating in a court hearing to decide on whether to extend </w:t>
      </w:r>
      <w:r>
        <w:rPr>
          <w:lang w:val="en-US"/>
        </w:rPr>
        <w:t xml:space="preserve">the custody time-limit or other </w:t>
      </w:r>
      <w:r w:rsidRPr="002677E6">
        <w:rPr>
          <w:lang w:val="en-US"/>
        </w:rPr>
        <w:t xml:space="preserve">confinement measures under Part 70 by use of video communication equipment under </w:t>
      </w:r>
      <w:r>
        <w:rPr>
          <w:lang w:val="en-US"/>
        </w:rPr>
        <w:t xml:space="preserve">section 748b(1), the court will </w:t>
      </w:r>
      <w:r w:rsidRPr="002677E6">
        <w:rPr>
          <w:lang w:val="en-US"/>
        </w:rPr>
        <w:t>direct where the interpreter is to be located.</w:t>
      </w:r>
    </w:p>
    <w:p w14:paraId="55802A4F" w14:textId="77777777" w:rsidR="00F31F8C" w:rsidRPr="007735B2" w:rsidRDefault="00F31F8C" w:rsidP="00F31F8C">
      <w:pPr>
        <w:pStyle w:val="BodyText"/>
        <w:rPr>
          <w:rFonts w:asciiTheme="minorHAnsi" w:hAnsiTheme="minorHAnsi"/>
          <w:b/>
          <w:lang w:val="en-US"/>
        </w:rPr>
      </w:pPr>
      <w:r w:rsidRPr="007735B2">
        <w:rPr>
          <w:rFonts w:asciiTheme="minorHAnsi" w:hAnsiTheme="minorHAnsi"/>
          <w:b/>
          <w:lang w:val="en-US"/>
        </w:rPr>
        <w:t>169.</w:t>
      </w:r>
    </w:p>
    <w:p w14:paraId="30E3F589" w14:textId="77777777" w:rsidR="00F31F8C" w:rsidRPr="007735B2" w:rsidRDefault="00F31F8C" w:rsidP="00F31F8C">
      <w:pPr>
        <w:pStyle w:val="BodyText"/>
        <w:rPr>
          <w:rFonts w:asciiTheme="minorHAnsi" w:hAnsiTheme="minorHAnsi" w:cs="TimesNewRomanPSMT"/>
          <w:lang w:val="en-US"/>
        </w:rPr>
      </w:pPr>
      <w:r w:rsidRPr="007735B2">
        <w:rPr>
          <w:rFonts w:asciiTheme="minorHAnsi" w:hAnsiTheme="minorHAnsi" w:cs="TimesNewRomanPSMT"/>
          <w:lang w:val="en-US"/>
        </w:rPr>
        <w:t>(1) Public servants and others holding public or comparable office may not without c</w:t>
      </w:r>
      <w:r>
        <w:rPr>
          <w:rFonts w:asciiTheme="minorHAnsi" w:hAnsiTheme="minorHAnsi" w:cs="TimesNewRomanPSMT"/>
          <w:lang w:val="en-US"/>
        </w:rPr>
        <w:t xml:space="preserve">onsent from the relevant public </w:t>
      </w:r>
      <w:r w:rsidRPr="007735B2">
        <w:rPr>
          <w:rFonts w:asciiTheme="minorHAnsi" w:hAnsiTheme="minorHAnsi" w:cs="TimesNewRomanPSMT"/>
          <w:lang w:val="en-US"/>
        </w:rPr>
        <w:t>authority be demanded to give evidence about matters which, in the public inter</w:t>
      </w:r>
      <w:r>
        <w:rPr>
          <w:rFonts w:asciiTheme="minorHAnsi" w:hAnsiTheme="minorHAnsi" w:cs="TimesNewRomanPSMT"/>
          <w:lang w:val="en-US"/>
        </w:rPr>
        <w:t xml:space="preserve">est, must be treated by them as </w:t>
      </w:r>
      <w:r w:rsidRPr="007735B2">
        <w:rPr>
          <w:rFonts w:asciiTheme="minorHAnsi" w:hAnsiTheme="minorHAnsi" w:cs="TimesNewRomanPSMT"/>
          <w:lang w:val="en-US"/>
        </w:rPr>
        <w:t>confidential. As regards members of the Danish Parliament, consent must be obtained</w:t>
      </w:r>
      <w:r>
        <w:rPr>
          <w:rFonts w:asciiTheme="minorHAnsi" w:hAnsiTheme="minorHAnsi" w:cs="TimesNewRomanPSMT"/>
          <w:lang w:val="en-US"/>
        </w:rPr>
        <w:t xml:space="preserve"> from the speaker of the Danish </w:t>
      </w:r>
      <w:r w:rsidRPr="007735B2">
        <w:rPr>
          <w:rFonts w:asciiTheme="minorHAnsi" w:hAnsiTheme="minorHAnsi" w:cs="TimesNewRomanPSMT"/>
          <w:lang w:val="en-US"/>
        </w:rPr>
        <w:t>Parliament and the relevant minister.</w:t>
      </w:r>
    </w:p>
    <w:p w14:paraId="344F64A2" w14:textId="77777777" w:rsidR="00F31F8C" w:rsidRDefault="00F31F8C" w:rsidP="00F31F8C">
      <w:pPr>
        <w:pStyle w:val="BodyText"/>
        <w:rPr>
          <w:rFonts w:asciiTheme="minorHAnsi" w:hAnsiTheme="minorHAnsi" w:cs="TimesNewRomanPSMT"/>
          <w:lang w:val="en-US"/>
        </w:rPr>
      </w:pPr>
      <w:r w:rsidRPr="007735B2">
        <w:rPr>
          <w:rFonts w:asciiTheme="minorHAnsi" w:hAnsiTheme="minorHAnsi" w:cs="TimesNewRomanPSMT"/>
          <w:lang w:val="en-US"/>
        </w:rPr>
        <w:t>(2) Where such consent is withheld, the court may, if the giving of evidence is found to</w:t>
      </w:r>
      <w:r>
        <w:rPr>
          <w:rFonts w:asciiTheme="minorHAnsi" w:hAnsiTheme="minorHAnsi" w:cs="TimesNewRomanPSMT"/>
          <w:lang w:val="en-US"/>
        </w:rPr>
        <w:t xml:space="preserve"> be essential to the outcome of </w:t>
      </w:r>
      <w:r w:rsidRPr="007735B2">
        <w:rPr>
          <w:rFonts w:asciiTheme="minorHAnsi" w:hAnsiTheme="minorHAnsi" w:cs="TimesNewRomanPSMT"/>
          <w:lang w:val="en-US"/>
        </w:rPr>
        <w:t>the case, order the relevant authority to state to the court the reasons for withholding consen</w:t>
      </w:r>
      <w:r>
        <w:rPr>
          <w:rFonts w:asciiTheme="minorHAnsi" w:hAnsiTheme="minorHAnsi" w:cs="TimesNewRomanPSMT"/>
          <w:lang w:val="en-US"/>
        </w:rPr>
        <w:t xml:space="preserve">t. If the court then finds that </w:t>
      </w:r>
      <w:r w:rsidRPr="007735B2">
        <w:rPr>
          <w:rFonts w:asciiTheme="minorHAnsi" w:hAnsiTheme="minorHAnsi" w:cs="TimesNewRomanPSMT"/>
          <w:lang w:val="en-US"/>
        </w:rPr>
        <w:t>the interest of maintaining confidentiality should yield to the interest of finding and pre</w:t>
      </w:r>
      <w:r>
        <w:rPr>
          <w:rFonts w:asciiTheme="minorHAnsi" w:hAnsiTheme="minorHAnsi" w:cs="TimesNewRomanPSMT"/>
          <w:lang w:val="en-US"/>
        </w:rPr>
        <w:t xml:space="preserve">senting evidence, the court may </w:t>
      </w:r>
      <w:r w:rsidRPr="007735B2">
        <w:rPr>
          <w:rFonts w:asciiTheme="minorHAnsi" w:hAnsiTheme="minorHAnsi" w:cs="TimesNewRomanPSMT"/>
          <w:lang w:val="en-US"/>
        </w:rPr>
        <w:t>direct that evidence is to be given. However, this does not apply if consent is withheld fo</w:t>
      </w:r>
      <w:r>
        <w:rPr>
          <w:rFonts w:asciiTheme="minorHAnsi" w:hAnsiTheme="minorHAnsi" w:cs="TimesNewRomanPSMT"/>
          <w:lang w:val="en-US"/>
        </w:rPr>
        <w:t xml:space="preserve">r reasons of national security, </w:t>
      </w:r>
      <w:r w:rsidRPr="007735B2">
        <w:rPr>
          <w:rFonts w:asciiTheme="minorHAnsi" w:hAnsiTheme="minorHAnsi" w:cs="TimesNewRomanPSMT"/>
          <w:lang w:val="en-US"/>
        </w:rPr>
        <w:t>relations to foreign powers or a third party's life or health.</w:t>
      </w:r>
    </w:p>
    <w:p w14:paraId="64D468DA" w14:textId="77777777" w:rsidR="00F31F8C" w:rsidRPr="007735B2" w:rsidRDefault="00F31F8C" w:rsidP="00F31F8C">
      <w:pPr>
        <w:pStyle w:val="BodyText"/>
        <w:rPr>
          <w:b/>
          <w:lang w:val="en-US"/>
        </w:rPr>
      </w:pPr>
      <w:r w:rsidRPr="007735B2">
        <w:rPr>
          <w:b/>
          <w:lang w:val="en-US"/>
        </w:rPr>
        <w:t>170.</w:t>
      </w:r>
    </w:p>
    <w:p w14:paraId="43C75068" w14:textId="77777777" w:rsidR="00F31F8C" w:rsidRPr="007735B2" w:rsidRDefault="00F31F8C" w:rsidP="00F31F8C">
      <w:pPr>
        <w:pStyle w:val="BodyText"/>
        <w:rPr>
          <w:rFonts w:cs="TimesNewRomanPSMT"/>
          <w:lang w:val="en-US"/>
        </w:rPr>
      </w:pPr>
      <w:r w:rsidRPr="007735B2">
        <w:rPr>
          <w:rFonts w:cs="TimesNewRomanPSMT"/>
          <w:lang w:val="en-US"/>
        </w:rPr>
        <w:t>(1) Where the giving of evidence would be against the wishes of a person having a ri</w:t>
      </w:r>
      <w:r>
        <w:rPr>
          <w:rFonts w:cs="TimesNewRomanPSMT"/>
          <w:lang w:val="en-US"/>
        </w:rPr>
        <w:t xml:space="preserve">ght to confidentiality, persons </w:t>
      </w:r>
      <w:r w:rsidRPr="007735B2">
        <w:rPr>
          <w:rFonts w:cs="TimesNewRomanPSMT"/>
          <w:lang w:val="en-US"/>
        </w:rPr>
        <w:t xml:space="preserve">bound by professional secrecy, such as ministers of religion of the Danish State Church </w:t>
      </w:r>
      <w:r>
        <w:rPr>
          <w:rFonts w:cs="TimesNewRomanPSMT"/>
          <w:lang w:val="en-US"/>
        </w:rPr>
        <w:t xml:space="preserve">or </w:t>
      </w:r>
      <w:r>
        <w:rPr>
          <w:rFonts w:cs="TimesNewRomanPSMT"/>
          <w:lang w:val="en-US"/>
        </w:rPr>
        <w:lastRenderedPageBreak/>
        <w:t xml:space="preserve">other religious communities, </w:t>
      </w:r>
      <w:r w:rsidRPr="007735B2">
        <w:rPr>
          <w:rFonts w:cs="TimesNewRomanPSMT"/>
          <w:lang w:val="en-US"/>
        </w:rPr>
        <w:t>medical doctors, defence counsels, court mediators and lawyers, must not be demanded</w:t>
      </w:r>
      <w:r>
        <w:rPr>
          <w:rFonts w:cs="TimesNewRomanPSMT"/>
          <w:lang w:val="en-US"/>
        </w:rPr>
        <w:t xml:space="preserve"> to give evidence about matters </w:t>
      </w:r>
      <w:r w:rsidRPr="007735B2">
        <w:rPr>
          <w:rFonts w:cs="TimesNewRomanPSMT"/>
          <w:lang w:val="en-US"/>
        </w:rPr>
        <w:t>having come to their knowledge in the course of the exercise of their functions.</w:t>
      </w:r>
    </w:p>
    <w:p w14:paraId="50647E1F" w14:textId="77777777" w:rsidR="00F31F8C" w:rsidRPr="007735B2" w:rsidRDefault="00F31F8C" w:rsidP="00F31F8C">
      <w:pPr>
        <w:pStyle w:val="BodyText"/>
        <w:rPr>
          <w:rFonts w:cs="TimesNewRomanPSMT"/>
          <w:lang w:val="en-US"/>
        </w:rPr>
      </w:pPr>
      <w:r w:rsidRPr="007735B2">
        <w:rPr>
          <w:rFonts w:cs="TimesNewRomanPSMT"/>
          <w:lang w:val="en-US"/>
        </w:rPr>
        <w:t>(2) T he court may order medical doctors, court mediators and lawyers, excluding defenc</w:t>
      </w:r>
      <w:r>
        <w:rPr>
          <w:rFonts w:cs="TimesNewRomanPSMT"/>
          <w:lang w:val="en-US"/>
        </w:rPr>
        <w:t xml:space="preserve">e counsels in criminal </w:t>
      </w:r>
      <w:r w:rsidRPr="007735B2">
        <w:rPr>
          <w:rFonts w:cs="TimesNewRomanPSMT"/>
          <w:lang w:val="en-US"/>
        </w:rPr>
        <w:t>proceedings, to give evidence where such evidence is deemed to be essential to the outc</w:t>
      </w:r>
      <w:r>
        <w:rPr>
          <w:rFonts w:cs="TimesNewRomanPSMT"/>
          <w:lang w:val="en-US"/>
        </w:rPr>
        <w:t xml:space="preserve">ome of the case, and the merits </w:t>
      </w:r>
      <w:r w:rsidRPr="007735B2">
        <w:rPr>
          <w:rFonts w:cs="TimesNewRomanPSMT"/>
          <w:lang w:val="en-US"/>
        </w:rPr>
        <w:t>of the case and its importance to the party concerned or to society are found to justify the giving of such order.</w:t>
      </w:r>
      <w:r>
        <w:rPr>
          <w:rFonts w:cs="TimesNewRomanPSMT"/>
          <w:lang w:val="en-US"/>
        </w:rPr>
        <w:t xml:space="preserve"> In civil </w:t>
      </w:r>
      <w:r w:rsidRPr="007735B2">
        <w:rPr>
          <w:rFonts w:cs="TimesNewRomanPSMT"/>
          <w:lang w:val="en-US"/>
        </w:rPr>
        <w:t>proceedings, such order may not be extended to include information which a l</w:t>
      </w:r>
      <w:r>
        <w:rPr>
          <w:rFonts w:cs="TimesNewRomanPSMT"/>
          <w:lang w:val="en-US"/>
        </w:rPr>
        <w:t xml:space="preserve">awyer has obtained during legal </w:t>
      </w:r>
      <w:r w:rsidRPr="007735B2">
        <w:rPr>
          <w:rFonts w:cs="TimesNewRomanPSMT"/>
          <w:lang w:val="en-US"/>
        </w:rPr>
        <w:t>proceedings the conduct of which has been entrusted to him or in which his advice has been sought.</w:t>
      </w:r>
    </w:p>
    <w:p w14:paraId="3A474B05" w14:textId="77777777" w:rsidR="00F31F8C" w:rsidRPr="007735B2" w:rsidRDefault="00F31F8C" w:rsidP="00F31F8C">
      <w:pPr>
        <w:pStyle w:val="BodyText"/>
        <w:rPr>
          <w:rFonts w:cs="TimesNewRomanPSMT"/>
          <w:lang w:val="en-US"/>
        </w:rPr>
      </w:pPr>
      <w:r>
        <w:rPr>
          <w:rFonts w:cs="TimesNewRomanPSMT"/>
          <w:lang w:val="en-US"/>
        </w:rPr>
        <w:t>(3) T</w:t>
      </w:r>
      <w:r w:rsidRPr="007735B2">
        <w:rPr>
          <w:rFonts w:cs="TimesNewRomanPSMT"/>
          <w:lang w:val="en-US"/>
        </w:rPr>
        <w:t>he court may direct that no evidence is to be given about matters with respect to wh</w:t>
      </w:r>
      <w:r>
        <w:rPr>
          <w:rFonts w:cs="TimesNewRomanPSMT"/>
          <w:lang w:val="en-US"/>
        </w:rPr>
        <w:t xml:space="preserve">ich the witness is subject to a </w:t>
      </w:r>
      <w:r w:rsidRPr="007735B2">
        <w:rPr>
          <w:rFonts w:cs="TimesNewRomanPSMT"/>
          <w:lang w:val="en-US"/>
        </w:rPr>
        <w:t>statutory duty of confidentiality and the confidentiality of which is of material importance.</w:t>
      </w:r>
    </w:p>
    <w:p w14:paraId="5C15DDE6" w14:textId="77777777" w:rsidR="00F31F8C" w:rsidRDefault="00F31F8C" w:rsidP="00F31F8C">
      <w:pPr>
        <w:pStyle w:val="BodyText"/>
        <w:rPr>
          <w:rFonts w:cs="TimesNewRomanPSMT"/>
          <w:lang w:val="en-US"/>
        </w:rPr>
      </w:pPr>
      <w:r>
        <w:rPr>
          <w:rFonts w:cs="TimesNewRomanPSMT"/>
          <w:lang w:val="en-US"/>
        </w:rPr>
        <w:t>(4) T</w:t>
      </w:r>
      <w:r w:rsidRPr="007735B2">
        <w:rPr>
          <w:rFonts w:cs="TimesNewRomanPSMT"/>
          <w:lang w:val="en-US"/>
        </w:rPr>
        <w:t>he provisions of subsections (1)-(3) also apply to the assistants of such persons.</w:t>
      </w:r>
    </w:p>
    <w:p w14:paraId="4DEEADA6" w14:textId="77777777" w:rsidR="00F31F8C" w:rsidRPr="007735B2" w:rsidRDefault="00F31F8C" w:rsidP="00F31F8C">
      <w:pPr>
        <w:pStyle w:val="BodyText"/>
        <w:rPr>
          <w:b/>
          <w:lang w:val="en-US"/>
        </w:rPr>
      </w:pPr>
      <w:r w:rsidRPr="007735B2">
        <w:rPr>
          <w:b/>
          <w:lang w:val="en-US"/>
        </w:rPr>
        <w:t>171.</w:t>
      </w:r>
    </w:p>
    <w:p w14:paraId="5888A520" w14:textId="77777777" w:rsidR="00F31F8C" w:rsidRPr="007735B2" w:rsidRDefault="00F31F8C" w:rsidP="00F31F8C">
      <w:pPr>
        <w:pStyle w:val="BodyText"/>
        <w:rPr>
          <w:rFonts w:cs="TimesNewRomanPSMT"/>
          <w:lang w:val="en-US"/>
        </w:rPr>
      </w:pPr>
      <w:r w:rsidRPr="007735B2">
        <w:rPr>
          <w:rFonts w:cs="TimesNewRomanPSMT"/>
          <w:lang w:val="en-US"/>
        </w:rPr>
        <w:t>(1) A party's related persons do not have a duty to give evidence as witnesses.</w:t>
      </w:r>
    </w:p>
    <w:p w14:paraId="0D33A514" w14:textId="77777777" w:rsidR="00F31F8C" w:rsidRDefault="00F31F8C" w:rsidP="00F31F8C">
      <w:pPr>
        <w:pStyle w:val="BodyText"/>
        <w:rPr>
          <w:rFonts w:cs="TimesNewRomanPSMT"/>
          <w:lang w:val="en-US"/>
        </w:rPr>
      </w:pPr>
      <w:r w:rsidRPr="007735B2">
        <w:rPr>
          <w:rFonts w:cs="TimesNewRomanPSMT"/>
          <w:lang w:val="en-US"/>
        </w:rPr>
        <w:t>(2) Similarly, the duty to give evidence as a witness does not apply where the giving o</w:t>
      </w:r>
      <w:r>
        <w:rPr>
          <w:rFonts w:cs="TimesNewRomanPSMT"/>
          <w:lang w:val="en-US"/>
        </w:rPr>
        <w:t xml:space="preserve">f evidence is deemed likely to: </w:t>
      </w:r>
    </w:p>
    <w:p w14:paraId="1150ABB0" w14:textId="77777777" w:rsidR="00F31F8C" w:rsidRDefault="00F31F8C" w:rsidP="00F31F8C">
      <w:pPr>
        <w:pStyle w:val="BodyText"/>
        <w:rPr>
          <w:rFonts w:cs="TimesNewRomanPSMT"/>
          <w:lang w:val="en-US"/>
        </w:rPr>
      </w:pPr>
      <w:r>
        <w:rPr>
          <w:rFonts w:cs="TimesNewRomanPSMT"/>
          <w:lang w:val="en-US"/>
        </w:rPr>
        <w:t xml:space="preserve">(i) </w:t>
      </w:r>
      <w:r w:rsidRPr="007735B2">
        <w:rPr>
          <w:rFonts w:cs="TimesNewRomanPSMT"/>
          <w:lang w:val="en-US"/>
        </w:rPr>
        <w:t>expose the witness to the penalty of the law or ha</w:t>
      </w:r>
      <w:r>
        <w:rPr>
          <w:rFonts w:cs="TimesNewRomanPSMT"/>
          <w:lang w:val="en-US"/>
        </w:rPr>
        <w:t xml:space="preserve">rm to his safety or welfare; </w:t>
      </w:r>
    </w:p>
    <w:p w14:paraId="5ED733FC" w14:textId="77777777" w:rsidR="00F31F8C" w:rsidRDefault="00F31F8C" w:rsidP="00F31F8C">
      <w:pPr>
        <w:pStyle w:val="BodyText"/>
        <w:rPr>
          <w:rFonts w:cs="TimesNewRomanPSMT"/>
          <w:lang w:val="en-US"/>
        </w:rPr>
      </w:pPr>
      <w:r>
        <w:rPr>
          <w:rFonts w:cs="TimesNewRomanPSMT"/>
          <w:lang w:val="en-US"/>
        </w:rPr>
        <w:t xml:space="preserve">(ii) or </w:t>
      </w:r>
      <w:r w:rsidRPr="007735B2">
        <w:rPr>
          <w:rFonts w:cs="TimesNewRomanPSMT"/>
          <w:lang w:val="en-US"/>
        </w:rPr>
        <w:t>expose the witness's related parties to the penalty of the law or harm</w:t>
      </w:r>
      <w:r>
        <w:rPr>
          <w:rFonts w:cs="TimesNewRomanPSMT"/>
          <w:lang w:val="en-US"/>
        </w:rPr>
        <w:t xml:space="preserve"> to their safety or welfare; </w:t>
      </w:r>
    </w:p>
    <w:p w14:paraId="00F23B78" w14:textId="77777777" w:rsidR="00F31F8C" w:rsidRPr="007735B2" w:rsidRDefault="00F31F8C" w:rsidP="00F31F8C">
      <w:pPr>
        <w:pStyle w:val="BodyText"/>
        <w:rPr>
          <w:rFonts w:cs="TimesNewRomanPSMT"/>
          <w:lang w:val="en-US"/>
        </w:rPr>
      </w:pPr>
      <w:r>
        <w:rPr>
          <w:rFonts w:cs="TimesNewRomanPSMT"/>
          <w:lang w:val="en-US"/>
        </w:rPr>
        <w:t xml:space="preserve">(iii) or </w:t>
      </w:r>
      <w:r w:rsidRPr="007735B2">
        <w:rPr>
          <w:rFonts w:cs="TimesNewRomanPSMT"/>
          <w:lang w:val="en-US"/>
        </w:rPr>
        <w:t>otherwise inflict significant harm on the witness or his related parties.</w:t>
      </w:r>
    </w:p>
    <w:p w14:paraId="67E013CD" w14:textId="77777777" w:rsidR="00F31F8C" w:rsidRPr="007735B2" w:rsidRDefault="00F31F8C" w:rsidP="00F31F8C">
      <w:pPr>
        <w:pStyle w:val="BodyText"/>
        <w:rPr>
          <w:rFonts w:cs="TimesNewRomanPSMT"/>
          <w:lang w:val="en-US"/>
        </w:rPr>
      </w:pPr>
      <w:r w:rsidRPr="007735B2">
        <w:rPr>
          <w:rFonts w:cs="TimesNewRomanPSMT"/>
          <w:lang w:val="en-US"/>
        </w:rPr>
        <w:t>(3) However, in the circumstances referred to in subsection (1) and paras (ii) and (iii) o</w:t>
      </w:r>
      <w:r>
        <w:rPr>
          <w:rFonts w:cs="TimesNewRomanPSMT"/>
          <w:lang w:val="en-US"/>
        </w:rPr>
        <w:t xml:space="preserve">f subsection (2), the court may </w:t>
      </w:r>
      <w:r w:rsidRPr="007735B2">
        <w:rPr>
          <w:rFonts w:cs="TimesNewRomanPSMT"/>
          <w:lang w:val="en-US"/>
        </w:rPr>
        <w:t>order the witness to give evidence where such evidence is deemed to be essential to t</w:t>
      </w:r>
      <w:r>
        <w:rPr>
          <w:rFonts w:cs="TimesNewRomanPSMT"/>
          <w:lang w:val="en-US"/>
        </w:rPr>
        <w:t xml:space="preserve">he outcome of the case, and the </w:t>
      </w:r>
      <w:r w:rsidRPr="007735B2">
        <w:rPr>
          <w:rFonts w:cs="TimesNewRomanPSMT"/>
          <w:lang w:val="en-US"/>
        </w:rPr>
        <w:t>merits of the case and its importance to the party concerned or to society are found to justify the giving of such order.</w:t>
      </w:r>
    </w:p>
    <w:p w14:paraId="1A649BEF" w14:textId="77777777" w:rsidR="00F31F8C" w:rsidRPr="007735B2" w:rsidRDefault="00F31F8C" w:rsidP="00F31F8C">
      <w:pPr>
        <w:pStyle w:val="BodyText"/>
        <w:rPr>
          <w:rFonts w:cs="TimesNewRomanPSMT"/>
          <w:lang w:val="en-US"/>
        </w:rPr>
      </w:pPr>
      <w:r w:rsidRPr="007735B2">
        <w:rPr>
          <w:rFonts w:cs="TimesNewRomanPSMT"/>
          <w:lang w:val="en-US"/>
        </w:rPr>
        <w:t xml:space="preserve">(4) In addition, in the circumstances referred to in subsection (2)(iii), the court may order </w:t>
      </w:r>
      <w:r>
        <w:rPr>
          <w:rFonts w:cs="TimesNewRomanPSMT"/>
          <w:lang w:val="en-US"/>
        </w:rPr>
        <w:t xml:space="preserve">the witness to give evidence if </w:t>
      </w:r>
      <w:r w:rsidRPr="007735B2">
        <w:rPr>
          <w:rFonts w:cs="TimesNewRomanPSMT"/>
          <w:lang w:val="en-US"/>
        </w:rPr>
        <w:t xml:space="preserve">the witness has taken steps as mentioned in section 754a, and the merits of the case </w:t>
      </w:r>
      <w:r>
        <w:rPr>
          <w:rFonts w:cs="TimesNewRomanPSMT"/>
          <w:lang w:val="en-US"/>
        </w:rPr>
        <w:t xml:space="preserve">and its </w:t>
      </w:r>
      <w:r>
        <w:rPr>
          <w:rFonts w:cs="TimesNewRomanPSMT"/>
          <w:lang w:val="en-US"/>
        </w:rPr>
        <w:lastRenderedPageBreak/>
        <w:t xml:space="preserve">importance to the party </w:t>
      </w:r>
      <w:r w:rsidRPr="007735B2">
        <w:rPr>
          <w:rFonts w:cs="TimesNewRomanPSMT"/>
          <w:lang w:val="en-US"/>
        </w:rPr>
        <w:t>concerned or to society are found to justify the giving of such order.</w:t>
      </w:r>
    </w:p>
    <w:p w14:paraId="20BED374" w14:textId="77777777" w:rsidR="00F31F8C" w:rsidRDefault="00F31F8C" w:rsidP="00F31F8C">
      <w:pPr>
        <w:pStyle w:val="BodyText"/>
        <w:rPr>
          <w:b/>
          <w:lang w:val="en-US"/>
        </w:rPr>
      </w:pPr>
    </w:p>
    <w:p w14:paraId="53C2C263" w14:textId="77777777" w:rsidR="00F31F8C" w:rsidRPr="00F96BAE" w:rsidRDefault="00F31F8C" w:rsidP="00F31F8C">
      <w:pPr>
        <w:pStyle w:val="BodyText"/>
        <w:rPr>
          <w:b/>
          <w:lang w:val="en-US"/>
        </w:rPr>
      </w:pPr>
      <w:r w:rsidRPr="00F96BAE">
        <w:rPr>
          <w:b/>
          <w:lang w:val="en-US"/>
        </w:rPr>
        <w:t>172.</w:t>
      </w:r>
    </w:p>
    <w:p w14:paraId="71A8211C" w14:textId="77777777" w:rsidR="00F31F8C" w:rsidRPr="007735B2" w:rsidRDefault="00F31F8C" w:rsidP="00F31F8C">
      <w:pPr>
        <w:pStyle w:val="BodyText"/>
        <w:rPr>
          <w:rFonts w:cs="TimesNewRomanPSMT"/>
          <w:lang w:val="en-US"/>
        </w:rPr>
      </w:pPr>
      <w:r w:rsidRPr="007735B2">
        <w:rPr>
          <w:rFonts w:cs="TimesNewRomanPSMT"/>
          <w:lang w:val="en-US"/>
        </w:rPr>
        <w:t>(1) Editors and editorial staff employed by a publication falling within the scope of sect</w:t>
      </w:r>
      <w:r>
        <w:rPr>
          <w:rFonts w:cs="TimesNewRomanPSMT"/>
          <w:lang w:val="en-US"/>
        </w:rPr>
        <w:t xml:space="preserve">ion 1(i) of the Media Liability </w:t>
      </w:r>
      <w:r w:rsidRPr="007735B2">
        <w:rPr>
          <w:rFonts w:cs="TimesNewRomanPSMT"/>
          <w:lang w:val="en-US"/>
        </w:rPr>
        <w:t>Act (medieansvarsloven) are not subject to a duty to give evidence about:</w:t>
      </w:r>
    </w:p>
    <w:p w14:paraId="5A0B2482" w14:textId="77777777" w:rsidR="00F31F8C" w:rsidRPr="007735B2" w:rsidRDefault="00F31F8C" w:rsidP="00F31F8C">
      <w:pPr>
        <w:pStyle w:val="BodyText"/>
        <w:rPr>
          <w:rFonts w:cs="TimesNewRomanPSMT"/>
          <w:lang w:val="en-US"/>
        </w:rPr>
      </w:pPr>
      <w:r>
        <w:rPr>
          <w:rFonts w:cs="TimesNewRomanPSMT"/>
          <w:lang w:val="en-US"/>
        </w:rPr>
        <w:t xml:space="preserve">(i) </w:t>
      </w:r>
      <w:r w:rsidRPr="007735B2">
        <w:rPr>
          <w:rFonts w:cs="TimesNewRomanPSMT"/>
          <w:lang w:val="en-US"/>
        </w:rPr>
        <w:t>the identity of the source of a piece of information or the author of an article or the</w:t>
      </w:r>
      <w:r>
        <w:rPr>
          <w:rFonts w:cs="TimesNewRomanPSMT"/>
          <w:lang w:val="en-US"/>
        </w:rPr>
        <w:t xml:space="preserve"> identity of the person who has </w:t>
      </w:r>
      <w:r w:rsidRPr="007735B2">
        <w:rPr>
          <w:rFonts w:cs="TimesNewRomanPSMT"/>
          <w:lang w:val="en-US"/>
        </w:rPr>
        <w:t>taken a photograph or otherwise produced a pictorial representation. If publicati</w:t>
      </w:r>
      <w:r>
        <w:rPr>
          <w:rFonts w:cs="TimesNewRomanPSMT"/>
          <w:lang w:val="en-US"/>
        </w:rPr>
        <w:t xml:space="preserve">on is made, it is a requirement </w:t>
      </w:r>
      <w:r w:rsidRPr="007735B2">
        <w:rPr>
          <w:rFonts w:cs="TimesNewRomanPSMT"/>
          <w:lang w:val="en-US"/>
        </w:rPr>
        <w:t>for exemption from the duty to give evidence that the source, author, photographe</w:t>
      </w:r>
      <w:r>
        <w:rPr>
          <w:rFonts w:cs="TimesNewRomanPSMT"/>
          <w:lang w:val="en-US"/>
        </w:rPr>
        <w:t xml:space="preserve">r or producer is not identified </w:t>
      </w:r>
      <w:r w:rsidRPr="007735B2">
        <w:rPr>
          <w:rFonts w:cs="TimesNewRomanPSMT"/>
          <w:lang w:val="en-US"/>
        </w:rPr>
        <w:t>in the publication; and</w:t>
      </w:r>
    </w:p>
    <w:p w14:paraId="78847A72" w14:textId="77777777" w:rsidR="00F31F8C" w:rsidRPr="007735B2" w:rsidRDefault="00F31F8C" w:rsidP="00F31F8C">
      <w:pPr>
        <w:pStyle w:val="BodyText"/>
        <w:rPr>
          <w:rFonts w:cs="TimesNewRomanPSMT"/>
          <w:lang w:val="en-US"/>
        </w:rPr>
      </w:pPr>
      <w:r>
        <w:rPr>
          <w:rFonts w:cs="TimesNewRomanPSMT"/>
          <w:lang w:val="en-US"/>
        </w:rPr>
        <w:t xml:space="preserve">(ii) </w:t>
      </w:r>
      <w:r w:rsidRPr="007735B2">
        <w:rPr>
          <w:rFonts w:cs="TimesNewRomanPSMT"/>
          <w:lang w:val="en-US"/>
        </w:rPr>
        <w:t xml:space="preserve">the identity of persons shown in a picture or being mentioned where anonymity </w:t>
      </w:r>
      <w:r>
        <w:rPr>
          <w:rFonts w:cs="TimesNewRomanPSMT"/>
          <w:lang w:val="en-US"/>
        </w:rPr>
        <w:t xml:space="preserve">has been promised to such </w:t>
      </w:r>
      <w:r w:rsidRPr="007735B2">
        <w:rPr>
          <w:rFonts w:cs="TimesNewRomanPSMT"/>
          <w:lang w:val="en-US"/>
        </w:rPr>
        <w:t>persons. If publication is made, exemption from the duty to give evidence will ap</w:t>
      </w:r>
      <w:r>
        <w:rPr>
          <w:rFonts w:cs="TimesNewRomanPSMT"/>
          <w:lang w:val="en-US"/>
        </w:rPr>
        <w:t xml:space="preserve">ply, provided that the identity </w:t>
      </w:r>
      <w:r w:rsidRPr="007735B2">
        <w:rPr>
          <w:rFonts w:cs="TimesNewRomanPSMT"/>
          <w:lang w:val="en-US"/>
        </w:rPr>
        <w:t>of the relevant persons is not disclosed in the text.</w:t>
      </w:r>
    </w:p>
    <w:p w14:paraId="0D5A64D9" w14:textId="77777777" w:rsidR="00F31F8C" w:rsidRPr="007735B2" w:rsidRDefault="00F31F8C" w:rsidP="00F31F8C">
      <w:pPr>
        <w:pStyle w:val="BodyText"/>
        <w:rPr>
          <w:rFonts w:cs="TimesNewRomanPSMT"/>
          <w:lang w:val="en-US"/>
        </w:rPr>
      </w:pPr>
      <w:r w:rsidRPr="007735B2">
        <w:rPr>
          <w:rFonts w:cs="TimesNewRomanPSMT"/>
          <w:lang w:val="en-US"/>
        </w:rPr>
        <w:t>(2) Editors and editorial staff employed by a radio or television broadcaster falling withi</w:t>
      </w:r>
      <w:r>
        <w:rPr>
          <w:rFonts w:cs="TimesNewRomanPSMT"/>
          <w:lang w:val="en-US"/>
        </w:rPr>
        <w:t xml:space="preserve">n the scope of section 1(ii) of </w:t>
      </w:r>
      <w:r w:rsidRPr="007735B2">
        <w:rPr>
          <w:rFonts w:cs="TimesNewRomanPSMT"/>
          <w:lang w:val="en-US"/>
        </w:rPr>
        <w:t>the Media Liability Act (medieansvarsloven) are not subject to a duty to give evidence about:</w:t>
      </w:r>
    </w:p>
    <w:p w14:paraId="5FDB8F01" w14:textId="77777777" w:rsidR="00F31F8C" w:rsidRPr="007735B2" w:rsidRDefault="00F31F8C" w:rsidP="00F31F8C">
      <w:pPr>
        <w:pStyle w:val="BodyText"/>
        <w:rPr>
          <w:rFonts w:cs="TimesNewRomanPSMT"/>
          <w:lang w:val="en-US"/>
        </w:rPr>
      </w:pPr>
      <w:r>
        <w:rPr>
          <w:rFonts w:cs="TimesNewRomanPSMT"/>
          <w:lang w:val="en-US"/>
        </w:rPr>
        <w:t xml:space="preserve">(i) </w:t>
      </w:r>
      <w:r w:rsidRPr="007735B2">
        <w:rPr>
          <w:rFonts w:cs="TimesNewRomanPSMT"/>
          <w:lang w:val="en-US"/>
        </w:rPr>
        <w:t>the identity of the source of a piece of information or the author of a work or the identity of the person who has</w:t>
      </w:r>
      <w:r>
        <w:rPr>
          <w:rFonts w:cs="TimesNewRomanPSMT"/>
          <w:lang w:val="en-US"/>
        </w:rPr>
        <w:t xml:space="preserve"> </w:t>
      </w:r>
      <w:r w:rsidRPr="007735B2">
        <w:rPr>
          <w:rFonts w:cs="TimesNewRomanPSMT"/>
          <w:lang w:val="en-US"/>
        </w:rPr>
        <w:t>taken a photograph or otherwise produced a pictorial representation. If the information, work, etc. is broadcast, it</w:t>
      </w:r>
      <w:r>
        <w:rPr>
          <w:rFonts w:cs="TimesNewRomanPSMT"/>
          <w:lang w:val="en-US"/>
        </w:rPr>
        <w:t xml:space="preserve"> </w:t>
      </w:r>
      <w:r w:rsidRPr="007735B2">
        <w:rPr>
          <w:rFonts w:cs="TimesNewRomanPSMT"/>
          <w:lang w:val="en-US"/>
        </w:rPr>
        <w:t>is a requirement for exemption from the duty to give evidence that the source, a</w:t>
      </w:r>
      <w:r>
        <w:rPr>
          <w:rFonts w:cs="TimesNewRomanPSMT"/>
          <w:lang w:val="en-US"/>
        </w:rPr>
        <w:t xml:space="preserve">uthor, photographer or producer </w:t>
      </w:r>
      <w:r w:rsidRPr="007735B2">
        <w:rPr>
          <w:rFonts w:cs="TimesNewRomanPSMT"/>
          <w:lang w:val="en-US"/>
        </w:rPr>
        <w:t>is not identified in the broadcast; and</w:t>
      </w:r>
    </w:p>
    <w:p w14:paraId="0509FFB8" w14:textId="77777777" w:rsidR="00F31F8C" w:rsidRPr="007735B2" w:rsidRDefault="00F31F8C" w:rsidP="00F31F8C">
      <w:pPr>
        <w:pStyle w:val="BodyText"/>
        <w:rPr>
          <w:rFonts w:cs="TimesNewRomanPSMT"/>
          <w:lang w:val="en-US"/>
        </w:rPr>
      </w:pPr>
      <w:r>
        <w:rPr>
          <w:rFonts w:cs="TimesNewRomanPSMT"/>
          <w:lang w:val="en-US"/>
        </w:rPr>
        <w:t xml:space="preserve">(ii) </w:t>
      </w:r>
      <w:r w:rsidRPr="007735B2">
        <w:rPr>
          <w:rFonts w:cs="TimesNewRomanPSMT"/>
          <w:lang w:val="en-US"/>
        </w:rPr>
        <w:t>the identity of participants who have been promised that they could partic</w:t>
      </w:r>
      <w:r>
        <w:rPr>
          <w:rFonts w:cs="TimesNewRomanPSMT"/>
          <w:lang w:val="en-US"/>
        </w:rPr>
        <w:t xml:space="preserve">ipate without the risk of being </w:t>
      </w:r>
      <w:r w:rsidRPr="007735B2">
        <w:rPr>
          <w:rFonts w:cs="TimesNewRomanPSMT"/>
          <w:lang w:val="en-US"/>
        </w:rPr>
        <w:t>identified. If the programme is broadcast, it is a requirement for exemption from</w:t>
      </w:r>
      <w:r>
        <w:rPr>
          <w:rFonts w:cs="TimesNewRomanPSMT"/>
          <w:lang w:val="en-US"/>
        </w:rPr>
        <w:t xml:space="preserve"> the duty to give evidence that </w:t>
      </w:r>
      <w:r w:rsidRPr="007735B2">
        <w:rPr>
          <w:rFonts w:cs="TimesNewRomanPSMT"/>
          <w:lang w:val="en-US"/>
        </w:rPr>
        <w:t>the relevant persons are not identified by name and that reasonable precautions h</w:t>
      </w:r>
      <w:r>
        <w:rPr>
          <w:rFonts w:cs="TimesNewRomanPSMT"/>
          <w:lang w:val="en-US"/>
        </w:rPr>
        <w:t xml:space="preserve">ave been taken to conceal their </w:t>
      </w:r>
      <w:r w:rsidRPr="007735B2">
        <w:rPr>
          <w:rFonts w:cs="TimesNewRomanPSMT"/>
          <w:lang w:val="en-US"/>
        </w:rPr>
        <w:t>identity.</w:t>
      </w:r>
    </w:p>
    <w:p w14:paraId="6BA3EDF6" w14:textId="77777777" w:rsidR="00F31F8C" w:rsidRPr="007735B2" w:rsidRDefault="00F31F8C" w:rsidP="00F31F8C">
      <w:pPr>
        <w:pStyle w:val="BodyText"/>
        <w:rPr>
          <w:rFonts w:cs="TimesNewRomanPSMT"/>
          <w:lang w:val="en-US"/>
        </w:rPr>
      </w:pPr>
      <w:r w:rsidRPr="007735B2">
        <w:rPr>
          <w:rFonts w:cs="TimesNewRomanPSMT"/>
          <w:lang w:val="en-US"/>
        </w:rPr>
        <w:t>(3) Exemption from the duty to give evidence as provided for in subsections (1) and (2) i</w:t>
      </w:r>
      <w:r>
        <w:rPr>
          <w:rFonts w:cs="TimesNewRomanPSMT"/>
          <w:lang w:val="en-US"/>
        </w:rPr>
        <w:t xml:space="preserve">s also available for others who </w:t>
      </w:r>
      <w:r w:rsidRPr="007735B2">
        <w:rPr>
          <w:rFonts w:cs="TimesNewRomanPSMT"/>
          <w:lang w:val="en-US"/>
        </w:rPr>
        <w:t>have obtained knowledge of the identity of the source, the author or the participant by vi</w:t>
      </w:r>
      <w:r>
        <w:rPr>
          <w:rFonts w:cs="TimesNewRomanPSMT"/>
          <w:lang w:val="en-US"/>
        </w:rPr>
        <w:t xml:space="preserve">rtue of their relationship with </w:t>
      </w:r>
      <w:r w:rsidRPr="007735B2">
        <w:rPr>
          <w:rFonts w:cs="TimesNewRomanPSMT"/>
          <w:lang w:val="en-US"/>
        </w:rPr>
        <w:t>the publication or its production or their relationship with the radio or television broad</w:t>
      </w:r>
      <w:r>
        <w:rPr>
          <w:rFonts w:cs="TimesNewRomanPSMT"/>
          <w:lang w:val="en-US"/>
        </w:rPr>
        <w:t xml:space="preserve">caster or the production of the </w:t>
      </w:r>
      <w:r w:rsidRPr="007735B2">
        <w:rPr>
          <w:rFonts w:cs="TimesNewRomanPSMT"/>
          <w:lang w:val="en-US"/>
        </w:rPr>
        <w:t>broadcast concerned.</w:t>
      </w:r>
    </w:p>
    <w:p w14:paraId="0AECF872" w14:textId="77777777" w:rsidR="00F31F8C" w:rsidRPr="007735B2" w:rsidRDefault="00F31F8C" w:rsidP="00F31F8C">
      <w:pPr>
        <w:pStyle w:val="BodyText"/>
        <w:rPr>
          <w:rFonts w:cs="TimesNewRomanPSMT"/>
          <w:lang w:val="en-US"/>
        </w:rPr>
      </w:pPr>
      <w:r>
        <w:rPr>
          <w:rFonts w:cs="TimesNewRomanPSMT"/>
          <w:lang w:val="en-US"/>
        </w:rPr>
        <w:lastRenderedPageBreak/>
        <w:t>(4) T</w:t>
      </w:r>
      <w:r w:rsidRPr="007735B2">
        <w:rPr>
          <w:rFonts w:cs="TimesNewRomanPSMT"/>
          <w:lang w:val="en-US"/>
        </w:rPr>
        <w:t>he provisions of subsections (1)-(3) apply correspondingly to the mass media fall</w:t>
      </w:r>
      <w:r>
        <w:rPr>
          <w:rFonts w:cs="TimesNewRomanPSMT"/>
          <w:lang w:val="en-US"/>
        </w:rPr>
        <w:t xml:space="preserve">ing within the scope of section </w:t>
      </w:r>
      <w:r w:rsidRPr="007735B2">
        <w:rPr>
          <w:rFonts w:cs="TimesNewRomanPSMT"/>
          <w:lang w:val="en-US"/>
        </w:rPr>
        <w:t>1(iii) of the Media Liability Act (</w:t>
      </w:r>
      <w:r w:rsidRPr="007735B2">
        <w:rPr>
          <w:rFonts w:cs="TimesNewRomanPS-ItalicMT"/>
          <w:i/>
          <w:iCs/>
          <w:lang w:val="en-US"/>
        </w:rPr>
        <w:t>medieansvarsloven</w:t>
      </w:r>
      <w:r w:rsidRPr="007735B2">
        <w:rPr>
          <w:rFonts w:cs="TimesNewRomanPSMT"/>
          <w:lang w:val="en-US"/>
        </w:rPr>
        <w:t>).</w:t>
      </w:r>
    </w:p>
    <w:p w14:paraId="4003ED7A" w14:textId="77777777" w:rsidR="00F31F8C" w:rsidRPr="007735B2" w:rsidRDefault="00F31F8C" w:rsidP="00F31F8C">
      <w:pPr>
        <w:pStyle w:val="BodyText"/>
        <w:rPr>
          <w:rFonts w:cs="TimesNewRomanPSMT"/>
          <w:lang w:val="en-US"/>
        </w:rPr>
      </w:pPr>
      <w:r w:rsidRPr="007735B2">
        <w:rPr>
          <w:rFonts w:cs="TimesNewRomanPSMT"/>
          <w:lang w:val="en-US"/>
        </w:rPr>
        <w:t xml:space="preserve">(5) If the proceedings concern an offence of a serious nature which is punishable under the law </w:t>
      </w:r>
      <w:r>
        <w:rPr>
          <w:rFonts w:cs="TimesNewRomanPSMT"/>
          <w:lang w:val="en-US"/>
        </w:rPr>
        <w:t xml:space="preserve">by imprisonment for no </w:t>
      </w:r>
      <w:r w:rsidRPr="007735B2">
        <w:rPr>
          <w:rFonts w:cs="TimesNewRomanPSMT"/>
          <w:lang w:val="en-US"/>
        </w:rPr>
        <w:t>less than four years, however, the court may order the persons mentioned in subsecti</w:t>
      </w:r>
      <w:r>
        <w:rPr>
          <w:rFonts w:cs="TimesNewRomanPSMT"/>
          <w:lang w:val="en-US"/>
        </w:rPr>
        <w:t xml:space="preserve">ons (1)-(4) to give evidence as </w:t>
      </w:r>
      <w:r w:rsidRPr="007735B2">
        <w:rPr>
          <w:rFonts w:cs="TimesNewRomanPSMT"/>
          <w:lang w:val="en-US"/>
        </w:rPr>
        <w:t>witnesses if such evidence is deemed to be essential to the proper examination of the case, and the interest in findi</w:t>
      </w:r>
      <w:r>
        <w:rPr>
          <w:rFonts w:cs="TimesNewRomanPSMT"/>
          <w:lang w:val="en-US"/>
        </w:rPr>
        <w:t xml:space="preserve">ng </w:t>
      </w:r>
      <w:r w:rsidRPr="007735B2">
        <w:rPr>
          <w:rFonts w:cs="TimesNewRomanPSMT"/>
          <w:lang w:val="en-US"/>
        </w:rPr>
        <w:t>and presenting evidence obviously overrides the need of the mass media to protect their sources.</w:t>
      </w:r>
    </w:p>
    <w:p w14:paraId="71BA46C5" w14:textId="77777777" w:rsidR="00F31F8C" w:rsidRPr="007735B2" w:rsidRDefault="00F31F8C" w:rsidP="00F31F8C">
      <w:pPr>
        <w:pStyle w:val="BodyText"/>
        <w:rPr>
          <w:rFonts w:cs="TimesNewRomanPSMT"/>
          <w:lang w:val="en-US"/>
        </w:rPr>
      </w:pPr>
      <w:r w:rsidRPr="007735B2">
        <w:rPr>
          <w:rFonts w:cs="TimesNewRomanPSMT"/>
          <w:lang w:val="en-US"/>
        </w:rPr>
        <w:t>(6) Similarly, the court may order the persons mentioned in subsections (1)-(4) to gi</w:t>
      </w:r>
      <w:r>
        <w:rPr>
          <w:rFonts w:cs="TimesNewRomanPSMT"/>
          <w:lang w:val="en-US"/>
        </w:rPr>
        <w:t xml:space="preserve">ve evidence as witnesses if the </w:t>
      </w:r>
      <w:r w:rsidRPr="007735B2">
        <w:rPr>
          <w:rFonts w:cs="TimesNewRomanPSMT"/>
          <w:lang w:val="en-US"/>
        </w:rPr>
        <w:t>proceedings concern a contravention of sections 152-152c of the Criminal Code (</w:t>
      </w:r>
      <w:r w:rsidRPr="007735B2">
        <w:rPr>
          <w:rFonts w:cs="TimesNewRomanPS-ItalicMT"/>
          <w:i/>
          <w:iCs/>
          <w:lang w:val="en-US"/>
        </w:rPr>
        <w:t>straffeloven</w:t>
      </w:r>
      <w:r w:rsidRPr="007735B2">
        <w:rPr>
          <w:rFonts w:cs="TimesNewRomanPSMT"/>
          <w:lang w:val="en-US"/>
        </w:rPr>
        <w:t xml:space="preserve">). </w:t>
      </w:r>
      <w:r>
        <w:rPr>
          <w:rFonts w:cs="TimesNewRomanPSMT"/>
          <w:lang w:val="en-US"/>
        </w:rPr>
        <w:t xml:space="preserve">However, this does not </w:t>
      </w:r>
      <w:r w:rsidRPr="007735B2">
        <w:rPr>
          <w:rFonts w:cs="TimesNewRomanPSMT"/>
          <w:lang w:val="en-US"/>
        </w:rPr>
        <w:t>apply if it may be assumed that the author or the source intended to disclose matters of importance to society.</w:t>
      </w:r>
    </w:p>
    <w:p w14:paraId="1239F186" w14:textId="77777777" w:rsidR="00F31F8C" w:rsidRPr="00F96BAE" w:rsidRDefault="00F31F8C" w:rsidP="00F31F8C">
      <w:pPr>
        <w:pStyle w:val="BodyText"/>
        <w:rPr>
          <w:b/>
          <w:lang w:val="en-US"/>
        </w:rPr>
      </w:pPr>
      <w:r w:rsidRPr="00F96BAE">
        <w:rPr>
          <w:b/>
          <w:lang w:val="en-US"/>
        </w:rPr>
        <w:t>172 a.</w:t>
      </w:r>
    </w:p>
    <w:p w14:paraId="53F36231" w14:textId="77777777" w:rsidR="00F31F8C" w:rsidRPr="007735B2" w:rsidRDefault="00F31F8C" w:rsidP="00F31F8C">
      <w:pPr>
        <w:pStyle w:val="BodyText"/>
        <w:rPr>
          <w:rFonts w:cs="TimesNewRomanPSMT"/>
          <w:lang w:val="en-US"/>
        </w:rPr>
      </w:pPr>
      <w:r w:rsidRPr="007735B2">
        <w:rPr>
          <w:rFonts w:cs="TimesNewRomanPSMT"/>
          <w:lang w:val="en-US"/>
        </w:rPr>
        <w:t>(1) A person who has been examined by video communications equipment under sect</w:t>
      </w:r>
      <w:r>
        <w:rPr>
          <w:rFonts w:cs="TimesNewRomanPSMT"/>
          <w:lang w:val="en-US"/>
        </w:rPr>
        <w:t xml:space="preserve">ion 745e or section 183(3) does </w:t>
      </w:r>
      <w:r w:rsidRPr="007735B2">
        <w:rPr>
          <w:rFonts w:cs="TimesNewRomanPSMT"/>
          <w:lang w:val="en-US"/>
        </w:rPr>
        <w:t>not have a duty to give evidence as a witness in court.</w:t>
      </w:r>
    </w:p>
    <w:p w14:paraId="3B0ADAB3" w14:textId="77777777" w:rsidR="00F31F8C" w:rsidRPr="007735B2" w:rsidRDefault="00F31F8C" w:rsidP="00F31F8C">
      <w:pPr>
        <w:pStyle w:val="BodyText"/>
        <w:rPr>
          <w:rFonts w:cs="TimesNewRomanPSMT"/>
          <w:lang w:val="en-US"/>
        </w:rPr>
      </w:pPr>
      <w:r w:rsidRPr="007735B2">
        <w:rPr>
          <w:rFonts w:cs="TimesNewRomanPSMT"/>
          <w:lang w:val="en-US"/>
        </w:rPr>
        <w:t xml:space="preserve">(2) In very exceptional circumstances, the court may order a person falling within the </w:t>
      </w:r>
      <w:r>
        <w:rPr>
          <w:rFonts w:cs="TimesNewRomanPSMT"/>
          <w:lang w:val="en-US"/>
        </w:rPr>
        <w:t xml:space="preserve">scope of subsection (1) to give </w:t>
      </w:r>
      <w:r w:rsidRPr="007735B2">
        <w:rPr>
          <w:rFonts w:cs="TimesNewRomanPSMT"/>
          <w:lang w:val="en-US"/>
        </w:rPr>
        <w:t>evidence as a witness in court if such evidence is crucial to the determination of the case an</w:t>
      </w:r>
      <w:r>
        <w:rPr>
          <w:rFonts w:cs="TimesNewRomanPSMT"/>
          <w:lang w:val="en-US"/>
        </w:rPr>
        <w:t xml:space="preserve">d it will not be sufficient for </w:t>
      </w:r>
      <w:r w:rsidRPr="007735B2">
        <w:rPr>
          <w:rFonts w:cs="TimesNewRomanPSMT"/>
          <w:lang w:val="en-US"/>
        </w:rPr>
        <w:t>the person to be re-examined by use of video communication equipment.</w:t>
      </w:r>
    </w:p>
    <w:p w14:paraId="1F14867C" w14:textId="77777777" w:rsidR="00F31F8C" w:rsidRPr="00F31F8C" w:rsidRDefault="00F31F8C" w:rsidP="001D2FA1">
      <w:pPr>
        <w:rPr>
          <w:lang w:val="en-US"/>
        </w:rPr>
      </w:pPr>
    </w:p>
    <w:sectPr w:rsidR="00F31F8C" w:rsidRPr="00F31F8C" w:rsidSect="00B16CEF">
      <w:headerReference w:type="even" r:id="rId10"/>
      <w:headerReference w:type="default" r:id="rId11"/>
      <w:footerReference w:type="even" r:id="rId12"/>
      <w:footerReference w:type="default" r:id="rId13"/>
      <w:headerReference w:type="first" r:id="rId14"/>
      <w:footerReference w:type="first" r:id="rId15"/>
      <w:pgSz w:w="11906" w:h="16838" w:code="9"/>
      <w:pgMar w:top="2027" w:right="3629" w:bottom="1134" w:left="1247" w:header="686"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C4E96" w14:textId="77777777" w:rsidR="00813BF3" w:rsidRDefault="00813BF3" w:rsidP="000F70B6">
      <w:pPr>
        <w:spacing w:line="240" w:lineRule="auto"/>
      </w:pPr>
      <w:r>
        <w:separator/>
      </w:r>
    </w:p>
  </w:endnote>
  <w:endnote w:type="continuationSeparator" w:id="0">
    <w:p w14:paraId="1EF8B872" w14:textId="77777777" w:rsidR="00813BF3" w:rsidRDefault="00813BF3"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D53F0" w14:textId="77777777" w:rsidR="00D77A02" w:rsidRDefault="00D77A02" w:rsidP="00B16CEF">
    <w:pPr>
      <w:pStyle w:val="Footer"/>
    </w:pPr>
  </w:p>
  <w:p w14:paraId="5E6A2668" w14:textId="77777777" w:rsidR="00D77A02" w:rsidRPr="00B16CEF" w:rsidRDefault="00D77A02" w:rsidP="00B16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3F6F" w14:textId="651BF913" w:rsidR="00D77A02" w:rsidRPr="00B86E96" w:rsidRDefault="00D77A02" w:rsidP="00B16CEF">
    <w:pPr>
      <w:pStyle w:val="Footer"/>
      <w:tabs>
        <w:tab w:val="clear" w:pos="4819"/>
        <w:tab w:val="left" w:pos="7195"/>
      </w:tabs>
    </w:pPr>
    <w:r>
      <w:tab/>
    </w:r>
    <w:r>
      <w:fldChar w:fldCharType="begin"/>
    </w:r>
    <w:r>
      <w:instrText xml:space="preserve"> PAGE </w:instrText>
    </w:r>
    <w:r>
      <w:fldChar w:fldCharType="separate"/>
    </w:r>
    <w:r>
      <w:t>1</w:t>
    </w:r>
    <w:r>
      <w:fldChar w:fldCharType="end"/>
    </w:r>
    <w:r>
      <w:t>/</w:t>
    </w:r>
    <w:r w:rsidR="0008302C">
      <w:fldChar w:fldCharType="begin"/>
    </w:r>
    <w:r w:rsidR="0008302C">
      <w:instrText xml:space="preserve"> SECTIONPAGES </w:instrText>
    </w:r>
    <w:r w:rsidR="0008302C">
      <w:fldChar w:fldCharType="separate"/>
    </w:r>
    <w:r w:rsidR="0008302C">
      <w:rPr>
        <w:noProof/>
      </w:rPr>
      <w:t>10</w:t>
    </w:r>
    <w:r w:rsidR="0008302C">
      <w:rPr>
        <w:noProof/>
      </w:rPr>
      <w:fldChar w:fldCharType="end"/>
    </w:r>
  </w:p>
  <w:p w14:paraId="0FDC4D09" w14:textId="77777777" w:rsidR="00D77A02" w:rsidRPr="00B16CEF" w:rsidRDefault="00D77A02" w:rsidP="00B16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CDF8" w14:textId="77777777" w:rsidR="00D77A02" w:rsidRDefault="00D77A02" w:rsidP="00B16CEF">
    <w:pPr>
      <w:pStyle w:val="Footer"/>
    </w:pPr>
  </w:p>
  <w:p w14:paraId="02907A77" w14:textId="77777777" w:rsidR="00D77A02" w:rsidRPr="00B16CEF" w:rsidRDefault="00D77A02" w:rsidP="00B16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1D1C5" w14:textId="77777777" w:rsidR="00813BF3" w:rsidRDefault="00813BF3" w:rsidP="000F70B6">
      <w:pPr>
        <w:spacing w:line="240" w:lineRule="auto"/>
      </w:pPr>
      <w:r>
        <w:separator/>
      </w:r>
    </w:p>
  </w:footnote>
  <w:footnote w:type="continuationSeparator" w:id="0">
    <w:p w14:paraId="5F4A5D85" w14:textId="77777777" w:rsidR="00813BF3" w:rsidRDefault="00813BF3"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7433" w14:textId="77777777" w:rsidR="00D77A02" w:rsidRDefault="00D77A02" w:rsidP="00B16CEF">
    <w:pPr>
      <w:pStyle w:val="Header"/>
    </w:pPr>
  </w:p>
  <w:p w14:paraId="15D29807" w14:textId="77777777" w:rsidR="00D77A02" w:rsidRPr="00B16CEF" w:rsidRDefault="00D77A02" w:rsidP="00B16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259C5" w14:textId="77777777" w:rsidR="00D77A02" w:rsidRDefault="00D77A02" w:rsidP="00B16CEF">
    <w:pPr>
      <w:pStyle w:val="Header"/>
    </w:pPr>
  </w:p>
  <w:p w14:paraId="467A9B74" w14:textId="77777777" w:rsidR="00D77A02" w:rsidRPr="00B16CEF" w:rsidRDefault="00D77A02" w:rsidP="00B16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2D50" w14:textId="77777777" w:rsidR="00D77A02" w:rsidRDefault="00D77A02" w:rsidP="00B16CEF">
    <w:pPr>
      <w:pStyle w:val="Header"/>
    </w:pPr>
  </w:p>
  <w:p w14:paraId="194E165B" w14:textId="77777777" w:rsidR="00D77A02" w:rsidRPr="007C4004" w:rsidRDefault="00D77A02" w:rsidP="00B16CEF">
    <w:pPr>
      <w:pStyle w:val="Header"/>
    </w:pPr>
    <w:r>
      <w:rPr>
        <w:noProof/>
      </w:rPr>
      <w:drawing>
        <wp:anchor distT="0" distB="0" distL="0" distR="0" simplePos="0" relativeHeight="251659264" behindDoc="0" locked="0" layoutInCell="1" allowOverlap="1" wp14:anchorId="04C124A9" wp14:editId="00A80BD0">
          <wp:simplePos x="0" y="0"/>
          <wp:positionH relativeFrom="page">
            <wp:posOffset>5256000</wp:posOffset>
          </wp:positionH>
          <wp:positionV relativeFrom="page">
            <wp:posOffset>180000</wp:posOffset>
          </wp:positionV>
          <wp:extent cx="1800000" cy="900000"/>
          <wp:effectExtent l="0" t="0" r="0" b="0"/>
          <wp:wrapNone/>
          <wp:docPr id="1130067755" name="Logo_Hide"/>
          <wp:cNvGraphicFramePr/>
          <a:graphic xmlns:a="http://schemas.openxmlformats.org/drawingml/2006/main">
            <a:graphicData uri="http://schemas.openxmlformats.org/drawingml/2006/picture">
              <pic:pic xmlns:pic="http://schemas.openxmlformats.org/drawingml/2006/picture">
                <pic:nvPicPr>
                  <pic:cNvPr id="1130067755" name="Logo_Hide"/>
                  <pic:cNvPicPr/>
                </pic:nvPicPr>
                <pic:blipFill>
                  <a:blip r:embed="rId1"/>
                  <a:srcRect/>
                  <a:stretch/>
                </pic:blipFill>
                <pic:spPr>
                  <a:xfrm>
                    <a:off x="0" y="0"/>
                    <a:ext cx="1800000" cy="900000"/>
                  </a:xfrm>
                  <a:prstGeom prst="rect">
                    <a:avLst/>
                  </a:prstGeom>
                </pic:spPr>
              </pic:pic>
            </a:graphicData>
          </a:graphic>
        </wp:anchor>
      </w:drawing>
    </w:r>
  </w:p>
  <w:p w14:paraId="63BC4EB0" w14:textId="77777777" w:rsidR="00D77A02" w:rsidRPr="00B16CEF" w:rsidRDefault="00D77A02" w:rsidP="00B16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467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EA6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FA7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40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460973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0E3621F"/>
    <w:multiLevelType w:val="hybridMultilevel"/>
    <w:tmpl w:val="6F768946"/>
    <w:lvl w:ilvl="0" w:tplc="FAF886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33D81ABD"/>
    <w:multiLevelType w:val="multilevel"/>
    <w:tmpl w:val="712621D4"/>
    <w:lvl w:ilvl="0">
      <w:start w:val="1"/>
      <w:numFmt w:val="decimal"/>
      <w:pStyle w:val="ListNumber"/>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2" w15:restartNumberingAfterBreak="0">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50F5060A"/>
    <w:multiLevelType w:val="singleLevel"/>
    <w:tmpl w:val="64DCA7FA"/>
    <w:lvl w:ilvl="0">
      <w:start w:val="1"/>
      <w:numFmt w:val="decimal"/>
      <w:lvlRestart w:val="0"/>
      <w:lvlText w:val="%1."/>
      <w:lvlJc w:val="left"/>
      <w:pPr>
        <w:ind w:left="397" w:hanging="397"/>
      </w:pPr>
    </w:lvl>
  </w:abstractNum>
  <w:abstractNum w:abstractNumId="14" w15:restartNumberingAfterBreak="0">
    <w:nsid w:val="56651694"/>
    <w:multiLevelType w:val="hybridMultilevel"/>
    <w:tmpl w:val="F8B862D2"/>
    <w:lvl w:ilvl="0" w:tplc="366A12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30"/>
    <w:rsid w:val="00014F88"/>
    <w:rsid w:val="00034006"/>
    <w:rsid w:val="00036BAE"/>
    <w:rsid w:val="000450B5"/>
    <w:rsid w:val="000454E4"/>
    <w:rsid w:val="00061046"/>
    <w:rsid w:val="000646B3"/>
    <w:rsid w:val="00065CAD"/>
    <w:rsid w:val="0007366F"/>
    <w:rsid w:val="0007373F"/>
    <w:rsid w:val="00076985"/>
    <w:rsid w:val="0008302C"/>
    <w:rsid w:val="00085F66"/>
    <w:rsid w:val="0009279B"/>
    <w:rsid w:val="000A4DBE"/>
    <w:rsid w:val="000B1315"/>
    <w:rsid w:val="000C20C6"/>
    <w:rsid w:val="000D19A4"/>
    <w:rsid w:val="000D5434"/>
    <w:rsid w:val="000D6122"/>
    <w:rsid w:val="000F39E2"/>
    <w:rsid w:val="000F6487"/>
    <w:rsid w:val="000F70B6"/>
    <w:rsid w:val="00100200"/>
    <w:rsid w:val="0010674C"/>
    <w:rsid w:val="00107990"/>
    <w:rsid w:val="001343CC"/>
    <w:rsid w:val="00140549"/>
    <w:rsid w:val="00142AF9"/>
    <w:rsid w:val="00155B3E"/>
    <w:rsid w:val="00156AA8"/>
    <w:rsid w:val="00167660"/>
    <w:rsid w:val="00170647"/>
    <w:rsid w:val="00170885"/>
    <w:rsid w:val="00172A8A"/>
    <w:rsid w:val="00182EAA"/>
    <w:rsid w:val="001951EF"/>
    <w:rsid w:val="001A124A"/>
    <w:rsid w:val="001A5D53"/>
    <w:rsid w:val="001A755C"/>
    <w:rsid w:val="001C0D09"/>
    <w:rsid w:val="001C32CC"/>
    <w:rsid w:val="001C4725"/>
    <w:rsid w:val="001C6811"/>
    <w:rsid w:val="001D2608"/>
    <w:rsid w:val="001D2FA1"/>
    <w:rsid w:val="001F581C"/>
    <w:rsid w:val="00212726"/>
    <w:rsid w:val="00214BB6"/>
    <w:rsid w:val="002246BA"/>
    <w:rsid w:val="00225EF5"/>
    <w:rsid w:val="0023251F"/>
    <w:rsid w:val="00240355"/>
    <w:rsid w:val="00242DCF"/>
    <w:rsid w:val="00243A00"/>
    <w:rsid w:val="00245713"/>
    <w:rsid w:val="002460D8"/>
    <w:rsid w:val="00246128"/>
    <w:rsid w:val="00250785"/>
    <w:rsid w:val="00251AC4"/>
    <w:rsid w:val="002538D2"/>
    <w:rsid w:val="002562A3"/>
    <w:rsid w:val="002610A8"/>
    <w:rsid w:val="00273A50"/>
    <w:rsid w:val="0028502C"/>
    <w:rsid w:val="00293A7B"/>
    <w:rsid w:val="002941E0"/>
    <w:rsid w:val="002A0CF7"/>
    <w:rsid w:val="002A76BC"/>
    <w:rsid w:val="002A7E03"/>
    <w:rsid w:val="002D3188"/>
    <w:rsid w:val="002D3F71"/>
    <w:rsid w:val="002E0ABC"/>
    <w:rsid w:val="002E0E3D"/>
    <w:rsid w:val="002E28BF"/>
    <w:rsid w:val="002E7711"/>
    <w:rsid w:val="00306DD0"/>
    <w:rsid w:val="003121BD"/>
    <w:rsid w:val="003154AB"/>
    <w:rsid w:val="00325745"/>
    <w:rsid w:val="00327773"/>
    <w:rsid w:val="003338E8"/>
    <w:rsid w:val="00335CC5"/>
    <w:rsid w:val="003362E8"/>
    <w:rsid w:val="00351389"/>
    <w:rsid w:val="00357A5F"/>
    <w:rsid w:val="00360674"/>
    <w:rsid w:val="00367A63"/>
    <w:rsid w:val="003716F1"/>
    <w:rsid w:val="003719A5"/>
    <w:rsid w:val="00373550"/>
    <w:rsid w:val="0038074C"/>
    <w:rsid w:val="00390CF6"/>
    <w:rsid w:val="00394A39"/>
    <w:rsid w:val="003A6DAC"/>
    <w:rsid w:val="003B6264"/>
    <w:rsid w:val="003C0EA6"/>
    <w:rsid w:val="003C4978"/>
    <w:rsid w:val="003C6A30"/>
    <w:rsid w:val="003C79DD"/>
    <w:rsid w:val="003E3D5D"/>
    <w:rsid w:val="003E435A"/>
    <w:rsid w:val="003F75B5"/>
    <w:rsid w:val="004021BE"/>
    <w:rsid w:val="004046FE"/>
    <w:rsid w:val="00410CAA"/>
    <w:rsid w:val="00414334"/>
    <w:rsid w:val="00424363"/>
    <w:rsid w:val="00435A71"/>
    <w:rsid w:val="004455FC"/>
    <w:rsid w:val="00453B2C"/>
    <w:rsid w:val="00460B5C"/>
    <w:rsid w:val="00460F51"/>
    <w:rsid w:val="00465DCE"/>
    <w:rsid w:val="004774D5"/>
    <w:rsid w:val="0047786C"/>
    <w:rsid w:val="004905EE"/>
    <w:rsid w:val="00490DB8"/>
    <w:rsid w:val="004A458B"/>
    <w:rsid w:val="004A7F82"/>
    <w:rsid w:val="004B1B00"/>
    <w:rsid w:val="004B4F4C"/>
    <w:rsid w:val="004B6DBB"/>
    <w:rsid w:val="004C1E6C"/>
    <w:rsid w:val="004C33A5"/>
    <w:rsid w:val="004D2D80"/>
    <w:rsid w:val="004D70E4"/>
    <w:rsid w:val="004E52F7"/>
    <w:rsid w:val="004F1EB5"/>
    <w:rsid w:val="0050103F"/>
    <w:rsid w:val="00501E21"/>
    <w:rsid w:val="005063DF"/>
    <w:rsid w:val="00510965"/>
    <w:rsid w:val="005130AA"/>
    <w:rsid w:val="00517459"/>
    <w:rsid w:val="00531C1D"/>
    <w:rsid w:val="00532289"/>
    <w:rsid w:val="0053748C"/>
    <w:rsid w:val="005419B6"/>
    <w:rsid w:val="0054553A"/>
    <w:rsid w:val="005524E2"/>
    <w:rsid w:val="00555B97"/>
    <w:rsid w:val="00586DD4"/>
    <w:rsid w:val="00590234"/>
    <w:rsid w:val="005908F7"/>
    <w:rsid w:val="00593326"/>
    <w:rsid w:val="005C4DA5"/>
    <w:rsid w:val="005C52A9"/>
    <w:rsid w:val="005E371A"/>
    <w:rsid w:val="005E55DD"/>
    <w:rsid w:val="00611AE0"/>
    <w:rsid w:val="006137D5"/>
    <w:rsid w:val="00613F18"/>
    <w:rsid w:val="006151C2"/>
    <w:rsid w:val="0062064F"/>
    <w:rsid w:val="00624141"/>
    <w:rsid w:val="006340C7"/>
    <w:rsid w:val="00640350"/>
    <w:rsid w:val="00640D4C"/>
    <w:rsid w:val="0069385F"/>
    <w:rsid w:val="006971E6"/>
    <w:rsid w:val="006A11D6"/>
    <w:rsid w:val="006A55A9"/>
    <w:rsid w:val="006A5BC2"/>
    <w:rsid w:val="006A710C"/>
    <w:rsid w:val="006B5C25"/>
    <w:rsid w:val="006C6ABC"/>
    <w:rsid w:val="006D5107"/>
    <w:rsid w:val="006E107D"/>
    <w:rsid w:val="006E2B17"/>
    <w:rsid w:val="006E75AF"/>
    <w:rsid w:val="006F1461"/>
    <w:rsid w:val="006F292B"/>
    <w:rsid w:val="006F2A68"/>
    <w:rsid w:val="0070502D"/>
    <w:rsid w:val="00714A23"/>
    <w:rsid w:val="00723901"/>
    <w:rsid w:val="007246CB"/>
    <w:rsid w:val="00752417"/>
    <w:rsid w:val="0075776A"/>
    <w:rsid w:val="007668F9"/>
    <w:rsid w:val="00767636"/>
    <w:rsid w:val="00770CD3"/>
    <w:rsid w:val="00772318"/>
    <w:rsid w:val="00775299"/>
    <w:rsid w:val="00775833"/>
    <w:rsid w:val="00777185"/>
    <w:rsid w:val="00784FE9"/>
    <w:rsid w:val="007A2718"/>
    <w:rsid w:val="007A2A0D"/>
    <w:rsid w:val="007B04BC"/>
    <w:rsid w:val="007C4004"/>
    <w:rsid w:val="007D1049"/>
    <w:rsid w:val="007E1419"/>
    <w:rsid w:val="007E2257"/>
    <w:rsid w:val="007E6A85"/>
    <w:rsid w:val="007E7C66"/>
    <w:rsid w:val="007F683D"/>
    <w:rsid w:val="007F7D9C"/>
    <w:rsid w:val="00813BF3"/>
    <w:rsid w:val="00814798"/>
    <w:rsid w:val="0082299E"/>
    <w:rsid w:val="00823E78"/>
    <w:rsid w:val="00824D90"/>
    <w:rsid w:val="00824F67"/>
    <w:rsid w:val="0083452A"/>
    <w:rsid w:val="00836F70"/>
    <w:rsid w:val="0084210F"/>
    <w:rsid w:val="00845DD7"/>
    <w:rsid w:val="0084690E"/>
    <w:rsid w:val="008516B2"/>
    <w:rsid w:val="0086224B"/>
    <w:rsid w:val="008644BE"/>
    <w:rsid w:val="00865258"/>
    <w:rsid w:val="00872582"/>
    <w:rsid w:val="00873CE1"/>
    <w:rsid w:val="00882366"/>
    <w:rsid w:val="008877C0"/>
    <w:rsid w:val="00896208"/>
    <w:rsid w:val="008B2376"/>
    <w:rsid w:val="008B6BB3"/>
    <w:rsid w:val="008B7F7A"/>
    <w:rsid w:val="008C2806"/>
    <w:rsid w:val="008D349E"/>
    <w:rsid w:val="008E3821"/>
    <w:rsid w:val="008E54F5"/>
    <w:rsid w:val="008F6386"/>
    <w:rsid w:val="00900638"/>
    <w:rsid w:val="00904498"/>
    <w:rsid w:val="009056DA"/>
    <w:rsid w:val="0091477F"/>
    <w:rsid w:val="00914EE0"/>
    <w:rsid w:val="00926AE6"/>
    <w:rsid w:val="009277F6"/>
    <w:rsid w:val="00933D97"/>
    <w:rsid w:val="00943F42"/>
    <w:rsid w:val="009456D6"/>
    <w:rsid w:val="00954BA5"/>
    <w:rsid w:val="00962D9B"/>
    <w:rsid w:val="00971C10"/>
    <w:rsid w:val="00976B94"/>
    <w:rsid w:val="00984A32"/>
    <w:rsid w:val="00984CB8"/>
    <w:rsid w:val="00985AB5"/>
    <w:rsid w:val="00985BFC"/>
    <w:rsid w:val="00990D10"/>
    <w:rsid w:val="009967F0"/>
    <w:rsid w:val="009B46FB"/>
    <w:rsid w:val="009B4C37"/>
    <w:rsid w:val="009B5CFF"/>
    <w:rsid w:val="009C1790"/>
    <w:rsid w:val="009C4359"/>
    <w:rsid w:val="009C44FF"/>
    <w:rsid w:val="009D4121"/>
    <w:rsid w:val="009E4F2C"/>
    <w:rsid w:val="009E5FC7"/>
    <w:rsid w:val="00A03E6A"/>
    <w:rsid w:val="00A05A78"/>
    <w:rsid w:val="00A07E4E"/>
    <w:rsid w:val="00A330BA"/>
    <w:rsid w:val="00A44B7C"/>
    <w:rsid w:val="00A4693D"/>
    <w:rsid w:val="00A549D1"/>
    <w:rsid w:val="00A71DEC"/>
    <w:rsid w:val="00A75D3F"/>
    <w:rsid w:val="00A82A76"/>
    <w:rsid w:val="00A86913"/>
    <w:rsid w:val="00A86C3C"/>
    <w:rsid w:val="00A91BE6"/>
    <w:rsid w:val="00A95B80"/>
    <w:rsid w:val="00AA23F1"/>
    <w:rsid w:val="00AA56E9"/>
    <w:rsid w:val="00AA665C"/>
    <w:rsid w:val="00AE2F28"/>
    <w:rsid w:val="00AF0EB6"/>
    <w:rsid w:val="00AF574C"/>
    <w:rsid w:val="00B02321"/>
    <w:rsid w:val="00B052E2"/>
    <w:rsid w:val="00B13130"/>
    <w:rsid w:val="00B16CEF"/>
    <w:rsid w:val="00B2062E"/>
    <w:rsid w:val="00B33CE2"/>
    <w:rsid w:val="00B40AA2"/>
    <w:rsid w:val="00B45ACE"/>
    <w:rsid w:val="00B54013"/>
    <w:rsid w:val="00B61A95"/>
    <w:rsid w:val="00B806B9"/>
    <w:rsid w:val="00B86AAD"/>
    <w:rsid w:val="00B86E96"/>
    <w:rsid w:val="00B8769C"/>
    <w:rsid w:val="00B91309"/>
    <w:rsid w:val="00B954F1"/>
    <w:rsid w:val="00B97633"/>
    <w:rsid w:val="00BA30FD"/>
    <w:rsid w:val="00BA4495"/>
    <w:rsid w:val="00BB3BD2"/>
    <w:rsid w:val="00BB41CD"/>
    <w:rsid w:val="00BB6590"/>
    <w:rsid w:val="00BF089F"/>
    <w:rsid w:val="00BF0A6D"/>
    <w:rsid w:val="00BF2690"/>
    <w:rsid w:val="00C004C1"/>
    <w:rsid w:val="00C03702"/>
    <w:rsid w:val="00C164E4"/>
    <w:rsid w:val="00C3501C"/>
    <w:rsid w:val="00C475AD"/>
    <w:rsid w:val="00C554BC"/>
    <w:rsid w:val="00C56438"/>
    <w:rsid w:val="00C56746"/>
    <w:rsid w:val="00C56F14"/>
    <w:rsid w:val="00C74E1B"/>
    <w:rsid w:val="00C94171"/>
    <w:rsid w:val="00C94311"/>
    <w:rsid w:val="00CA04F3"/>
    <w:rsid w:val="00CB19B1"/>
    <w:rsid w:val="00CB6BF0"/>
    <w:rsid w:val="00CC462E"/>
    <w:rsid w:val="00CD462C"/>
    <w:rsid w:val="00CD6726"/>
    <w:rsid w:val="00CE3BBA"/>
    <w:rsid w:val="00CE532E"/>
    <w:rsid w:val="00D1036C"/>
    <w:rsid w:val="00D13659"/>
    <w:rsid w:val="00D1403A"/>
    <w:rsid w:val="00D23C1E"/>
    <w:rsid w:val="00D423C2"/>
    <w:rsid w:val="00D44C6F"/>
    <w:rsid w:val="00D52D8B"/>
    <w:rsid w:val="00D54CE2"/>
    <w:rsid w:val="00D6607A"/>
    <w:rsid w:val="00D70E72"/>
    <w:rsid w:val="00D75458"/>
    <w:rsid w:val="00D779E7"/>
    <w:rsid w:val="00D77A02"/>
    <w:rsid w:val="00D83034"/>
    <w:rsid w:val="00D94E1D"/>
    <w:rsid w:val="00DB161C"/>
    <w:rsid w:val="00DC358E"/>
    <w:rsid w:val="00DC6746"/>
    <w:rsid w:val="00DD41AF"/>
    <w:rsid w:val="00DE0525"/>
    <w:rsid w:val="00DE30A6"/>
    <w:rsid w:val="00DE5439"/>
    <w:rsid w:val="00DF1A40"/>
    <w:rsid w:val="00DF4284"/>
    <w:rsid w:val="00E02214"/>
    <w:rsid w:val="00E15B1F"/>
    <w:rsid w:val="00E15F91"/>
    <w:rsid w:val="00E416CE"/>
    <w:rsid w:val="00E43370"/>
    <w:rsid w:val="00E43E13"/>
    <w:rsid w:val="00E5041A"/>
    <w:rsid w:val="00E60014"/>
    <w:rsid w:val="00E7089C"/>
    <w:rsid w:val="00E71063"/>
    <w:rsid w:val="00E733FE"/>
    <w:rsid w:val="00E74996"/>
    <w:rsid w:val="00E75317"/>
    <w:rsid w:val="00E75975"/>
    <w:rsid w:val="00E927E3"/>
    <w:rsid w:val="00E94305"/>
    <w:rsid w:val="00EA6AD4"/>
    <w:rsid w:val="00EB51CB"/>
    <w:rsid w:val="00F00AE9"/>
    <w:rsid w:val="00F049B0"/>
    <w:rsid w:val="00F05057"/>
    <w:rsid w:val="00F10E94"/>
    <w:rsid w:val="00F119D4"/>
    <w:rsid w:val="00F16F13"/>
    <w:rsid w:val="00F266CF"/>
    <w:rsid w:val="00F2784C"/>
    <w:rsid w:val="00F309DE"/>
    <w:rsid w:val="00F31F8C"/>
    <w:rsid w:val="00F32875"/>
    <w:rsid w:val="00F334B4"/>
    <w:rsid w:val="00F4144B"/>
    <w:rsid w:val="00F41F65"/>
    <w:rsid w:val="00F45A80"/>
    <w:rsid w:val="00F45F2A"/>
    <w:rsid w:val="00F544E9"/>
    <w:rsid w:val="00F54C7E"/>
    <w:rsid w:val="00F57F84"/>
    <w:rsid w:val="00F64BE9"/>
    <w:rsid w:val="00F6627B"/>
    <w:rsid w:val="00F812FA"/>
    <w:rsid w:val="00F82039"/>
    <w:rsid w:val="00FB1811"/>
    <w:rsid w:val="00FD4325"/>
    <w:rsid w:val="00FD5E3F"/>
    <w:rsid w:val="00FD7E10"/>
    <w:rsid w:val="00FD7E7E"/>
    <w:rsid w:val="00FE382C"/>
    <w:rsid w:val="00FE5151"/>
    <w:rsid w:val="00FE69F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60CAA"/>
  <w15:docId w15:val="{76E58989-D0E9-420C-B180-842EADE3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uiPriority="6"/>
    <w:lsdException w:name="Body Text First Indent" w:semiHidden="1"/>
    <w:lsdException w:name="Body Text First Indent 2" w:semiHidden="1" w:unhideWhenUsed="1"/>
    <w:lsdException w:name="Note Heading" w:uiPriority="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E21"/>
  </w:style>
  <w:style w:type="paragraph" w:styleId="Heading1">
    <w:name w:val="heading 1"/>
    <w:basedOn w:val="Normal"/>
    <w:next w:val="Normal"/>
    <w:link w:val="Heading1Char"/>
    <w:uiPriority w:val="9"/>
    <w:qFormat/>
    <w:rsid w:val="008B2376"/>
    <w:pPr>
      <w:keepNext/>
      <w:keepLines/>
      <w:spacing w:before="300"/>
      <w:contextualSpacing/>
      <w:outlineLvl w:val="0"/>
    </w:pPr>
    <w:rPr>
      <w:rFonts w:eastAsiaTheme="majorEastAsia" w:cstheme="majorBidi"/>
      <w:b/>
      <w:bCs/>
      <w:caps/>
      <w:spacing w:val="20"/>
      <w:szCs w:val="28"/>
    </w:rPr>
  </w:style>
  <w:style w:type="paragraph" w:styleId="Heading2">
    <w:name w:val="heading 2"/>
    <w:basedOn w:val="Normal"/>
    <w:next w:val="Normal"/>
    <w:link w:val="Heading2Char"/>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Heading3">
    <w:name w:val="heading 3"/>
    <w:basedOn w:val="Normal"/>
    <w:next w:val="Normal"/>
    <w:link w:val="Heading3Char"/>
    <w:uiPriority w:val="1"/>
    <w:qFormat/>
    <w:rsid w:val="00240355"/>
    <w:pPr>
      <w:keepNext/>
      <w:keepLines/>
      <w:spacing w:before="300"/>
      <w:contextualSpacing/>
      <w:outlineLvl w:val="2"/>
    </w:pPr>
    <w:rPr>
      <w:rFonts w:eastAsiaTheme="majorEastAsia" w:cstheme="majorBidi"/>
      <w:b/>
      <w:bCs/>
      <w:spacing w:val="20"/>
    </w:rPr>
  </w:style>
  <w:style w:type="paragraph" w:styleId="Heading4">
    <w:name w:val="heading 4"/>
    <w:basedOn w:val="Normal"/>
    <w:next w:val="Normal"/>
    <w:link w:val="Heading4Char"/>
    <w:uiPriority w:val="1"/>
    <w:qFormat/>
    <w:rsid w:val="00240355"/>
    <w:pPr>
      <w:keepNext/>
      <w:keepLines/>
      <w:spacing w:before="300"/>
      <w:contextualSpacing/>
      <w:outlineLvl w:val="3"/>
    </w:pPr>
    <w:rPr>
      <w:rFonts w:eastAsiaTheme="majorEastAsia" w:cstheme="majorBidi"/>
      <w:bCs/>
      <w:iCs/>
      <w:spacing w:val="20"/>
    </w:rPr>
  </w:style>
  <w:style w:type="paragraph" w:styleId="Heading5">
    <w:name w:val="heading 5"/>
    <w:basedOn w:val="Normal"/>
    <w:next w:val="Normal"/>
    <w:link w:val="Heading5Char"/>
    <w:uiPriority w:val="1"/>
    <w:semiHidden/>
    <w:qFormat/>
    <w:rsid w:val="00590234"/>
    <w:pPr>
      <w:keepNext/>
      <w:keepLines/>
      <w:outlineLvl w:val="4"/>
    </w:pPr>
    <w:rPr>
      <w:rFonts w:eastAsiaTheme="majorEastAsia" w:cstheme="majorBidi"/>
      <w:b/>
    </w:rPr>
  </w:style>
  <w:style w:type="paragraph" w:styleId="Heading6">
    <w:name w:val="heading 6"/>
    <w:basedOn w:val="Normal"/>
    <w:next w:val="Normal"/>
    <w:link w:val="Heading6Char"/>
    <w:uiPriority w:val="1"/>
    <w:semiHidden/>
    <w:qFormat/>
    <w:rsid w:val="00590234"/>
    <w:pPr>
      <w:keepNext/>
      <w:keepLines/>
      <w:outlineLvl w:val="5"/>
    </w:pPr>
    <w:rPr>
      <w:rFonts w:eastAsiaTheme="majorEastAsia" w:cstheme="majorBidi"/>
      <w:b/>
      <w:iCs/>
    </w:rPr>
  </w:style>
  <w:style w:type="paragraph" w:styleId="Heading7">
    <w:name w:val="heading 7"/>
    <w:basedOn w:val="Normal"/>
    <w:next w:val="Normal"/>
    <w:link w:val="Heading7Char"/>
    <w:uiPriority w:val="1"/>
    <w:semiHidden/>
    <w:qFormat/>
    <w:rsid w:val="00590234"/>
    <w:pPr>
      <w:keepNext/>
      <w:keepLines/>
      <w:outlineLvl w:val="6"/>
    </w:pPr>
    <w:rPr>
      <w:rFonts w:eastAsiaTheme="majorEastAsia" w:cstheme="majorBidi"/>
      <w:b/>
      <w:iCs/>
    </w:rPr>
  </w:style>
  <w:style w:type="paragraph" w:styleId="Heading8">
    <w:name w:val="heading 8"/>
    <w:basedOn w:val="Normal"/>
    <w:next w:val="Normal"/>
    <w:link w:val="Heading8Char"/>
    <w:uiPriority w:val="1"/>
    <w:semiHidden/>
    <w:qFormat/>
    <w:rsid w:val="00590234"/>
    <w:pPr>
      <w:keepNext/>
      <w:keepLines/>
      <w:outlineLvl w:val="7"/>
    </w:pPr>
    <w:rPr>
      <w:rFonts w:eastAsiaTheme="majorEastAsia" w:cstheme="majorBidi"/>
      <w:szCs w:val="20"/>
    </w:rPr>
  </w:style>
  <w:style w:type="paragraph" w:styleId="Heading9">
    <w:name w:val="heading 9"/>
    <w:basedOn w:val="Normal"/>
    <w:next w:val="Normal"/>
    <w:link w:val="Heading9Char"/>
    <w:uiPriority w:val="1"/>
    <w:semiHidden/>
    <w:qFormat/>
    <w:rsid w:val="00590234"/>
    <w:pPr>
      <w:keepNext/>
      <w:keepLines/>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03"/>
    <w:pPr>
      <w:ind w:left="720"/>
    </w:pPr>
  </w:style>
  <w:style w:type="character" w:customStyle="1" w:styleId="Heading1Char">
    <w:name w:val="Heading 1 Char"/>
    <w:basedOn w:val="DefaultParagraphFont"/>
    <w:link w:val="Heading1"/>
    <w:uiPriority w:val="9"/>
    <w:rsid w:val="008B2376"/>
    <w:rPr>
      <w:rFonts w:ascii="Calibri" w:eastAsiaTheme="majorEastAsia" w:hAnsi="Calibri" w:cstheme="majorBidi"/>
      <w:b/>
      <w:bCs/>
      <w:caps/>
      <w:spacing w:val="20"/>
      <w:sz w:val="24"/>
      <w:szCs w:val="28"/>
      <w:lang w:eastAsia="da-DK"/>
    </w:rPr>
  </w:style>
  <w:style w:type="character" w:customStyle="1" w:styleId="Heading2Char">
    <w:name w:val="Heading 2 Char"/>
    <w:basedOn w:val="DefaultParagraphFont"/>
    <w:link w:val="Heading2"/>
    <w:uiPriority w:val="1"/>
    <w:rsid w:val="008B2376"/>
    <w:rPr>
      <w:rFonts w:ascii="Calibri" w:eastAsiaTheme="majorEastAsia" w:hAnsi="Calibri" w:cstheme="majorBidi"/>
      <w:b/>
      <w:bCs/>
      <w:caps/>
      <w:spacing w:val="20"/>
      <w:szCs w:val="26"/>
      <w:lang w:eastAsia="da-DK"/>
    </w:rPr>
  </w:style>
  <w:style w:type="paragraph" w:styleId="Title">
    <w:name w:val="Title"/>
    <w:basedOn w:val="Normal"/>
    <w:next w:val="Normal"/>
    <w:link w:val="TitleChar"/>
    <w:uiPriority w:val="5"/>
    <w:semiHidden/>
    <w:qFormat/>
    <w:rsid w:val="004455FC"/>
    <w:pPr>
      <w:spacing w:line="660" w:lineRule="atLeast"/>
    </w:pPr>
    <w:rPr>
      <w:rFonts w:eastAsiaTheme="majorEastAsia" w:cstheme="majorBidi"/>
      <w:caps/>
      <w:spacing w:val="20"/>
      <w:sz w:val="56"/>
      <w:szCs w:val="52"/>
    </w:rPr>
  </w:style>
  <w:style w:type="character" w:customStyle="1" w:styleId="TitleChar">
    <w:name w:val="Title Char"/>
    <w:basedOn w:val="DefaultParagraphFont"/>
    <w:link w:val="Title"/>
    <w:uiPriority w:val="5"/>
    <w:semiHidden/>
    <w:rsid w:val="009967F0"/>
    <w:rPr>
      <w:rFonts w:ascii="Calibri" w:eastAsiaTheme="majorEastAsia" w:hAnsi="Calibri" w:cstheme="majorBidi"/>
      <w:caps/>
      <w:spacing w:val="20"/>
      <w:sz w:val="56"/>
      <w:szCs w:val="52"/>
      <w:lang w:eastAsia="da-DK"/>
    </w:rPr>
  </w:style>
  <w:style w:type="paragraph" w:styleId="Subtitle">
    <w:name w:val="Subtitle"/>
    <w:basedOn w:val="Normal"/>
    <w:next w:val="Normal"/>
    <w:link w:val="SubtitleChar"/>
    <w:uiPriority w:val="11"/>
    <w:semiHidden/>
    <w:qFormat/>
    <w:rsid w:val="004455FC"/>
    <w:pPr>
      <w:numPr>
        <w:ilvl w:val="1"/>
      </w:numPr>
      <w:spacing w:line="600" w:lineRule="atLeast"/>
    </w:pPr>
    <w:rPr>
      <w:rFonts w:eastAsiaTheme="majorEastAsia" w:cstheme="majorBidi"/>
      <w:iCs/>
      <w:caps/>
      <w:sz w:val="48"/>
    </w:rPr>
  </w:style>
  <w:style w:type="character" w:customStyle="1" w:styleId="SubtitleChar">
    <w:name w:val="Subtitle Char"/>
    <w:basedOn w:val="DefaultParagraphFont"/>
    <w:link w:val="Subtitle"/>
    <w:uiPriority w:val="11"/>
    <w:semiHidden/>
    <w:rsid w:val="009967F0"/>
    <w:rPr>
      <w:rFonts w:ascii="Calibri" w:eastAsiaTheme="majorEastAsia" w:hAnsi="Calibri" w:cstheme="majorBidi"/>
      <w:iCs/>
      <w:caps/>
      <w:sz w:val="48"/>
      <w:szCs w:val="24"/>
      <w:lang w:eastAsia="da-DK"/>
    </w:rPr>
  </w:style>
  <w:style w:type="character" w:styleId="SubtleEmphasis">
    <w:name w:val="Subtle Emphasis"/>
    <w:basedOn w:val="DefaultParagraphFont"/>
    <w:uiPriority w:val="19"/>
    <w:semiHidden/>
    <w:qFormat/>
    <w:rsid w:val="003E435A"/>
    <w:rPr>
      <w:i/>
      <w:iCs/>
      <w:color w:val="auto"/>
    </w:rPr>
  </w:style>
  <w:style w:type="character" w:styleId="Emphasis">
    <w:name w:val="Emphasis"/>
    <w:basedOn w:val="DefaultParagraphFont"/>
    <w:uiPriority w:val="3"/>
    <w:semiHidden/>
    <w:qFormat/>
    <w:rsid w:val="003E435A"/>
    <w:rPr>
      <w:i/>
      <w:iCs/>
    </w:rPr>
  </w:style>
  <w:style w:type="character" w:styleId="IntenseEmphasis">
    <w:name w:val="Intense Emphasis"/>
    <w:basedOn w:val="DefaultParagraphFont"/>
    <w:uiPriority w:val="21"/>
    <w:semiHidden/>
    <w:qFormat/>
    <w:rsid w:val="003E435A"/>
    <w:rPr>
      <w:b/>
      <w:bCs/>
      <w:i/>
      <w:iCs/>
      <w:color w:val="auto"/>
    </w:rPr>
  </w:style>
  <w:style w:type="character" w:styleId="Strong">
    <w:name w:val="Strong"/>
    <w:basedOn w:val="DefaultParagraphFont"/>
    <w:uiPriority w:val="22"/>
    <w:qFormat/>
    <w:rsid w:val="003E435A"/>
    <w:rPr>
      <w:b/>
      <w:bCs/>
    </w:rPr>
  </w:style>
  <w:style w:type="paragraph" w:styleId="IntenseQuote">
    <w:name w:val="Intense Quote"/>
    <w:basedOn w:val="Normal"/>
    <w:next w:val="Normal"/>
    <w:link w:val="IntenseQuoteChar"/>
    <w:uiPriority w:val="4"/>
    <w:rsid w:val="009056DA"/>
    <w:pPr>
      <w:spacing w:before="440" w:after="440" w:line="440" w:lineRule="atLeast"/>
      <w:contextualSpacing/>
    </w:pPr>
    <w:rPr>
      <w:b/>
      <w:bCs/>
      <w:iCs/>
      <w:sz w:val="40"/>
    </w:rPr>
  </w:style>
  <w:style w:type="character" w:customStyle="1" w:styleId="IntenseQuoteChar">
    <w:name w:val="Intense Quote Char"/>
    <w:basedOn w:val="DefaultParagraphFont"/>
    <w:link w:val="IntenseQuote"/>
    <w:uiPriority w:val="4"/>
    <w:rsid w:val="009056DA"/>
    <w:rPr>
      <w:rFonts w:ascii="Calibri" w:hAnsi="Calibri" w:cs="Calibri"/>
      <w:b/>
      <w:bCs/>
      <w:iCs/>
      <w:sz w:val="40"/>
      <w:lang w:eastAsia="da-DK"/>
    </w:rPr>
  </w:style>
  <w:style w:type="character" w:styleId="SubtleReference">
    <w:name w:val="Subtle Reference"/>
    <w:basedOn w:val="DefaultParagraphFont"/>
    <w:uiPriority w:val="31"/>
    <w:semiHidden/>
    <w:qFormat/>
    <w:rsid w:val="003E435A"/>
    <w:rPr>
      <w:smallCaps/>
      <w:color w:val="auto"/>
      <w:u w:val="single"/>
    </w:rPr>
  </w:style>
  <w:style w:type="character" w:styleId="IntenseReference">
    <w:name w:val="Intense Reference"/>
    <w:basedOn w:val="DefaultParagraphFont"/>
    <w:uiPriority w:val="32"/>
    <w:semiHidden/>
    <w:qFormat/>
    <w:rsid w:val="003E435A"/>
    <w:rPr>
      <w:b/>
      <w:bCs/>
      <w:smallCaps/>
      <w:color w:val="auto"/>
      <w:spacing w:val="5"/>
      <w:u w:val="single"/>
    </w:rPr>
  </w:style>
  <w:style w:type="character" w:customStyle="1" w:styleId="Heading3Char">
    <w:name w:val="Heading 3 Char"/>
    <w:basedOn w:val="DefaultParagraphFont"/>
    <w:link w:val="Heading3"/>
    <w:uiPriority w:val="1"/>
    <w:rsid w:val="00240355"/>
    <w:rPr>
      <w:rFonts w:ascii="Calibri" w:eastAsiaTheme="majorEastAsia" w:hAnsi="Calibri" w:cstheme="majorBidi"/>
      <w:b/>
      <w:bCs/>
      <w:spacing w:val="20"/>
      <w:sz w:val="24"/>
      <w:lang w:eastAsia="da-DK"/>
    </w:rPr>
  </w:style>
  <w:style w:type="character" w:customStyle="1" w:styleId="Heading4Char">
    <w:name w:val="Heading 4 Char"/>
    <w:basedOn w:val="DefaultParagraphFont"/>
    <w:link w:val="Heading4"/>
    <w:uiPriority w:val="1"/>
    <w:rsid w:val="00240355"/>
    <w:rPr>
      <w:rFonts w:ascii="Calibri" w:eastAsiaTheme="majorEastAsia" w:hAnsi="Calibri" w:cstheme="majorBidi"/>
      <w:bCs/>
      <w:iCs/>
      <w:spacing w:val="20"/>
      <w:sz w:val="24"/>
      <w:lang w:eastAsia="da-DK"/>
    </w:rPr>
  </w:style>
  <w:style w:type="character" w:customStyle="1" w:styleId="Heading5Char">
    <w:name w:val="Heading 5 Char"/>
    <w:basedOn w:val="DefaultParagraphFont"/>
    <w:link w:val="Heading5"/>
    <w:uiPriority w:val="1"/>
    <w:semiHidden/>
    <w:rsid w:val="00590234"/>
    <w:rPr>
      <w:rFonts w:ascii="Calibri" w:eastAsiaTheme="majorEastAsia" w:hAnsi="Calibri" w:cstheme="majorBidi"/>
      <w:b/>
      <w:sz w:val="20"/>
      <w:lang w:eastAsia="da-DK"/>
    </w:rPr>
  </w:style>
  <w:style w:type="character" w:customStyle="1" w:styleId="Heading6Char">
    <w:name w:val="Heading 6 Char"/>
    <w:basedOn w:val="DefaultParagraphFont"/>
    <w:link w:val="Heading6"/>
    <w:uiPriority w:val="1"/>
    <w:semiHidden/>
    <w:rsid w:val="00590234"/>
    <w:rPr>
      <w:rFonts w:ascii="Calibri" w:eastAsiaTheme="majorEastAsia" w:hAnsi="Calibri" w:cstheme="majorBidi"/>
      <w:b/>
      <w:iCs/>
      <w:sz w:val="20"/>
      <w:lang w:eastAsia="da-DK"/>
    </w:rPr>
  </w:style>
  <w:style w:type="character" w:customStyle="1" w:styleId="Heading7Char">
    <w:name w:val="Heading 7 Char"/>
    <w:basedOn w:val="DefaultParagraphFont"/>
    <w:link w:val="Heading7"/>
    <w:uiPriority w:val="1"/>
    <w:semiHidden/>
    <w:rsid w:val="00590234"/>
    <w:rPr>
      <w:rFonts w:ascii="Calibri" w:eastAsiaTheme="majorEastAsia" w:hAnsi="Calibri" w:cstheme="majorBidi"/>
      <w:b/>
      <w:iCs/>
      <w:sz w:val="20"/>
      <w:lang w:eastAsia="da-DK"/>
    </w:rPr>
  </w:style>
  <w:style w:type="character" w:customStyle="1" w:styleId="Heading8Char">
    <w:name w:val="Heading 8 Char"/>
    <w:basedOn w:val="DefaultParagraphFont"/>
    <w:link w:val="Heading8"/>
    <w:uiPriority w:val="1"/>
    <w:semiHidden/>
    <w:rsid w:val="00590234"/>
    <w:rPr>
      <w:rFonts w:ascii="Calibri" w:eastAsiaTheme="majorEastAsia" w:hAnsi="Calibri" w:cstheme="majorBidi"/>
      <w:sz w:val="20"/>
      <w:szCs w:val="20"/>
      <w:lang w:eastAsia="da-DK"/>
    </w:rPr>
  </w:style>
  <w:style w:type="character" w:customStyle="1" w:styleId="Heading9Char">
    <w:name w:val="Heading 9 Char"/>
    <w:basedOn w:val="DefaultParagraphFont"/>
    <w:link w:val="Heading9"/>
    <w:uiPriority w:val="1"/>
    <w:semiHidden/>
    <w:rsid w:val="00590234"/>
    <w:rPr>
      <w:rFonts w:ascii="Calibri" w:eastAsiaTheme="majorEastAsia" w:hAnsi="Calibri" w:cstheme="majorBidi"/>
      <w:iCs/>
      <w:sz w:val="20"/>
      <w:szCs w:val="20"/>
      <w:lang w:eastAsia="da-DK"/>
    </w:rPr>
  </w:style>
  <w:style w:type="paragraph" w:styleId="Caption">
    <w:name w:val="caption"/>
    <w:basedOn w:val="Normal"/>
    <w:next w:val="Normal"/>
    <w:uiPriority w:val="3"/>
    <w:rsid w:val="00460B5C"/>
    <w:pPr>
      <w:spacing w:line="190" w:lineRule="atLeast"/>
    </w:pPr>
    <w:rPr>
      <w:b/>
      <w:bCs/>
      <w:szCs w:val="18"/>
    </w:rPr>
  </w:style>
  <w:style w:type="paragraph" w:styleId="TOC1">
    <w:name w:val="toc 1"/>
    <w:basedOn w:val="Normal"/>
    <w:next w:val="Normal"/>
    <w:uiPriority w:val="39"/>
    <w:semiHidden/>
    <w:rsid w:val="00410CAA"/>
    <w:pPr>
      <w:spacing w:line="280" w:lineRule="atLeast"/>
      <w:ind w:right="567"/>
    </w:pPr>
    <w:rPr>
      <w:b/>
      <w:caps/>
    </w:rPr>
  </w:style>
  <w:style w:type="paragraph" w:styleId="TOC2">
    <w:name w:val="toc 2"/>
    <w:basedOn w:val="Normal"/>
    <w:next w:val="Normal"/>
    <w:uiPriority w:val="39"/>
    <w:semiHidden/>
    <w:rsid w:val="00410CAA"/>
    <w:pPr>
      <w:spacing w:line="280" w:lineRule="atLeast"/>
      <w:ind w:right="567"/>
    </w:pPr>
    <w:rPr>
      <w:b/>
    </w:rPr>
  </w:style>
  <w:style w:type="paragraph" w:styleId="TOC3">
    <w:name w:val="toc 3"/>
    <w:basedOn w:val="Normal"/>
    <w:next w:val="Normal"/>
    <w:uiPriority w:val="39"/>
    <w:semiHidden/>
    <w:rsid w:val="00410CAA"/>
    <w:pPr>
      <w:ind w:left="397" w:right="567"/>
    </w:pPr>
  </w:style>
  <w:style w:type="paragraph" w:styleId="TOC4">
    <w:name w:val="toc 4"/>
    <w:basedOn w:val="Normal"/>
    <w:next w:val="Normal"/>
    <w:uiPriority w:val="39"/>
    <w:semiHidden/>
    <w:rsid w:val="00590234"/>
    <w:pPr>
      <w:ind w:right="567"/>
    </w:pPr>
  </w:style>
  <w:style w:type="paragraph" w:styleId="TOC5">
    <w:name w:val="toc 5"/>
    <w:basedOn w:val="Normal"/>
    <w:next w:val="Normal"/>
    <w:uiPriority w:val="39"/>
    <w:semiHidden/>
    <w:rsid w:val="00590234"/>
    <w:pPr>
      <w:ind w:right="567"/>
    </w:pPr>
  </w:style>
  <w:style w:type="paragraph" w:styleId="TOC6">
    <w:name w:val="toc 6"/>
    <w:basedOn w:val="Normal"/>
    <w:next w:val="Normal"/>
    <w:uiPriority w:val="39"/>
    <w:semiHidden/>
    <w:rsid w:val="00590234"/>
    <w:pPr>
      <w:ind w:right="567"/>
    </w:pPr>
  </w:style>
  <w:style w:type="paragraph" w:styleId="TOC7">
    <w:name w:val="toc 7"/>
    <w:basedOn w:val="Normal"/>
    <w:next w:val="Normal"/>
    <w:uiPriority w:val="39"/>
    <w:semiHidden/>
    <w:rsid w:val="00590234"/>
    <w:pPr>
      <w:ind w:right="567"/>
    </w:pPr>
  </w:style>
  <w:style w:type="paragraph" w:styleId="TOC8">
    <w:name w:val="toc 8"/>
    <w:basedOn w:val="Normal"/>
    <w:next w:val="Normal"/>
    <w:uiPriority w:val="39"/>
    <w:semiHidden/>
    <w:rsid w:val="00590234"/>
    <w:pPr>
      <w:ind w:right="567"/>
    </w:pPr>
  </w:style>
  <w:style w:type="paragraph" w:styleId="TOC9">
    <w:name w:val="toc 9"/>
    <w:basedOn w:val="Normal"/>
    <w:next w:val="Normal"/>
    <w:uiPriority w:val="39"/>
    <w:semiHidden/>
    <w:rsid w:val="00590234"/>
    <w:pPr>
      <w:ind w:right="567"/>
    </w:pPr>
  </w:style>
  <w:style w:type="paragraph" w:styleId="TOCHeading">
    <w:name w:val="TOC Heading"/>
    <w:basedOn w:val="Heading1"/>
    <w:next w:val="Normal"/>
    <w:uiPriority w:val="39"/>
    <w:semiHidden/>
    <w:qFormat/>
    <w:rsid w:val="00410CAA"/>
    <w:pPr>
      <w:spacing w:line="520" w:lineRule="atLeast"/>
      <w:outlineLvl w:val="9"/>
    </w:pPr>
    <w:rPr>
      <w:b w:val="0"/>
      <w:color w:val="FFFFFF" w:themeColor="background1"/>
      <w:sz w:val="48"/>
    </w:rPr>
  </w:style>
  <w:style w:type="paragraph" w:styleId="EndnoteText">
    <w:name w:val="endnote text"/>
    <w:basedOn w:val="Normal"/>
    <w:link w:val="EndnoteTextChar"/>
    <w:uiPriority w:val="99"/>
    <w:semiHidden/>
    <w:rsid w:val="00C94171"/>
    <w:pPr>
      <w:spacing w:line="240" w:lineRule="auto"/>
    </w:pPr>
    <w:rPr>
      <w:szCs w:val="20"/>
    </w:rPr>
  </w:style>
  <w:style w:type="character" w:customStyle="1" w:styleId="EndnoteTextChar">
    <w:name w:val="Endnote Text Char"/>
    <w:basedOn w:val="DefaultParagraphFont"/>
    <w:link w:val="EndnoteText"/>
    <w:uiPriority w:val="99"/>
    <w:semiHidden/>
    <w:rsid w:val="00C94171"/>
    <w:rPr>
      <w:szCs w:val="20"/>
    </w:rPr>
  </w:style>
  <w:style w:type="paragraph" w:styleId="FootnoteText">
    <w:name w:val="footnote text"/>
    <w:basedOn w:val="Normal"/>
    <w:link w:val="FootnoteTextChar"/>
    <w:uiPriority w:val="99"/>
    <w:semiHidden/>
    <w:rsid w:val="00BB41CD"/>
    <w:pPr>
      <w:spacing w:line="240" w:lineRule="auto"/>
    </w:pPr>
    <w:rPr>
      <w:szCs w:val="20"/>
    </w:rPr>
  </w:style>
  <w:style w:type="character" w:customStyle="1" w:styleId="FootnoteTextChar">
    <w:name w:val="Footnote Text Char"/>
    <w:basedOn w:val="DefaultParagraphFont"/>
    <w:link w:val="FootnoteText"/>
    <w:uiPriority w:val="99"/>
    <w:semiHidden/>
    <w:rsid w:val="00BB41CD"/>
    <w:rPr>
      <w:szCs w:val="20"/>
    </w:rPr>
  </w:style>
  <w:style w:type="paragraph" w:styleId="Footer">
    <w:name w:val="footer"/>
    <w:basedOn w:val="Normal"/>
    <w:link w:val="FooterChar"/>
    <w:uiPriority w:val="99"/>
    <w:semiHidden/>
    <w:rsid w:val="009456D6"/>
    <w:pPr>
      <w:tabs>
        <w:tab w:val="center" w:pos="4819"/>
        <w:tab w:val="right" w:pos="9638"/>
      </w:tabs>
      <w:spacing w:line="220" w:lineRule="atLeast"/>
    </w:pPr>
    <w:rPr>
      <w:sz w:val="16"/>
    </w:rPr>
  </w:style>
  <w:style w:type="character" w:customStyle="1" w:styleId="FooterChar">
    <w:name w:val="Footer Char"/>
    <w:basedOn w:val="DefaultParagraphFont"/>
    <w:link w:val="Footer"/>
    <w:uiPriority w:val="99"/>
    <w:semiHidden/>
    <w:rsid w:val="00460B5C"/>
    <w:rPr>
      <w:rFonts w:ascii="Calibri" w:hAnsi="Calibri" w:cs="Calibri"/>
      <w:sz w:val="16"/>
      <w:lang w:eastAsia="da-DK"/>
    </w:rPr>
  </w:style>
  <w:style w:type="paragraph" w:styleId="Header">
    <w:name w:val="header"/>
    <w:basedOn w:val="Normal"/>
    <w:link w:val="HeaderChar"/>
    <w:uiPriority w:val="99"/>
    <w:semiHidden/>
    <w:rsid w:val="009456D6"/>
    <w:pPr>
      <w:tabs>
        <w:tab w:val="center" w:pos="4819"/>
        <w:tab w:val="right" w:pos="9638"/>
      </w:tabs>
      <w:spacing w:line="240" w:lineRule="atLeast"/>
    </w:pPr>
    <w:rPr>
      <w:caps/>
      <w:spacing w:val="12"/>
      <w:sz w:val="18"/>
    </w:rPr>
  </w:style>
  <w:style w:type="character" w:customStyle="1" w:styleId="HeaderChar">
    <w:name w:val="Header Char"/>
    <w:basedOn w:val="DefaultParagraphFont"/>
    <w:link w:val="Header"/>
    <w:uiPriority w:val="99"/>
    <w:semiHidden/>
    <w:rsid w:val="00460B5C"/>
    <w:rPr>
      <w:rFonts w:ascii="Calibri" w:hAnsi="Calibri" w:cs="Calibri"/>
      <w:caps/>
      <w:spacing w:val="12"/>
      <w:sz w:val="18"/>
      <w:lang w:eastAsia="da-DK"/>
    </w:rPr>
  </w:style>
  <w:style w:type="character" w:styleId="PageNumber">
    <w:name w:val="page number"/>
    <w:basedOn w:val="DefaultParagraphFon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eastAsia="da-DK"/>
    </w:rPr>
  </w:style>
  <w:style w:type="paragraph" w:customStyle="1" w:styleId="Template-Adresse">
    <w:name w:val="Template - Adresse"/>
    <w:basedOn w:val="Template"/>
    <w:uiPriority w:val="5"/>
    <w:semiHidden/>
    <w:qFormat/>
    <w:rsid w:val="00243A00"/>
    <w:rPr>
      <w:noProof/>
    </w:rPr>
  </w:style>
  <w:style w:type="paragraph" w:styleId="BalloonText">
    <w:name w:val="Balloon Text"/>
    <w:basedOn w:val="Normal"/>
    <w:link w:val="BalloonTextChar"/>
    <w:uiPriority w:val="99"/>
    <w:semiHidden/>
    <w:rsid w:val="000F70B6"/>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leGrid">
    <w:name w:val="Table Grid"/>
    <w:basedOn w:val="Table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DefaultParagraphFon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Heading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Quote">
    <w:name w:val="Quote"/>
    <w:basedOn w:val="Normal"/>
    <w:next w:val="Normal"/>
    <w:link w:val="QuoteChar"/>
    <w:uiPriority w:val="3"/>
    <w:rsid w:val="00306DD0"/>
    <w:rPr>
      <w:b/>
      <w:iCs/>
    </w:rPr>
  </w:style>
  <w:style w:type="character" w:customStyle="1" w:styleId="QuoteChar">
    <w:name w:val="Quote Char"/>
    <w:basedOn w:val="DefaultParagraphFont"/>
    <w:link w:val="Quote"/>
    <w:uiPriority w:val="3"/>
    <w:rsid w:val="00D83034"/>
    <w:rPr>
      <w:rFonts w:ascii="Calibri" w:hAnsi="Calibri" w:cs="Calibri"/>
      <w:b/>
      <w:iCs/>
      <w:sz w:val="21"/>
      <w:lang w:val="en-GB" w:eastAsia="da-DK"/>
    </w:rPr>
  </w:style>
  <w:style w:type="paragraph" w:styleId="NoteHeading">
    <w:name w:val="Note Heading"/>
    <w:basedOn w:val="Normal"/>
    <w:next w:val="Normal"/>
    <w:link w:val="NoteHeadingChar"/>
    <w:uiPriority w:val="5"/>
    <w:semiHidden/>
    <w:rsid w:val="00AF574C"/>
    <w:pPr>
      <w:spacing w:line="240" w:lineRule="auto"/>
    </w:pPr>
    <w:rPr>
      <w:caps/>
      <w:spacing w:val="12"/>
      <w:sz w:val="14"/>
    </w:rPr>
  </w:style>
  <w:style w:type="character" w:customStyle="1" w:styleId="NoteHeadingChar">
    <w:name w:val="Note Heading Char"/>
    <w:basedOn w:val="DefaultParagraphFont"/>
    <w:link w:val="NoteHeading"/>
    <w:uiPriority w:val="5"/>
    <w:semiHidden/>
    <w:rsid w:val="009967F0"/>
    <w:rPr>
      <w:rFonts w:ascii="Calibri" w:hAnsi="Calibri" w:cs="Calibri"/>
      <w:caps/>
      <w:spacing w:val="12"/>
      <w:sz w:val="14"/>
      <w:lang w:eastAsia="da-DK"/>
    </w:rPr>
  </w:style>
  <w:style w:type="paragraph" w:styleId="Date">
    <w:name w:val="Date"/>
    <w:basedOn w:val="Normal"/>
    <w:next w:val="Normal"/>
    <w:link w:val="DateChar"/>
    <w:uiPriority w:val="6"/>
    <w:semiHidden/>
    <w:rsid w:val="0082299E"/>
    <w:pPr>
      <w:spacing w:line="280" w:lineRule="atLeast"/>
    </w:pPr>
    <w:rPr>
      <w:caps/>
      <w:spacing w:val="20"/>
      <w:sz w:val="16"/>
    </w:rPr>
  </w:style>
  <w:style w:type="paragraph" w:styleId="ListBullet">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le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ent">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47786C"/>
  </w:style>
  <w:style w:type="paragraph" w:customStyle="1" w:styleId="TabelTotalNumbers">
    <w:name w:val="Tabel Total Numbers"/>
    <w:basedOn w:val="Normal"/>
    <w:uiPriority w:val="8"/>
    <w:rsid w:val="0047786C"/>
    <w:pPr>
      <w:spacing w:after="40" w:line="280" w:lineRule="atLeast"/>
      <w:jc w:val="right"/>
    </w:pPr>
    <w:rPr>
      <w:b/>
      <w:caps/>
      <w:lang w:val="en-GB"/>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eChar">
    <w:name w:val="Date Char"/>
    <w:basedOn w:val="DefaultParagraphFont"/>
    <w:link w:val="Date"/>
    <w:uiPriority w:val="6"/>
    <w:semiHidden/>
    <w:rsid w:val="0082299E"/>
    <w:rPr>
      <w:rFonts w:ascii="Calibri" w:hAnsi="Calibri" w:cs="Calibri"/>
      <w:caps/>
      <w:spacing w:val="20"/>
      <w:sz w:val="16"/>
      <w:lang w:eastAsia="da-DK"/>
    </w:rPr>
  </w:style>
  <w:style w:type="paragraph" w:styleId="ListNumber">
    <w:name w:val="List Number"/>
    <w:basedOn w:val="Normal"/>
    <w:uiPriority w:val="2"/>
    <w:qFormat/>
    <w:rsid w:val="00586DD4"/>
    <w:pPr>
      <w:numPr>
        <w:numId w:val="6"/>
      </w:numPr>
      <w:contextualSpacing/>
    </w:pPr>
  </w:style>
  <w:style w:type="character" w:styleId="FootnoteReference">
    <w:name w:val="footnote reference"/>
    <w:basedOn w:val="DefaultParagraphFont"/>
    <w:uiPriority w:val="99"/>
    <w:semiHidden/>
    <w:unhideWhenUsed/>
    <w:rsid w:val="00BB41CD"/>
    <w:rPr>
      <w:rFonts w:ascii="Calibri" w:hAnsi="Calibri"/>
      <w:sz w:val="24"/>
      <w:vertAlign w:val="superscript"/>
    </w:rPr>
  </w:style>
  <w:style w:type="character" w:styleId="EndnoteReference">
    <w:name w:val="endnote reference"/>
    <w:basedOn w:val="DefaultParagraphFont"/>
    <w:uiPriority w:val="99"/>
    <w:semiHidden/>
    <w:unhideWhenUsed/>
    <w:rsid w:val="00C94171"/>
    <w:rPr>
      <w:rFonts w:ascii="Calibri" w:hAnsi="Calibri"/>
      <w:sz w:val="24"/>
      <w:vertAlign w:val="superscript"/>
    </w:rPr>
  </w:style>
  <w:style w:type="character" w:styleId="PlaceholderText">
    <w:name w:val="Placeholder Text"/>
    <w:basedOn w:val="DefaultParagraphFont"/>
    <w:uiPriority w:val="99"/>
    <w:semiHidden/>
    <w:rsid w:val="000450B5"/>
    <w:rPr>
      <w:color w:val="808080"/>
    </w:rPr>
  </w:style>
  <w:style w:type="character" w:styleId="LineNumber">
    <w:name w:val="line number"/>
    <w:basedOn w:val="DefaultParagraphFont"/>
    <w:uiPriority w:val="99"/>
    <w:semiHidden/>
    <w:rsid w:val="00B16CEF"/>
  </w:style>
  <w:style w:type="character" w:styleId="CommentReference">
    <w:name w:val="annotation reference"/>
    <w:basedOn w:val="DefaultParagraphFont"/>
    <w:uiPriority w:val="99"/>
    <w:semiHidden/>
    <w:unhideWhenUsed/>
    <w:rsid w:val="00B16CEF"/>
    <w:rPr>
      <w:sz w:val="16"/>
      <w:szCs w:val="16"/>
    </w:rPr>
  </w:style>
  <w:style w:type="paragraph" w:styleId="CommentText">
    <w:name w:val="annotation text"/>
    <w:basedOn w:val="Normal"/>
    <w:link w:val="CommentTextChar"/>
    <w:uiPriority w:val="99"/>
    <w:semiHidden/>
    <w:unhideWhenUsed/>
    <w:rsid w:val="00B16CEF"/>
    <w:pPr>
      <w:spacing w:line="240" w:lineRule="auto"/>
    </w:pPr>
    <w:rPr>
      <w:sz w:val="20"/>
      <w:szCs w:val="20"/>
    </w:rPr>
  </w:style>
  <w:style w:type="character" w:customStyle="1" w:styleId="CommentTextChar">
    <w:name w:val="Comment Text Char"/>
    <w:basedOn w:val="DefaultParagraphFont"/>
    <w:link w:val="CommentText"/>
    <w:uiPriority w:val="99"/>
    <w:semiHidden/>
    <w:rsid w:val="00B16CEF"/>
    <w:rPr>
      <w:sz w:val="20"/>
      <w:szCs w:val="20"/>
    </w:rPr>
  </w:style>
  <w:style w:type="paragraph" w:styleId="CommentSubject">
    <w:name w:val="annotation subject"/>
    <w:basedOn w:val="CommentText"/>
    <w:next w:val="CommentText"/>
    <w:link w:val="CommentSubjectChar"/>
    <w:uiPriority w:val="99"/>
    <w:semiHidden/>
    <w:unhideWhenUsed/>
    <w:rsid w:val="00B16CEF"/>
    <w:rPr>
      <w:b/>
      <w:bCs/>
    </w:rPr>
  </w:style>
  <w:style w:type="character" w:customStyle="1" w:styleId="CommentSubjectChar">
    <w:name w:val="Comment Subject Char"/>
    <w:basedOn w:val="CommentTextChar"/>
    <w:link w:val="CommentSubject"/>
    <w:uiPriority w:val="99"/>
    <w:semiHidden/>
    <w:rsid w:val="00B16CEF"/>
    <w:rPr>
      <w:b/>
      <w:bCs/>
      <w:sz w:val="20"/>
      <w:szCs w:val="20"/>
    </w:rPr>
  </w:style>
  <w:style w:type="character" w:styleId="Hyperlink">
    <w:name w:val="Hyperlink"/>
    <w:semiHidden/>
    <w:unhideWhenUsed/>
    <w:rsid w:val="00B16CEF"/>
    <w:rPr>
      <w:color w:val="0000FF"/>
      <w:u w:val="single"/>
    </w:rPr>
  </w:style>
  <w:style w:type="paragraph" w:styleId="BodyText">
    <w:name w:val="Body Text"/>
    <w:basedOn w:val="Normal"/>
    <w:link w:val="BodyTextChar"/>
    <w:uiPriority w:val="99"/>
    <w:unhideWhenUsed/>
    <w:rsid w:val="009B46FB"/>
    <w:pPr>
      <w:spacing w:after="120"/>
    </w:pPr>
    <w:rPr>
      <w:lang w:val="en-GB"/>
    </w:rPr>
  </w:style>
  <w:style w:type="character" w:customStyle="1" w:styleId="BodyTextChar">
    <w:name w:val="Body Text Char"/>
    <w:basedOn w:val="DefaultParagraphFont"/>
    <w:link w:val="BodyText"/>
    <w:uiPriority w:val="99"/>
    <w:rsid w:val="009B46FB"/>
    <w:rPr>
      <w:lang w:val="en-GB"/>
    </w:rPr>
  </w:style>
  <w:style w:type="character" w:customStyle="1" w:styleId="temph">
    <w:name w:val="temph"/>
    <w:basedOn w:val="DefaultParagraphFont"/>
    <w:rsid w:val="0006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1833">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274801">
      <w:bodyDiv w:val="1"/>
      <w:marLeft w:val="0"/>
      <w:marRight w:val="0"/>
      <w:marTop w:val="0"/>
      <w:marBottom w:val="0"/>
      <w:divBdr>
        <w:top w:val="none" w:sz="0" w:space="0" w:color="auto"/>
        <w:left w:val="none" w:sz="0" w:space="0" w:color="auto"/>
        <w:bottom w:val="none" w:sz="0" w:space="0" w:color="auto"/>
        <w:right w:val="none" w:sz="0" w:space="0" w:color="auto"/>
      </w:divBdr>
    </w:div>
    <w:div w:id="961957998">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yperlink" Target="mailto:sr.disability@ohchr.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7A73992B7A4316892F609FE7EE22FE"/>
        <w:category>
          <w:name w:val="General"/>
          <w:gallery w:val="placeholder"/>
        </w:category>
        <w:types>
          <w:type w:val="bbPlcHdr"/>
        </w:types>
        <w:behaviors>
          <w:behavior w:val="content"/>
        </w:behaviors>
        <w:guid w:val="{26634FDC-D459-4B6E-9067-E51D793CB8BD}"/>
      </w:docPartPr>
      <w:docPartBody>
        <w:p w:rsidR="005F2E72" w:rsidRDefault="00E559BC" w:rsidP="00E559BC">
          <w:pPr>
            <w:pStyle w:val="2A7A73992B7A4316892F609FE7EE22FE"/>
          </w:pPr>
          <w:r w:rsidRPr="00582F4D">
            <w:rPr>
              <w:rStyle w:val="PlaceholderText"/>
            </w:rPr>
            <w:t>Click here to enter text.</w:t>
          </w:r>
        </w:p>
      </w:docPartBody>
    </w:docPart>
    <w:docPart>
      <w:docPartPr>
        <w:name w:val="D8CC8A3ADA0445C9AD7CE63767C5DA34"/>
        <w:category>
          <w:name w:val="General"/>
          <w:gallery w:val="placeholder"/>
        </w:category>
        <w:types>
          <w:type w:val="bbPlcHdr"/>
        </w:types>
        <w:behaviors>
          <w:behavior w:val="content"/>
        </w:behaviors>
        <w:guid w:val="{C780D585-E825-49DE-9E21-A38F5C909784}"/>
      </w:docPartPr>
      <w:docPartBody>
        <w:p w:rsidR="005F2E72" w:rsidRDefault="00E559BC" w:rsidP="00E559BC">
          <w:pPr>
            <w:pStyle w:val="D8CC8A3ADA0445C9AD7CE63767C5DA34"/>
          </w:pPr>
          <w:r w:rsidRPr="00B528D8">
            <w:rPr>
              <w:rStyle w:val="PlaceholderText"/>
            </w:rPr>
            <w:t>Click or tap here to enter text.</w:t>
          </w:r>
        </w:p>
      </w:docPartBody>
    </w:docPart>
    <w:docPart>
      <w:docPartPr>
        <w:name w:val="945EB7948B52432A9BEF55F5311C4B7D"/>
        <w:category>
          <w:name w:val="General"/>
          <w:gallery w:val="placeholder"/>
        </w:category>
        <w:types>
          <w:type w:val="bbPlcHdr"/>
        </w:types>
        <w:behaviors>
          <w:behavior w:val="content"/>
        </w:behaviors>
        <w:guid w:val="{76A2E8DF-3254-4E22-B398-38699D977633}"/>
      </w:docPartPr>
      <w:docPartBody>
        <w:p w:rsidR="005F2E72" w:rsidRDefault="00E559BC" w:rsidP="00E559BC">
          <w:pPr>
            <w:pStyle w:val="945EB7948B52432A9BEF55F5311C4B7D"/>
          </w:pPr>
          <w:r>
            <w:rPr>
              <w:lang w:val="nb-NO"/>
            </w:rPr>
            <w:t xml:space="preserve"> </w:t>
          </w:r>
        </w:p>
      </w:docPartBody>
    </w:docPart>
    <w:docPart>
      <w:docPartPr>
        <w:name w:val="3FC1FFEF83504257B2EBAAF0678A1733"/>
        <w:category>
          <w:name w:val="General"/>
          <w:gallery w:val="placeholder"/>
        </w:category>
        <w:types>
          <w:type w:val="bbPlcHdr"/>
        </w:types>
        <w:behaviors>
          <w:behavior w:val="content"/>
        </w:behaviors>
        <w:guid w:val="{F335E1AD-0A4D-4464-A5E7-F6E88AD31216}"/>
      </w:docPartPr>
      <w:docPartBody>
        <w:p w:rsidR="005F2E72" w:rsidRDefault="00E559BC" w:rsidP="00E559BC">
          <w:pPr>
            <w:pStyle w:val="3FC1FFEF83504257B2EBAAF0678A1733"/>
          </w:pPr>
          <w:r>
            <w:rPr>
              <w:lang w:val="nb-NO"/>
            </w:rPr>
            <w:t xml:space="preserve"> </w:t>
          </w:r>
        </w:p>
      </w:docPartBody>
    </w:docPart>
    <w:docPart>
      <w:docPartPr>
        <w:name w:val="ACDC61009BA6417BBA960AF863120364"/>
        <w:category>
          <w:name w:val="General"/>
          <w:gallery w:val="placeholder"/>
        </w:category>
        <w:types>
          <w:type w:val="bbPlcHdr"/>
        </w:types>
        <w:behaviors>
          <w:behavior w:val="content"/>
        </w:behaviors>
        <w:guid w:val="{C330B166-D85F-4C36-93BF-810B19783F1F}"/>
      </w:docPartPr>
      <w:docPartBody>
        <w:p w:rsidR="005F2E72" w:rsidRDefault="00E559BC" w:rsidP="00E559BC">
          <w:pPr>
            <w:pStyle w:val="ACDC61009BA6417BBA960AF863120364"/>
          </w:pPr>
          <w:r w:rsidRPr="00582F4D">
            <w:rPr>
              <w:rStyle w:val="PlaceholderText"/>
            </w:rPr>
            <w:t>Click here to enter text.</w:t>
          </w:r>
        </w:p>
      </w:docPartBody>
    </w:docPart>
    <w:docPart>
      <w:docPartPr>
        <w:name w:val="7FEB248CE6204EBF8DC3F623E988CDEF"/>
        <w:category>
          <w:name w:val="General"/>
          <w:gallery w:val="placeholder"/>
        </w:category>
        <w:types>
          <w:type w:val="bbPlcHdr"/>
        </w:types>
        <w:behaviors>
          <w:behavior w:val="content"/>
        </w:behaviors>
        <w:guid w:val="{D4E27C82-A61E-4D72-B459-3E9EAC79F421}"/>
      </w:docPartPr>
      <w:docPartBody>
        <w:p w:rsidR="005F2E72" w:rsidRDefault="00E559BC" w:rsidP="00E559BC">
          <w:pPr>
            <w:pStyle w:val="7FEB248CE6204EBF8DC3F623E988CDEF"/>
          </w:pPr>
          <w:r>
            <w:t>Best Regards</w:t>
          </w:r>
        </w:p>
      </w:docPartBody>
    </w:docPart>
    <w:docPart>
      <w:docPartPr>
        <w:name w:val="CD000C034B5647AF894948F56BDE51A0"/>
        <w:category>
          <w:name w:val="General"/>
          <w:gallery w:val="placeholder"/>
        </w:category>
        <w:types>
          <w:type w:val="bbPlcHdr"/>
        </w:types>
        <w:behaviors>
          <w:behavior w:val="content"/>
        </w:behaviors>
        <w:guid w:val="{4E8A156F-9755-4F8D-A4A0-8F829C950C9B}"/>
      </w:docPartPr>
      <w:docPartBody>
        <w:p w:rsidR="005F2E72" w:rsidRDefault="00E559BC" w:rsidP="00E559BC">
          <w:pPr>
            <w:pStyle w:val="CD000C034B5647AF894948F56BDE51A0"/>
          </w:pPr>
          <w:r>
            <w:t>Name</w:t>
          </w:r>
        </w:p>
      </w:docPartBody>
    </w:docPart>
    <w:docPart>
      <w:docPartPr>
        <w:name w:val="4811EFCE1063437AAA27FC18DC622011"/>
        <w:category>
          <w:name w:val="General"/>
          <w:gallery w:val="placeholder"/>
        </w:category>
        <w:types>
          <w:type w:val="bbPlcHdr"/>
        </w:types>
        <w:behaviors>
          <w:behavior w:val="content"/>
        </w:behaviors>
        <w:guid w:val="{E374EB0D-66D5-4D4D-A81D-94510E33630B}"/>
      </w:docPartPr>
      <w:docPartBody>
        <w:p w:rsidR="005F2E72" w:rsidRDefault="00E559BC" w:rsidP="00E559BC">
          <w:pPr>
            <w:pStyle w:val="4811EFCE1063437AAA27FC18DC622011"/>
          </w:pPr>
          <w:r w:rsidRPr="00E0765C">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7E"/>
    <w:rsid w:val="0004416D"/>
    <w:rsid w:val="001410E8"/>
    <w:rsid w:val="002971AB"/>
    <w:rsid w:val="002D65E3"/>
    <w:rsid w:val="004055EB"/>
    <w:rsid w:val="005F2E72"/>
    <w:rsid w:val="007579F7"/>
    <w:rsid w:val="00794930"/>
    <w:rsid w:val="00C644C3"/>
    <w:rsid w:val="00D4787E"/>
    <w:rsid w:val="00D769F5"/>
    <w:rsid w:val="00D93668"/>
    <w:rsid w:val="00E559BC"/>
    <w:rsid w:val="00FC5D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9BC"/>
    <w:rPr>
      <w:color w:val="808080"/>
    </w:rPr>
  </w:style>
  <w:style w:type="paragraph" w:customStyle="1" w:styleId="C0CCEC413FBB4372BFE22AA0B29B8EF0">
    <w:name w:val="C0CCEC413FBB4372BFE22AA0B29B8EF0"/>
  </w:style>
  <w:style w:type="paragraph" w:customStyle="1" w:styleId="0054C20ADBAD4DABB4767C0F4E2BBA4C">
    <w:name w:val="0054C20ADBAD4DABB4767C0F4E2BBA4C"/>
    <w:rsid w:val="00D4787E"/>
  </w:style>
  <w:style w:type="paragraph" w:customStyle="1" w:styleId="A8D3E1E5B2614511AD9CC6C19E3D3530">
    <w:name w:val="A8D3E1E5B2614511AD9CC6C19E3D3530"/>
    <w:rsid w:val="00D4787E"/>
  </w:style>
  <w:style w:type="paragraph" w:customStyle="1" w:styleId="632094FE6CC84989A63F98B2CADBEAEE">
    <w:name w:val="632094FE6CC84989A63F98B2CADBEAEE"/>
    <w:rsid w:val="00D4787E"/>
  </w:style>
  <w:style w:type="paragraph" w:customStyle="1" w:styleId="2A7A73992B7A4316892F609FE7EE22FE">
    <w:name w:val="2A7A73992B7A4316892F609FE7EE22FE"/>
    <w:rsid w:val="00E559BC"/>
  </w:style>
  <w:style w:type="paragraph" w:customStyle="1" w:styleId="9F80EEEBF4E048FB8E4FAD7995B180F5">
    <w:name w:val="9F80EEEBF4E048FB8E4FAD7995B180F5"/>
    <w:rsid w:val="00E559BC"/>
  </w:style>
  <w:style w:type="paragraph" w:customStyle="1" w:styleId="670B36D4B81D4591968FC1B3543A98E6">
    <w:name w:val="670B36D4B81D4591968FC1B3543A98E6"/>
    <w:rsid w:val="00E559BC"/>
  </w:style>
  <w:style w:type="paragraph" w:customStyle="1" w:styleId="D8CC8A3ADA0445C9AD7CE63767C5DA34">
    <w:name w:val="D8CC8A3ADA0445C9AD7CE63767C5DA34"/>
    <w:rsid w:val="00E559BC"/>
  </w:style>
  <w:style w:type="paragraph" w:customStyle="1" w:styleId="945EB7948B52432A9BEF55F5311C4B7D">
    <w:name w:val="945EB7948B52432A9BEF55F5311C4B7D"/>
    <w:rsid w:val="00E559BC"/>
  </w:style>
  <w:style w:type="paragraph" w:customStyle="1" w:styleId="3FC1FFEF83504257B2EBAAF0678A1733">
    <w:name w:val="3FC1FFEF83504257B2EBAAF0678A1733"/>
    <w:rsid w:val="00E559BC"/>
  </w:style>
  <w:style w:type="paragraph" w:customStyle="1" w:styleId="ACDC61009BA6417BBA960AF863120364">
    <w:name w:val="ACDC61009BA6417BBA960AF863120364"/>
    <w:rsid w:val="00E559BC"/>
  </w:style>
  <w:style w:type="paragraph" w:customStyle="1" w:styleId="A96FE3479C9F4C209A877E8E4F635A73">
    <w:name w:val="A96FE3479C9F4C209A877E8E4F635A73"/>
    <w:rsid w:val="00E559BC"/>
  </w:style>
  <w:style w:type="paragraph" w:customStyle="1" w:styleId="B964157BA8D54DA6A0F40615D9517831">
    <w:name w:val="B964157BA8D54DA6A0F40615D9517831"/>
    <w:rsid w:val="00E559BC"/>
  </w:style>
  <w:style w:type="paragraph" w:customStyle="1" w:styleId="7FEB248CE6204EBF8DC3F623E988CDEF">
    <w:name w:val="7FEB248CE6204EBF8DC3F623E988CDEF"/>
    <w:rsid w:val="00E559BC"/>
  </w:style>
  <w:style w:type="paragraph" w:customStyle="1" w:styleId="CD000C034B5647AF894948F56BDE51A0">
    <w:name w:val="CD000C034B5647AF894948F56BDE51A0"/>
    <w:rsid w:val="00E559BC"/>
  </w:style>
  <w:style w:type="paragraph" w:customStyle="1" w:styleId="4811EFCE1063437AAA27FC18DC622011">
    <w:name w:val="4811EFCE1063437AAA27FC18DC622011"/>
    <w:rsid w:val="00E5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Pandora">
  <a:themeElements>
    <a:clrScheme name="IMR">
      <a:dk1>
        <a:sysClr val="windowText" lastClr="000000"/>
      </a:dk1>
      <a:lt1>
        <a:sysClr val="window" lastClr="FFFFFF"/>
      </a:lt1>
      <a:dk2>
        <a:srgbClr val="00909E"/>
      </a:dk2>
      <a:lt2>
        <a:srgbClr val="F15A22"/>
      </a:lt2>
      <a:accent1>
        <a:srgbClr val="7A9428"/>
      </a:accent1>
      <a:accent2>
        <a:srgbClr val="6A4993"/>
      </a:accent2>
      <a:accent3>
        <a:srgbClr val="E11A59"/>
      </a:accent3>
      <a:accent4>
        <a:srgbClr val="00718A"/>
      </a:accent4>
      <a:accent5>
        <a:srgbClr val="B2CBD6"/>
      </a:accent5>
      <a:accent6>
        <a:srgbClr val="ED1C24"/>
      </a:accent6>
      <a:hlink>
        <a:srgbClr val="0000FF"/>
      </a:hlink>
      <a:folHlink>
        <a:srgbClr val="800080"/>
      </a:folHlink>
    </a:clrScheme>
    <a:fontScheme name="Pand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lnSpc>
            <a:spcPct val="93000"/>
          </a:lnSpc>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accent5"/>
        </a:solidFill>
        <a:ln w="9525">
          <a:noFill/>
          <a:miter lim="800000"/>
          <a:headEnd/>
          <a:tailEnd/>
        </a:ln>
      </a:spPr>
      <a:bodyPr wrap="square" lIns="180000" tIns="108000" rIns="108000" bIns="180000" anchor="t" anchorCtr="0">
        <a:spAutoFit/>
      </a:bodyPr>
      <a:lstStyle>
        <a:defPPr>
          <a:defRPr sz="1200" dirty="0">
            <a:solidFill>
              <a:srgbClr val="FFFFF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319293"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UN Special Rapporteur on the rights of persons with disabilities</gbs:ToActivityContactJOINEX.Name>
  <gbs:ToActivityContactJOINEX.Address gbs:loadFromGrowBusiness="OnEdit" gbs:saveInGrowBusiness="True" gbs:connected="true" gbs:recno="" gbs:entity="" gbs:datatype="string" gbs:key="10001" gbs:joinex="[JOINEX=[ToRole] {!OJEX!}=6]" gbs:dispatchrecipient="false" gbs:removeContentControl="0">OHCHR-UNOG</gbs:ToActivityContactJOINEX.Address>
  <gbs:ToActivityContactJOINEX.Zip gbs:loadFromGrowBusiness="OnEdit" gbs:saveInGrowBusiness="True" gbs:connected="true" gbs:recno="" gbs:entity="" gbs:datatype="string" gbs:key="10002" gbs:joinex="[JOINEX=[ToRole] {!OJEX!}=6]" gbs:dispatchrecipient="false" gbs:removeContentControl="0">CH-1211 Geneva 10</gbs:ToActivityContactJOINEX.Zip>
  <gbs:DocumentNumber gbs:loadFromGrowBusiness="OnEdit" gbs:saveInGrowBusiness="True" gbs:connected="true" gbs:recno="" gbs:entity="" gbs:datatype="string" gbs:key="10003" gbs:removeContentControl="0">19/01448-2</gbs:DocumentNumber>
  <gbs:ToActivityContactJOINEX.ToAddress.Country.Description gbs:loadFromGrowBusiness="OnEdit" gbs:saveInGrowBusiness="True" gbs:connected="true" gbs:recno="" gbs:entity="" gbs:datatype="string" gbs:key="10004" gbs:joinex="[JOINEX=[ToRole] {!OJEX!}=6]" gbs:dispatchrecipient="false" gbs:removeContentControl="0">Schweiz</gbs:ToActivityContactJOINEX.ToAddress.Count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33A7D3-2B0D-476C-8427-9E423E4098BC}">
  <ds:schemaRefs>
    <ds:schemaRef ds:uri="http://www.software-innovation.no/growBusinessDocument"/>
  </ds:schemaRefs>
</ds:datastoreItem>
</file>

<file path=customXml/itemProps2.xml><?xml version="1.0" encoding="utf-8"?>
<ds:datastoreItem xmlns:ds="http://schemas.openxmlformats.org/officeDocument/2006/customXml" ds:itemID="{654BB6ED-9A0A-4D68-97C6-23AF08AFD7E8}">
  <ds:schemaRefs>
    <ds:schemaRef ds:uri="http://schemas.openxmlformats.org/officeDocument/2006/bibliography"/>
  </ds:schemaRefs>
</ds:datastoreItem>
</file>

<file path=customXml/itemProps3.xml><?xml version="1.0" encoding="utf-8"?>
<ds:datastoreItem xmlns:ds="http://schemas.openxmlformats.org/officeDocument/2006/customXml" ds:itemID="{015CC6DB-8786-4656-8DC8-7747745F699A}"/>
</file>

<file path=customXml/itemProps4.xml><?xml version="1.0" encoding="utf-8"?>
<ds:datastoreItem xmlns:ds="http://schemas.openxmlformats.org/officeDocument/2006/customXml" ds:itemID="{D84754CC-90E5-49B7-8532-6A382258E798}"/>
</file>

<file path=customXml/itemProps5.xml><?xml version="1.0" encoding="utf-8"?>
<ds:datastoreItem xmlns:ds="http://schemas.openxmlformats.org/officeDocument/2006/customXml" ds:itemID="{009E858D-25CC-4F79-803C-C581090F406F}"/>
</file>

<file path=docProps/app.xml><?xml version="1.0" encoding="utf-8"?>
<ap:Properties xmlns:vt="http://schemas.openxmlformats.org/officeDocument/2006/docPropsVTypes" xmlns:ap="http://schemas.openxmlformats.org/officeDocument/2006/extended-properties">
  <ap:Template>Normal.dotm</ap:Template>
  <ap:TotalTime>0</ap:TotalTime>
  <ap:Pages>10</ap:Pages>
  <ap:Words>3104</ap:Words>
  <ap:Characters>17699</ap:Characters>
  <ap:Application>Microsoft Office Word</ap:Application>
  <ap:DocSecurity>0</ap:DocSecurity>
  <ap:Lines>147</ap:Lines>
  <ap:Paragraphs>41</ap:Paragraphs>
  <ap:ScaleCrop>false</ap:ScaleCrop>
  <ap:HeadingPairs>
    <vt:vector baseType="variant" size="2">
      <vt:variant>
        <vt:lpstr>Title</vt:lpstr>
      </vt:variant>
      <vt:variant>
        <vt:i4>1</vt:i4>
      </vt:variant>
    </vt:vector>
  </ap:HeadingPairs>
  <ap:TitlesOfParts>
    <vt:vector baseType="lpstr" size="1">
      <vt:lpstr>Letter</vt:lpstr>
    </vt:vector>
  </ap:TitlesOfParts>
  <ap:Company>The Danish Institute for Human Rights</ap:Company>
  <ap:LinksUpToDate>false</ap:LinksUpToDate>
  <ap:CharactersWithSpaces>20762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Emilie Thage</dc:creator>
  <cp:lastModifiedBy>Mette Frandsen</cp:lastModifiedBy>
  <cp:revision>36</cp:revision>
  <cp:lastPrinted>2019-08-15T10:32:00Z</cp:lastPrinted>
  <dcterms:created xsi:type="dcterms:W3CDTF">2019-05-10T11:54:00Z</dcterms:created>
  <dcterms:modified xsi:type="dcterms:W3CDTF">2019-08-15T15:49:00Z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