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CB" w:rsidRDefault="00415ECB" w:rsidP="00E822D9">
      <w:pPr>
        <w:suppressAutoHyphens/>
      </w:pPr>
      <w:bookmarkStart w:id="0" w:name="_GoBack"/>
      <w:bookmarkEnd w:id="0"/>
      <w:r>
        <w:t>Germany would first like to refer to its Periodic Reports on the United Nations Convention on the Rights of Persons with Disabilities (CRPD) which outline good practices to ensure effective access to justice for persons with disabilities (see in particular the comments regarding Article 13).</w:t>
      </w:r>
    </w:p>
    <w:p w:rsidR="00415ECB" w:rsidRDefault="00415ECB" w:rsidP="00E822D9">
      <w:pPr>
        <w:suppressAutoHyphens/>
      </w:pPr>
      <w:r>
        <w:t xml:space="preserve"> </w:t>
      </w:r>
    </w:p>
    <w:p w:rsidR="00415ECB" w:rsidRDefault="00A626FF" w:rsidP="00E822D9">
      <w:pPr>
        <w:suppressAutoHyphens/>
      </w:pPr>
      <w:r>
        <w:t>Furthermore, Germany would like to draw particular attention to the following regulations and projects:</w:t>
      </w:r>
    </w:p>
    <w:p w:rsidR="0093406D" w:rsidRDefault="0093406D" w:rsidP="00E822D9">
      <w:pPr>
        <w:suppressAutoHyphens/>
      </w:pPr>
    </w:p>
    <w:p w:rsidR="00702259" w:rsidRDefault="00702259" w:rsidP="00E822D9">
      <w:pPr>
        <w:suppressAutoHyphens/>
      </w:pPr>
      <w:r>
        <w:t>The Courts Constitution Act [</w:t>
      </w:r>
      <w:r>
        <w:rPr>
          <w:i/>
          <w:iCs/>
        </w:rPr>
        <w:t>Gerichtsverfassungsgesetz</w:t>
      </w:r>
      <w:r>
        <w:t xml:space="preserve"> – GVG] contains special provisions designed to ensure that persons with disabilities have non-discriminatory access to justice. These provisions are section 186 GVG (a special provision on communication with hearing-impaired or speech-impaired persons in court proceedings) and section 191a GVG (a special provision on making documents accessible for blind or visually impaired persons). The English version of these provisions can be found here: https://www.gesetze-im-internet.de/englisch_gvg/index.html</w:t>
      </w:r>
    </w:p>
    <w:p w:rsidR="00702259" w:rsidRDefault="00702259" w:rsidP="00E822D9">
      <w:pPr>
        <w:suppressAutoHyphens/>
      </w:pPr>
    </w:p>
    <w:p w:rsidR="00702259" w:rsidRDefault="00702259" w:rsidP="00E822D9">
      <w:pPr>
        <w:suppressAutoHyphens/>
      </w:pPr>
      <w:r>
        <w:t>In family court proceedings and proceedings in matters of non-contentious jurisdiction, the situation is as follows: pursuant to section 125 (1), section 275 and section 316 of the Act on Proceedings in Family Matters and in Matters of Non-contentious Jurisdiction [</w:t>
      </w:r>
      <w:r>
        <w:rPr>
          <w:i/>
          <w:iCs/>
        </w:rPr>
        <w:t>Gesetz über das Verfahren in Familiensachen und in den Angelegenheiten der freiwilligen Gerichtsbarkeit</w:t>
      </w:r>
      <w:r>
        <w:t xml:space="preserve"> – FamFG], people with disabilities have capacity to participate in proceedings in marital matters, custodianship matters and placement matters. Any person with capacity to participate in proceedings can make or accept legally effective declarations – either on their own or via a representative appointed by them. In custodianship and placement matters, the court must furthermore appoint a guardian ad litem [</w:t>
      </w:r>
      <w:r>
        <w:rPr>
          <w:i/>
          <w:iCs/>
        </w:rPr>
        <w:t>Verfahrenspfleger</w:t>
      </w:r>
      <w:r>
        <w:t>] for the person concerned wherever this is necessary to represent their interests (section 276 (1) and section 317 (1) FamFG). The English version of these provisions can be found here: https://www.gesetze-im-internet.de/englisch_famfg/index.html</w:t>
      </w:r>
    </w:p>
    <w:p w:rsidR="00702259" w:rsidRDefault="00702259" w:rsidP="00E822D9">
      <w:pPr>
        <w:suppressAutoHyphens/>
      </w:pPr>
    </w:p>
    <w:p w:rsidR="00702259" w:rsidRDefault="0093406D" w:rsidP="00E822D9">
      <w:pPr>
        <w:suppressAutoHyphens/>
      </w:pPr>
      <w:r>
        <w:t xml:space="preserve">Turning to the social court system: with the help of a 2017-2018 project funded by the Federal Ministry for Labour and Social Affairs, training courses on the content and scope of the CRPD were offered at the social courts of the </w:t>
      </w:r>
      <w:r>
        <w:rPr>
          <w:i/>
          <w:iCs/>
        </w:rPr>
        <w:t>Länder</w:t>
      </w:r>
      <w:r>
        <w:t xml:space="preserve"> (federal states) by the Monitoring Mechanism. In the years 2019-2022, these nationwide specialist training courses will be run by the Monitoring Mechanism for judges and senior judicial officers at the adult guardianship courts. The Monitoring Mechanism also held two specialist discussion events (in conjunction with the Federal Ministry for Labour and Social Affairs) with the aim of raising awareness </w:t>
      </w:r>
      <w:r>
        <w:lastRenderedPageBreak/>
        <w:t xml:space="preserve">among judges, academics and politicians about the CRPD’s significance for the German legal system. </w:t>
      </w:r>
    </w:p>
    <w:p w:rsidR="00702259" w:rsidRDefault="00702259" w:rsidP="00E822D9">
      <w:pPr>
        <w:suppressAutoHyphens/>
      </w:pPr>
    </w:p>
    <w:p w:rsidR="00702259" w:rsidRDefault="00702259" w:rsidP="00E822D9">
      <w:pPr>
        <w:suppressAutoHyphens/>
      </w:pPr>
      <w:r>
        <w:t xml:space="preserve">We would furthermore like to draw attention to the statutory provisions on the derivative right of action and the right to pursue representative action as enjoyed by associations which represent persons with disabilities. </w:t>
      </w:r>
    </w:p>
    <w:p w:rsidR="00702259" w:rsidRDefault="00702259" w:rsidP="00E822D9">
      <w:pPr>
        <w:suppressAutoHyphens/>
      </w:pPr>
    </w:p>
    <w:p w:rsidR="00702259" w:rsidRDefault="00702259" w:rsidP="00E822D9">
      <w:pPr>
        <w:suppressAutoHyphens/>
      </w:pPr>
      <w:r>
        <w:t>Cases involving the volitional assignment of the derivative right of action [</w:t>
      </w:r>
      <w:r>
        <w:rPr>
          <w:i/>
          <w:iCs/>
        </w:rPr>
        <w:t>gewillkürte Prozessstandschaft</w:t>
      </w:r>
      <w:r>
        <w:t>] are regulated in section 85 of Book 9 of the Social Code [</w:t>
      </w:r>
      <w:r>
        <w:rPr>
          <w:i/>
          <w:iCs/>
        </w:rPr>
        <w:t>Sozialgesetzbuch</w:t>
      </w:r>
      <w:r>
        <w:t xml:space="preserve"> – SGB] and section 14 of the Act on Equal Opportunities for Persons with Disabilities [</w:t>
      </w:r>
      <w:r>
        <w:rPr>
          <w:i/>
          <w:iCs/>
        </w:rPr>
        <w:t>Gesetz zur Gleichstellung von Menschen mit Behinderungen</w:t>
      </w:r>
      <w:r>
        <w:t xml:space="preserve"> – BGG]. Associations representing persons with disabilities are thereby entitled to take legal action in their own name in order to assert the rights of persons with disabilities – but only with the consent of those persons.  When an association asserts the rights of a person with disabilities, the same procedural requirements apply as if the person with disabilities were taking legal action themselves. In such cases, the association bringing the action is not permitted to pursue any interests that diverge from the interests of the person with disabilities.</w:t>
      </w:r>
    </w:p>
    <w:p w:rsidR="00702259" w:rsidRDefault="00702259" w:rsidP="00E822D9">
      <w:pPr>
        <w:suppressAutoHyphens/>
      </w:pPr>
    </w:p>
    <w:p w:rsidR="00702259" w:rsidRDefault="00702259" w:rsidP="00E822D9">
      <w:pPr>
        <w:suppressAutoHyphens/>
      </w:pPr>
      <w:r>
        <w:t>A genuine right to pursue representative action [</w:t>
      </w:r>
      <w:r>
        <w:rPr>
          <w:i/>
          <w:iCs/>
        </w:rPr>
        <w:t>Verbandsklagerecht</w:t>
      </w:r>
      <w:r>
        <w:t xml:space="preserve">] is enshrined in section 15 BGG. This right to pursue representative action is not tied to any individual claims. Associations which represent persons with disabilities and which have been approved by the Federal Ministry for Labour and Social Affairs are entitled to file actions even if their own rights have not been violated. </w:t>
      </w:r>
    </w:p>
    <w:p w:rsidR="00702259" w:rsidRDefault="00702259" w:rsidP="00E822D9">
      <w:pPr>
        <w:suppressAutoHyphens/>
      </w:pPr>
    </w:p>
    <w:p w:rsidR="00AB7CAC" w:rsidRDefault="00702259" w:rsidP="00E822D9">
      <w:pPr>
        <w:suppressAutoHyphens/>
      </w:pPr>
      <w:r>
        <w:t>These two special procedural rules make it possible to better safeguard the interests of people with disabilities.</w:t>
      </w:r>
    </w:p>
    <w:p w:rsidR="001B3BA0" w:rsidRDefault="001B3BA0" w:rsidP="00E822D9">
      <w:pPr>
        <w:suppressAutoHyphens/>
      </w:pPr>
    </w:p>
    <w:p w:rsidR="001B3BA0" w:rsidRDefault="001B3BA0" w:rsidP="00E822D9">
      <w:pPr>
        <w:suppressAutoHyphens/>
      </w:pPr>
      <w:r>
        <w:t xml:space="preserve">Since the BGG was revised in 2016, a provision stipulating the creation of an Arbitration Service has been set down in section 16 BGG. Persons with disabilities can contact the Arbitration Service if they believe that any of their rights under the BGG – especially those arising from the rules on accessibility and non-discrimination – have been violated by a federal public authority. Since 2016, the legislation has also provided for the possibility of conducting a representative arbitration procedure in advance of the representative action under section 15 BGG.  </w:t>
      </w:r>
    </w:p>
    <w:p w:rsidR="001B3BA0" w:rsidRDefault="001B3BA0" w:rsidP="00E822D9">
      <w:pPr>
        <w:suppressAutoHyphens/>
      </w:pPr>
    </w:p>
    <w:p w:rsidR="001B3BA0" w:rsidRPr="00534D19" w:rsidRDefault="001B3BA0" w:rsidP="00E822D9">
      <w:pPr>
        <w:suppressAutoHyphens/>
      </w:pPr>
      <w:r>
        <w:lastRenderedPageBreak/>
        <w:t>The arbitration procedure, which is free of charge for those involved, enables the parties to reach a quick settlement in a relatively uncomplicated manner. This is in the interests of everyone concerned. For victims of discrimination, legal disputes of unknown duration and uncertain outcome are often experienced as being particularly stressful. Using the option of an arbitration procedure makes it possible to save time and money that would otherwise have to be spent on potential redress or appellate proceedings, while at the same time reducing the burden on the courts. The Arbitration Service began operating in late 2016 and has already received more than 360 applications for arbitration. In 2018, 62% of the admissible proceedings were resolved in the form of a friendly settlement. 8% of the cases were concluded in some other manner. This shows that the arbitration procedure has already established itself as an effective instrument for enforcing the rights arising from the BGG.</w:t>
      </w:r>
    </w:p>
    <w:sectPr w:rsidR="001B3BA0" w:rsidRPr="00534D19" w:rsidSect="00123525">
      <w:footerReference w:type="default" r:id="rId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4D" w:rsidRDefault="00AD1A4D" w:rsidP="0040383B">
      <w:pPr>
        <w:spacing w:line="240" w:lineRule="auto"/>
      </w:pPr>
      <w:r>
        <w:separator/>
      </w:r>
    </w:p>
  </w:endnote>
  <w:endnote w:type="continuationSeparator" w:id="0">
    <w:p w:rsidR="00AD1A4D" w:rsidRDefault="00AD1A4D" w:rsidP="00403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565415"/>
      <w:docPartObj>
        <w:docPartGallery w:val="Page Numbers (Bottom of Page)"/>
        <w:docPartUnique/>
      </w:docPartObj>
    </w:sdtPr>
    <w:sdtEndPr/>
    <w:sdtContent>
      <w:p w:rsidR="004F5541" w:rsidRDefault="004F5541">
        <w:pPr>
          <w:pStyle w:val="Footer"/>
          <w:jc w:val="right"/>
        </w:pPr>
        <w:r>
          <w:fldChar w:fldCharType="begin"/>
        </w:r>
        <w:r>
          <w:instrText>PAGE   \* MERGEFORMAT</w:instrText>
        </w:r>
        <w:r>
          <w:fldChar w:fldCharType="separate"/>
        </w:r>
        <w:r w:rsidR="00862236">
          <w:rPr>
            <w:noProof/>
          </w:rPr>
          <w:t>2</w:t>
        </w:r>
        <w:r>
          <w:fldChar w:fldCharType="end"/>
        </w:r>
      </w:p>
    </w:sdtContent>
  </w:sdt>
  <w:p w:rsidR="004F5541" w:rsidRDefault="004F5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4D" w:rsidRDefault="00AD1A4D" w:rsidP="0040383B">
      <w:pPr>
        <w:spacing w:line="240" w:lineRule="auto"/>
      </w:pPr>
      <w:r>
        <w:separator/>
      </w:r>
    </w:p>
  </w:footnote>
  <w:footnote w:type="continuationSeparator" w:id="0">
    <w:p w:rsidR="00AD1A4D" w:rsidRDefault="00AD1A4D" w:rsidP="004038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FB3"/>
    <w:multiLevelType w:val="hybridMultilevel"/>
    <w:tmpl w:val="91607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A1A5DFC"/>
    <w:multiLevelType w:val="hybridMultilevel"/>
    <w:tmpl w:val="F126E36A"/>
    <w:lvl w:ilvl="0" w:tplc="B8FE647A">
      <w:start w:val="1"/>
      <w:numFmt w:val="bullet"/>
      <w:pStyle w:val="BMJAufzhlung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CD60E8"/>
    <w:multiLevelType w:val="multilevel"/>
    <w:tmpl w:val="0BB8E9BE"/>
    <w:styleLink w:val="ListeBMJalphanumerisch"/>
    <w:lvl w:ilvl="0">
      <w:start w:val="1"/>
      <w:numFmt w:val="upperLetter"/>
      <w:lvlText w:val="%1."/>
      <w:lvlJc w:val="left"/>
      <w:pPr>
        <w:ind w:left="425" w:hanging="425"/>
      </w:pPr>
      <w:rPr>
        <w:rFonts w:hint="default"/>
      </w:rPr>
    </w:lvl>
    <w:lvl w:ilvl="1">
      <w:start w:val="1"/>
      <w:numFmt w:val="upperRoman"/>
      <w:lvlText w:val="%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27"/>
      <w:numFmt w:val="lowerLetter"/>
      <w:lvlText w:val="%5)"/>
      <w:lvlJc w:val="left"/>
      <w:pPr>
        <w:ind w:left="425" w:hanging="425"/>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4">
    <w:nsid w:val="38EC7EC4"/>
    <w:multiLevelType w:val="hybridMultilevel"/>
    <w:tmpl w:val="CF6A906A"/>
    <w:lvl w:ilvl="0" w:tplc="7A4AD7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24F18EB"/>
    <w:multiLevelType w:val="multilevel"/>
    <w:tmpl w:val="53C03C46"/>
    <w:styleLink w:val="ListeBMJnumerisch"/>
    <w:lvl w:ilvl="0">
      <w:start w:val="1"/>
      <w:numFmt w:val="decimal"/>
      <w:pStyle w:val="BMJ1numerisch"/>
      <w:lvlText w:val="%1."/>
      <w:lvlJc w:val="left"/>
      <w:pPr>
        <w:tabs>
          <w:tab w:val="num" w:pos="397"/>
        </w:tabs>
        <w:ind w:left="397" w:hanging="397"/>
      </w:pPr>
      <w:rPr>
        <w:rFonts w:hint="default"/>
      </w:rPr>
    </w:lvl>
    <w:lvl w:ilvl="1">
      <w:start w:val="1"/>
      <w:numFmt w:val="decimal"/>
      <w:pStyle w:val="BMJ2numerisch"/>
      <w:lvlText w:val="%1.%2."/>
      <w:lvlJc w:val="left"/>
      <w:pPr>
        <w:tabs>
          <w:tab w:val="num" w:pos="454"/>
        </w:tabs>
        <w:ind w:left="454" w:hanging="454"/>
      </w:pPr>
      <w:rPr>
        <w:rFonts w:hint="default"/>
      </w:rPr>
    </w:lvl>
    <w:lvl w:ilvl="2">
      <w:start w:val="1"/>
      <w:numFmt w:val="decimal"/>
      <w:pStyle w:val="BMJ3numerisch"/>
      <w:lvlText w:val="%1.%2.%3."/>
      <w:lvlJc w:val="left"/>
      <w:pPr>
        <w:tabs>
          <w:tab w:val="num" w:pos="794"/>
        </w:tabs>
        <w:ind w:left="794" w:hanging="794"/>
      </w:pPr>
      <w:rPr>
        <w:rFonts w:hint="default"/>
      </w:rPr>
    </w:lvl>
    <w:lvl w:ilvl="3">
      <w:start w:val="1"/>
      <w:numFmt w:val="decimal"/>
      <w:pStyle w:val="BMJ4numerisch"/>
      <w:lvlText w:val="%1.%2.%3.%4."/>
      <w:lvlJc w:val="left"/>
      <w:pPr>
        <w:tabs>
          <w:tab w:val="num" w:pos="964"/>
        </w:tabs>
        <w:ind w:left="964" w:hanging="964"/>
      </w:pPr>
      <w:rPr>
        <w:rFonts w:hint="default"/>
      </w:rPr>
    </w:lvl>
    <w:lvl w:ilvl="4">
      <w:start w:val="1"/>
      <w:numFmt w:val="decimal"/>
      <w:pStyle w:val="BMJ5numerisch"/>
      <w:lvlText w:val="%1.%2.%3.%4.%5."/>
      <w:lvlJc w:val="left"/>
      <w:pPr>
        <w:tabs>
          <w:tab w:val="num" w:pos="1304"/>
        </w:tabs>
        <w:ind w:left="1304" w:hanging="1304"/>
      </w:pPr>
      <w:rPr>
        <w:rFonts w:hint="default"/>
      </w:rPr>
    </w:lvl>
    <w:lvl w:ilvl="5">
      <w:start w:val="1"/>
      <w:numFmt w:val="decimal"/>
      <w:pStyle w:val="BMJ6numerisch"/>
      <w:lvlText w:val="%1.%2.%3.%4.%5.%6."/>
      <w:lvlJc w:val="left"/>
      <w:pPr>
        <w:tabs>
          <w:tab w:val="num" w:pos="1474"/>
        </w:tabs>
        <w:ind w:left="1474" w:hanging="1474"/>
      </w:pPr>
      <w:rPr>
        <w:rFonts w:hint="default"/>
      </w:rPr>
    </w:lvl>
    <w:lvl w:ilvl="6">
      <w:start w:val="1"/>
      <w:numFmt w:val="decimal"/>
      <w:pStyle w:val="BMJ7numerisch"/>
      <w:lvlText w:val="%1.%2.%3.%4.%5.%6.%7."/>
      <w:lvlJc w:val="left"/>
      <w:pPr>
        <w:tabs>
          <w:tab w:val="num" w:pos="1701"/>
        </w:tabs>
        <w:ind w:left="1701" w:hanging="1701"/>
      </w:pPr>
      <w:rPr>
        <w:rFonts w:hint="default"/>
      </w:rPr>
    </w:lvl>
    <w:lvl w:ilvl="7">
      <w:start w:val="1"/>
      <w:numFmt w:val="decimal"/>
      <w:pStyle w:val="BMJ8numerisch"/>
      <w:lvlText w:val="%1.%2.%3.%4.%5.%6.%7.%8."/>
      <w:lvlJc w:val="left"/>
      <w:pPr>
        <w:tabs>
          <w:tab w:val="num" w:pos="1871"/>
        </w:tabs>
        <w:ind w:left="1871" w:hanging="1871"/>
      </w:pPr>
      <w:rPr>
        <w:rFonts w:hint="default"/>
      </w:rPr>
    </w:lvl>
    <w:lvl w:ilvl="8">
      <w:start w:val="1"/>
      <w:numFmt w:val="decimal"/>
      <w:pStyle w:val="BMJ9numerisch"/>
      <w:lvlText w:val="%1.%2.%3.%4.%5.%6.%7.%8.%9."/>
      <w:lvlJc w:val="left"/>
      <w:pPr>
        <w:tabs>
          <w:tab w:val="num" w:pos="2211"/>
        </w:tabs>
        <w:ind w:left="2211" w:hanging="2211"/>
      </w:pPr>
      <w:rPr>
        <w:rFonts w:hint="default"/>
      </w:rPr>
    </w:lvl>
  </w:abstractNum>
  <w:abstractNum w:abstractNumId="6">
    <w:nsid w:val="4D451F88"/>
    <w:multiLevelType w:val="multilevel"/>
    <w:tmpl w:val="53C03C46"/>
    <w:numStyleLink w:val="ListeBMJnumerisch"/>
  </w:abstractNum>
  <w:abstractNum w:abstractNumId="7">
    <w:nsid w:val="50DE293B"/>
    <w:multiLevelType w:val="hybridMultilevel"/>
    <w:tmpl w:val="7772BBBC"/>
    <w:lvl w:ilvl="0" w:tplc="7D221678">
      <w:start w:val="1"/>
      <w:numFmt w:val="bullet"/>
      <w:pStyle w:val="BMJ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C13D86"/>
    <w:multiLevelType w:val="multilevel"/>
    <w:tmpl w:val="3DA2C87C"/>
    <w:lvl w:ilvl="0">
      <w:start w:val="1"/>
      <w:numFmt w:val="upperLetter"/>
      <w:pStyle w:val="BMJ1alphanumerisch"/>
      <w:lvlText w:val="%1."/>
      <w:lvlJc w:val="left"/>
      <w:pPr>
        <w:ind w:left="425" w:hanging="425"/>
      </w:pPr>
      <w:rPr>
        <w:rFonts w:hint="default"/>
      </w:rPr>
    </w:lvl>
    <w:lvl w:ilvl="1">
      <w:start w:val="1"/>
      <w:numFmt w:val="upperRoman"/>
      <w:pStyle w:val="BMJ2alphanumerisch"/>
      <w:lvlText w:val="%2."/>
      <w:lvlJc w:val="left"/>
      <w:pPr>
        <w:ind w:left="425" w:hanging="425"/>
      </w:pPr>
      <w:rPr>
        <w:rFonts w:hint="default"/>
      </w:rPr>
    </w:lvl>
    <w:lvl w:ilvl="2">
      <w:start w:val="1"/>
      <w:numFmt w:val="decimal"/>
      <w:pStyle w:val="BMJ3alphanumerisch"/>
      <w:lvlText w:val="%3."/>
      <w:lvlJc w:val="left"/>
      <w:pPr>
        <w:ind w:left="425" w:hanging="425"/>
      </w:pPr>
      <w:rPr>
        <w:rFonts w:hint="default"/>
      </w:rPr>
    </w:lvl>
    <w:lvl w:ilvl="3">
      <w:start w:val="1"/>
      <w:numFmt w:val="lowerLetter"/>
      <w:pStyle w:val="BMJ4alphanumerisch"/>
      <w:lvlText w:val="%4)"/>
      <w:lvlJc w:val="left"/>
      <w:pPr>
        <w:ind w:left="425" w:hanging="425"/>
      </w:pPr>
      <w:rPr>
        <w:rFonts w:hint="default"/>
      </w:rPr>
    </w:lvl>
    <w:lvl w:ilvl="4">
      <w:start w:val="27"/>
      <w:numFmt w:val="lowerLetter"/>
      <w:pStyle w:val="BMJ5alphanumerisch"/>
      <w:lvlText w:val="%5)"/>
      <w:lvlJc w:val="left"/>
      <w:pPr>
        <w:ind w:left="425" w:hanging="425"/>
      </w:pPr>
      <w:rPr>
        <w:rFonts w:hint="default"/>
      </w:rPr>
    </w:lvl>
    <w:lvl w:ilvl="5">
      <w:start w:val="1"/>
      <w:numFmt w:val="decimal"/>
      <w:pStyle w:val="BMJ6alphanumerisch"/>
      <w:lvlText w:val="(%6)"/>
      <w:lvlJc w:val="left"/>
      <w:pPr>
        <w:ind w:left="425" w:hanging="425"/>
      </w:pPr>
      <w:rPr>
        <w:rFonts w:hint="default"/>
      </w:rPr>
    </w:lvl>
    <w:lvl w:ilvl="6">
      <w:start w:val="1"/>
      <w:numFmt w:val="lowerLetter"/>
      <w:pStyle w:val="BMJ7alphanumerisch"/>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9">
    <w:nsid w:val="751206C8"/>
    <w:multiLevelType w:val="hybridMultilevel"/>
    <w:tmpl w:val="9F06130A"/>
    <w:lvl w:ilvl="0" w:tplc="B3045818">
      <w:start w:val="1"/>
      <w:numFmt w:val="decimal"/>
      <w:pStyle w:val="BMJ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7"/>
  </w:num>
  <w:num w:numId="7">
    <w:abstractNumId w:val="2"/>
  </w:num>
  <w:num w:numId="8">
    <w:abstractNumId w:val="9"/>
  </w:num>
  <w:num w:numId="9">
    <w:abstractNumId w:val="1"/>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revisionView w:inkAnnotation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02259"/>
    <w:rsid w:val="00002A86"/>
    <w:rsid w:val="000055F3"/>
    <w:rsid w:val="000426FE"/>
    <w:rsid w:val="00042E1C"/>
    <w:rsid w:val="00074EBA"/>
    <w:rsid w:val="00085AF5"/>
    <w:rsid w:val="0009078F"/>
    <w:rsid w:val="000A6E17"/>
    <w:rsid w:val="000B00AE"/>
    <w:rsid w:val="000E0FEC"/>
    <w:rsid w:val="000E4083"/>
    <w:rsid w:val="000F6198"/>
    <w:rsid w:val="000F66D7"/>
    <w:rsid w:val="00105176"/>
    <w:rsid w:val="00113CDD"/>
    <w:rsid w:val="00123525"/>
    <w:rsid w:val="001542CC"/>
    <w:rsid w:val="00156955"/>
    <w:rsid w:val="00180343"/>
    <w:rsid w:val="00183877"/>
    <w:rsid w:val="00184B7F"/>
    <w:rsid w:val="00197FB0"/>
    <w:rsid w:val="001B1914"/>
    <w:rsid w:val="001B3BA0"/>
    <w:rsid w:val="001D3092"/>
    <w:rsid w:val="001E16EC"/>
    <w:rsid w:val="001E21BA"/>
    <w:rsid w:val="001E2B5E"/>
    <w:rsid w:val="001F3245"/>
    <w:rsid w:val="001F428D"/>
    <w:rsid w:val="00215D6F"/>
    <w:rsid w:val="0022007E"/>
    <w:rsid w:val="00222167"/>
    <w:rsid w:val="00243D81"/>
    <w:rsid w:val="002504D5"/>
    <w:rsid w:val="00290132"/>
    <w:rsid w:val="002E0388"/>
    <w:rsid w:val="002F5190"/>
    <w:rsid w:val="00300FA8"/>
    <w:rsid w:val="0032266D"/>
    <w:rsid w:val="00324C1E"/>
    <w:rsid w:val="00356F60"/>
    <w:rsid w:val="0037646A"/>
    <w:rsid w:val="00382F92"/>
    <w:rsid w:val="00383B22"/>
    <w:rsid w:val="00387BAE"/>
    <w:rsid w:val="0039683D"/>
    <w:rsid w:val="003B0EA6"/>
    <w:rsid w:val="003C1F8F"/>
    <w:rsid w:val="003E783A"/>
    <w:rsid w:val="00402967"/>
    <w:rsid w:val="0040383B"/>
    <w:rsid w:val="004130B6"/>
    <w:rsid w:val="00415ECB"/>
    <w:rsid w:val="004222D7"/>
    <w:rsid w:val="00427427"/>
    <w:rsid w:val="00452AF0"/>
    <w:rsid w:val="004565D6"/>
    <w:rsid w:val="00475141"/>
    <w:rsid w:val="004768D9"/>
    <w:rsid w:val="0047760D"/>
    <w:rsid w:val="00480133"/>
    <w:rsid w:val="00481F13"/>
    <w:rsid w:val="00484192"/>
    <w:rsid w:val="0049447C"/>
    <w:rsid w:val="004D145A"/>
    <w:rsid w:val="004E0E8D"/>
    <w:rsid w:val="004F5541"/>
    <w:rsid w:val="00512123"/>
    <w:rsid w:val="00517BB7"/>
    <w:rsid w:val="005207CE"/>
    <w:rsid w:val="00523CF8"/>
    <w:rsid w:val="00534D19"/>
    <w:rsid w:val="005443EC"/>
    <w:rsid w:val="00546A5E"/>
    <w:rsid w:val="00547613"/>
    <w:rsid w:val="0059030A"/>
    <w:rsid w:val="00595DC6"/>
    <w:rsid w:val="005B02E3"/>
    <w:rsid w:val="005F19B5"/>
    <w:rsid w:val="00607DD3"/>
    <w:rsid w:val="0061513C"/>
    <w:rsid w:val="006152C4"/>
    <w:rsid w:val="00641773"/>
    <w:rsid w:val="006626D3"/>
    <w:rsid w:val="0066483E"/>
    <w:rsid w:val="0066691A"/>
    <w:rsid w:val="00681061"/>
    <w:rsid w:val="006A17B2"/>
    <w:rsid w:val="006A2DF8"/>
    <w:rsid w:val="006C200A"/>
    <w:rsid w:val="006C4498"/>
    <w:rsid w:val="006C5D36"/>
    <w:rsid w:val="006D52AB"/>
    <w:rsid w:val="006E6089"/>
    <w:rsid w:val="006F4213"/>
    <w:rsid w:val="006F66A1"/>
    <w:rsid w:val="00702259"/>
    <w:rsid w:val="00716826"/>
    <w:rsid w:val="00724C69"/>
    <w:rsid w:val="00727E81"/>
    <w:rsid w:val="0073606C"/>
    <w:rsid w:val="00740E12"/>
    <w:rsid w:val="00741987"/>
    <w:rsid w:val="00763534"/>
    <w:rsid w:val="007646AE"/>
    <w:rsid w:val="0076509E"/>
    <w:rsid w:val="00776210"/>
    <w:rsid w:val="00786349"/>
    <w:rsid w:val="00797FFC"/>
    <w:rsid w:val="007B35B4"/>
    <w:rsid w:val="007B7E12"/>
    <w:rsid w:val="007C13E4"/>
    <w:rsid w:val="007D2A8B"/>
    <w:rsid w:val="007E5B62"/>
    <w:rsid w:val="007F13E5"/>
    <w:rsid w:val="008037AC"/>
    <w:rsid w:val="0083270F"/>
    <w:rsid w:val="0083520F"/>
    <w:rsid w:val="00853C92"/>
    <w:rsid w:val="00862236"/>
    <w:rsid w:val="0087398D"/>
    <w:rsid w:val="008778BE"/>
    <w:rsid w:val="008A0038"/>
    <w:rsid w:val="008A4F2C"/>
    <w:rsid w:val="008B35D3"/>
    <w:rsid w:val="008C17DF"/>
    <w:rsid w:val="008D0BBB"/>
    <w:rsid w:val="00901C4C"/>
    <w:rsid w:val="00921664"/>
    <w:rsid w:val="0093406D"/>
    <w:rsid w:val="0093456C"/>
    <w:rsid w:val="009345F1"/>
    <w:rsid w:val="0093743B"/>
    <w:rsid w:val="0097163B"/>
    <w:rsid w:val="00971AE5"/>
    <w:rsid w:val="00974B47"/>
    <w:rsid w:val="00983324"/>
    <w:rsid w:val="009907F5"/>
    <w:rsid w:val="009C5474"/>
    <w:rsid w:val="009D3A9D"/>
    <w:rsid w:val="00A16F51"/>
    <w:rsid w:val="00A23808"/>
    <w:rsid w:val="00A26AC6"/>
    <w:rsid w:val="00A31BEC"/>
    <w:rsid w:val="00A350AF"/>
    <w:rsid w:val="00A37412"/>
    <w:rsid w:val="00A51E81"/>
    <w:rsid w:val="00A626FF"/>
    <w:rsid w:val="00A71F5A"/>
    <w:rsid w:val="00A83A1E"/>
    <w:rsid w:val="00A86D72"/>
    <w:rsid w:val="00AB083E"/>
    <w:rsid w:val="00AB7CAC"/>
    <w:rsid w:val="00AC0482"/>
    <w:rsid w:val="00AD07AD"/>
    <w:rsid w:val="00AD1A4D"/>
    <w:rsid w:val="00AD36C9"/>
    <w:rsid w:val="00AD3B10"/>
    <w:rsid w:val="00AD6CC4"/>
    <w:rsid w:val="00AE611B"/>
    <w:rsid w:val="00AF5019"/>
    <w:rsid w:val="00AF6D1C"/>
    <w:rsid w:val="00B155FD"/>
    <w:rsid w:val="00B168DC"/>
    <w:rsid w:val="00B40E62"/>
    <w:rsid w:val="00B478F5"/>
    <w:rsid w:val="00B5194F"/>
    <w:rsid w:val="00B57C27"/>
    <w:rsid w:val="00B679BE"/>
    <w:rsid w:val="00B9269E"/>
    <w:rsid w:val="00BA113C"/>
    <w:rsid w:val="00BB1331"/>
    <w:rsid w:val="00BB60BC"/>
    <w:rsid w:val="00BC64B1"/>
    <w:rsid w:val="00BD3FDD"/>
    <w:rsid w:val="00C075F3"/>
    <w:rsid w:val="00C35844"/>
    <w:rsid w:val="00C46F45"/>
    <w:rsid w:val="00C5101D"/>
    <w:rsid w:val="00C60D39"/>
    <w:rsid w:val="00C65EF0"/>
    <w:rsid w:val="00C75610"/>
    <w:rsid w:val="00C82692"/>
    <w:rsid w:val="00C86E93"/>
    <w:rsid w:val="00C91A6F"/>
    <w:rsid w:val="00C9402D"/>
    <w:rsid w:val="00CA2DB2"/>
    <w:rsid w:val="00CC5D2F"/>
    <w:rsid w:val="00CD5C0A"/>
    <w:rsid w:val="00CE4C83"/>
    <w:rsid w:val="00CE4E7E"/>
    <w:rsid w:val="00CE4EC1"/>
    <w:rsid w:val="00CF2F75"/>
    <w:rsid w:val="00D024A5"/>
    <w:rsid w:val="00D257C1"/>
    <w:rsid w:val="00D538B0"/>
    <w:rsid w:val="00D6409C"/>
    <w:rsid w:val="00D6644D"/>
    <w:rsid w:val="00D70060"/>
    <w:rsid w:val="00D87011"/>
    <w:rsid w:val="00DC6211"/>
    <w:rsid w:val="00DD5E21"/>
    <w:rsid w:val="00DF7554"/>
    <w:rsid w:val="00E02977"/>
    <w:rsid w:val="00E05339"/>
    <w:rsid w:val="00E10F2A"/>
    <w:rsid w:val="00E158BA"/>
    <w:rsid w:val="00E305B7"/>
    <w:rsid w:val="00E56118"/>
    <w:rsid w:val="00E577F7"/>
    <w:rsid w:val="00E57F67"/>
    <w:rsid w:val="00E6482A"/>
    <w:rsid w:val="00E822D9"/>
    <w:rsid w:val="00E86426"/>
    <w:rsid w:val="00EA2F6A"/>
    <w:rsid w:val="00EA4095"/>
    <w:rsid w:val="00EA55FE"/>
    <w:rsid w:val="00EA5B81"/>
    <w:rsid w:val="00EE4E87"/>
    <w:rsid w:val="00EE54C8"/>
    <w:rsid w:val="00EF2A7D"/>
    <w:rsid w:val="00F0620F"/>
    <w:rsid w:val="00F06786"/>
    <w:rsid w:val="00F140AA"/>
    <w:rsid w:val="00F14CE1"/>
    <w:rsid w:val="00F15870"/>
    <w:rsid w:val="00F36753"/>
    <w:rsid w:val="00F428C6"/>
    <w:rsid w:val="00F42D34"/>
    <w:rsid w:val="00F43C56"/>
    <w:rsid w:val="00F53075"/>
    <w:rsid w:val="00F670CE"/>
    <w:rsid w:val="00F85D98"/>
    <w:rsid w:val="00F867AF"/>
    <w:rsid w:val="00F87EC4"/>
    <w:rsid w:val="00F929D3"/>
    <w:rsid w:val="00FC157A"/>
    <w:rsid w:val="00FC757F"/>
    <w:rsid w:val="00FE1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21BCD3-55F5-4891-893A-967CD77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4F5541"/>
  </w:style>
  <w:style w:type="paragraph" w:styleId="Heading1">
    <w:name w:val="heading 1"/>
    <w:basedOn w:val="Normal"/>
    <w:next w:val="Normal"/>
    <w:link w:val="Heading1Char"/>
    <w:uiPriority w:val="9"/>
    <w:qFormat/>
    <w:rsid w:val="00AE611B"/>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AE611B"/>
    <w:pPr>
      <w:keepNext/>
      <w:keepLines/>
      <w:spacing w:before="200"/>
      <w:ind w:left="425" w:hanging="425"/>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AE611B"/>
    <w:pPr>
      <w:keepNext/>
      <w:keepLines/>
      <w:spacing w:before="200"/>
      <w:ind w:left="720" w:hanging="432"/>
      <w:outlineLvl w:val="2"/>
    </w:pPr>
    <w:rPr>
      <w:rFonts w:eastAsiaTheme="majorEastAsia"/>
      <w:b/>
      <w:bCs/>
      <w:color w:val="4F81BD" w:themeColor="accent1"/>
    </w:rPr>
  </w:style>
  <w:style w:type="paragraph" w:styleId="Heading4">
    <w:name w:val="heading 4"/>
    <w:basedOn w:val="Normal"/>
    <w:next w:val="Normal"/>
    <w:link w:val="Heading4Char"/>
    <w:uiPriority w:val="9"/>
    <w:unhideWhenUsed/>
    <w:qFormat/>
    <w:rsid w:val="00AE611B"/>
    <w:pPr>
      <w:keepNext/>
      <w:keepLines/>
      <w:spacing w:before="200"/>
      <w:outlineLvl w:val="3"/>
    </w:pPr>
    <w:rPr>
      <w:rFonts w:eastAsiaTheme="majorEastAsia"/>
      <w:b/>
      <w:bCs/>
      <w:i/>
      <w:iCs/>
      <w:color w:val="4F81BD" w:themeColor="accent1"/>
    </w:rPr>
  </w:style>
  <w:style w:type="paragraph" w:styleId="Heading5">
    <w:name w:val="heading 5"/>
    <w:basedOn w:val="Normal"/>
    <w:next w:val="Normal"/>
    <w:link w:val="Heading5Char"/>
    <w:uiPriority w:val="9"/>
    <w:semiHidden/>
    <w:unhideWhenUsed/>
    <w:qFormat/>
    <w:rsid w:val="00AE611B"/>
    <w:pPr>
      <w:keepNext/>
      <w:keepLines/>
      <w:spacing w:before="200"/>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AE611B"/>
    <w:pPr>
      <w:keepNext/>
      <w:keepLines/>
      <w:spacing w:before="200"/>
      <w:outlineLvl w:val="5"/>
    </w:pPr>
    <w:rPr>
      <w:rFonts w:eastAsiaTheme="majorEastAsia"/>
      <w:i/>
      <w:iCs/>
      <w:color w:val="243F60" w:themeColor="accent1" w:themeShade="7F"/>
    </w:rPr>
  </w:style>
  <w:style w:type="paragraph" w:styleId="Heading7">
    <w:name w:val="heading 7"/>
    <w:basedOn w:val="Normal"/>
    <w:next w:val="Normal"/>
    <w:link w:val="Heading7Char"/>
    <w:uiPriority w:val="9"/>
    <w:semiHidden/>
    <w:unhideWhenUsed/>
    <w:qFormat/>
    <w:rsid w:val="00AE611B"/>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AE611B"/>
    <w:pPr>
      <w:keepNext/>
      <w:keepLines/>
      <w:spacing w:before="200"/>
      <w:outlineLvl w:val="7"/>
    </w:pPr>
    <w:rPr>
      <w:rFonts w:eastAsiaTheme="majorEastAsia"/>
      <w:color w:val="404040" w:themeColor="text1" w:themeTint="BF"/>
      <w:sz w:val="20"/>
      <w:szCs w:val="20"/>
    </w:rPr>
  </w:style>
  <w:style w:type="paragraph" w:styleId="Heading9">
    <w:name w:val="heading 9"/>
    <w:basedOn w:val="Normal"/>
    <w:next w:val="Normal"/>
    <w:link w:val="Heading9Char"/>
    <w:uiPriority w:val="9"/>
    <w:semiHidden/>
    <w:unhideWhenUsed/>
    <w:qFormat/>
    <w:rsid w:val="00AE611B"/>
    <w:pPr>
      <w:keepNext/>
      <w:keepLines/>
      <w:spacing w:before="200"/>
      <w:outlineLvl w:val="8"/>
    </w:pPr>
    <w:rPr>
      <w:rFonts w:eastAsiaTheme="majorEastAsia"/>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11B"/>
    <w:rPr>
      <w:rFonts w:eastAsiaTheme="majorEastAsia"/>
      <w:b/>
      <w:bCs/>
      <w:color w:val="365F91" w:themeColor="accent1" w:themeShade="BF"/>
      <w:sz w:val="28"/>
      <w:szCs w:val="28"/>
    </w:rPr>
  </w:style>
  <w:style w:type="character" w:customStyle="1" w:styleId="Heading2Char">
    <w:name w:val="Heading 2 Char"/>
    <w:basedOn w:val="DefaultParagraphFont"/>
    <w:link w:val="Heading2"/>
    <w:uiPriority w:val="9"/>
    <w:rsid w:val="00AE611B"/>
    <w:rPr>
      <w:rFonts w:eastAsiaTheme="majorEastAsia"/>
      <w:b/>
      <w:bCs/>
      <w:color w:val="4F81BD" w:themeColor="accent1"/>
      <w:sz w:val="26"/>
      <w:szCs w:val="26"/>
    </w:rPr>
  </w:style>
  <w:style w:type="paragraph" w:styleId="ListParagraph">
    <w:name w:val="List Paragraph"/>
    <w:basedOn w:val="Normal"/>
    <w:uiPriority w:val="34"/>
    <w:qFormat/>
    <w:rsid w:val="00AE611B"/>
    <w:pPr>
      <w:ind w:left="720"/>
      <w:contextualSpacing/>
    </w:pPr>
  </w:style>
  <w:style w:type="paragraph" w:styleId="FootnoteText">
    <w:name w:val="footnote text"/>
    <w:basedOn w:val="Normal"/>
    <w:link w:val="FootnoteTextChar"/>
    <w:uiPriority w:val="99"/>
    <w:semiHidden/>
    <w:unhideWhenUsed/>
    <w:rsid w:val="0040383B"/>
    <w:pPr>
      <w:spacing w:line="240" w:lineRule="auto"/>
    </w:pPr>
    <w:rPr>
      <w:sz w:val="20"/>
      <w:szCs w:val="20"/>
    </w:rPr>
  </w:style>
  <w:style w:type="character" w:customStyle="1" w:styleId="FootnoteTextChar">
    <w:name w:val="Footnote Text Char"/>
    <w:basedOn w:val="DefaultParagraphFont"/>
    <w:link w:val="FootnoteText"/>
    <w:uiPriority w:val="99"/>
    <w:semiHidden/>
    <w:rsid w:val="0040383B"/>
    <w:rPr>
      <w:rFonts w:ascii="Arial" w:hAnsi="Arial"/>
      <w:sz w:val="20"/>
      <w:szCs w:val="20"/>
    </w:rPr>
  </w:style>
  <w:style w:type="character" w:styleId="FootnoteReference">
    <w:name w:val="footnote reference"/>
    <w:basedOn w:val="DefaultParagraphFont"/>
    <w:uiPriority w:val="99"/>
    <w:semiHidden/>
    <w:unhideWhenUsed/>
    <w:rsid w:val="0040383B"/>
    <w:rPr>
      <w:vertAlign w:val="superscript"/>
    </w:rPr>
  </w:style>
  <w:style w:type="character" w:customStyle="1" w:styleId="Heading3Char">
    <w:name w:val="Heading 3 Char"/>
    <w:basedOn w:val="DefaultParagraphFont"/>
    <w:link w:val="Heading3"/>
    <w:uiPriority w:val="9"/>
    <w:rsid w:val="00AE611B"/>
    <w:rPr>
      <w:rFonts w:eastAsiaTheme="majorEastAsia"/>
      <w:b/>
      <w:bCs/>
      <w:color w:val="4F81BD" w:themeColor="accent1"/>
    </w:rPr>
  </w:style>
  <w:style w:type="paragraph" w:styleId="BalloonText">
    <w:name w:val="Balloon Text"/>
    <w:basedOn w:val="Normal"/>
    <w:link w:val="BalloonTextChar"/>
    <w:uiPriority w:val="99"/>
    <w:semiHidden/>
    <w:unhideWhenUsed/>
    <w:rsid w:val="00681061"/>
    <w:pPr>
      <w:spacing w:line="240" w:lineRule="auto"/>
    </w:pPr>
    <w:rPr>
      <w:rFonts w:ascii="Tahoma" w:hAnsi="Tahoma" w:cs="Tahoma"/>
      <w:sz w:val="16"/>
      <w:szCs w:val="16"/>
    </w:rPr>
  </w:style>
  <w:style w:type="numbering" w:customStyle="1" w:styleId="ListeBMJalphanumerisch">
    <w:name w:val="Liste_BMJ_alphanumerisch"/>
    <w:uiPriority w:val="99"/>
    <w:rsid w:val="00C75610"/>
    <w:pPr>
      <w:numPr>
        <w:numId w:val="1"/>
      </w:numPr>
    </w:pPr>
  </w:style>
  <w:style w:type="character" w:customStyle="1" w:styleId="BalloonTextChar">
    <w:name w:val="Balloon Text Char"/>
    <w:basedOn w:val="DefaultParagraphFont"/>
    <w:link w:val="BalloonText"/>
    <w:uiPriority w:val="99"/>
    <w:semiHidden/>
    <w:rsid w:val="00681061"/>
    <w:rPr>
      <w:rFonts w:ascii="Tahoma" w:hAnsi="Tahoma" w:cs="Tahoma"/>
      <w:sz w:val="16"/>
      <w:szCs w:val="16"/>
    </w:rPr>
  </w:style>
  <w:style w:type="character" w:customStyle="1" w:styleId="berschrift4Zchn">
    <w:name w:val="Überschrift 4 Zchn"/>
    <w:basedOn w:val="DefaultParagraphFont"/>
    <w:uiPriority w:val="9"/>
    <w:rsid w:val="000F66D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AE611B"/>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AE611B"/>
    <w:rPr>
      <w:rFonts w:eastAsiaTheme="majorEastAsia"/>
      <w:i/>
      <w:iCs/>
      <w:color w:val="243F60" w:themeColor="accent1" w:themeShade="7F"/>
    </w:rPr>
  </w:style>
  <w:style w:type="character" w:customStyle="1" w:styleId="Heading7Char">
    <w:name w:val="Heading 7 Char"/>
    <w:basedOn w:val="DefaultParagraphFont"/>
    <w:link w:val="Heading7"/>
    <w:uiPriority w:val="9"/>
    <w:semiHidden/>
    <w:rsid w:val="00AE611B"/>
    <w:rPr>
      <w:rFonts w:eastAsiaTheme="majorEastAsia"/>
      <w:i/>
      <w:iCs/>
      <w:color w:val="404040" w:themeColor="text1" w:themeTint="BF"/>
    </w:rPr>
  </w:style>
  <w:style w:type="character" w:customStyle="1" w:styleId="Heading8Char">
    <w:name w:val="Heading 8 Char"/>
    <w:basedOn w:val="DefaultParagraphFont"/>
    <w:link w:val="Heading8"/>
    <w:uiPriority w:val="9"/>
    <w:semiHidden/>
    <w:rsid w:val="00AE611B"/>
    <w:rPr>
      <w:rFonts w:eastAsiaTheme="majorEastAsia"/>
      <w:color w:val="404040" w:themeColor="text1" w:themeTint="BF"/>
      <w:sz w:val="20"/>
      <w:szCs w:val="20"/>
    </w:rPr>
  </w:style>
  <w:style w:type="character" w:customStyle="1" w:styleId="Heading9Char">
    <w:name w:val="Heading 9 Char"/>
    <w:basedOn w:val="DefaultParagraphFont"/>
    <w:link w:val="Heading9"/>
    <w:uiPriority w:val="9"/>
    <w:semiHidden/>
    <w:rsid w:val="00AE611B"/>
    <w:rPr>
      <w:rFonts w:eastAsiaTheme="majorEastAsia"/>
      <w:i/>
      <w:iCs/>
      <w:color w:val="404040" w:themeColor="text1" w:themeTint="BF"/>
      <w:sz w:val="20"/>
      <w:szCs w:val="20"/>
    </w:rPr>
  </w:style>
  <w:style w:type="paragraph" w:customStyle="1" w:styleId="BMJ7alphanumerisch">
    <w:name w:val="BMJ_Ü7_alphanumerisch"/>
    <w:basedOn w:val="BMJberschrift15Zeilig"/>
    <w:next w:val="BMJStandard15Zeile"/>
    <w:uiPriority w:val="2"/>
    <w:qFormat/>
    <w:rsid w:val="00AE611B"/>
    <w:pPr>
      <w:numPr>
        <w:ilvl w:val="6"/>
        <w:numId w:val="5"/>
      </w:numPr>
    </w:pPr>
  </w:style>
  <w:style w:type="paragraph" w:customStyle="1" w:styleId="BMJStandard15Zeile">
    <w:name w:val="BMJ_Standard_1.5Zeile"/>
    <w:basedOn w:val="Normal"/>
    <w:qFormat/>
    <w:rsid w:val="00AE611B"/>
    <w:pPr>
      <w:spacing w:before="120" w:after="120"/>
    </w:pPr>
  </w:style>
  <w:style w:type="paragraph" w:customStyle="1" w:styleId="BMJ2alphanumerisch">
    <w:name w:val="BMJ_Ü2_alphanumerisch"/>
    <w:basedOn w:val="BMJberschrift15Zeilig"/>
    <w:next w:val="BMJStandard15Zeile"/>
    <w:uiPriority w:val="2"/>
    <w:qFormat/>
    <w:rsid w:val="00AE611B"/>
    <w:pPr>
      <w:numPr>
        <w:ilvl w:val="1"/>
        <w:numId w:val="5"/>
      </w:numPr>
    </w:pPr>
    <w:rPr>
      <w:b/>
    </w:rPr>
  </w:style>
  <w:style w:type="paragraph" w:customStyle="1" w:styleId="BMJStandard1Zeilig">
    <w:name w:val="BMJ_Standard_1Zeilig"/>
    <w:basedOn w:val="Normal"/>
    <w:qFormat/>
    <w:rsid w:val="00AE611B"/>
    <w:pPr>
      <w:spacing w:before="120" w:after="120" w:line="240" w:lineRule="auto"/>
    </w:pPr>
  </w:style>
  <w:style w:type="paragraph" w:customStyle="1" w:styleId="BMJ1alphanumerisch">
    <w:name w:val="BMJ_Ü1_alphanumerisch"/>
    <w:basedOn w:val="BMJberschrift15Zeilig"/>
    <w:next w:val="BMJStandard15Zeile"/>
    <w:uiPriority w:val="2"/>
    <w:qFormat/>
    <w:rsid w:val="00AE611B"/>
    <w:pPr>
      <w:numPr>
        <w:numId w:val="5"/>
      </w:numPr>
    </w:pPr>
    <w:rPr>
      <w:b/>
    </w:rPr>
  </w:style>
  <w:style w:type="paragraph" w:customStyle="1" w:styleId="BMJ3alphanumerisch">
    <w:name w:val="BMJ_Ü3_alphanumerisch"/>
    <w:basedOn w:val="BMJberschrift15Zeilig"/>
    <w:next w:val="BMJStandard15Zeile"/>
    <w:uiPriority w:val="2"/>
    <w:qFormat/>
    <w:rsid w:val="00AE611B"/>
    <w:pPr>
      <w:numPr>
        <w:ilvl w:val="2"/>
        <w:numId w:val="5"/>
      </w:numPr>
    </w:pPr>
  </w:style>
  <w:style w:type="paragraph" w:customStyle="1" w:styleId="BMJ4alphanumerisch">
    <w:name w:val="BMJ_Ü4_alphanumerisch"/>
    <w:basedOn w:val="BMJberschrift15Zeilig"/>
    <w:next w:val="BMJStandard15Zeile"/>
    <w:uiPriority w:val="2"/>
    <w:qFormat/>
    <w:rsid w:val="00AE611B"/>
    <w:pPr>
      <w:numPr>
        <w:ilvl w:val="3"/>
        <w:numId w:val="5"/>
      </w:numPr>
    </w:pPr>
  </w:style>
  <w:style w:type="paragraph" w:customStyle="1" w:styleId="BMJ5alphanumerisch">
    <w:name w:val="BMJ_Ü5_alphanumerisch"/>
    <w:basedOn w:val="BMJberschrift15Zeilig"/>
    <w:next w:val="BMJStandard15Zeile"/>
    <w:uiPriority w:val="2"/>
    <w:qFormat/>
    <w:rsid w:val="00AE611B"/>
    <w:pPr>
      <w:numPr>
        <w:ilvl w:val="4"/>
        <w:numId w:val="5"/>
      </w:numPr>
    </w:pPr>
  </w:style>
  <w:style w:type="paragraph" w:customStyle="1" w:styleId="BMJ6alphanumerisch">
    <w:name w:val="BMJ_Ü6_alphanumerisch"/>
    <w:basedOn w:val="BMJberschrift15Zeilig"/>
    <w:next w:val="BMJStandard15Zeile"/>
    <w:uiPriority w:val="2"/>
    <w:qFormat/>
    <w:rsid w:val="00AE611B"/>
    <w:pPr>
      <w:numPr>
        <w:ilvl w:val="5"/>
        <w:numId w:val="5"/>
      </w:numPr>
    </w:pPr>
  </w:style>
  <w:style w:type="table" w:styleId="TableGrid">
    <w:name w:val="Table Grid"/>
    <w:basedOn w:val="TableNormal"/>
    <w:uiPriority w:val="59"/>
    <w:rsid w:val="00727E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MJ1numerisch">
    <w:name w:val="BMJ_Ü1_numerisch"/>
    <w:basedOn w:val="BMJberschrift15Zeilig"/>
    <w:next w:val="BMJStandard15Zeile"/>
    <w:uiPriority w:val="4"/>
    <w:qFormat/>
    <w:rsid w:val="00382F92"/>
    <w:pPr>
      <w:numPr>
        <w:numId w:val="11"/>
      </w:numPr>
    </w:pPr>
    <w:rPr>
      <w:b/>
    </w:rPr>
  </w:style>
  <w:style w:type="paragraph" w:customStyle="1" w:styleId="BMJ2numerisch">
    <w:name w:val="BMJ_Ü2_numerisch"/>
    <w:basedOn w:val="BMJberschrift15Zeilig"/>
    <w:next w:val="BMJStandard15Zeile"/>
    <w:uiPriority w:val="4"/>
    <w:qFormat/>
    <w:rsid w:val="00382F92"/>
    <w:pPr>
      <w:numPr>
        <w:ilvl w:val="1"/>
        <w:numId w:val="11"/>
      </w:numPr>
    </w:pPr>
    <w:rPr>
      <w:b/>
    </w:rPr>
  </w:style>
  <w:style w:type="paragraph" w:customStyle="1" w:styleId="BMJ3numerisch">
    <w:name w:val="BMJ_Ü3_numerisch"/>
    <w:basedOn w:val="BMJberschrift15Zeilig"/>
    <w:next w:val="BMJStandard15Zeile"/>
    <w:uiPriority w:val="4"/>
    <w:qFormat/>
    <w:rsid w:val="00382F92"/>
    <w:pPr>
      <w:numPr>
        <w:ilvl w:val="2"/>
        <w:numId w:val="11"/>
      </w:numPr>
    </w:pPr>
  </w:style>
  <w:style w:type="paragraph" w:customStyle="1" w:styleId="BMJ4numerisch">
    <w:name w:val="BMJ_Ü4_numerisch"/>
    <w:basedOn w:val="BMJberschrift15Zeilig"/>
    <w:next w:val="BMJStandard15Zeile"/>
    <w:uiPriority w:val="4"/>
    <w:qFormat/>
    <w:rsid w:val="00382F92"/>
    <w:pPr>
      <w:numPr>
        <w:ilvl w:val="3"/>
        <w:numId w:val="11"/>
      </w:numPr>
    </w:pPr>
  </w:style>
  <w:style w:type="paragraph" w:customStyle="1" w:styleId="BMJ5numerisch">
    <w:name w:val="BMJ_Ü5_numerisch"/>
    <w:basedOn w:val="BMJberschrift15Zeilig"/>
    <w:next w:val="BMJStandard15Zeile"/>
    <w:uiPriority w:val="4"/>
    <w:qFormat/>
    <w:rsid w:val="00382F92"/>
    <w:pPr>
      <w:numPr>
        <w:ilvl w:val="4"/>
        <w:numId w:val="11"/>
      </w:numPr>
    </w:pPr>
  </w:style>
  <w:style w:type="paragraph" w:customStyle="1" w:styleId="BMJ6numerisch">
    <w:name w:val="BMJ_Ü6_numerisch"/>
    <w:basedOn w:val="BMJberschrift15Zeilig"/>
    <w:next w:val="BMJStandard15Zeile"/>
    <w:uiPriority w:val="4"/>
    <w:qFormat/>
    <w:rsid w:val="00382F92"/>
    <w:pPr>
      <w:numPr>
        <w:ilvl w:val="5"/>
        <w:numId w:val="11"/>
      </w:numPr>
    </w:pPr>
  </w:style>
  <w:style w:type="paragraph" w:customStyle="1" w:styleId="BMJ7numerisch">
    <w:name w:val="BMJ_Ü7_numerisch"/>
    <w:basedOn w:val="BMJberschrift15Zeilig"/>
    <w:next w:val="BMJStandard15Zeile"/>
    <w:uiPriority w:val="4"/>
    <w:qFormat/>
    <w:rsid w:val="00382F92"/>
    <w:pPr>
      <w:numPr>
        <w:ilvl w:val="6"/>
        <w:numId w:val="11"/>
      </w:numPr>
    </w:pPr>
  </w:style>
  <w:style w:type="paragraph" w:customStyle="1" w:styleId="BMJ8numerisch">
    <w:name w:val="BMJ_Ü8_numerisch"/>
    <w:basedOn w:val="BMJberschrift15Zeilig"/>
    <w:next w:val="BMJStandard15Zeile"/>
    <w:uiPriority w:val="4"/>
    <w:qFormat/>
    <w:rsid w:val="00382F92"/>
    <w:pPr>
      <w:numPr>
        <w:ilvl w:val="7"/>
        <w:numId w:val="11"/>
      </w:numPr>
    </w:pPr>
  </w:style>
  <w:style w:type="paragraph" w:customStyle="1" w:styleId="BMJ9numerisch">
    <w:name w:val="BMJ_Ü9_numerisch"/>
    <w:basedOn w:val="BMJberschrift15Zeilig"/>
    <w:next w:val="BMJStandard15Zeile"/>
    <w:uiPriority w:val="4"/>
    <w:qFormat/>
    <w:rsid w:val="00382F92"/>
    <w:pPr>
      <w:numPr>
        <w:ilvl w:val="8"/>
        <w:numId w:val="11"/>
      </w:numPr>
    </w:pPr>
  </w:style>
  <w:style w:type="numbering" w:customStyle="1" w:styleId="ListeBMJnumerisch">
    <w:name w:val="Liste_BMJ_numerisch"/>
    <w:uiPriority w:val="99"/>
    <w:rsid w:val="00382F92"/>
    <w:pPr>
      <w:numPr>
        <w:numId w:val="10"/>
      </w:numPr>
    </w:pPr>
  </w:style>
  <w:style w:type="paragraph" w:customStyle="1" w:styleId="BMJberschrift15Zeilig">
    <w:name w:val="BMJ_Überschrift_1.5Zeilig"/>
    <w:basedOn w:val="BMJStandard15Zeile"/>
    <w:next w:val="BMJStandard15Zeile"/>
    <w:uiPriority w:val="9"/>
    <w:qFormat/>
    <w:rsid w:val="00AE611B"/>
    <w:pPr>
      <w:keepNext/>
      <w:keepLines/>
      <w:spacing w:before="360"/>
      <w:contextualSpacing/>
    </w:pPr>
  </w:style>
  <w:style w:type="paragraph" w:styleId="Header">
    <w:name w:val="header"/>
    <w:basedOn w:val="Normal"/>
    <w:link w:val="HeaderChar"/>
    <w:uiPriority w:val="99"/>
    <w:unhideWhenUsed/>
    <w:rsid w:val="006E6089"/>
    <w:pPr>
      <w:tabs>
        <w:tab w:val="center" w:pos="4536"/>
        <w:tab w:val="right" w:pos="9072"/>
      </w:tabs>
      <w:spacing w:line="240" w:lineRule="auto"/>
    </w:pPr>
  </w:style>
  <w:style w:type="character" w:customStyle="1" w:styleId="HeaderChar">
    <w:name w:val="Header Char"/>
    <w:basedOn w:val="DefaultParagraphFont"/>
    <w:link w:val="Header"/>
    <w:uiPriority w:val="99"/>
    <w:rsid w:val="006E6089"/>
    <w:rPr>
      <w:rFonts w:ascii="Arial" w:hAnsi="Arial"/>
    </w:rPr>
  </w:style>
  <w:style w:type="paragraph" w:styleId="Footer">
    <w:name w:val="footer"/>
    <w:basedOn w:val="Normal"/>
    <w:link w:val="FooterChar"/>
    <w:uiPriority w:val="99"/>
    <w:unhideWhenUsed/>
    <w:rsid w:val="006E6089"/>
    <w:pPr>
      <w:tabs>
        <w:tab w:val="center" w:pos="4536"/>
        <w:tab w:val="right" w:pos="9072"/>
      </w:tabs>
      <w:spacing w:line="240" w:lineRule="auto"/>
    </w:pPr>
  </w:style>
  <w:style w:type="character" w:customStyle="1" w:styleId="FooterChar">
    <w:name w:val="Footer Char"/>
    <w:basedOn w:val="DefaultParagraphFont"/>
    <w:link w:val="Footer"/>
    <w:uiPriority w:val="99"/>
    <w:rsid w:val="006E6089"/>
    <w:rPr>
      <w:rFonts w:ascii="Arial" w:hAnsi="Arial"/>
    </w:rPr>
  </w:style>
  <w:style w:type="paragraph" w:styleId="TOC1">
    <w:name w:val="toc 1"/>
    <w:basedOn w:val="Normal"/>
    <w:next w:val="Normal"/>
    <w:autoRedefine/>
    <w:uiPriority w:val="39"/>
    <w:unhideWhenUsed/>
    <w:rsid w:val="0066483E"/>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6483E"/>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66483E"/>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6483E"/>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6483E"/>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6483E"/>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6483E"/>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6483E"/>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6483E"/>
    <w:pPr>
      <w:ind w:left="1760"/>
    </w:pPr>
    <w:rPr>
      <w:rFonts w:asciiTheme="minorHAnsi" w:hAnsiTheme="minorHAnsi" w:cstheme="minorHAnsi"/>
      <w:sz w:val="20"/>
      <w:szCs w:val="20"/>
    </w:rPr>
  </w:style>
  <w:style w:type="character" w:styleId="Hyperlink">
    <w:name w:val="Hyperlink"/>
    <w:basedOn w:val="DefaultParagraphFont"/>
    <w:uiPriority w:val="99"/>
    <w:unhideWhenUsed/>
    <w:rsid w:val="0066483E"/>
    <w:rPr>
      <w:color w:val="0000FF" w:themeColor="hyperlink"/>
      <w:u w:val="single"/>
    </w:rPr>
  </w:style>
  <w:style w:type="paragraph" w:styleId="NoSpacing">
    <w:name w:val="No Spacing"/>
    <w:uiPriority w:val="9"/>
    <w:qFormat/>
    <w:rsid w:val="00AE611B"/>
    <w:pPr>
      <w:spacing w:line="240" w:lineRule="auto"/>
    </w:pPr>
  </w:style>
  <w:style w:type="paragraph" w:styleId="TOCHeading">
    <w:name w:val="TOC Heading"/>
    <w:basedOn w:val="Heading1"/>
    <w:next w:val="Normal"/>
    <w:uiPriority w:val="39"/>
    <w:semiHidden/>
    <w:unhideWhenUsed/>
    <w:qFormat/>
    <w:rsid w:val="00AE611B"/>
    <w:pPr>
      <w:spacing w:line="276" w:lineRule="auto"/>
      <w:outlineLvl w:val="9"/>
    </w:pPr>
    <w:rPr>
      <w:rFonts w:asciiTheme="majorHAnsi" w:hAnsiTheme="majorHAnsi"/>
      <w:lang w:eastAsia="de-DE"/>
    </w:rPr>
  </w:style>
  <w:style w:type="character" w:customStyle="1" w:styleId="Heading4Char">
    <w:name w:val="Heading 4 Char"/>
    <w:basedOn w:val="DefaultParagraphFont"/>
    <w:link w:val="Heading4"/>
    <w:uiPriority w:val="9"/>
    <w:rsid w:val="00AE611B"/>
    <w:rPr>
      <w:rFonts w:eastAsiaTheme="majorEastAsia"/>
      <w:b/>
      <w:bCs/>
      <w:i/>
      <w:iCs/>
      <w:color w:val="4F81BD" w:themeColor="accent1"/>
    </w:rPr>
  </w:style>
  <w:style w:type="paragraph" w:customStyle="1" w:styleId="BMJAufzhlung1">
    <w:name w:val="BMJ_Aufzählung_1"/>
    <w:basedOn w:val="BMJStandard15Zeile"/>
    <w:uiPriority w:val="1"/>
    <w:qFormat/>
    <w:rsid w:val="00546A5E"/>
    <w:pPr>
      <w:numPr>
        <w:numId w:val="6"/>
      </w:numPr>
      <w:spacing w:before="60" w:after="60"/>
      <w:ind w:left="357" w:hanging="357"/>
    </w:pPr>
  </w:style>
  <w:style w:type="paragraph" w:customStyle="1" w:styleId="BMJAufzhlung2">
    <w:name w:val="BMJ_Aufzählung_2"/>
    <w:basedOn w:val="BMJStandard15Zeile"/>
    <w:uiPriority w:val="1"/>
    <w:qFormat/>
    <w:rsid w:val="00546A5E"/>
    <w:pPr>
      <w:numPr>
        <w:numId w:val="7"/>
      </w:numPr>
      <w:spacing w:before="60" w:after="60"/>
      <w:ind w:left="357" w:hanging="357"/>
    </w:pPr>
    <w:rPr>
      <w:noProof/>
    </w:rPr>
  </w:style>
  <w:style w:type="paragraph" w:customStyle="1" w:styleId="BMJNummerierung1">
    <w:name w:val="BMJ_Nummerierung_1"/>
    <w:basedOn w:val="BMJStandard15Zeile"/>
    <w:uiPriority w:val="1"/>
    <w:qFormat/>
    <w:rsid w:val="00382F92"/>
    <w:pPr>
      <w:numPr>
        <w:numId w:val="8"/>
      </w:numPr>
      <w:spacing w:before="60" w:after="60"/>
      <w:ind w:left="357" w:hanging="357"/>
    </w:pPr>
  </w:style>
  <w:style w:type="paragraph" w:customStyle="1" w:styleId="BMJNummerierung2">
    <w:name w:val="BMJ_Nummerierung_2"/>
    <w:basedOn w:val="BMJStandard15Zeile"/>
    <w:uiPriority w:val="1"/>
    <w:qFormat/>
    <w:rsid w:val="00382F92"/>
    <w:pPr>
      <w:numPr>
        <w:numId w:val="9"/>
      </w:numPr>
      <w:spacing w:before="60" w:after="60"/>
      <w:ind w:left="357" w:hanging="357"/>
    </w:pPr>
  </w:style>
  <w:style w:type="character" w:customStyle="1" w:styleId="berschrift5Zchn1">
    <w:name w:val="Überschrift 5 Zchn1"/>
    <w:basedOn w:val="DefaultParagraphFont"/>
    <w:uiPriority w:val="9"/>
    <w:semiHidden/>
    <w:rsid w:val="00C91A6F"/>
    <w:rPr>
      <w:rFonts w:asciiTheme="majorHAnsi" w:eastAsiaTheme="majorEastAsia" w:hAnsiTheme="majorHAnsi" w:cstheme="majorBidi"/>
      <w:color w:val="243F60" w:themeColor="accent1" w:themeShade="7F"/>
    </w:rPr>
  </w:style>
  <w:style w:type="character" w:customStyle="1" w:styleId="berschrift6Zchn1">
    <w:name w:val="Überschrift 6 Zchn1"/>
    <w:basedOn w:val="DefaultParagraphFont"/>
    <w:uiPriority w:val="9"/>
    <w:semiHidden/>
    <w:rsid w:val="00C91A6F"/>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DefaultParagraphFont"/>
    <w:uiPriority w:val="9"/>
    <w:semiHidden/>
    <w:rsid w:val="00C91A6F"/>
    <w:rPr>
      <w:rFonts w:asciiTheme="majorHAnsi" w:eastAsiaTheme="majorEastAsia" w:hAnsiTheme="majorHAnsi" w:cstheme="majorBidi"/>
      <w:i/>
      <w:iCs/>
      <w:color w:val="404040" w:themeColor="text1" w:themeTint="BF"/>
    </w:rPr>
  </w:style>
  <w:style w:type="character" w:customStyle="1" w:styleId="berschrift8Zchn1">
    <w:name w:val="Überschrift 8 Zchn1"/>
    <w:basedOn w:val="DefaultParagraphFont"/>
    <w:uiPriority w:val="9"/>
    <w:semiHidden/>
    <w:rsid w:val="00C91A6F"/>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DefaultParagraphFont"/>
    <w:uiPriority w:val="9"/>
    <w:semiHidden/>
    <w:rsid w:val="00C91A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E611B"/>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AE611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AE611B"/>
    <w:rPr>
      <w:rFonts w:eastAsiaTheme="majorEastAsia"/>
      <w:color w:val="17365D" w:themeColor="text2" w:themeShade="BF"/>
      <w:spacing w:val="5"/>
      <w:kern w:val="28"/>
      <w:sz w:val="52"/>
      <w:szCs w:val="52"/>
    </w:rPr>
  </w:style>
  <w:style w:type="paragraph" w:styleId="Subtitle">
    <w:name w:val="Subtitle"/>
    <w:basedOn w:val="Normal"/>
    <w:next w:val="Normal"/>
    <w:link w:val="SubtitleChar"/>
    <w:uiPriority w:val="11"/>
    <w:qFormat/>
    <w:rsid w:val="00AE611B"/>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AE611B"/>
    <w:rPr>
      <w:rFonts w:eastAsiaTheme="majorEastAsia"/>
      <w:i/>
      <w:iCs/>
      <w:color w:val="4F81BD" w:themeColor="accent1"/>
      <w:spacing w:val="15"/>
      <w:sz w:val="24"/>
      <w:szCs w:val="24"/>
    </w:rPr>
  </w:style>
  <w:style w:type="character" w:styleId="Strong">
    <w:name w:val="Strong"/>
    <w:basedOn w:val="DefaultParagraphFont"/>
    <w:uiPriority w:val="22"/>
    <w:qFormat/>
    <w:rsid w:val="00AE611B"/>
    <w:rPr>
      <w:b/>
      <w:bCs/>
    </w:rPr>
  </w:style>
  <w:style w:type="character" w:styleId="Emphasis">
    <w:name w:val="Emphasis"/>
    <w:basedOn w:val="DefaultParagraphFont"/>
    <w:uiPriority w:val="20"/>
    <w:qFormat/>
    <w:rsid w:val="00AE611B"/>
    <w:rPr>
      <w:i/>
      <w:iCs/>
    </w:rPr>
  </w:style>
  <w:style w:type="paragraph" w:styleId="Quote">
    <w:name w:val="Quote"/>
    <w:basedOn w:val="Normal"/>
    <w:next w:val="Normal"/>
    <w:link w:val="QuoteChar"/>
    <w:uiPriority w:val="29"/>
    <w:qFormat/>
    <w:rsid w:val="00AE611B"/>
    <w:rPr>
      <w:i/>
      <w:iCs/>
      <w:color w:val="000000" w:themeColor="text1"/>
    </w:rPr>
  </w:style>
  <w:style w:type="character" w:customStyle="1" w:styleId="QuoteChar">
    <w:name w:val="Quote Char"/>
    <w:basedOn w:val="DefaultParagraphFont"/>
    <w:link w:val="Quote"/>
    <w:uiPriority w:val="29"/>
    <w:rsid w:val="00AE611B"/>
    <w:rPr>
      <w:i/>
      <w:iCs/>
      <w:color w:val="000000" w:themeColor="text1"/>
    </w:rPr>
  </w:style>
  <w:style w:type="paragraph" w:styleId="IntenseQuote">
    <w:name w:val="Intense Quote"/>
    <w:basedOn w:val="Normal"/>
    <w:next w:val="Normal"/>
    <w:link w:val="IntenseQuoteChar"/>
    <w:uiPriority w:val="30"/>
    <w:qFormat/>
    <w:rsid w:val="00AE61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611B"/>
    <w:rPr>
      <w:b/>
      <w:bCs/>
      <w:i/>
      <w:iCs/>
      <w:color w:val="4F81BD" w:themeColor="accent1"/>
    </w:rPr>
  </w:style>
  <w:style w:type="character" w:styleId="SubtleEmphasis">
    <w:name w:val="Subtle Emphasis"/>
    <w:basedOn w:val="DefaultParagraphFont"/>
    <w:uiPriority w:val="19"/>
    <w:qFormat/>
    <w:rsid w:val="00AE611B"/>
    <w:rPr>
      <w:i/>
      <w:iCs/>
      <w:color w:val="808080" w:themeColor="text1" w:themeTint="7F"/>
    </w:rPr>
  </w:style>
  <w:style w:type="character" w:styleId="IntenseEmphasis">
    <w:name w:val="Intense Emphasis"/>
    <w:basedOn w:val="DefaultParagraphFont"/>
    <w:uiPriority w:val="21"/>
    <w:qFormat/>
    <w:rsid w:val="00AE611B"/>
    <w:rPr>
      <w:b/>
      <w:bCs/>
      <w:i/>
      <w:iCs/>
      <w:color w:val="4F81BD" w:themeColor="accent1"/>
    </w:rPr>
  </w:style>
  <w:style w:type="character" w:styleId="SubtleReference">
    <w:name w:val="Subtle Reference"/>
    <w:basedOn w:val="DefaultParagraphFont"/>
    <w:uiPriority w:val="31"/>
    <w:qFormat/>
    <w:rsid w:val="00AE611B"/>
    <w:rPr>
      <w:smallCaps/>
      <w:color w:val="C0504D" w:themeColor="accent2"/>
      <w:u w:val="single"/>
    </w:rPr>
  </w:style>
  <w:style w:type="character" w:styleId="IntenseReference">
    <w:name w:val="Intense Reference"/>
    <w:basedOn w:val="DefaultParagraphFont"/>
    <w:uiPriority w:val="32"/>
    <w:qFormat/>
    <w:rsid w:val="00AE611B"/>
    <w:rPr>
      <w:b/>
      <w:bCs/>
      <w:smallCaps/>
      <w:color w:val="C0504D" w:themeColor="accent2"/>
      <w:spacing w:val="5"/>
      <w:u w:val="single"/>
    </w:rPr>
  </w:style>
  <w:style w:type="character" w:styleId="BookTitle">
    <w:name w:val="Book Title"/>
    <w:basedOn w:val="DefaultParagraphFont"/>
    <w:uiPriority w:val="33"/>
    <w:qFormat/>
    <w:rsid w:val="00AE611B"/>
    <w:rPr>
      <w:b/>
      <w:bCs/>
      <w:smallCaps/>
      <w:spacing w:val="5"/>
    </w:rPr>
  </w:style>
  <w:style w:type="paragraph" w:styleId="BodyText">
    <w:name w:val="Body Text"/>
    <w:basedOn w:val="Normal"/>
    <w:link w:val="BodyTextChar"/>
    <w:uiPriority w:val="99"/>
    <w:semiHidden/>
    <w:unhideWhenUsed/>
    <w:rsid w:val="00DC6211"/>
    <w:pPr>
      <w:spacing w:after="120"/>
    </w:pPr>
  </w:style>
  <w:style w:type="character" w:customStyle="1" w:styleId="BodyTextChar">
    <w:name w:val="Body Text Char"/>
    <w:basedOn w:val="DefaultParagraphFont"/>
    <w:link w:val="BodyText"/>
    <w:uiPriority w:val="99"/>
    <w:semiHidden/>
    <w:rsid w:val="00DC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1214">
      <w:bodyDiv w:val="1"/>
      <w:marLeft w:val="0"/>
      <w:marRight w:val="0"/>
      <w:marTop w:val="0"/>
      <w:marBottom w:val="0"/>
      <w:divBdr>
        <w:top w:val="none" w:sz="0" w:space="0" w:color="auto"/>
        <w:left w:val="none" w:sz="0" w:space="0" w:color="auto"/>
        <w:bottom w:val="none" w:sz="0" w:space="0" w:color="auto"/>
        <w:right w:val="none" w:sz="0" w:space="0" w:color="auto"/>
      </w:divBdr>
    </w:div>
    <w:div w:id="887031384">
      <w:bodyDiv w:val="1"/>
      <w:marLeft w:val="0"/>
      <w:marRight w:val="0"/>
      <w:marTop w:val="0"/>
      <w:marBottom w:val="0"/>
      <w:divBdr>
        <w:top w:val="none" w:sz="0" w:space="0" w:color="auto"/>
        <w:left w:val="none" w:sz="0" w:space="0" w:color="auto"/>
        <w:bottom w:val="none" w:sz="0" w:space="0" w:color="auto"/>
        <w:right w:val="none" w:sz="0" w:space="0" w:color="auto"/>
      </w:divBdr>
    </w:div>
    <w:div w:id="1015812049">
      <w:bodyDiv w:val="1"/>
      <w:marLeft w:val="0"/>
      <w:marRight w:val="0"/>
      <w:marTop w:val="0"/>
      <w:marBottom w:val="0"/>
      <w:divBdr>
        <w:top w:val="none" w:sz="0" w:space="0" w:color="auto"/>
        <w:left w:val="none" w:sz="0" w:space="0" w:color="auto"/>
        <w:bottom w:val="none" w:sz="0" w:space="0" w:color="auto"/>
        <w:right w:val="none" w:sz="0" w:space="0" w:color="auto"/>
      </w:divBdr>
    </w:div>
    <w:div w:id="1151678044">
      <w:bodyDiv w:val="1"/>
      <w:marLeft w:val="0"/>
      <w:marRight w:val="0"/>
      <w:marTop w:val="0"/>
      <w:marBottom w:val="0"/>
      <w:divBdr>
        <w:top w:val="none" w:sz="0" w:space="0" w:color="auto"/>
        <w:left w:val="none" w:sz="0" w:space="0" w:color="auto"/>
        <w:bottom w:val="none" w:sz="0" w:space="0" w:color="auto"/>
        <w:right w:val="none" w:sz="0" w:space="0" w:color="auto"/>
      </w:divBdr>
    </w:div>
    <w:div w:id="1266426411">
      <w:bodyDiv w:val="1"/>
      <w:marLeft w:val="0"/>
      <w:marRight w:val="0"/>
      <w:marTop w:val="0"/>
      <w:marBottom w:val="0"/>
      <w:divBdr>
        <w:top w:val="none" w:sz="0" w:space="0" w:color="auto"/>
        <w:left w:val="none" w:sz="0" w:space="0" w:color="auto"/>
        <w:bottom w:val="none" w:sz="0" w:space="0" w:color="auto"/>
        <w:right w:val="none" w:sz="0" w:space="0" w:color="auto"/>
      </w:divBdr>
    </w:div>
    <w:div w:id="1306660741">
      <w:bodyDiv w:val="1"/>
      <w:marLeft w:val="0"/>
      <w:marRight w:val="0"/>
      <w:marTop w:val="0"/>
      <w:marBottom w:val="0"/>
      <w:divBdr>
        <w:top w:val="none" w:sz="0" w:space="0" w:color="auto"/>
        <w:left w:val="none" w:sz="0" w:space="0" w:color="auto"/>
        <w:bottom w:val="none" w:sz="0" w:space="0" w:color="auto"/>
        <w:right w:val="none" w:sz="0" w:space="0" w:color="auto"/>
      </w:divBdr>
      <w:divsChild>
        <w:div w:id="1161433114">
          <w:marLeft w:val="0"/>
          <w:marRight w:val="0"/>
          <w:marTop w:val="0"/>
          <w:marBottom w:val="0"/>
          <w:divBdr>
            <w:top w:val="none" w:sz="0" w:space="0" w:color="auto"/>
            <w:left w:val="none" w:sz="0" w:space="0" w:color="auto"/>
            <w:bottom w:val="none" w:sz="0" w:space="0" w:color="auto"/>
            <w:right w:val="none" w:sz="0" w:space="0" w:color="auto"/>
          </w:divBdr>
          <w:divsChild>
            <w:div w:id="805007209">
              <w:marLeft w:val="0"/>
              <w:marRight w:val="0"/>
              <w:marTop w:val="0"/>
              <w:marBottom w:val="0"/>
              <w:divBdr>
                <w:top w:val="none" w:sz="0" w:space="0" w:color="auto"/>
                <w:left w:val="none" w:sz="0" w:space="0" w:color="auto"/>
                <w:bottom w:val="none" w:sz="0" w:space="0" w:color="auto"/>
                <w:right w:val="none" w:sz="0" w:space="0" w:color="auto"/>
              </w:divBdr>
              <w:divsChild>
                <w:div w:id="1363940184">
                  <w:marLeft w:val="0"/>
                  <w:marRight w:val="0"/>
                  <w:marTop w:val="0"/>
                  <w:marBottom w:val="0"/>
                  <w:divBdr>
                    <w:top w:val="none" w:sz="0" w:space="0" w:color="auto"/>
                    <w:left w:val="none" w:sz="0" w:space="0" w:color="auto"/>
                    <w:bottom w:val="none" w:sz="0" w:space="0" w:color="auto"/>
                    <w:right w:val="none" w:sz="0" w:space="0" w:color="auto"/>
                  </w:divBdr>
                  <w:divsChild>
                    <w:div w:id="1955792041">
                      <w:marLeft w:val="0"/>
                      <w:marRight w:val="0"/>
                      <w:marTop w:val="0"/>
                      <w:marBottom w:val="0"/>
                      <w:divBdr>
                        <w:top w:val="none" w:sz="0" w:space="0" w:color="auto"/>
                        <w:left w:val="none" w:sz="0" w:space="0" w:color="auto"/>
                        <w:bottom w:val="none" w:sz="0" w:space="0" w:color="auto"/>
                        <w:right w:val="none" w:sz="0" w:space="0" w:color="auto"/>
                      </w:divBdr>
                      <w:divsChild>
                        <w:div w:id="813183926">
                          <w:marLeft w:val="0"/>
                          <w:marRight w:val="0"/>
                          <w:marTop w:val="0"/>
                          <w:marBottom w:val="0"/>
                          <w:divBdr>
                            <w:top w:val="none" w:sz="0" w:space="0" w:color="auto"/>
                            <w:left w:val="none" w:sz="0" w:space="0" w:color="auto"/>
                            <w:bottom w:val="none" w:sz="0" w:space="0" w:color="auto"/>
                            <w:right w:val="none" w:sz="0" w:space="0" w:color="auto"/>
                          </w:divBdr>
                          <w:divsChild>
                            <w:div w:id="983434959">
                              <w:marLeft w:val="0"/>
                              <w:marRight w:val="0"/>
                              <w:marTop w:val="0"/>
                              <w:marBottom w:val="0"/>
                              <w:divBdr>
                                <w:top w:val="none" w:sz="0" w:space="0" w:color="auto"/>
                                <w:left w:val="none" w:sz="0" w:space="0" w:color="auto"/>
                                <w:bottom w:val="none" w:sz="0" w:space="0" w:color="auto"/>
                                <w:right w:val="none" w:sz="0" w:space="0" w:color="auto"/>
                              </w:divBdr>
                              <w:divsChild>
                                <w:div w:id="303774806">
                                  <w:marLeft w:val="0"/>
                                  <w:marRight w:val="0"/>
                                  <w:marTop w:val="0"/>
                                  <w:marBottom w:val="0"/>
                                  <w:divBdr>
                                    <w:top w:val="none" w:sz="0" w:space="0" w:color="auto"/>
                                    <w:left w:val="none" w:sz="0" w:space="0" w:color="auto"/>
                                    <w:bottom w:val="none" w:sz="0" w:space="0" w:color="auto"/>
                                    <w:right w:val="none" w:sz="0" w:space="0" w:color="auto"/>
                                  </w:divBdr>
                                  <w:divsChild>
                                    <w:div w:id="531571592">
                                      <w:marLeft w:val="0"/>
                                      <w:marRight w:val="0"/>
                                      <w:marTop w:val="0"/>
                                      <w:marBottom w:val="0"/>
                                      <w:divBdr>
                                        <w:top w:val="none" w:sz="0" w:space="0" w:color="auto"/>
                                        <w:left w:val="none" w:sz="0" w:space="0" w:color="auto"/>
                                        <w:bottom w:val="none" w:sz="0" w:space="0" w:color="auto"/>
                                        <w:right w:val="none" w:sz="0" w:space="0" w:color="auto"/>
                                      </w:divBdr>
                                      <w:divsChild>
                                        <w:div w:id="641663400">
                                          <w:marLeft w:val="0"/>
                                          <w:marRight w:val="0"/>
                                          <w:marTop w:val="0"/>
                                          <w:marBottom w:val="0"/>
                                          <w:divBdr>
                                            <w:top w:val="none" w:sz="0" w:space="0" w:color="auto"/>
                                            <w:left w:val="none" w:sz="0" w:space="0" w:color="auto"/>
                                            <w:bottom w:val="none" w:sz="0" w:space="0" w:color="auto"/>
                                            <w:right w:val="none" w:sz="0" w:space="0" w:color="auto"/>
                                          </w:divBdr>
                                          <w:divsChild>
                                            <w:div w:id="14608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171524">
      <w:bodyDiv w:val="1"/>
      <w:marLeft w:val="0"/>
      <w:marRight w:val="0"/>
      <w:marTop w:val="0"/>
      <w:marBottom w:val="0"/>
      <w:divBdr>
        <w:top w:val="none" w:sz="0" w:space="0" w:color="auto"/>
        <w:left w:val="none" w:sz="0" w:space="0" w:color="auto"/>
        <w:bottom w:val="none" w:sz="0" w:space="0" w:color="auto"/>
        <w:right w:val="none" w:sz="0" w:space="0" w:color="auto"/>
      </w:divBdr>
    </w:div>
    <w:div w:id="18781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0C90C2-8901-4C74-8678-F3B15843D8F5}"/>
</file>

<file path=customXml/itemProps2.xml><?xml version="1.0" encoding="utf-8"?>
<ds:datastoreItem xmlns:ds="http://schemas.openxmlformats.org/officeDocument/2006/customXml" ds:itemID="{2CA8F67B-504B-4A37-9E68-64019C334317}"/>
</file>

<file path=customXml/itemProps3.xml><?xml version="1.0" encoding="utf-8"?>
<ds:datastoreItem xmlns:ds="http://schemas.openxmlformats.org/officeDocument/2006/customXml" ds:itemID="{749DE978-5C5D-4C4C-87DC-98A8D1FDD25A}"/>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5060</Characters>
  <Application>Microsoft Office Word</Application>
  <DocSecurity>4</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Bundesministerium der Justiz und Verbraucherschutz</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Oliver</dc:creator>
  <cp:lastModifiedBy>TADJDINI Azin</cp:lastModifiedBy>
  <cp:revision>2</cp:revision>
  <cp:lastPrinted>2019-08-15T08:58:00Z</cp:lastPrinted>
  <dcterms:created xsi:type="dcterms:W3CDTF">2019-08-28T15:09:00Z</dcterms:created>
  <dcterms:modified xsi:type="dcterms:W3CDTF">2019-08-28T15:09:00Z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