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788" w:rsidRPr="00FB30EA" w:rsidRDefault="00641788" w:rsidP="002F580D">
      <w:pPr>
        <w:rPr>
          <w:rFonts w:ascii="Verdana" w:hAnsi="Verdana"/>
          <w:b/>
          <w:color w:val="000000"/>
          <w:lang w:val="en-US" w:eastAsia="en-GB"/>
        </w:rPr>
      </w:pPr>
      <w:r w:rsidRPr="00FB30EA">
        <w:rPr>
          <w:rFonts w:ascii="Verdana" w:hAnsi="Verdana"/>
          <w:b/>
          <w:color w:val="000000"/>
          <w:lang w:val="en-US" w:eastAsia="en-GB"/>
        </w:rPr>
        <w:t xml:space="preserve">European Court of Human Rights’ ruling to remove voting rights from persons with disabilities on the basis of their “mental skills” is disappointing – </w:t>
      </w:r>
      <w:r w:rsidR="00857C07">
        <w:rPr>
          <w:rFonts w:ascii="Verdana" w:hAnsi="Verdana"/>
          <w:b/>
          <w:color w:val="000000"/>
          <w:lang w:val="en-US" w:eastAsia="en-GB"/>
        </w:rPr>
        <w:t xml:space="preserve">remarks by </w:t>
      </w:r>
      <w:r w:rsidRPr="00FB30EA">
        <w:rPr>
          <w:rFonts w:ascii="Verdana" w:hAnsi="Verdana"/>
          <w:b/>
          <w:color w:val="000000"/>
          <w:lang w:val="en-US" w:eastAsia="en-GB"/>
        </w:rPr>
        <w:t>UN disability Exper</w:t>
      </w:r>
      <w:r w:rsidR="00857C07">
        <w:rPr>
          <w:rFonts w:ascii="Verdana" w:hAnsi="Verdana"/>
          <w:b/>
          <w:color w:val="000000"/>
          <w:lang w:val="en-US" w:eastAsia="en-GB"/>
        </w:rPr>
        <w:t>ts</w:t>
      </w:r>
    </w:p>
    <w:p w:rsidR="00641788" w:rsidRPr="00FB30EA" w:rsidRDefault="00641788" w:rsidP="002F580D">
      <w:pPr>
        <w:rPr>
          <w:rFonts w:ascii="Verdana" w:hAnsi="Verdana"/>
          <w:i/>
          <w:color w:val="000000"/>
          <w:lang w:val="en-US" w:eastAsia="en-GB"/>
        </w:rPr>
      </w:pPr>
    </w:p>
    <w:p w:rsidR="00857C07" w:rsidRDefault="00857C07" w:rsidP="00641788">
      <w:pPr>
        <w:rPr>
          <w:rFonts w:ascii="Verdana" w:hAnsi="Verdana"/>
          <w:i/>
          <w:color w:val="000000"/>
          <w:lang w:val="en-US" w:eastAsia="en-GB"/>
        </w:rPr>
      </w:pPr>
    </w:p>
    <w:p w:rsidR="00200E98" w:rsidRPr="00200E98" w:rsidRDefault="00D8024D" w:rsidP="00200E98">
      <w:pPr>
        <w:jc w:val="right"/>
        <w:rPr>
          <w:rFonts w:ascii="Verdana" w:hAnsi="Verdana"/>
          <w:color w:val="000000"/>
          <w:lang w:val="en-US" w:eastAsia="en-GB"/>
        </w:rPr>
      </w:pPr>
      <w:r>
        <w:rPr>
          <w:rFonts w:ascii="Verdana" w:hAnsi="Verdana"/>
          <w:color w:val="000000"/>
          <w:lang w:val="en-US" w:eastAsia="en-GB"/>
        </w:rPr>
        <w:t>GENEVA, 1 March</w:t>
      </w:r>
      <w:r w:rsidR="00200E98" w:rsidRPr="00200E98">
        <w:rPr>
          <w:rFonts w:ascii="Verdana" w:hAnsi="Verdana"/>
          <w:color w:val="000000"/>
          <w:lang w:val="en-US" w:eastAsia="en-GB"/>
        </w:rPr>
        <w:t xml:space="preserve"> 2021</w:t>
      </w:r>
    </w:p>
    <w:p w:rsidR="00200E98" w:rsidRPr="00CC35A6" w:rsidRDefault="00200E98" w:rsidP="00641788">
      <w:pPr>
        <w:rPr>
          <w:rFonts w:ascii="Verdana" w:hAnsi="Verdana"/>
          <w:color w:val="000000"/>
          <w:lang w:val="en-US" w:eastAsia="en-GB"/>
        </w:rPr>
      </w:pPr>
    </w:p>
    <w:p w:rsidR="00641788" w:rsidRDefault="00857C07" w:rsidP="00641788">
      <w:pPr>
        <w:rPr>
          <w:rFonts w:ascii="Verdana" w:hAnsi="Verdana"/>
          <w:i/>
          <w:lang w:val="en-US"/>
        </w:rPr>
      </w:pPr>
      <w:r w:rsidRPr="00CC35A6">
        <w:rPr>
          <w:rFonts w:ascii="Verdana" w:hAnsi="Verdana"/>
          <w:color w:val="000000"/>
          <w:lang w:val="en-US" w:eastAsia="en-GB"/>
        </w:rPr>
        <w:t>In the context of the judgment of the European Court of Human Rights (</w:t>
      </w:r>
      <w:r w:rsidRPr="00CC35A6">
        <w:rPr>
          <w:rFonts w:ascii="Verdana" w:hAnsi="Verdana"/>
          <w:lang w:val="en-US"/>
        </w:rPr>
        <w:t>Strøbye and Rosenlind v. Denmark), t</w:t>
      </w:r>
      <w:r w:rsidR="00FB30EA" w:rsidRPr="00CC35A6">
        <w:rPr>
          <w:rFonts w:ascii="Verdana" w:hAnsi="Verdana"/>
          <w:color w:val="000000"/>
          <w:lang w:val="en-US" w:eastAsia="en-GB"/>
        </w:rPr>
        <w:t>he</w:t>
      </w:r>
      <w:r w:rsidR="00641788" w:rsidRPr="00CC35A6">
        <w:rPr>
          <w:rFonts w:ascii="Verdana" w:hAnsi="Verdana"/>
          <w:color w:val="000000"/>
          <w:lang w:val="en-US" w:eastAsia="en-GB"/>
        </w:rPr>
        <w:t xml:space="preserve"> </w:t>
      </w:r>
      <w:hyperlink r:id="rId7" w:history="1">
        <w:r w:rsidR="00200E98" w:rsidRPr="00CC35A6">
          <w:rPr>
            <w:rStyle w:val="Emphasis"/>
            <w:rFonts w:ascii="Verdana" w:hAnsi="Verdana"/>
            <w:color w:val="0000FF"/>
            <w:sz w:val="23"/>
            <w:szCs w:val="23"/>
          </w:rPr>
          <w:t>Special Rapporteur on the rights of persons with disabilities</w:t>
        </w:r>
      </w:hyperlink>
      <w:r w:rsidRPr="00CC35A6">
        <w:rPr>
          <w:rFonts w:ascii="Verdana" w:hAnsi="Verdana"/>
          <w:color w:val="000000"/>
          <w:lang w:val="en-US" w:eastAsia="en-GB"/>
        </w:rPr>
        <w:t xml:space="preserve">, Gerard Quinn, and the </w:t>
      </w:r>
      <w:hyperlink r:id="rId8" w:history="1">
        <w:r w:rsidR="00200E98" w:rsidRPr="00CC35A6">
          <w:rPr>
            <w:rStyle w:val="Emphasis"/>
            <w:rFonts w:ascii="Verdana" w:hAnsi="Verdana"/>
            <w:color w:val="0000FF"/>
            <w:sz w:val="23"/>
            <w:szCs w:val="23"/>
          </w:rPr>
          <w:t>Committee on the Rights of Persons with Disabilities</w:t>
        </w:r>
      </w:hyperlink>
      <w:r w:rsidRPr="00CC35A6">
        <w:rPr>
          <w:rFonts w:ascii="Verdana" w:hAnsi="Verdana"/>
          <w:color w:val="000000"/>
          <w:lang w:val="en-US" w:eastAsia="en-GB"/>
        </w:rPr>
        <w:t xml:space="preserve">, issued the following remarks: </w:t>
      </w:r>
    </w:p>
    <w:p w:rsidR="00857C07" w:rsidRPr="00857C07" w:rsidRDefault="00857C07" w:rsidP="00641788">
      <w:pPr>
        <w:rPr>
          <w:rFonts w:ascii="Verdana" w:hAnsi="Verdana"/>
          <w:i/>
          <w:color w:val="000000"/>
          <w:lang w:val="en-US" w:eastAsia="en-GB"/>
        </w:rPr>
      </w:pPr>
    </w:p>
    <w:p w:rsidR="002F580D" w:rsidRPr="00FB30EA" w:rsidRDefault="00641788" w:rsidP="00200E98">
      <w:pPr>
        <w:ind w:left="720"/>
        <w:rPr>
          <w:rFonts w:ascii="Verdana" w:hAnsi="Verdana"/>
          <w:color w:val="000000"/>
          <w:lang w:val="en-US" w:eastAsia="en-GB"/>
        </w:rPr>
      </w:pPr>
      <w:r w:rsidRPr="00FB30EA">
        <w:rPr>
          <w:rFonts w:ascii="Verdana" w:hAnsi="Verdana"/>
          <w:color w:val="000000"/>
          <w:lang w:val="en-US" w:eastAsia="en-GB"/>
        </w:rPr>
        <w:t>T</w:t>
      </w:r>
      <w:r w:rsidR="002F580D" w:rsidRPr="00FB30EA">
        <w:rPr>
          <w:rFonts w:ascii="Verdana" w:hAnsi="Verdana"/>
          <w:color w:val="000000"/>
          <w:lang w:val="en-US" w:eastAsia="en-GB"/>
        </w:rPr>
        <w:t xml:space="preserve">he recent judgment of the European Court of Human Rights </w:t>
      </w:r>
      <w:r w:rsidR="00C76A5E" w:rsidRPr="00FB30EA">
        <w:rPr>
          <w:rFonts w:ascii="Verdana" w:hAnsi="Verdana"/>
        </w:rPr>
        <w:t xml:space="preserve">in </w:t>
      </w:r>
      <w:hyperlink r:id="rId9" w:history="1">
        <w:r w:rsidR="00C76A5E" w:rsidRPr="00FB30EA">
          <w:rPr>
            <w:rStyle w:val="Hyperlink"/>
            <w:rFonts w:ascii="Verdana" w:hAnsi="Verdana"/>
            <w:i/>
            <w:lang w:val="en-US"/>
          </w:rPr>
          <w:t>Strøbye and Rosenlind v. Denmark</w:t>
        </w:r>
      </w:hyperlink>
      <w:r w:rsidR="002F580D" w:rsidRPr="00FB30EA">
        <w:rPr>
          <w:rFonts w:ascii="Verdana" w:hAnsi="Verdana"/>
          <w:color w:val="000000"/>
          <w:lang w:val="en-US" w:eastAsia="en-GB"/>
        </w:rPr>
        <w:t xml:space="preserve"> is a major, but hopefully temporary, disappointment.</w:t>
      </w:r>
      <w:r w:rsidR="00857C07">
        <w:rPr>
          <w:rFonts w:ascii="Verdana" w:hAnsi="Verdana"/>
          <w:color w:val="000000"/>
          <w:lang w:val="en-US" w:eastAsia="en-GB"/>
        </w:rPr>
        <w:t xml:space="preserve"> </w:t>
      </w:r>
      <w:r w:rsidR="002F580D" w:rsidRPr="00FB30EA">
        <w:rPr>
          <w:rFonts w:ascii="Verdana" w:hAnsi="Verdana"/>
          <w:color w:val="000000"/>
          <w:lang w:val="en-US" w:eastAsia="en-GB"/>
        </w:rPr>
        <w:t>The net effect of the ruling is to allow for the removal of voting rights from those pe</w:t>
      </w:r>
      <w:r w:rsidR="00FB30EA">
        <w:rPr>
          <w:rFonts w:ascii="Verdana" w:hAnsi="Verdana"/>
          <w:color w:val="000000"/>
          <w:lang w:val="en-US" w:eastAsia="en-GB"/>
        </w:rPr>
        <w:t>ople</w:t>
      </w:r>
      <w:r w:rsidR="002F580D" w:rsidRPr="00FB30EA">
        <w:rPr>
          <w:rFonts w:ascii="Verdana" w:hAnsi="Verdana"/>
          <w:color w:val="000000"/>
          <w:lang w:val="en-US" w:eastAsia="en-GB"/>
        </w:rPr>
        <w:t xml:space="preserve"> with disabilities who reputedly lack the re</w:t>
      </w:r>
      <w:r w:rsidRPr="00FB30EA">
        <w:rPr>
          <w:rFonts w:ascii="Verdana" w:hAnsi="Verdana"/>
          <w:color w:val="000000"/>
          <w:lang w:val="en-US" w:eastAsia="en-GB"/>
        </w:rPr>
        <w:t>quisite ‘mental skills’ to vote.</w:t>
      </w:r>
    </w:p>
    <w:p w:rsidR="002F580D" w:rsidRPr="00FB30EA" w:rsidRDefault="002F580D" w:rsidP="002F580D">
      <w:pPr>
        <w:rPr>
          <w:rFonts w:ascii="Verdana" w:hAnsi="Verdana"/>
          <w:color w:val="000000"/>
          <w:lang w:eastAsia="en-GB"/>
        </w:rPr>
      </w:pPr>
      <w:r w:rsidRPr="00FB30EA">
        <w:rPr>
          <w:rFonts w:ascii="Verdana" w:hAnsi="Verdana"/>
          <w:color w:val="000000"/>
          <w:lang w:val="en-US" w:eastAsia="en-GB"/>
        </w:rPr>
        <w:lastRenderedPageBreak/>
        <w:t> </w:t>
      </w:r>
    </w:p>
    <w:p w:rsidR="002F580D" w:rsidRPr="00FB30EA" w:rsidRDefault="002F580D" w:rsidP="00200E98">
      <w:pPr>
        <w:ind w:left="720"/>
        <w:rPr>
          <w:rFonts w:ascii="Verdana" w:hAnsi="Verdana"/>
          <w:color w:val="000000"/>
          <w:lang w:eastAsia="en-GB"/>
        </w:rPr>
      </w:pPr>
      <w:r w:rsidRPr="00FB30EA">
        <w:rPr>
          <w:rFonts w:ascii="Verdana" w:hAnsi="Verdana"/>
          <w:color w:val="000000"/>
          <w:lang w:val="en-US" w:eastAsia="en-GB"/>
        </w:rPr>
        <w:t>There now seems to be considerable unevenness with which many sides of the Council of Europe deal with inclusion and the rights of</w:t>
      </w:r>
      <w:r w:rsidR="00641788" w:rsidRPr="00FB30EA">
        <w:rPr>
          <w:rFonts w:ascii="Verdana" w:hAnsi="Verdana"/>
          <w:color w:val="000000"/>
          <w:lang w:val="en-US" w:eastAsia="en-GB"/>
        </w:rPr>
        <w:t xml:space="preserve"> pe</w:t>
      </w:r>
      <w:r w:rsidR="00FB30EA">
        <w:rPr>
          <w:rFonts w:ascii="Verdana" w:hAnsi="Verdana"/>
          <w:color w:val="000000"/>
          <w:lang w:val="en-US" w:eastAsia="en-GB"/>
        </w:rPr>
        <w:t>ople</w:t>
      </w:r>
      <w:r w:rsidRPr="00FB30EA">
        <w:rPr>
          <w:rFonts w:ascii="Verdana" w:hAnsi="Verdana"/>
          <w:color w:val="000000"/>
          <w:lang w:val="en-US" w:eastAsia="en-GB"/>
        </w:rPr>
        <w:t xml:space="preserve"> with disabilities.</w:t>
      </w:r>
      <w:r w:rsidR="00857C07">
        <w:rPr>
          <w:rFonts w:ascii="Verdana" w:hAnsi="Verdana"/>
          <w:color w:val="000000"/>
          <w:lang w:val="en-US" w:eastAsia="en-GB"/>
        </w:rPr>
        <w:t xml:space="preserve"> </w:t>
      </w:r>
      <w:r w:rsidRPr="00FB30EA">
        <w:rPr>
          <w:rFonts w:ascii="Verdana" w:hAnsi="Verdana"/>
          <w:color w:val="000000"/>
          <w:lang w:val="en-US" w:eastAsia="en-GB"/>
        </w:rPr>
        <w:t xml:space="preserve">At around the same time as the above judgment, the </w:t>
      </w:r>
      <w:hyperlink r:id="rId10" w:history="1">
        <w:r w:rsidR="00C76A5E" w:rsidRPr="00FB30EA">
          <w:rPr>
            <w:rStyle w:val="Hyperlink"/>
            <w:rFonts w:ascii="Verdana" w:hAnsi="Verdana"/>
            <w:lang w:val="en-US"/>
          </w:rPr>
          <w:t>European Committee on Social Rights</w:t>
        </w:r>
      </w:hyperlink>
      <w:r w:rsidR="00C76A5E" w:rsidRPr="00FB30EA">
        <w:rPr>
          <w:rFonts w:ascii="Verdana" w:hAnsi="Verdana"/>
          <w:color w:val="000000"/>
          <w:lang w:val="en-US" w:eastAsia="en-GB"/>
        </w:rPr>
        <w:t xml:space="preserve"> </w:t>
      </w:r>
      <w:r w:rsidRPr="00FB30EA">
        <w:rPr>
          <w:rFonts w:ascii="Verdana" w:hAnsi="Verdana"/>
          <w:color w:val="000000"/>
          <w:lang w:val="en-US" w:eastAsia="en-GB"/>
        </w:rPr>
        <w:t xml:space="preserve">(the Council of Europe’s treaty body on economic and social rights) issued a major </w:t>
      </w:r>
      <w:hyperlink r:id="rId11" w:history="1">
        <w:r w:rsidRPr="00FB30EA">
          <w:rPr>
            <w:rStyle w:val="Hyperlink"/>
            <w:rFonts w:ascii="Verdana" w:hAnsi="Verdana"/>
            <w:lang w:val="en-US" w:eastAsia="en-GB"/>
          </w:rPr>
          <w:t>Decision in a Collective Complaint</w:t>
        </w:r>
      </w:hyperlink>
      <w:r w:rsidRPr="00FB30EA">
        <w:rPr>
          <w:rFonts w:ascii="Verdana" w:hAnsi="Verdana"/>
          <w:color w:val="000000"/>
          <w:lang w:val="en-US" w:eastAsia="en-GB"/>
        </w:rPr>
        <w:t xml:space="preserve"> which significantly advances the cause of inclusive education for children with disabilities across Europe.</w:t>
      </w:r>
      <w:r w:rsidR="00FB30EA">
        <w:rPr>
          <w:rFonts w:ascii="Verdana" w:hAnsi="Verdana"/>
          <w:color w:val="000000"/>
          <w:lang w:val="en-US" w:eastAsia="en-GB"/>
        </w:rPr>
        <w:t xml:space="preserve"> </w:t>
      </w:r>
      <w:r w:rsidRPr="00FB30EA">
        <w:rPr>
          <w:rFonts w:ascii="Verdana" w:hAnsi="Verdana"/>
          <w:color w:val="000000"/>
          <w:lang w:val="en-US" w:eastAsia="en-GB"/>
        </w:rPr>
        <w:t>This unevenness of treatment within and between the various organs of the Council of Europe tends to undermine the good efforts of many sides of the house while needlessly detracting from the credibility of the Court.</w:t>
      </w:r>
    </w:p>
    <w:p w:rsidR="002F580D" w:rsidRPr="00FB30EA" w:rsidRDefault="002F580D" w:rsidP="002F580D">
      <w:pPr>
        <w:rPr>
          <w:rFonts w:ascii="Verdana" w:hAnsi="Verdana"/>
          <w:color w:val="000000"/>
          <w:lang w:eastAsia="en-GB"/>
        </w:rPr>
      </w:pPr>
      <w:r w:rsidRPr="00FB30EA">
        <w:rPr>
          <w:rFonts w:ascii="Verdana" w:hAnsi="Verdana"/>
          <w:color w:val="000000"/>
          <w:lang w:val="en-US" w:eastAsia="en-GB"/>
        </w:rPr>
        <w:t> </w:t>
      </w:r>
    </w:p>
    <w:p w:rsidR="002F580D" w:rsidRPr="00FB30EA" w:rsidRDefault="00641788" w:rsidP="00200E98">
      <w:pPr>
        <w:ind w:firstLine="720"/>
        <w:rPr>
          <w:rFonts w:ascii="Verdana" w:hAnsi="Verdana"/>
          <w:color w:val="000000"/>
          <w:lang w:eastAsia="en-GB"/>
        </w:rPr>
      </w:pPr>
      <w:r w:rsidRPr="00FB30EA">
        <w:rPr>
          <w:rFonts w:ascii="Verdana" w:hAnsi="Verdana"/>
          <w:color w:val="000000"/>
          <w:lang w:val="en-US" w:eastAsia="en-GB"/>
        </w:rPr>
        <w:t>W</w:t>
      </w:r>
      <w:r w:rsidR="002F580D" w:rsidRPr="00FB30EA">
        <w:rPr>
          <w:rFonts w:ascii="Verdana" w:hAnsi="Verdana"/>
          <w:color w:val="000000"/>
          <w:lang w:val="en-US" w:eastAsia="en-GB"/>
        </w:rPr>
        <w:t>hat makes the Court’s judgment unusual are three things.</w:t>
      </w:r>
      <w:r w:rsidR="00857C07">
        <w:rPr>
          <w:rFonts w:ascii="Verdana" w:hAnsi="Verdana"/>
          <w:color w:val="000000"/>
          <w:lang w:val="en-US" w:eastAsia="en-GB"/>
        </w:rPr>
        <w:t xml:space="preserve"> </w:t>
      </w:r>
    </w:p>
    <w:p w:rsidR="002F580D" w:rsidRPr="00FB30EA" w:rsidRDefault="002F580D" w:rsidP="002F580D">
      <w:pPr>
        <w:rPr>
          <w:rFonts w:ascii="Verdana" w:hAnsi="Verdana"/>
          <w:color w:val="000000"/>
          <w:lang w:eastAsia="en-GB"/>
        </w:rPr>
      </w:pPr>
      <w:r w:rsidRPr="00FB30EA">
        <w:rPr>
          <w:rFonts w:ascii="Verdana" w:hAnsi="Verdana"/>
          <w:color w:val="000000"/>
          <w:lang w:val="en-US" w:eastAsia="en-GB"/>
        </w:rPr>
        <w:t> </w:t>
      </w:r>
    </w:p>
    <w:p w:rsidR="00D8024D" w:rsidRDefault="002F580D" w:rsidP="00D8024D">
      <w:pPr>
        <w:ind w:left="720"/>
        <w:rPr>
          <w:rFonts w:ascii="Verdana" w:hAnsi="Verdana"/>
          <w:color w:val="000000"/>
          <w:lang w:val="en-US" w:eastAsia="en-GB"/>
        </w:rPr>
      </w:pPr>
      <w:r w:rsidRPr="00FB30EA">
        <w:rPr>
          <w:rFonts w:ascii="Verdana" w:hAnsi="Verdana"/>
          <w:color w:val="000000"/>
          <w:lang w:val="en-US" w:eastAsia="en-GB"/>
        </w:rPr>
        <w:t>First of all, the Court too readily accepts t</w:t>
      </w:r>
      <w:r w:rsidR="00FB30EA">
        <w:rPr>
          <w:rFonts w:ascii="Verdana" w:hAnsi="Verdana"/>
          <w:color w:val="000000"/>
          <w:lang w:val="en-US" w:eastAsia="en-GB"/>
        </w:rPr>
        <w:t xml:space="preserve">hat it is a ‘legitimate aim’ of </w:t>
      </w:r>
      <w:r w:rsidRPr="00FB30EA">
        <w:rPr>
          <w:rFonts w:ascii="Verdana" w:hAnsi="Verdana"/>
          <w:color w:val="000000"/>
          <w:lang w:val="en-US" w:eastAsia="en-GB"/>
        </w:rPr>
        <w:t>Governmental restrictions on the right to vote to restrict it to those who have the requi</w:t>
      </w:r>
      <w:r w:rsidRPr="00FB30EA">
        <w:rPr>
          <w:rFonts w:ascii="Verdana" w:hAnsi="Verdana"/>
          <w:color w:val="000000"/>
          <w:lang w:val="en-US" w:eastAsia="en-GB"/>
        </w:rPr>
        <w:lastRenderedPageBreak/>
        <w:t>site ‘mental skills</w:t>
      </w:r>
      <w:r w:rsidR="00FB30EA">
        <w:rPr>
          <w:rFonts w:ascii="Verdana" w:hAnsi="Verdana"/>
          <w:color w:val="000000"/>
          <w:lang w:val="en-US" w:eastAsia="en-GB"/>
        </w:rPr>
        <w:t>’</w:t>
      </w:r>
      <w:r w:rsidRPr="00FB30EA">
        <w:rPr>
          <w:rFonts w:ascii="Verdana" w:hAnsi="Verdana"/>
          <w:color w:val="000000"/>
          <w:lang w:val="en-US" w:eastAsia="en-GB"/>
        </w:rPr>
        <w:t>.</w:t>
      </w:r>
      <w:r w:rsidR="00857C07">
        <w:rPr>
          <w:rFonts w:ascii="Verdana" w:hAnsi="Verdana"/>
          <w:color w:val="000000"/>
          <w:lang w:val="en-US" w:eastAsia="en-GB"/>
        </w:rPr>
        <w:t xml:space="preserve"> </w:t>
      </w:r>
      <w:r w:rsidRPr="00FB30EA">
        <w:rPr>
          <w:rFonts w:ascii="Verdana" w:hAnsi="Verdana"/>
          <w:color w:val="000000"/>
          <w:lang w:val="en-US" w:eastAsia="en-GB"/>
        </w:rPr>
        <w:t>Simply put, this does not accord with modern scientific understandings of human decision-making</w:t>
      </w:r>
      <w:r w:rsidR="00FB30EA">
        <w:rPr>
          <w:rFonts w:ascii="Verdana" w:hAnsi="Verdana"/>
          <w:color w:val="000000"/>
          <w:lang w:val="en-US" w:eastAsia="en-GB"/>
        </w:rPr>
        <w:t xml:space="preserve"> (especially during elections).</w:t>
      </w:r>
      <w:r w:rsidRPr="00FB30EA">
        <w:rPr>
          <w:rFonts w:ascii="Verdana" w:hAnsi="Verdana"/>
          <w:color w:val="000000"/>
          <w:lang w:val="en-US" w:eastAsia="en-GB"/>
        </w:rPr>
        <w:t xml:space="preserve"> </w:t>
      </w:r>
    </w:p>
    <w:p w:rsidR="00D8024D" w:rsidRDefault="002F580D" w:rsidP="00D8024D">
      <w:pPr>
        <w:ind w:left="720"/>
        <w:rPr>
          <w:rFonts w:ascii="Verdana" w:hAnsi="Verdana"/>
          <w:color w:val="000000"/>
          <w:lang w:val="en-US" w:eastAsia="en-GB"/>
        </w:rPr>
      </w:pPr>
      <w:r w:rsidRPr="00FB30EA">
        <w:rPr>
          <w:rFonts w:ascii="Verdana" w:hAnsi="Verdana"/>
          <w:color w:val="000000"/>
          <w:lang w:val="en-US" w:eastAsia="en-GB"/>
        </w:rPr>
        <w:t xml:space="preserve">Even a cursory glance at the </w:t>
      </w:r>
      <w:hyperlink r:id="rId12" w:history="1">
        <w:r w:rsidRPr="00FB30EA">
          <w:rPr>
            <w:rStyle w:val="Hyperlink"/>
            <w:rFonts w:ascii="Verdana" w:hAnsi="Verdana"/>
            <w:lang w:val="en-US" w:eastAsia="en-GB"/>
          </w:rPr>
          <w:t>World Bank’s pioneering 2015 report on ‘Mind, Society and</w:t>
        </w:r>
        <w:r w:rsidR="00857C07">
          <w:rPr>
            <w:rStyle w:val="Hyperlink"/>
            <w:rFonts w:ascii="Verdana" w:hAnsi="Verdana"/>
            <w:lang w:val="en-US" w:eastAsia="en-GB"/>
          </w:rPr>
          <w:t xml:space="preserve"> behavior’</w:t>
        </w:r>
      </w:hyperlink>
      <w:r w:rsidRPr="00FB30EA">
        <w:rPr>
          <w:rFonts w:ascii="Verdana" w:hAnsi="Verdana"/>
          <w:color w:val="000000"/>
          <w:lang w:val="en-US" w:eastAsia="en-GB"/>
        </w:rPr>
        <w:t xml:space="preserve"> is enough to demonstrate that most decision making (and that would include voting) does not rest on the exercise of rational abilities. The World Bank asserts that most decision-making i</w:t>
      </w:r>
      <w:r w:rsidR="00FB30EA">
        <w:rPr>
          <w:rFonts w:ascii="Verdana" w:hAnsi="Verdana"/>
          <w:color w:val="000000"/>
          <w:lang w:val="en-US" w:eastAsia="en-GB"/>
        </w:rPr>
        <w:t>s</w:t>
      </w:r>
      <w:r w:rsidRPr="00FB30EA">
        <w:rPr>
          <w:rFonts w:ascii="Verdana" w:hAnsi="Verdana"/>
          <w:color w:val="000000"/>
          <w:lang w:val="en-US" w:eastAsia="en-GB"/>
        </w:rPr>
        <w:t xml:space="preserve"> ‘automatic,’ some is ‘social’ (mimicking outcomes desired within a valued group) or ‘cultural’ (reflecting background). </w:t>
      </w:r>
    </w:p>
    <w:p w:rsidR="00D8024D" w:rsidRDefault="002F580D" w:rsidP="00D8024D">
      <w:pPr>
        <w:ind w:left="720"/>
        <w:rPr>
          <w:rFonts w:ascii="Verdana" w:hAnsi="Verdana"/>
          <w:color w:val="000000"/>
          <w:lang w:val="en-US" w:eastAsia="en-GB"/>
        </w:rPr>
      </w:pPr>
      <w:r w:rsidRPr="00FB30EA">
        <w:rPr>
          <w:rFonts w:ascii="Verdana" w:hAnsi="Verdana"/>
          <w:color w:val="000000"/>
          <w:lang w:val="en-US" w:eastAsia="en-GB"/>
        </w:rPr>
        <w:t>That is not to say that rationality is redundant. But it is to say that it does not generally lie at the fulcrum of decision-</w:t>
      </w:r>
      <w:r w:rsidR="00FB30EA">
        <w:rPr>
          <w:rFonts w:ascii="Verdana" w:hAnsi="Verdana"/>
          <w:color w:val="000000"/>
          <w:lang w:val="en-US" w:eastAsia="en-GB"/>
        </w:rPr>
        <w:t>making. T</w:t>
      </w:r>
      <w:r w:rsidRPr="00FB30EA">
        <w:rPr>
          <w:rFonts w:ascii="Verdana" w:hAnsi="Verdana"/>
          <w:color w:val="000000"/>
          <w:lang w:val="en-US" w:eastAsia="en-GB"/>
        </w:rPr>
        <w:t>herefore, possession of a certain threshold of cognitive ability is not really the key threshold. That is not to deny decision-making frailty. But it is to suggest that such frailty should never justify the withdrawal of a decision-making capacity to vote – it should be the occasion for a broader enquiry about supports</w:t>
      </w:r>
      <w:r w:rsidR="00FB30EA">
        <w:rPr>
          <w:rFonts w:ascii="Verdana" w:hAnsi="Verdana"/>
          <w:color w:val="000000"/>
          <w:lang w:val="en-US" w:eastAsia="en-GB"/>
        </w:rPr>
        <w:t>,</w:t>
      </w:r>
      <w:r w:rsidRPr="00FB30EA">
        <w:rPr>
          <w:rFonts w:ascii="Verdana" w:hAnsi="Verdana"/>
          <w:color w:val="000000"/>
          <w:lang w:val="en-US" w:eastAsia="en-GB"/>
        </w:rPr>
        <w:t xml:space="preserve"> to enable a person to vote (including having access to voting materials). </w:t>
      </w:r>
    </w:p>
    <w:p w:rsidR="002F580D" w:rsidRPr="00FB30EA" w:rsidRDefault="00641788" w:rsidP="00D8024D">
      <w:pPr>
        <w:ind w:left="720"/>
        <w:rPr>
          <w:rFonts w:ascii="Verdana" w:hAnsi="Verdana"/>
          <w:color w:val="000000"/>
          <w:lang w:val="en-US" w:eastAsia="en-GB"/>
        </w:rPr>
      </w:pPr>
      <w:r w:rsidRPr="00FB30EA">
        <w:rPr>
          <w:rFonts w:ascii="Verdana" w:hAnsi="Verdana"/>
          <w:color w:val="000000"/>
          <w:lang w:val="en-US" w:eastAsia="en-GB"/>
        </w:rPr>
        <w:t>Clearly,</w:t>
      </w:r>
      <w:r w:rsidR="002F580D" w:rsidRPr="00FB30EA">
        <w:rPr>
          <w:rFonts w:ascii="Verdana" w:hAnsi="Verdana"/>
          <w:color w:val="000000"/>
          <w:lang w:val="en-US" w:eastAsia="en-GB"/>
        </w:rPr>
        <w:t xml:space="preserve"> the Grand Chamber needs the benefit of arguments as to why cognitive ability is no longer to be considered the essence of decision-making. </w:t>
      </w:r>
      <w:r w:rsidR="002F580D" w:rsidRPr="00FB30EA">
        <w:rPr>
          <w:rFonts w:ascii="Verdana" w:hAnsi="Verdana"/>
          <w:color w:val="000000"/>
          <w:lang w:val="en-US" w:eastAsia="en-GB"/>
        </w:rPr>
        <w:lastRenderedPageBreak/>
        <w:t xml:space="preserve">Consequently, to confine voting rights to those who exhibit the requisite </w:t>
      </w:r>
      <w:r w:rsidRPr="00FB30EA">
        <w:rPr>
          <w:rFonts w:ascii="Verdana" w:hAnsi="Verdana"/>
          <w:color w:val="000000"/>
          <w:lang w:val="en-US" w:eastAsia="en-GB"/>
        </w:rPr>
        <w:t>ability</w:t>
      </w:r>
      <w:r w:rsidR="002F580D" w:rsidRPr="00FB30EA">
        <w:rPr>
          <w:rFonts w:ascii="Verdana" w:hAnsi="Verdana"/>
          <w:color w:val="000000"/>
          <w:lang w:val="en-US" w:eastAsia="en-GB"/>
        </w:rPr>
        <w:t xml:space="preserve"> should no longer be considered a ‘legitimate aim.’</w:t>
      </w:r>
    </w:p>
    <w:p w:rsidR="002F580D" w:rsidRPr="00FB30EA" w:rsidRDefault="002F580D" w:rsidP="002F580D">
      <w:pPr>
        <w:rPr>
          <w:rFonts w:ascii="Verdana" w:hAnsi="Verdana"/>
          <w:color w:val="000000"/>
          <w:lang w:val="en-US" w:eastAsia="en-GB"/>
        </w:rPr>
      </w:pPr>
    </w:p>
    <w:p w:rsidR="00D8024D" w:rsidRDefault="002F580D" w:rsidP="00200E98">
      <w:pPr>
        <w:ind w:left="720"/>
        <w:rPr>
          <w:rFonts w:ascii="Verdana" w:hAnsi="Verdana"/>
          <w:color w:val="000000"/>
          <w:lang w:val="en-US" w:eastAsia="en-GB"/>
        </w:rPr>
      </w:pPr>
      <w:r w:rsidRPr="00FB30EA">
        <w:rPr>
          <w:rFonts w:ascii="Verdana" w:hAnsi="Verdana"/>
          <w:color w:val="000000"/>
          <w:lang w:val="en-US" w:eastAsia="en-GB"/>
        </w:rPr>
        <w:t>Secondly, the Court relies on ‘balancing tests ‘to gauge the proportionality of the restrictions in question.</w:t>
      </w:r>
      <w:r w:rsidR="00857C07">
        <w:rPr>
          <w:rFonts w:ascii="Verdana" w:hAnsi="Verdana"/>
          <w:color w:val="000000"/>
          <w:lang w:val="en-US" w:eastAsia="en-GB"/>
        </w:rPr>
        <w:t xml:space="preserve"> </w:t>
      </w:r>
      <w:r w:rsidRPr="00FB30EA">
        <w:rPr>
          <w:rFonts w:ascii="Verdana" w:hAnsi="Verdana"/>
          <w:color w:val="000000"/>
          <w:lang w:val="en-US" w:eastAsia="en-GB"/>
        </w:rPr>
        <w:t>Balancing tests have their place particularly where rights must yield to other rights. But it is suggested they</w:t>
      </w:r>
      <w:r w:rsidR="00FB30EA">
        <w:rPr>
          <w:rFonts w:ascii="Verdana" w:hAnsi="Verdana"/>
          <w:color w:val="000000"/>
          <w:lang w:val="en-US" w:eastAsia="en-GB"/>
        </w:rPr>
        <w:t xml:space="preserve"> ar</w:t>
      </w:r>
      <w:r w:rsidRPr="00FB30EA">
        <w:rPr>
          <w:rFonts w:ascii="Verdana" w:hAnsi="Verdana"/>
          <w:color w:val="000000"/>
          <w:lang w:val="en-US" w:eastAsia="en-GB"/>
        </w:rPr>
        <w:t>e out of place in the context of the right to vote.</w:t>
      </w:r>
      <w:r w:rsidR="00FB30EA">
        <w:rPr>
          <w:rFonts w:ascii="Verdana" w:hAnsi="Verdana"/>
          <w:color w:val="000000"/>
          <w:lang w:val="en-US" w:eastAsia="en-GB"/>
        </w:rPr>
        <w:t xml:space="preserve"> </w:t>
      </w:r>
    </w:p>
    <w:p w:rsidR="00D8024D" w:rsidRDefault="00D8024D" w:rsidP="00D8024D">
      <w:pPr>
        <w:ind w:left="720"/>
        <w:rPr>
          <w:rFonts w:ascii="Verdana" w:hAnsi="Verdana"/>
          <w:color w:val="000000"/>
          <w:lang w:val="en-US" w:eastAsia="en-GB"/>
        </w:rPr>
      </w:pPr>
      <w:r>
        <w:rPr>
          <w:rFonts w:ascii="Verdana" w:hAnsi="Verdana"/>
          <w:color w:val="000000"/>
          <w:lang w:val="en-US" w:eastAsia="en-GB"/>
        </w:rPr>
        <w:t>The drafters of the European C</w:t>
      </w:r>
      <w:r w:rsidR="002F580D" w:rsidRPr="00FB30EA">
        <w:rPr>
          <w:rFonts w:ascii="Verdana" w:hAnsi="Verdana"/>
          <w:color w:val="000000"/>
          <w:lang w:val="en-US" w:eastAsia="en-GB"/>
        </w:rPr>
        <w:t>onvention were very much alive to the need to use rights underpin a viable democracy, to protect democracy and to promote it</w:t>
      </w:r>
      <w:r w:rsidR="00FB30EA">
        <w:rPr>
          <w:rFonts w:ascii="Verdana" w:hAnsi="Verdana"/>
          <w:color w:val="000000"/>
          <w:lang w:val="en-US" w:eastAsia="en-GB"/>
        </w:rPr>
        <w:t>,</w:t>
      </w:r>
      <w:r w:rsidR="002F580D" w:rsidRPr="00FB30EA">
        <w:rPr>
          <w:rFonts w:ascii="Verdana" w:hAnsi="Verdana"/>
          <w:color w:val="000000"/>
          <w:lang w:val="en-US" w:eastAsia="en-GB"/>
        </w:rPr>
        <w:t xml:space="preserve"> since a flourishing democracy would, in turn, protect rights.</w:t>
      </w:r>
      <w:r w:rsidR="00857C07">
        <w:rPr>
          <w:rFonts w:ascii="Verdana" w:hAnsi="Verdana"/>
          <w:color w:val="000000"/>
          <w:lang w:val="en-US" w:eastAsia="en-GB"/>
        </w:rPr>
        <w:t xml:space="preserve"> </w:t>
      </w:r>
      <w:r w:rsidR="002F580D" w:rsidRPr="00FB30EA">
        <w:rPr>
          <w:rFonts w:ascii="Verdana" w:hAnsi="Verdana"/>
          <w:color w:val="000000"/>
          <w:lang w:val="en-US" w:eastAsia="en-GB"/>
        </w:rPr>
        <w:t>It goes without saying that protecting the right of citizens to vote is a crucial enabler to ensure the legitimacy of the democratic process. Persons with disabilities are already at a disadvantage in the democratic process. They tend to form a ‘discrete and insular minority’ whose collective voice is unlikely to be listened to. </w:t>
      </w:r>
    </w:p>
    <w:p w:rsidR="00D8024D" w:rsidRDefault="002F580D" w:rsidP="00D8024D">
      <w:pPr>
        <w:ind w:left="720"/>
        <w:rPr>
          <w:rFonts w:ascii="Verdana" w:hAnsi="Verdana"/>
          <w:color w:val="000000"/>
          <w:lang w:val="en-US" w:eastAsia="en-GB"/>
        </w:rPr>
      </w:pPr>
      <w:r w:rsidRPr="00FB30EA">
        <w:rPr>
          <w:rFonts w:ascii="Verdana" w:hAnsi="Verdana"/>
          <w:color w:val="000000"/>
          <w:lang w:val="en-US" w:eastAsia="en-GB"/>
        </w:rPr>
        <w:t xml:space="preserve">To the many disadvantages they experience in the democratic process is now added a new one – they can be excluded altogether if they do not exhibit the requisite </w:t>
      </w:r>
      <w:r w:rsidRPr="00FB30EA">
        <w:rPr>
          <w:rFonts w:ascii="Verdana" w:hAnsi="Verdana"/>
          <w:color w:val="000000"/>
          <w:lang w:val="en-US" w:eastAsia="en-GB"/>
        </w:rPr>
        <w:lastRenderedPageBreak/>
        <w:t xml:space="preserve">cognitive skill. This is not only unnecessary, as it does not represent </w:t>
      </w:r>
      <w:r w:rsidRPr="00A95309">
        <w:rPr>
          <w:rFonts w:ascii="Verdana" w:hAnsi="Verdana"/>
          <w:color w:val="000000"/>
          <w:lang w:val="en-US" w:eastAsia="en-GB"/>
        </w:rPr>
        <w:t>contemporary un</w:t>
      </w:r>
      <w:r w:rsidR="00FB30EA" w:rsidRPr="00A95309">
        <w:rPr>
          <w:rFonts w:ascii="Verdana" w:hAnsi="Verdana"/>
          <w:color w:val="000000"/>
          <w:lang w:val="en-US" w:eastAsia="en-GB"/>
        </w:rPr>
        <w:t>derstandings of decision-making;</w:t>
      </w:r>
      <w:r w:rsidRPr="00A95309">
        <w:rPr>
          <w:rFonts w:ascii="Verdana" w:hAnsi="Verdana"/>
          <w:color w:val="000000"/>
          <w:lang w:val="en-US" w:eastAsia="en-GB"/>
        </w:rPr>
        <w:t xml:space="preserve"> but it doubly compounds their exclusion and goes to the very legitimacy of the democratic process. The resulting democratic deficit is</w:t>
      </w:r>
      <w:r w:rsidR="00FB30EA" w:rsidRPr="00A95309">
        <w:rPr>
          <w:rFonts w:ascii="Verdana" w:hAnsi="Verdana"/>
          <w:color w:val="000000"/>
          <w:lang w:val="en-US" w:eastAsia="en-GB"/>
        </w:rPr>
        <w:t xml:space="preserve"> in nobodies’ interests.</w:t>
      </w:r>
      <w:r w:rsidR="00857C07">
        <w:rPr>
          <w:rFonts w:ascii="Verdana" w:hAnsi="Verdana"/>
          <w:color w:val="000000"/>
          <w:lang w:val="en-US" w:eastAsia="en-GB"/>
        </w:rPr>
        <w:t xml:space="preserve"> </w:t>
      </w:r>
    </w:p>
    <w:p w:rsidR="002F580D" w:rsidRPr="00FB30EA" w:rsidRDefault="00FB30EA" w:rsidP="00D8024D">
      <w:pPr>
        <w:ind w:left="720"/>
        <w:rPr>
          <w:rFonts w:ascii="Verdana" w:hAnsi="Verdana"/>
          <w:color w:val="000000"/>
          <w:lang w:val="en-US" w:eastAsia="en-GB"/>
        </w:rPr>
      </w:pPr>
      <w:r w:rsidRPr="00A95309">
        <w:rPr>
          <w:rFonts w:ascii="Verdana" w:hAnsi="Verdana"/>
          <w:color w:val="000000"/>
          <w:lang w:val="en-US" w:eastAsia="en-GB"/>
        </w:rPr>
        <w:t xml:space="preserve">It is </w:t>
      </w:r>
      <w:r w:rsidR="002F580D" w:rsidRPr="00A95309">
        <w:rPr>
          <w:rFonts w:ascii="Verdana" w:hAnsi="Verdana"/>
          <w:color w:val="000000"/>
          <w:lang w:val="en-US" w:eastAsia="en-GB"/>
        </w:rPr>
        <w:t>suggested that</w:t>
      </w:r>
      <w:r w:rsidRPr="00A95309">
        <w:rPr>
          <w:rFonts w:ascii="Verdana" w:hAnsi="Verdana"/>
          <w:color w:val="000000"/>
          <w:lang w:val="en-US" w:eastAsia="en-GB"/>
        </w:rPr>
        <w:t>,</w:t>
      </w:r>
      <w:r w:rsidR="002F580D" w:rsidRPr="00A95309">
        <w:rPr>
          <w:rFonts w:ascii="Verdana" w:hAnsi="Verdana"/>
          <w:color w:val="000000"/>
          <w:lang w:val="en-US" w:eastAsia="en-GB"/>
        </w:rPr>
        <w:t xml:space="preserve"> because Article 3 of Protocol 1</w:t>
      </w:r>
      <w:r w:rsidR="00A95309" w:rsidRPr="00A95309">
        <w:rPr>
          <w:rFonts w:ascii="Verdana" w:hAnsi="Verdana"/>
          <w:color w:val="000000"/>
          <w:lang w:val="en-US" w:eastAsia="en-GB"/>
        </w:rPr>
        <w:t xml:space="preserve"> of the </w:t>
      </w:r>
      <w:hyperlink r:id="rId13" w:history="1">
        <w:r w:rsidR="00A95309" w:rsidRPr="00A95309">
          <w:rPr>
            <w:rStyle w:val="Hyperlink"/>
            <w:rFonts w:ascii="Verdana" w:hAnsi="Verdana"/>
            <w:lang w:val="en-US" w:eastAsia="en-GB"/>
          </w:rPr>
          <w:t>European Convention on Human Rights</w:t>
        </w:r>
      </w:hyperlink>
      <w:r w:rsidR="00A95309" w:rsidRPr="00A95309">
        <w:rPr>
          <w:rFonts w:ascii="Verdana" w:hAnsi="Verdana"/>
          <w:color w:val="000000"/>
          <w:lang w:val="en-US" w:eastAsia="en-GB"/>
        </w:rPr>
        <w:t>, on the right to free elections,</w:t>
      </w:r>
      <w:r w:rsidR="002F580D" w:rsidRPr="00A95309">
        <w:rPr>
          <w:rFonts w:ascii="Verdana" w:hAnsi="Verdana"/>
          <w:color w:val="000000"/>
          <w:lang w:val="en-US" w:eastAsia="en-GB"/>
        </w:rPr>
        <w:t xml:space="preserve"> is so foundational to the functioning of a legitimate democratic order (and especially because it carries no limitations on its face to the rights in question) that it should be read expansively. Strict scrutiny</w:t>
      </w:r>
      <w:r w:rsidR="002F580D" w:rsidRPr="00FB30EA">
        <w:rPr>
          <w:rFonts w:ascii="Verdana" w:hAnsi="Verdana"/>
          <w:color w:val="000000"/>
          <w:lang w:val="en-US" w:eastAsia="en-GB"/>
        </w:rPr>
        <w:t xml:space="preserve"> here should mean that ableist assumptions are completely unacceptable even if they mean that only a small number of people are directly affected.</w:t>
      </w:r>
    </w:p>
    <w:p w:rsidR="002F580D" w:rsidRPr="00FB30EA" w:rsidRDefault="002F580D" w:rsidP="002F580D">
      <w:pPr>
        <w:rPr>
          <w:rFonts w:ascii="Verdana" w:hAnsi="Verdana"/>
          <w:color w:val="000000"/>
          <w:lang w:val="en-US" w:eastAsia="en-GB"/>
        </w:rPr>
      </w:pPr>
    </w:p>
    <w:p w:rsidR="00D8024D" w:rsidRDefault="002F580D" w:rsidP="00200E98">
      <w:pPr>
        <w:ind w:left="720"/>
        <w:rPr>
          <w:rFonts w:ascii="Verdana" w:hAnsi="Verdana"/>
          <w:i/>
          <w:iCs/>
          <w:color w:val="000000"/>
          <w:lang w:val="en-US" w:eastAsia="en-GB"/>
        </w:rPr>
      </w:pPr>
      <w:r w:rsidRPr="00857C07">
        <w:rPr>
          <w:rFonts w:ascii="Verdana" w:hAnsi="Verdana"/>
          <w:color w:val="000000"/>
          <w:lang w:val="en-US" w:eastAsia="en-GB"/>
        </w:rPr>
        <w:t xml:space="preserve">Thirdly, the Court cites to the </w:t>
      </w:r>
      <w:r w:rsidR="00857C07" w:rsidRPr="00857C07">
        <w:rPr>
          <w:rFonts w:ascii="Verdana" w:hAnsi="Verdana"/>
          <w:color w:val="000000"/>
          <w:lang w:val="en-US" w:eastAsia="en-GB"/>
        </w:rPr>
        <w:t xml:space="preserve">2014 </w:t>
      </w:r>
      <w:hyperlink r:id="rId14" w:history="1">
        <w:r w:rsidRPr="00857C07">
          <w:rPr>
            <w:rStyle w:val="Hyperlink"/>
            <w:rFonts w:ascii="Verdana" w:hAnsi="Verdana"/>
            <w:lang w:val="en-US" w:eastAsia="en-GB"/>
          </w:rPr>
          <w:t>EU Fundamental Rights Agency’s</w:t>
        </w:r>
        <w:r w:rsidR="00857C07" w:rsidRPr="00857C07">
          <w:rPr>
            <w:rStyle w:val="Hyperlink"/>
            <w:rFonts w:ascii="Verdana" w:hAnsi="Verdana"/>
            <w:lang w:val="en-US" w:eastAsia="en-GB"/>
          </w:rPr>
          <w:t xml:space="preserve"> (EU FRA)</w:t>
        </w:r>
        <w:r w:rsidRPr="00857C07">
          <w:rPr>
            <w:rStyle w:val="Hyperlink"/>
            <w:rFonts w:ascii="Verdana" w:hAnsi="Verdana"/>
            <w:lang w:val="en-US" w:eastAsia="en-GB"/>
          </w:rPr>
          <w:t xml:space="preserve"> </w:t>
        </w:r>
        <w:r w:rsidR="00857C07" w:rsidRPr="00857C07">
          <w:rPr>
            <w:rStyle w:val="Hyperlink"/>
            <w:rFonts w:ascii="Verdana" w:hAnsi="Verdana"/>
            <w:lang w:val="en-US" w:eastAsia="en-GB"/>
          </w:rPr>
          <w:t>report</w:t>
        </w:r>
        <w:r w:rsidRPr="00857C07">
          <w:rPr>
            <w:rStyle w:val="Hyperlink"/>
            <w:rFonts w:ascii="Verdana" w:hAnsi="Verdana"/>
            <w:lang w:val="en-US" w:eastAsia="en-GB"/>
          </w:rPr>
          <w:t xml:space="preserve"> on</w:t>
        </w:r>
        <w:r w:rsidR="00857C07" w:rsidRPr="00857C07">
          <w:rPr>
            <w:rStyle w:val="Hyperlink"/>
            <w:rFonts w:ascii="Verdana" w:hAnsi="Verdana"/>
            <w:lang w:val="en-US" w:eastAsia="en-GB"/>
          </w:rPr>
          <w:t xml:space="preserve"> the right to</w:t>
        </w:r>
        <w:r w:rsidRPr="00857C07">
          <w:rPr>
            <w:rStyle w:val="Hyperlink"/>
            <w:rFonts w:ascii="Verdana" w:hAnsi="Verdana"/>
            <w:lang w:val="en-US" w:eastAsia="en-GB"/>
          </w:rPr>
          <w:t xml:space="preserve"> political participation </w:t>
        </w:r>
        <w:r w:rsidR="00857C07" w:rsidRPr="00857C07">
          <w:rPr>
            <w:rStyle w:val="Hyperlink"/>
            <w:rFonts w:ascii="Verdana" w:hAnsi="Verdana"/>
            <w:lang w:val="en-US" w:eastAsia="en-GB"/>
          </w:rPr>
          <w:t xml:space="preserve">for persons with </w:t>
        </w:r>
        <w:r w:rsidRPr="00857C07">
          <w:rPr>
            <w:rStyle w:val="Hyperlink"/>
            <w:rFonts w:ascii="Verdana" w:hAnsi="Verdana"/>
            <w:lang w:val="en-US" w:eastAsia="en-GB"/>
          </w:rPr>
          <w:t>disabilit</w:t>
        </w:r>
        <w:r w:rsidR="00857C07" w:rsidRPr="00857C07">
          <w:rPr>
            <w:rStyle w:val="Hyperlink"/>
            <w:rFonts w:ascii="Verdana" w:hAnsi="Verdana"/>
            <w:lang w:val="en-US" w:eastAsia="en-GB"/>
          </w:rPr>
          <w:t>ies</w:t>
        </w:r>
      </w:hyperlink>
      <w:r w:rsidRPr="00857C07">
        <w:rPr>
          <w:rFonts w:ascii="Verdana" w:hAnsi="Verdana"/>
          <w:color w:val="000000"/>
          <w:lang w:val="en-US" w:eastAsia="en-GB"/>
        </w:rPr>
        <w:t>. It omits s</w:t>
      </w:r>
      <w:r w:rsidR="00FB30EA" w:rsidRPr="00857C07">
        <w:rPr>
          <w:rFonts w:ascii="Verdana" w:hAnsi="Verdana"/>
          <w:color w:val="000000"/>
          <w:lang w:val="en-US" w:eastAsia="en-GB"/>
        </w:rPr>
        <w:t xml:space="preserve">ome key findings in that report: </w:t>
      </w:r>
      <w:r w:rsidRPr="00857C07">
        <w:rPr>
          <w:rFonts w:ascii="Verdana" w:hAnsi="Verdana"/>
          <w:color w:val="000000"/>
          <w:lang w:val="en-US" w:eastAsia="en-GB"/>
        </w:rPr>
        <w:t>e.g., that persons with disabilities are in fact more politically engaged than most</w:t>
      </w:r>
      <w:r w:rsidR="00A95309" w:rsidRPr="00857C07">
        <w:rPr>
          <w:rFonts w:ascii="Verdana" w:hAnsi="Verdana"/>
          <w:color w:val="000000"/>
          <w:lang w:val="en-US" w:eastAsia="en-GB"/>
        </w:rPr>
        <w:t>,</w:t>
      </w:r>
      <w:r w:rsidRPr="00857C07">
        <w:rPr>
          <w:rFonts w:ascii="Verdana" w:hAnsi="Verdana"/>
          <w:color w:val="000000"/>
          <w:lang w:val="en-US" w:eastAsia="en-GB"/>
        </w:rPr>
        <w:t xml:space="preserve"> and that the goal of ensuring persons with intellectual disabilities can play their full share in political life remains a challenge </w:t>
      </w:r>
      <w:r w:rsidRPr="00857C07">
        <w:rPr>
          <w:rFonts w:ascii="Verdana" w:hAnsi="Verdana"/>
          <w:color w:val="000000"/>
          <w:lang w:val="en-US" w:eastAsia="en-GB"/>
        </w:rPr>
        <w:lastRenderedPageBreak/>
        <w:t xml:space="preserve">for EU Member States. The </w:t>
      </w:r>
      <w:r w:rsidR="00857C07" w:rsidRPr="00857C07">
        <w:rPr>
          <w:rFonts w:ascii="Verdana" w:hAnsi="Verdana"/>
          <w:color w:val="000000"/>
          <w:lang w:val="en-US" w:eastAsia="en-GB"/>
        </w:rPr>
        <w:t>EU FRA r</w:t>
      </w:r>
      <w:r w:rsidRPr="00857C07">
        <w:rPr>
          <w:rFonts w:ascii="Verdana" w:hAnsi="Verdana"/>
          <w:color w:val="000000"/>
          <w:lang w:val="en-US" w:eastAsia="en-GB"/>
        </w:rPr>
        <w:t>eport did not mean to point to ‘</w:t>
      </w:r>
      <w:r w:rsidRPr="00857C07">
        <w:rPr>
          <w:rFonts w:ascii="Verdana" w:hAnsi="Verdana"/>
          <w:i/>
          <w:iCs/>
          <w:color w:val="000000"/>
          <w:lang w:val="en-US" w:eastAsia="en-GB"/>
        </w:rPr>
        <w:t>what is’</w:t>
      </w:r>
      <w:r w:rsidRPr="00857C07">
        <w:rPr>
          <w:rFonts w:ascii="Verdana" w:hAnsi="Verdana"/>
          <w:color w:val="000000"/>
          <w:lang w:val="en-US" w:eastAsia="en-GB"/>
        </w:rPr>
        <w:t xml:space="preserve"> (restrictions in some Member States) as an accurate summary of ‘</w:t>
      </w:r>
      <w:r w:rsidRPr="00857C07">
        <w:rPr>
          <w:rFonts w:ascii="Verdana" w:hAnsi="Verdana"/>
          <w:i/>
          <w:iCs/>
          <w:color w:val="000000"/>
          <w:lang w:val="en-US" w:eastAsia="en-GB"/>
        </w:rPr>
        <w:t>what ought to be’.</w:t>
      </w:r>
      <w:r w:rsidR="00857C07">
        <w:rPr>
          <w:rFonts w:ascii="Verdana" w:hAnsi="Verdana"/>
          <w:i/>
          <w:iCs/>
          <w:color w:val="000000"/>
          <w:lang w:val="en-US" w:eastAsia="en-GB"/>
        </w:rPr>
        <w:t xml:space="preserve"> </w:t>
      </w:r>
    </w:p>
    <w:p w:rsidR="002F580D" w:rsidRPr="00FB30EA" w:rsidRDefault="002F580D" w:rsidP="00200E98">
      <w:pPr>
        <w:ind w:left="720"/>
        <w:rPr>
          <w:rFonts w:ascii="Verdana" w:hAnsi="Verdana"/>
          <w:color w:val="000000"/>
          <w:lang w:val="en-US" w:eastAsia="en-GB"/>
        </w:rPr>
      </w:pPr>
      <w:r w:rsidRPr="00857C07">
        <w:rPr>
          <w:rFonts w:ascii="Verdana" w:hAnsi="Verdana"/>
          <w:color w:val="000000"/>
          <w:lang w:val="en-US" w:eastAsia="en-GB"/>
        </w:rPr>
        <w:t>When the case reaches the Grand Chambe</w:t>
      </w:r>
      <w:r w:rsidR="00A95309" w:rsidRPr="00857C07">
        <w:rPr>
          <w:rFonts w:ascii="Verdana" w:hAnsi="Verdana"/>
          <w:color w:val="000000"/>
          <w:lang w:val="en-US" w:eastAsia="en-GB"/>
        </w:rPr>
        <w:t>r,</w:t>
      </w:r>
      <w:r w:rsidRPr="00857C07">
        <w:rPr>
          <w:rFonts w:ascii="Verdana" w:hAnsi="Verdana"/>
          <w:color w:val="000000"/>
          <w:lang w:val="en-US" w:eastAsia="en-GB"/>
        </w:rPr>
        <w:t xml:space="preserve"> hopefully there will be time and space allotted to placing reports such as the EU FRA report in context.</w:t>
      </w:r>
      <w:r w:rsidR="00857C07">
        <w:rPr>
          <w:rFonts w:ascii="Verdana" w:hAnsi="Verdana"/>
          <w:color w:val="000000"/>
          <w:lang w:val="en-US" w:eastAsia="en-GB"/>
        </w:rPr>
        <w:t xml:space="preserve"> </w:t>
      </w:r>
      <w:r w:rsidRPr="00857C07">
        <w:rPr>
          <w:rFonts w:ascii="Verdana" w:hAnsi="Verdana"/>
          <w:color w:val="000000"/>
          <w:lang w:val="en-US" w:eastAsia="en-GB"/>
        </w:rPr>
        <w:t>The Court also cited to the jurisprudence on the U</w:t>
      </w:r>
      <w:r w:rsidR="00A95309" w:rsidRPr="00857C07">
        <w:rPr>
          <w:rFonts w:ascii="Verdana" w:hAnsi="Verdana"/>
          <w:color w:val="000000"/>
          <w:lang w:val="en-US" w:eastAsia="en-GB"/>
        </w:rPr>
        <w:t xml:space="preserve">nited </w:t>
      </w:r>
      <w:r w:rsidRPr="00857C07">
        <w:rPr>
          <w:rFonts w:ascii="Verdana" w:hAnsi="Verdana"/>
          <w:color w:val="000000"/>
          <w:lang w:val="en-US" w:eastAsia="en-GB"/>
        </w:rPr>
        <w:t>N</w:t>
      </w:r>
      <w:r w:rsidR="00A95309" w:rsidRPr="00857C07">
        <w:rPr>
          <w:rFonts w:ascii="Verdana" w:hAnsi="Verdana"/>
          <w:color w:val="000000"/>
          <w:lang w:val="en-US" w:eastAsia="en-GB"/>
        </w:rPr>
        <w:t>ations</w:t>
      </w:r>
      <w:r w:rsidRPr="00857C07">
        <w:rPr>
          <w:rFonts w:ascii="Verdana" w:hAnsi="Verdana"/>
          <w:color w:val="000000"/>
          <w:lang w:val="en-US" w:eastAsia="en-GB"/>
        </w:rPr>
        <w:t xml:space="preserve"> Committee on the Rights of Persons with disabilities on the right to vote.</w:t>
      </w:r>
      <w:r w:rsidR="00857C07">
        <w:rPr>
          <w:rFonts w:ascii="Verdana" w:hAnsi="Verdana"/>
          <w:color w:val="000000"/>
          <w:lang w:val="en-US" w:eastAsia="en-GB"/>
        </w:rPr>
        <w:t xml:space="preserve"> </w:t>
      </w:r>
      <w:r w:rsidRPr="00857C07">
        <w:rPr>
          <w:rFonts w:ascii="Verdana" w:hAnsi="Verdana"/>
          <w:color w:val="000000"/>
          <w:lang w:val="en-US" w:eastAsia="en-GB"/>
        </w:rPr>
        <w:t xml:space="preserve">After unpacking the views of the UN </w:t>
      </w:r>
      <w:r w:rsidR="00200E98">
        <w:rPr>
          <w:rFonts w:ascii="Verdana" w:hAnsi="Verdana"/>
          <w:color w:val="000000"/>
          <w:lang w:val="en-US" w:eastAsia="en-GB"/>
        </w:rPr>
        <w:t xml:space="preserve">CRPD </w:t>
      </w:r>
      <w:r w:rsidRPr="00857C07">
        <w:rPr>
          <w:rFonts w:ascii="Verdana" w:hAnsi="Verdana"/>
          <w:color w:val="000000"/>
          <w:lang w:val="en-US" w:eastAsia="en-GB"/>
        </w:rPr>
        <w:t>Committee</w:t>
      </w:r>
      <w:r w:rsidR="00641788" w:rsidRPr="00857C07">
        <w:rPr>
          <w:rFonts w:ascii="Verdana" w:hAnsi="Verdana"/>
          <w:color w:val="000000"/>
          <w:lang w:val="en-US" w:eastAsia="en-GB"/>
        </w:rPr>
        <w:t>,</w:t>
      </w:r>
      <w:r w:rsidRPr="00857C07">
        <w:rPr>
          <w:rFonts w:ascii="Verdana" w:hAnsi="Verdana"/>
          <w:color w:val="000000"/>
          <w:lang w:val="en-US" w:eastAsia="en-GB"/>
        </w:rPr>
        <w:t xml:space="preserve"> the Court continues</w:t>
      </w:r>
      <w:r w:rsidR="00641788" w:rsidRPr="00857C07">
        <w:rPr>
          <w:rFonts w:ascii="Verdana" w:hAnsi="Verdana"/>
          <w:color w:val="000000"/>
          <w:lang w:val="en-US" w:eastAsia="en-GB"/>
        </w:rPr>
        <w:t>: ‘</w:t>
      </w:r>
      <w:r w:rsidRPr="00857C07">
        <w:rPr>
          <w:rFonts w:ascii="Verdana" w:hAnsi="Verdana"/>
          <w:color w:val="000000"/>
          <w:lang w:val="en-US" w:eastAsia="en-GB"/>
        </w:rPr>
        <w:t>[O]n the other hand’ the Venice Commission appears to allow more space for restrictions (than the CRPD Committee)</w:t>
      </w:r>
      <w:r w:rsidR="00200E98">
        <w:rPr>
          <w:rFonts w:ascii="Verdana" w:hAnsi="Verdana"/>
          <w:color w:val="000000"/>
          <w:lang w:val="en-US" w:eastAsia="en-GB"/>
        </w:rPr>
        <w:t>’</w:t>
      </w:r>
      <w:r w:rsidRPr="00857C07">
        <w:rPr>
          <w:rFonts w:ascii="Verdana" w:hAnsi="Verdana"/>
          <w:color w:val="000000"/>
          <w:lang w:val="en-US" w:eastAsia="en-GB"/>
        </w:rPr>
        <w:t>. It is suggested that this juxtaposition is misplaced. The views of an international treaty monitoring</w:t>
      </w:r>
      <w:r w:rsidRPr="00FB30EA">
        <w:rPr>
          <w:rFonts w:ascii="Verdana" w:hAnsi="Verdana"/>
          <w:color w:val="000000"/>
          <w:lang w:val="en-US" w:eastAsia="en-GB"/>
        </w:rPr>
        <w:t xml:space="preserve"> body are not to be placed alongside an advisory body</w:t>
      </w:r>
      <w:r w:rsidR="00A95309">
        <w:rPr>
          <w:rFonts w:ascii="Verdana" w:hAnsi="Verdana"/>
          <w:color w:val="000000"/>
          <w:lang w:val="en-US" w:eastAsia="en-GB"/>
        </w:rPr>
        <w:t>,</w:t>
      </w:r>
      <w:r w:rsidRPr="00FB30EA">
        <w:rPr>
          <w:rFonts w:ascii="Verdana" w:hAnsi="Verdana"/>
          <w:color w:val="000000"/>
          <w:lang w:val="en-US" w:eastAsia="en-GB"/>
        </w:rPr>
        <w:t xml:space="preserve"> no matter how elevated.</w:t>
      </w:r>
      <w:r w:rsidR="00857C07">
        <w:rPr>
          <w:rFonts w:ascii="Verdana" w:hAnsi="Verdana"/>
          <w:color w:val="000000"/>
          <w:lang w:val="en-US" w:eastAsia="en-GB"/>
        </w:rPr>
        <w:t xml:space="preserve"> </w:t>
      </w:r>
      <w:r w:rsidRPr="00FB30EA">
        <w:rPr>
          <w:rFonts w:ascii="Verdana" w:hAnsi="Verdana"/>
          <w:color w:val="000000"/>
          <w:lang w:val="en-US" w:eastAsia="en-GB"/>
        </w:rPr>
        <w:t>Again, when the case reaches the Grand Chamber, then hopefully some more serious treatment will b</w:t>
      </w:r>
      <w:r w:rsidR="00A95309">
        <w:rPr>
          <w:rFonts w:ascii="Verdana" w:hAnsi="Verdana"/>
          <w:color w:val="000000"/>
          <w:lang w:val="en-US" w:eastAsia="en-GB"/>
        </w:rPr>
        <w:t xml:space="preserve">e afforded to the views of the </w:t>
      </w:r>
      <w:r w:rsidR="00200E98">
        <w:rPr>
          <w:rFonts w:ascii="Verdana" w:hAnsi="Verdana"/>
          <w:color w:val="000000"/>
          <w:lang w:val="en-US" w:eastAsia="en-GB"/>
        </w:rPr>
        <w:t xml:space="preserve">CRPD </w:t>
      </w:r>
      <w:r w:rsidRPr="00FB30EA">
        <w:rPr>
          <w:rFonts w:ascii="Verdana" w:hAnsi="Verdana"/>
          <w:color w:val="000000"/>
          <w:lang w:val="en-US" w:eastAsia="en-GB"/>
        </w:rPr>
        <w:t>Committee</w:t>
      </w:r>
      <w:r w:rsidR="00A95309">
        <w:rPr>
          <w:rFonts w:ascii="Verdana" w:hAnsi="Verdana"/>
          <w:color w:val="000000"/>
          <w:lang w:val="en-US" w:eastAsia="en-GB"/>
        </w:rPr>
        <w:t>.</w:t>
      </w:r>
    </w:p>
    <w:p w:rsidR="002F580D" w:rsidRPr="00FB30EA" w:rsidRDefault="002F580D" w:rsidP="002F580D">
      <w:pPr>
        <w:rPr>
          <w:rFonts w:ascii="Verdana" w:hAnsi="Verdana"/>
          <w:color w:val="000000"/>
          <w:lang w:eastAsia="en-GB"/>
        </w:rPr>
      </w:pPr>
      <w:r w:rsidRPr="00FB30EA">
        <w:rPr>
          <w:rFonts w:ascii="Verdana" w:hAnsi="Verdana"/>
          <w:color w:val="000000"/>
          <w:lang w:val="en-US" w:eastAsia="en-GB"/>
        </w:rPr>
        <w:t> </w:t>
      </w:r>
    </w:p>
    <w:p w:rsidR="00857C07" w:rsidRPr="00857C07" w:rsidRDefault="002F580D" w:rsidP="00200E98">
      <w:pPr>
        <w:ind w:left="720"/>
        <w:rPr>
          <w:rFonts w:ascii="Verdana" w:hAnsi="Verdana"/>
          <w:color w:val="000000"/>
          <w:lang w:val="en-US" w:eastAsia="en-GB"/>
        </w:rPr>
      </w:pPr>
      <w:r w:rsidRPr="00FB30EA">
        <w:rPr>
          <w:rFonts w:ascii="Verdana" w:hAnsi="Verdana"/>
          <w:color w:val="000000"/>
          <w:lang w:val="en-US" w:eastAsia="en-GB"/>
        </w:rPr>
        <w:lastRenderedPageBreak/>
        <w:t>It is to be hoped that this case will find its way to the Grand Chamber which will then have an opportunity to frame the issues around personhood, new understandings of decision-maki</w:t>
      </w:r>
      <w:r w:rsidR="00200E98">
        <w:rPr>
          <w:rFonts w:ascii="Verdana" w:hAnsi="Verdana"/>
          <w:color w:val="000000"/>
          <w:lang w:val="en-US" w:eastAsia="en-GB"/>
        </w:rPr>
        <w:t>ng, the paradigm shift in the United Nations</w:t>
      </w:r>
      <w:r w:rsidRPr="00FB30EA">
        <w:rPr>
          <w:rFonts w:ascii="Verdana" w:hAnsi="Verdana"/>
          <w:color w:val="000000"/>
          <w:lang w:val="en-US" w:eastAsia="en-GB"/>
        </w:rPr>
        <w:t xml:space="preserve"> </w:t>
      </w:r>
      <w:hyperlink r:id="rId15" w:history="1">
        <w:r w:rsidRPr="00200E98">
          <w:rPr>
            <w:rStyle w:val="Hyperlink"/>
            <w:rFonts w:ascii="Verdana" w:hAnsi="Verdana"/>
            <w:lang w:val="en-US" w:eastAsia="en-GB"/>
          </w:rPr>
          <w:t>C</w:t>
        </w:r>
        <w:r w:rsidR="00A95309" w:rsidRPr="00200E98">
          <w:rPr>
            <w:rStyle w:val="Hyperlink"/>
            <w:rFonts w:ascii="Verdana" w:hAnsi="Verdana"/>
            <w:lang w:val="en-US" w:eastAsia="en-GB"/>
          </w:rPr>
          <w:t>onvention on the</w:t>
        </w:r>
        <w:r w:rsidR="00200E98" w:rsidRPr="00200E98">
          <w:rPr>
            <w:rStyle w:val="Hyperlink"/>
            <w:rFonts w:ascii="Verdana" w:hAnsi="Verdana"/>
            <w:lang w:val="en-US" w:eastAsia="en-GB"/>
          </w:rPr>
          <w:t xml:space="preserve"> Rights of Persons with Disabilities</w:t>
        </w:r>
      </w:hyperlink>
      <w:r w:rsidR="00A95309">
        <w:rPr>
          <w:rFonts w:ascii="Verdana" w:hAnsi="Verdana"/>
          <w:color w:val="000000"/>
          <w:lang w:val="en-US" w:eastAsia="en-GB"/>
        </w:rPr>
        <w:t xml:space="preserve"> </w:t>
      </w:r>
      <w:r w:rsidRPr="00FB30EA">
        <w:rPr>
          <w:rFonts w:ascii="Verdana" w:hAnsi="Verdana"/>
          <w:color w:val="000000"/>
          <w:lang w:val="en-US" w:eastAsia="en-GB"/>
        </w:rPr>
        <w:t>(as echoed strongly in the Decisions of its sister body the European Committee on Social Rights) and the imperatives</w:t>
      </w:r>
      <w:r w:rsidR="00641788" w:rsidRPr="00FB30EA">
        <w:rPr>
          <w:rFonts w:ascii="Verdana" w:hAnsi="Verdana"/>
          <w:color w:val="000000"/>
          <w:lang w:val="en-US" w:eastAsia="en-GB"/>
        </w:rPr>
        <w:t xml:space="preserve"> of a legitimate </w:t>
      </w:r>
      <w:bookmarkStart w:id="0" w:name="_GoBack"/>
      <w:bookmarkEnd w:id="0"/>
      <w:r w:rsidR="00641788" w:rsidRPr="00FB30EA">
        <w:rPr>
          <w:rFonts w:ascii="Verdana" w:hAnsi="Verdana"/>
          <w:color w:val="000000"/>
          <w:lang w:val="en-US" w:eastAsia="en-GB"/>
        </w:rPr>
        <w:t xml:space="preserve">democratic process. </w:t>
      </w:r>
    </w:p>
    <w:p w:rsidR="002E1F1C" w:rsidRPr="00FB30EA" w:rsidRDefault="002E1F1C">
      <w:pPr>
        <w:rPr>
          <w:rFonts w:ascii="Verdana" w:hAnsi="Verdana"/>
        </w:rPr>
      </w:pPr>
    </w:p>
    <w:p w:rsidR="00FB30EA" w:rsidRDefault="00FB30EA" w:rsidP="00FB30EA">
      <w:pPr>
        <w:pStyle w:val="NormalWeb"/>
        <w:shd w:val="clear" w:color="auto" w:fill="FFFFFF"/>
        <w:rPr>
          <w:rFonts w:ascii="Verdana" w:hAnsi="Verdana"/>
          <w:color w:val="000000"/>
          <w:sz w:val="23"/>
          <w:szCs w:val="23"/>
        </w:rPr>
      </w:pPr>
      <w:r w:rsidRPr="00D8024D">
        <w:rPr>
          <w:rStyle w:val="Emphasis"/>
          <w:rFonts w:ascii="Verdana" w:hAnsi="Verdana"/>
          <w:b/>
          <w:bCs/>
          <w:color w:val="000000"/>
          <w:sz w:val="23"/>
          <w:szCs w:val="23"/>
        </w:rPr>
        <w:t>Mr. Gerard Quinn</w:t>
      </w:r>
      <w:r w:rsidRPr="00D8024D">
        <w:rPr>
          <w:rStyle w:val="Emphasis"/>
          <w:rFonts w:ascii="Verdana" w:hAnsi="Verdana"/>
          <w:b/>
          <w:bCs/>
          <w:i w:val="0"/>
          <w:color w:val="000000"/>
          <w:sz w:val="23"/>
          <w:szCs w:val="23"/>
        </w:rPr>
        <w:t>,</w:t>
      </w:r>
      <w:hyperlink r:id="rId16" w:history="1">
        <w:r w:rsidR="00D8024D" w:rsidRPr="00D8024D">
          <w:rPr>
            <w:rStyle w:val="Hyperlink"/>
            <w:rFonts w:ascii="Verdana" w:hAnsi="Verdana"/>
            <w:bCs/>
            <w:i/>
            <w:sz w:val="23"/>
            <w:szCs w:val="23"/>
            <w:u w:val="none"/>
          </w:rPr>
          <w:t xml:space="preserve"> Special Rapporteur on the rights of persons with disabilities</w:t>
        </w:r>
      </w:hyperlink>
      <w:r w:rsidR="00D8024D" w:rsidRPr="00D8024D">
        <w:rPr>
          <w:rStyle w:val="Emphasis"/>
          <w:rFonts w:ascii="Verdana" w:hAnsi="Verdana"/>
          <w:b/>
          <w:bCs/>
          <w:i w:val="0"/>
          <w:color w:val="000000"/>
          <w:sz w:val="23"/>
          <w:szCs w:val="23"/>
        </w:rPr>
        <w:t>,</w:t>
      </w:r>
      <w:r w:rsidRPr="00D8024D">
        <w:rPr>
          <w:rStyle w:val="Emphasis"/>
          <w:rFonts w:ascii="Verdana" w:hAnsi="Verdana"/>
          <w:i w:val="0"/>
          <w:color w:val="000000"/>
          <w:sz w:val="23"/>
          <w:szCs w:val="23"/>
        </w:rPr>
        <w:t xml:space="preserve"> is part </w:t>
      </w:r>
      <w:r w:rsidRPr="00D8024D">
        <w:rPr>
          <w:rStyle w:val="Emphasis"/>
          <w:rFonts w:ascii="Verdana" w:hAnsi="Verdana"/>
          <w:color w:val="000000"/>
          <w:sz w:val="23"/>
          <w:szCs w:val="23"/>
        </w:rPr>
        <w:t>of what is known as the </w:t>
      </w:r>
      <w:hyperlink r:id="rId17" w:history="1">
        <w:r w:rsidRPr="00D8024D">
          <w:rPr>
            <w:rStyle w:val="Emphasis"/>
            <w:rFonts w:ascii="Verdana" w:hAnsi="Verdana"/>
            <w:color w:val="0000FF"/>
            <w:sz w:val="23"/>
            <w:szCs w:val="23"/>
          </w:rPr>
          <w:t>Special Procedures</w:t>
        </w:r>
        <w:r w:rsidRPr="00D8024D">
          <w:rPr>
            <w:rStyle w:val="Hyperlink"/>
            <w:rFonts w:ascii="Verdana" w:hAnsi="Verdana"/>
            <w:sz w:val="23"/>
            <w:szCs w:val="23"/>
            <w:u w:val="none"/>
          </w:rPr>
          <w:t> of the Human Rights Council</w:t>
        </w:r>
      </w:hyperlink>
      <w:r w:rsidRPr="00D8024D">
        <w:rPr>
          <w:rStyle w:val="Emphasis"/>
          <w:rFonts w:ascii="Verdana" w:hAnsi="Verdana"/>
          <w:color w:val="000000"/>
          <w:sz w:val="23"/>
          <w:szCs w:val="23"/>
        </w:rPr>
        <w:t>. Special Procedures, the largest body of independent experts in the UN Human Rights system, is the general name of the Council's independent fact-finding and monitoring mechanisms. Special Procedures mandate-holders are independent human rights experts appointed by the Human Rights Council to address either specific country situations or thematic issues in all parts of the world. They are</w:t>
      </w:r>
      <w:r>
        <w:rPr>
          <w:rStyle w:val="Emphasis"/>
          <w:rFonts w:ascii="Verdana" w:hAnsi="Verdana"/>
          <w:color w:val="000000"/>
          <w:sz w:val="23"/>
          <w:szCs w:val="23"/>
        </w:rPr>
        <w:t xml:space="preserve"> not UN staff and are independent from any government </w:t>
      </w:r>
      <w:r>
        <w:rPr>
          <w:rStyle w:val="Emphasis"/>
          <w:rFonts w:ascii="Verdana" w:hAnsi="Verdana"/>
          <w:color w:val="000000"/>
          <w:sz w:val="23"/>
          <w:szCs w:val="23"/>
        </w:rPr>
        <w:lastRenderedPageBreak/>
        <w:t>or organization. They serve in their individual capacity and do not receive a salary for their work.</w:t>
      </w:r>
    </w:p>
    <w:p w:rsidR="00FB30EA" w:rsidRPr="00200E98" w:rsidRDefault="00FB30EA" w:rsidP="00200E98">
      <w:pPr>
        <w:pStyle w:val="NormalWeb"/>
        <w:shd w:val="clear" w:color="auto" w:fill="FFFFFF"/>
        <w:rPr>
          <w:rFonts w:ascii="Verdana" w:hAnsi="Verdana"/>
          <w:color w:val="000000"/>
          <w:sz w:val="23"/>
          <w:szCs w:val="23"/>
        </w:rPr>
      </w:pPr>
      <w:r w:rsidRPr="00D8024D">
        <w:rPr>
          <w:rStyle w:val="Emphasis"/>
          <w:rFonts w:ascii="Verdana" w:hAnsi="Verdana"/>
          <w:color w:val="000000"/>
          <w:sz w:val="23"/>
          <w:szCs w:val="23"/>
        </w:rPr>
        <w:t>The</w:t>
      </w:r>
      <w:r w:rsidR="00D8024D" w:rsidRPr="00D8024D">
        <w:rPr>
          <w:rStyle w:val="Emphasis"/>
          <w:rFonts w:ascii="Verdana" w:hAnsi="Verdana"/>
          <w:color w:val="000000"/>
          <w:sz w:val="23"/>
          <w:szCs w:val="23"/>
        </w:rPr>
        <w:t xml:space="preserve"> </w:t>
      </w:r>
      <w:hyperlink r:id="rId18" w:history="1">
        <w:r w:rsidR="00D8024D" w:rsidRPr="00D8024D">
          <w:rPr>
            <w:rStyle w:val="Hyperlink"/>
            <w:rFonts w:ascii="Verdana" w:hAnsi="Verdana"/>
            <w:b/>
            <w:sz w:val="23"/>
            <w:szCs w:val="23"/>
            <w:u w:val="none"/>
          </w:rPr>
          <w:t>Committee on the Rights of Persons with Disabilities</w:t>
        </w:r>
      </w:hyperlink>
      <w:r w:rsidRPr="00D8024D">
        <w:rPr>
          <w:rStyle w:val="Strong"/>
          <w:rFonts w:ascii="Verdana" w:hAnsi="Verdana"/>
          <w:i/>
          <w:iCs/>
          <w:color w:val="000000"/>
          <w:sz w:val="23"/>
          <w:szCs w:val="23"/>
        </w:rPr>
        <w:t> </w:t>
      </w:r>
      <w:r w:rsidRPr="00D8024D">
        <w:rPr>
          <w:rStyle w:val="Emphasis"/>
          <w:rFonts w:ascii="Verdana" w:hAnsi="Verdana"/>
          <w:color w:val="000000"/>
          <w:sz w:val="23"/>
          <w:szCs w:val="23"/>
        </w:rPr>
        <w:t>monitors States parties' adherence to the</w:t>
      </w:r>
      <w:r w:rsidR="00D8024D" w:rsidRPr="00D8024D">
        <w:rPr>
          <w:rStyle w:val="Emphasis"/>
          <w:rFonts w:ascii="Verdana" w:hAnsi="Verdana"/>
          <w:color w:val="000000"/>
          <w:sz w:val="23"/>
          <w:szCs w:val="23"/>
        </w:rPr>
        <w:t xml:space="preserve"> </w:t>
      </w:r>
      <w:hyperlink r:id="rId19" w:history="1">
        <w:r w:rsidR="00D8024D" w:rsidRPr="00D8024D">
          <w:rPr>
            <w:rStyle w:val="Hyperlink"/>
            <w:rFonts w:ascii="Verdana" w:hAnsi="Verdana"/>
            <w:sz w:val="23"/>
            <w:szCs w:val="23"/>
            <w:u w:val="none"/>
          </w:rPr>
          <w:t>Convention on the Rights of Persons with Disabilities</w:t>
        </w:r>
      </w:hyperlink>
      <w:r w:rsidR="00D8024D" w:rsidRPr="00D8024D">
        <w:rPr>
          <w:rStyle w:val="Emphasis"/>
          <w:rFonts w:ascii="Verdana" w:hAnsi="Verdana"/>
          <w:color w:val="000000"/>
          <w:sz w:val="23"/>
          <w:szCs w:val="23"/>
        </w:rPr>
        <w:t>,</w:t>
      </w:r>
      <w:r w:rsidRPr="00D8024D">
        <w:rPr>
          <w:rStyle w:val="Emphasis"/>
          <w:rFonts w:ascii="Verdana" w:hAnsi="Verdana"/>
          <w:color w:val="000000"/>
          <w:sz w:val="23"/>
          <w:szCs w:val="23"/>
        </w:rPr>
        <w:t> which to date has</w:t>
      </w:r>
      <w:hyperlink r:id="rId20" w:history="1">
        <w:r w:rsidRPr="00D8024D">
          <w:rPr>
            <w:rStyle w:val="Hyperlink"/>
            <w:rFonts w:ascii="Verdana" w:hAnsi="Verdana"/>
            <w:sz w:val="23"/>
            <w:szCs w:val="23"/>
            <w:u w:val="none"/>
          </w:rPr>
          <w:t> 182 </w:t>
        </w:r>
      </w:hyperlink>
      <w:r w:rsidRPr="00D8024D">
        <w:rPr>
          <w:rStyle w:val="Emphasis"/>
          <w:rFonts w:ascii="Verdana" w:hAnsi="Verdana"/>
          <w:color w:val="000000"/>
          <w:sz w:val="23"/>
          <w:szCs w:val="23"/>
        </w:rPr>
        <w:t>States parties. The Committee is made up of </w:t>
      </w:r>
      <w:hyperlink r:id="rId21" w:history="1">
        <w:r w:rsidRPr="00D8024D">
          <w:rPr>
            <w:rStyle w:val="Hyperlink"/>
            <w:rFonts w:ascii="Verdana" w:hAnsi="Verdana"/>
            <w:sz w:val="23"/>
            <w:szCs w:val="23"/>
            <w:u w:val="none"/>
          </w:rPr>
          <w:t>18 members </w:t>
        </w:r>
      </w:hyperlink>
      <w:r w:rsidRPr="00D8024D">
        <w:rPr>
          <w:rStyle w:val="Emphasis"/>
          <w:rFonts w:ascii="Verdana" w:hAnsi="Verdana"/>
          <w:color w:val="000000"/>
          <w:sz w:val="23"/>
          <w:szCs w:val="23"/>
        </w:rPr>
        <w:t xml:space="preserve">who are independent human rights experts drawn from </w:t>
      </w:r>
      <w:r>
        <w:rPr>
          <w:rStyle w:val="Emphasis"/>
          <w:rFonts w:ascii="Verdana" w:hAnsi="Verdana"/>
          <w:color w:val="000000"/>
          <w:sz w:val="23"/>
          <w:szCs w:val="23"/>
        </w:rPr>
        <w:t>around the world, who serve in their personal capacity and not as representatives of States parties. The Committee's concluding observations are an independent assessment of States' compliance with their human rights obligations under the treaty.</w:t>
      </w:r>
    </w:p>
    <w:sectPr w:rsidR="00FB30EA" w:rsidRPr="00200E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C3"/>
    <w:rsid w:val="00200E98"/>
    <w:rsid w:val="00233FBB"/>
    <w:rsid w:val="002E1F1C"/>
    <w:rsid w:val="002F580D"/>
    <w:rsid w:val="004F107C"/>
    <w:rsid w:val="00641788"/>
    <w:rsid w:val="007F7047"/>
    <w:rsid w:val="00857C07"/>
    <w:rsid w:val="00A95309"/>
    <w:rsid w:val="00C76A5E"/>
    <w:rsid w:val="00CC35A6"/>
    <w:rsid w:val="00D8024D"/>
    <w:rsid w:val="00E106C3"/>
    <w:rsid w:val="00FB30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DEDB2"/>
  <w15:chartTrackingRefBased/>
  <w15:docId w15:val="{8CDA15E0-7BDA-4486-BD3A-7EE7B29FF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80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6A5E"/>
    <w:rPr>
      <w:color w:val="0563C1" w:themeColor="hyperlink"/>
      <w:u w:val="single"/>
    </w:rPr>
  </w:style>
  <w:style w:type="character" w:styleId="CommentReference">
    <w:name w:val="annotation reference"/>
    <w:basedOn w:val="DefaultParagraphFont"/>
    <w:uiPriority w:val="99"/>
    <w:semiHidden/>
    <w:unhideWhenUsed/>
    <w:rsid w:val="00641788"/>
    <w:rPr>
      <w:sz w:val="16"/>
      <w:szCs w:val="16"/>
    </w:rPr>
  </w:style>
  <w:style w:type="paragraph" w:styleId="CommentText">
    <w:name w:val="annotation text"/>
    <w:basedOn w:val="Normal"/>
    <w:link w:val="CommentTextChar"/>
    <w:uiPriority w:val="99"/>
    <w:semiHidden/>
    <w:unhideWhenUsed/>
    <w:rsid w:val="00641788"/>
    <w:rPr>
      <w:sz w:val="20"/>
      <w:szCs w:val="20"/>
    </w:rPr>
  </w:style>
  <w:style w:type="character" w:customStyle="1" w:styleId="CommentTextChar">
    <w:name w:val="Comment Text Char"/>
    <w:basedOn w:val="DefaultParagraphFont"/>
    <w:link w:val="CommentText"/>
    <w:uiPriority w:val="99"/>
    <w:semiHidden/>
    <w:rsid w:val="00641788"/>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641788"/>
    <w:rPr>
      <w:b/>
      <w:bCs/>
    </w:rPr>
  </w:style>
  <w:style w:type="character" w:customStyle="1" w:styleId="CommentSubjectChar">
    <w:name w:val="Comment Subject Char"/>
    <w:basedOn w:val="CommentTextChar"/>
    <w:link w:val="CommentSubject"/>
    <w:uiPriority w:val="99"/>
    <w:semiHidden/>
    <w:rsid w:val="00641788"/>
    <w:rPr>
      <w:rFonts w:ascii="Calibri" w:hAnsi="Calibri" w:cs="Calibri"/>
      <w:b/>
      <w:bCs/>
      <w:sz w:val="20"/>
      <w:szCs w:val="20"/>
    </w:rPr>
  </w:style>
  <w:style w:type="paragraph" w:styleId="BalloonText">
    <w:name w:val="Balloon Text"/>
    <w:basedOn w:val="Normal"/>
    <w:link w:val="BalloonTextChar"/>
    <w:uiPriority w:val="99"/>
    <w:semiHidden/>
    <w:unhideWhenUsed/>
    <w:rsid w:val="006417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788"/>
    <w:rPr>
      <w:rFonts w:ascii="Segoe UI" w:hAnsi="Segoe UI" w:cs="Segoe UI"/>
      <w:sz w:val="18"/>
      <w:szCs w:val="18"/>
    </w:rPr>
  </w:style>
  <w:style w:type="paragraph" w:styleId="NormalWeb">
    <w:name w:val="Normal (Web)"/>
    <w:basedOn w:val="Normal"/>
    <w:uiPriority w:val="99"/>
    <w:unhideWhenUsed/>
    <w:rsid w:val="00FB30EA"/>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B30EA"/>
    <w:rPr>
      <w:b/>
      <w:bCs/>
    </w:rPr>
  </w:style>
  <w:style w:type="character" w:styleId="Emphasis">
    <w:name w:val="Emphasis"/>
    <w:basedOn w:val="DefaultParagraphFont"/>
    <w:uiPriority w:val="20"/>
    <w:qFormat/>
    <w:rsid w:val="00FB30EA"/>
    <w:rPr>
      <w:i/>
      <w:iCs/>
    </w:rPr>
  </w:style>
  <w:style w:type="character" w:styleId="FollowedHyperlink">
    <w:name w:val="FollowedHyperlink"/>
    <w:basedOn w:val="DefaultParagraphFont"/>
    <w:uiPriority w:val="99"/>
    <w:semiHidden/>
    <w:unhideWhenUsed/>
    <w:rsid w:val="00857C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514032">
      <w:bodyDiv w:val="1"/>
      <w:marLeft w:val="0"/>
      <w:marRight w:val="0"/>
      <w:marTop w:val="0"/>
      <w:marBottom w:val="0"/>
      <w:divBdr>
        <w:top w:val="none" w:sz="0" w:space="0" w:color="auto"/>
        <w:left w:val="none" w:sz="0" w:space="0" w:color="auto"/>
        <w:bottom w:val="none" w:sz="0" w:space="0" w:color="auto"/>
        <w:right w:val="none" w:sz="0" w:space="0" w:color="auto"/>
      </w:divBdr>
    </w:div>
    <w:div w:id="184427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EN/HRBodies/CRPD/Pages/CRPDIndex.aspx" TargetMode="External"/><Relationship Id="rId13" Type="http://schemas.openxmlformats.org/officeDocument/2006/relationships/hyperlink" Target="https://www.echr.coe.int/documents/convention_eng.pdf" TargetMode="External"/><Relationship Id="rId18" Type="http://schemas.openxmlformats.org/officeDocument/2006/relationships/hyperlink" Target="https://www.ohchr.org/en/hrbodies/crpd/pages/crpdindex.aspx" TargetMode="External"/><Relationship Id="rId3" Type="http://schemas.openxmlformats.org/officeDocument/2006/relationships/customXml" Target="../customXml/item3.xml"/><Relationship Id="rId21" Type="http://schemas.openxmlformats.org/officeDocument/2006/relationships/hyperlink" Target="https://www.ohchr.org/EN/HRBodies/CRPD/Pages/Membership.aspx" TargetMode="External"/><Relationship Id="rId7" Type="http://schemas.openxmlformats.org/officeDocument/2006/relationships/hyperlink" Target="http://www.ohchr.org/EN/Issues/Disability/SRDisabilities/Pages/SRDisabilitiesIndex.aspx" TargetMode="External"/><Relationship Id="rId12" Type="http://schemas.openxmlformats.org/officeDocument/2006/relationships/hyperlink" Target="https://www.worldbank.org/content/dam/Worldbank/Publications/WDR/WDR%202015/WDR-2015-Full-Report.pdf" TargetMode="External"/><Relationship Id="rId17" Type="http://schemas.openxmlformats.org/officeDocument/2006/relationships/hyperlink" Target="https://www.ohchr.org/EN/HRBodies/SP/Pages/Welcomepage.aspx" TargetMode="External"/><Relationship Id="rId2" Type="http://schemas.openxmlformats.org/officeDocument/2006/relationships/customXml" Target="../customXml/item2.xml"/><Relationship Id="rId16" Type="http://schemas.openxmlformats.org/officeDocument/2006/relationships/hyperlink" Target="https://www.ohchr.org/en/issues/disability/srdisabilities/pages/srdisabilitiesindex.aspx" TargetMode="External"/><Relationship Id="rId20" Type="http://schemas.openxmlformats.org/officeDocument/2006/relationships/hyperlink" Target="https://treaties.un.org/Pages/ViewDetails.aspx?src=TREATY&amp;mtdsg_no=IV-15&amp;chapter=4&amp;clang=_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e.int/en/web/european-social-charter/-/the-decision-on-the-merits-of-the-complaint-international-federation-for-human-rights-fidh-and-inclusion-europe-v-belgium-no-141-2017-is-now-public" TargetMode="External"/><Relationship Id="rId5" Type="http://schemas.openxmlformats.org/officeDocument/2006/relationships/settings" Target="settings.xml"/><Relationship Id="rId15" Type="http://schemas.openxmlformats.org/officeDocument/2006/relationships/hyperlink" Target="https://www.ohchr.org/Documents/Issues/Disability/SR_Disability/Convention%20on%20the%20Rights%20of%20Persons%20with%20Disabilities" TargetMode="External"/><Relationship Id="rId23" Type="http://schemas.openxmlformats.org/officeDocument/2006/relationships/theme" Target="theme/theme1.xml"/><Relationship Id="rId10" Type="http://schemas.openxmlformats.org/officeDocument/2006/relationships/hyperlink" Target="https://www.coe.int/en/web/european-social-charter/european-committee-of-social-rights" TargetMode="External"/><Relationship Id="rId19" Type="http://schemas.openxmlformats.org/officeDocument/2006/relationships/hyperlink" Target="https://www.ohchr.org/EN/HRBodies/CRPD/Pages/ConventionRightsPersonsWithDisabilities.aspx" TargetMode="External"/><Relationship Id="rId4" Type="http://schemas.openxmlformats.org/officeDocument/2006/relationships/styles" Target="styles.xml"/><Relationship Id="rId9" Type="http://schemas.openxmlformats.org/officeDocument/2006/relationships/hyperlink" Target="https://hudoc.echr.coe.int/eng?i=001-207667" TargetMode="External"/><Relationship Id="rId14" Type="http://schemas.openxmlformats.org/officeDocument/2006/relationships/hyperlink" Target="https://fra.europa.eu/sites/default/files/fra-2014-right-political-participation-persons-disabilities_en.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FF2BD70-F1A1-4255-A7A7-F14E64156E92}">
  <ds:schemaRefs>
    <ds:schemaRef ds:uri="http://schemas.microsoft.com/sharepoint/v3/contenttype/forms"/>
  </ds:schemaRefs>
</ds:datastoreItem>
</file>

<file path=customXml/itemProps2.xml><?xml version="1.0" encoding="utf-8"?>
<ds:datastoreItem xmlns:ds="http://schemas.openxmlformats.org/officeDocument/2006/customXml" ds:itemID="{DDAA86C4-FA9A-4455-BB26-2C9AEE73B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ED5877-6C07-4A14-A4BD-50996662F98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1411</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FORCIGNANO Veronica</dc:creator>
  <cp:keywords/>
  <dc:description/>
  <cp:lastModifiedBy>FORCIGNANO Veronica</cp:lastModifiedBy>
  <cp:revision>3</cp:revision>
  <dcterms:created xsi:type="dcterms:W3CDTF">2021-02-26T15:12:00Z</dcterms:created>
  <dcterms:modified xsi:type="dcterms:W3CDTF">2021-02-26T15:12:00Z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