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7D118" w14:textId="77777777" w:rsidR="00245237" w:rsidRDefault="00AC7D05" w:rsidP="00AC7D05">
      <w:pPr>
        <w:jc w:val="center"/>
        <w:rPr>
          <w:rFonts w:ascii="Times New Roman" w:hAnsi="Times New Roman" w:cs="Times New Roman"/>
          <w:b/>
          <w:sz w:val="22"/>
          <w:szCs w:val="22"/>
        </w:rPr>
      </w:pPr>
      <w:r w:rsidRPr="00AF5BF6">
        <w:rPr>
          <w:rFonts w:ascii="Times New Roman" w:hAnsi="Times New Roman" w:cs="Times New Roman"/>
          <w:b/>
          <w:sz w:val="22"/>
          <w:szCs w:val="22"/>
        </w:rPr>
        <w:t>Annex D – India</w:t>
      </w:r>
    </w:p>
    <w:p w14:paraId="5E5D4B8D" w14:textId="77777777" w:rsidR="00AF5BF6" w:rsidRDefault="00AF5BF6" w:rsidP="00AC7D05">
      <w:pPr>
        <w:jc w:val="center"/>
        <w:rPr>
          <w:rFonts w:ascii="Times New Roman" w:hAnsi="Times New Roman" w:cs="Times New Roman"/>
          <w:b/>
          <w:sz w:val="22"/>
          <w:szCs w:val="22"/>
        </w:rPr>
      </w:pPr>
    </w:p>
    <w:p w14:paraId="3C284527" w14:textId="77777777" w:rsidR="00AF5BF6" w:rsidRPr="00AF5BF6" w:rsidRDefault="00AF5BF6" w:rsidP="00AC7D05">
      <w:pPr>
        <w:jc w:val="center"/>
        <w:rPr>
          <w:rFonts w:ascii="Times New Roman" w:hAnsi="Times New Roman" w:cs="Times New Roman"/>
          <w:b/>
          <w:i/>
          <w:sz w:val="22"/>
          <w:szCs w:val="22"/>
        </w:rPr>
      </w:pPr>
      <w:r>
        <w:rPr>
          <w:rFonts w:ascii="Times New Roman" w:hAnsi="Times New Roman" w:cs="Times New Roman"/>
          <w:b/>
          <w:i/>
          <w:sz w:val="22"/>
          <w:szCs w:val="22"/>
        </w:rPr>
        <w:t xml:space="preserve">This information was compiled by </w:t>
      </w:r>
      <w:bookmarkStart w:id="0" w:name="_GoBack"/>
      <w:r>
        <w:rPr>
          <w:rFonts w:ascii="Times New Roman" w:hAnsi="Times New Roman" w:cs="Times New Roman"/>
          <w:b/>
          <w:i/>
          <w:sz w:val="22"/>
          <w:szCs w:val="22"/>
        </w:rPr>
        <w:t>Shanta Memorial Rehabilitation Centre</w:t>
      </w:r>
      <w:bookmarkEnd w:id="0"/>
      <w:r>
        <w:rPr>
          <w:rFonts w:ascii="Times New Roman" w:hAnsi="Times New Roman" w:cs="Times New Roman"/>
          <w:b/>
          <w:i/>
          <w:sz w:val="22"/>
          <w:szCs w:val="22"/>
        </w:rPr>
        <w:t>, Women with Disabilities India Network, and Women Enabled International.</w:t>
      </w:r>
    </w:p>
    <w:p w14:paraId="6FF1B657" w14:textId="77777777" w:rsidR="00AC7D05" w:rsidRPr="00AF5BF6" w:rsidRDefault="00AC7D05">
      <w:pPr>
        <w:rPr>
          <w:rFonts w:ascii="Times New Roman" w:hAnsi="Times New Roman" w:cs="Times New Roman"/>
          <w:sz w:val="22"/>
          <w:szCs w:val="22"/>
        </w:rPr>
      </w:pPr>
    </w:p>
    <w:p w14:paraId="26ED2B42" w14:textId="77777777" w:rsidR="00AC7D05" w:rsidRPr="00AF5BF6" w:rsidRDefault="00AC7D05" w:rsidP="00AC7D05">
      <w:pPr>
        <w:tabs>
          <w:tab w:val="left" w:pos="7380"/>
        </w:tabs>
        <w:jc w:val="both"/>
        <w:rPr>
          <w:rFonts w:ascii="Times New Roman" w:hAnsi="Times New Roman" w:cs="Times New Roman"/>
          <w:i/>
          <w:sz w:val="22"/>
          <w:szCs w:val="22"/>
        </w:rPr>
      </w:pPr>
      <w:r w:rsidRPr="00AF5BF6">
        <w:rPr>
          <w:rFonts w:ascii="Times New Roman" w:hAnsi="Times New Roman" w:cs="Times New Roman"/>
          <w:i/>
          <w:sz w:val="22"/>
          <w:szCs w:val="22"/>
        </w:rPr>
        <w:t>Violations of Sexual and Reproductive Rights</w:t>
      </w:r>
    </w:p>
    <w:p w14:paraId="73A13BFF" w14:textId="77777777" w:rsidR="00AC7D05" w:rsidRPr="00AF5BF6" w:rsidRDefault="00AC7D05" w:rsidP="00AC7D05">
      <w:pPr>
        <w:jc w:val="both"/>
        <w:rPr>
          <w:rFonts w:ascii="Times New Roman" w:hAnsi="Times New Roman" w:cs="Times New Roman"/>
          <w:i/>
          <w:sz w:val="22"/>
          <w:szCs w:val="22"/>
        </w:rPr>
      </w:pPr>
    </w:p>
    <w:p w14:paraId="0B87883F" w14:textId="77777777" w:rsidR="00AC7D05" w:rsidRPr="00AF5BF6" w:rsidRDefault="00AC7D05" w:rsidP="00AC7D05">
      <w:pPr>
        <w:jc w:val="both"/>
        <w:rPr>
          <w:rFonts w:ascii="Times New Roman" w:hAnsi="Times New Roman" w:cs="Times New Roman"/>
          <w:sz w:val="22"/>
          <w:szCs w:val="22"/>
        </w:rPr>
      </w:pPr>
      <w:r w:rsidRPr="00AF5BF6">
        <w:rPr>
          <w:rFonts w:ascii="Times New Roman" w:hAnsi="Times New Roman" w:cs="Times New Roman"/>
          <w:sz w:val="22"/>
          <w:szCs w:val="22"/>
        </w:rPr>
        <w:t>Women with disabilities worldwide face a wide range of unique human rights abuses in sexual and reproductive health care settings, due to both their gender and disability. Stereotypes about women with disabilities mean they are disproportionately subjected to practices such as forced or coerced sterilization, contraception, and abortion.</w:t>
      </w:r>
      <w:r w:rsidRPr="00AF5BF6">
        <w:rPr>
          <w:rStyle w:val="EndnoteReference"/>
          <w:rFonts w:ascii="Times New Roman" w:hAnsi="Times New Roman" w:cs="Times New Roman"/>
          <w:sz w:val="22"/>
          <w:szCs w:val="22"/>
        </w:rPr>
        <w:endnoteReference w:id="1"/>
      </w:r>
      <w:r w:rsidRPr="00AF5BF6">
        <w:rPr>
          <w:rFonts w:ascii="Times New Roman" w:hAnsi="Times New Roman" w:cs="Times New Roman"/>
          <w:sz w:val="22"/>
          <w:szCs w:val="22"/>
        </w:rPr>
        <w:t xml:space="preserve"> In its General Comment No. 3 on women with disabilities, the CRPD Committee recognized that “[i]n practice, the choices of women with disabilities, especially women with psychosocial or intellectual disabilities are often ignored, [and] their decisions are often substituted by third parties, including legal representatives, service providers, guardians and family members.”</w:t>
      </w:r>
      <w:r w:rsidRPr="00AF5BF6">
        <w:rPr>
          <w:rStyle w:val="EndnoteReference"/>
          <w:rFonts w:ascii="Times New Roman" w:hAnsi="Times New Roman" w:cs="Times New Roman"/>
          <w:sz w:val="22"/>
          <w:szCs w:val="22"/>
        </w:rPr>
        <w:endnoteReference w:id="2"/>
      </w:r>
      <w:r w:rsidRPr="00AF5BF6">
        <w:rPr>
          <w:rFonts w:ascii="Times New Roman" w:hAnsi="Times New Roman" w:cs="Times New Roman"/>
          <w:sz w:val="22"/>
          <w:szCs w:val="22"/>
        </w:rPr>
        <w:t xml:space="preserve"> When women with disabilities are deprived of legal capacity, this can “facilitate forced interventions, such as: sterilisation, abortion, [and] contraception…”</w:t>
      </w:r>
      <w:r w:rsidRPr="00AF5BF6">
        <w:rPr>
          <w:rStyle w:val="EndnoteReference"/>
          <w:rFonts w:ascii="Times New Roman" w:hAnsi="Times New Roman" w:cs="Times New Roman"/>
          <w:sz w:val="22"/>
          <w:szCs w:val="22"/>
        </w:rPr>
        <w:endnoteReference w:id="3"/>
      </w:r>
      <w:r w:rsidRPr="00AF5BF6">
        <w:rPr>
          <w:rFonts w:ascii="Times New Roman" w:hAnsi="Times New Roman" w:cs="Times New Roman"/>
          <w:sz w:val="22"/>
          <w:szCs w:val="22"/>
        </w:rPr>
        <w:t xml:space="preserve"> These practices are frequently based on false and discriminatory assumptions about the sexuality and ability of women with disabilities to parent or are based on the desire to control their menstrual cycles</w:t>
      </w:r>
      <w:r w:rsidRPr="00AF5BF6">
        <w:rPr>
          <w:rStyle w:val="EndnoteReference"/>
          <w:rFonts w:ascii="Times New Roman" w:hAnsi="Times New Roman" w:cs="Times New Roman"/>
          <w:sz w:val="22"/>
          <w:szCs w:val="22"/>
        </w:rPr>
        <w:endnoteReference w:id="4"/>
      </w:r>
      <w:r w:rsidRPr="00AF5BF6">
        <w:rPr>
          <w:rFonts w:ascii="Times New Roman" w:hAnsi="Times New Roman" w:cs="Times New Roman"/>
          <w:sz w:val="22"/>
          <w:szCs w:val="22"/>
        </w:rPr>
        <w:t xml:space="preserve"> and are also considered severe human rights violations, including forms of torture or ill-treatment.</w:t>
      </w:r>
      <w:r w:rsidRPr="00AF5BF6">
        <w:rPr>
          <w:rStyle w:val="EndnoteReference"/>
          <w:rFonts w:ascii="Times New Roman" w:hAnsi="Times New Roman" w:cs="Times New Roman"/>
          <w:sz w:val="22"/>
          <w:szCs w:val="22"/>
        </w:rPr>
        <w:endnoteReference w:id="5"/>
      </w:r>
    </w:p>
    <w:p w14:paraId="69828DDC" w14:textId="77777777" w:rsidR="00AC7D05" w:rsidRPr="00AF5BF6" w:rsidRDefault="00AC7D05" w:rsidP="00AC7D05">
      <w:pPr>
        <w:jc w:val="both"/>
        <w:rPr>
          <w:rFonts w:ascii="Times New Roman" w:hAnsi="Times New Roman" w:cs="Times New Roman"/>
          <w:sz w:val="22"/>
          <w:szCs w:val="22"/>
        </w:rPr>
      </w:pPr>
    </w:p>
    <w:p w14:paraId="50891ADF" w14:textId="77777777" w:rsidR="00AC7D05" w:rsidRPr="00AF5BF6" w:rsidRDefault="00AC7D05" w:rsidP="00AC7D05">
      <w:pPr>
        <w:jc w:val="both"/>
        <w:rPr>
          <w:rFonts w:ascii="Times New Roman" w:hAnsi="Times New Roman" w:cs="Times New Roman"/>
          <w:sz w:val="22"/>
          <w:szCs w:val="22"/>
        </w:rPr>
      </w:pPr>
      <w:r w:rsidRPr="00AF5BF6">
        <w:rPr>
          <w:rFonts w:ascii="Times New Roman" w:hAnsi="Times New Roman" w:cs="Times New Roman"/>
          <w:sz w:val="22"/>
          <w:szCs w:val="22"/>
        </w:rPr>
        <w:t>Although in rare cases it may be reversible, female sterilization is considered a permanent form of contraception, meaning that women who undergo sterilization will not be able to have children.</w:t>
      </w:r>
      <w:r w:rsidRPr="00AF5BF6">
        <w:rPr>
          <w:rStyle w:val="EndnoteReference"/>
          <w:rFonts w:ascii="Times New Roman" w:hAnsi="Times New Roman" w:cs="Times New Roman"/>
          <w:sz w:val="22"/>
          <w:szCs w:val="22"/>
        </w:rPr>
        <w:endnoteReference w:id="6"/>
      </w:r>
      <w:r w:rsidRPr="00AF5BF6">
        <w:rPr>
          <w:rFonts w:ascii="Times New Roman" w:hAnsi="Times New Roman" w:cs="Times New Roman"/>
          <w:sz w:val="22"/>
          <w:szCs w:val="22"/>
        </w:rPr>
        <w:t xml:space="preserve"> In India, women with disabilities have historically been subjected to forced or coerced sterilization, due to disability-based stereotypes as well as state population policies, and forced sterilization of women with disabilities within institutions and by family is still common in India, even though it has been recognized as a human rights violation.</w:t>
      </w:r>
      <w:r w:rsidRPr="00AF5BF6">
        <w:rPr>
          <w:rStyle w:val="EndnoteReference"/>
          <w:rFonts w:ascii="Times New Roman" w:hAnsi="Times New Roman" w:cs="Times New Roman"/>
          <w:sz w:val="22"/>
          <w:szCs w:val="22"/>
        </w:rPr>
        <w:endnoteReference w:id="7"/>
      </w:r>
      <w:r w:rsidRPr="00AF5BF6">
        <w:rPr>
          <w:rFonts w:ascii="Times New Roman" w:hAnsi="Times New Roman" w:cs="Times New Roman"/>
          <w:sz w:val="22"/>
          <w:szCs w:val="22"/>
        </w:rPr>
        <w:t xml:space="preserve"> For instance, there are several reports from the 1990s of women and girls undergoing forced sterilizations in institutions in India.</w:t>
      </w:r>
      <w:r w:rsidRPr="00AF5BF6">
        <w:rPr>
          <w:rStyle w:val="EndnoteReference"/>
          <w:rFonts w:ascii="Times New Roman" w:hAnsi="Times New Roman" w:cs="Times New Roman"/>
          <w:sz w:val="22"/>
          <w:szCs w:val="22"/>
        </w:rPr>
        <w:endnoteReference w:id="8"/>
      </w:r>
      <w:r w:rsidRPr="00AF5BF6">
        <w:rPr>
          <w:rFonts w:ascii="Times New Roman" w:hAnsi="Times New Roman" w:cs="Times New Roman"/>
          <w:sz w:val="22"/>
          <w:szCs w:val="22"/>
        </w:rPr>
        <w:t xml:space="preserve"> Furthermore, as recently as 2008, the government of Maharashtra supported a policy of forcibly sterilizing “mentally challenged” women and girls in institutions as a means of ensuring “menstrual hygiene” or the elimination of periods.</w:t>
      </w:r>
      <w:r w:rsidRPr="00AF5BF6">
        <w:rPr>
          <w:rStyle w:val="EndnoteReference"/>
          <w:rFonts w:ascii="Times New Roman" w:hAnsi="Times New Roman" w:cs="Times New Roman"/>
          <w:sz w:val="22"/>
          <w:szCs w:val="22"/>
        </w:rPr>
        <w:endnoteReference w:id="9"/>
      </w:r>
      <w:r w:rsidRPr="00AF5BF6">
        <w:rPr>
          <w:rFonts w:ascii="Times New Roman" w:hAnsi="Times New Roman" w:cs="Times New Roman"/>
          <w:sz w:val="22"/>
          <w:szCs w:val="22"/>
        </w:rPr>
        <w:t xml:space="preserve"> There is no existing legal provision that prohibits non-consensual sterilization, and in recent years, sterilization methods using certain drugs has been tested on a large scale instead of teaching women with disabilities to manage menstrual hygiene and ensuring that they are protected from rape.</w:t>
      </w:r>
      <w:r w:rsidRPr="00AF5BF6">
        <w:rPr>
          <w:rStyle w:val="EndnoteReference"/>
          <w:rFonts w:ascii="Times New Roman" w:hAnsi="Times New Roman" w:cs="Times New Roman"/>
          <w:sz w:val="22"/>
          <w:szCs w:val="22"/>
        </w:rPr>
        <w:endnoteReference w:id="10"/>
      </w:r>
      <w:r w:rsidRPr="00AF5BF6">
        <w:rPr>
          <w:rFonts w:ascii="Times New Roman" w:hAnsi="Times New Roman" w:cs="Times New Roman"/>
          <w:sz w:val="22"/>
          <w:szCs w:val="22"/>
        </w:rPr>
        <w:t xml:space="preserve"> Indeed, although the CEDAW Committee recognized in its 2014 review of India that “women with intellectual disabilities can be sterilized without their consent,” in violation of CEDAW, India has not yet remedied this violation.</w:t>
      </w:r>
      <w:r w:rsidRPr="00AF5BF6">
        <w:rPr>
          <w:rStyle w:val="EndnoteReference"/>
          <w:rFonts w:ascii="Times New Roman" w:hAnsi="Times New Roman" w:cs="Times New Roman"/>
          <w:sz w:val="22"/>
          <w:szCs w:val="22"/>
        </w:rPr>
        <w:endnoteReference w:id="11"/>
      </w:r>
      <w:r w:rsidRPr="00AF5BF6">
        <w:rPr>
          <w:rFonts w:ascii="Times New Roman" w:hAnsi="Times New Roman" w:cs="Times New Roman"/>
          <w:sz w:val="22"/>
          <w:szCs w:val="22"/>
        </w:rPr>
        <w:t xml:space="preserve"> </w:t>
      </w:r>
    </w:p>
    <w:p w14:paraId="36D8B0B5" w14:textId="77777777" w:rsidR="00AC7D05" w:rsidRPr="00AF5BF6" w:rsidRDefault="00AC7D05" w:rsidP="00AC7D05">
      <w:pPr>
        <w:jc w:val="both"/>
        <w:rPr>
          <w:rFonts w:ascii="Times New Roman" w:hAnsi="Times New Roman" w:cs="Times New Roman"/>
          <w:sz w:val="22"/>
          <w:szCs w:val="22"/>
        </w:rPr>
      </w:pPr>
    </w:p>
    <w:p w14:paraId="31FFE579" w14:textId="77777777" w:rsidR="00AC7D05" w:rsidRPr="00AF5BF6" w:rsidRDefault="00AC7D05" w:rsidP="00AC7D05">
      <w:pPr>
        <w:jc w:val="both"/>
        <w:rPr>
          <w:rFonts w:ascii="Times New Roman" w:hAnsi="Times New Roman" w:cs="Times New Roman"/>
          <w:sz w:val="22"/>
          <w:szCs w:val="22"/>
        </w:rPr>
      </w:pPr>
      <w:r w:rsidRPr="00AF5BF6">
        <w:rPr>
          <w:rFonts w:ascii="Times New Roman" w:hAnsi="Times New Roman" w:cs="Times New Roman"/>
          <w:sz w:val="22"/>
          <w:szCs w:val="22"/>
        </w:rPr>
        <w:t>In 2006, the Ministry of Health issued guidelines for the sterilization of all men and women in India.</w:t>
      </w:r>
      <w:r w:rsidRPr="00AF5BF6">
        <w:rPr>
          <w:rStyle w:val="EndnoteReference"/>
          <w:rFonts w:ascii="Times New Roman" w:hAnsi="Times New Roman" w:cs="Times New Roman"/>
          <w:sz w:val="22"/>
          <w:szCs w:val="22"/>
        </w:rPr>
        <w:endnoteReference w:id="12"/>
      </w:r>
      <w:r w:rsidRPr="00AF5BF6">
        <w:rPr>
          <w:rFonts w:ascii="Times New Roman" w:hAnsi="Times New Roman" w:cs="Times New Roman"/>
          <w:sz w:val="22"/>
          <w:szCs w:val="22"/>
        </w:rPr>
        <w:t xml:space="preserve"> Under these guidelines, for sterilization to be performed, the guidelines provide that women must be “of sound state of mind so as to understand the full implications of sterilization,” and women with psychosocial disabilities “must be certified by a psychiatrist, and a statement should be given by the legal guardian/spouse regarding the soundness of the client’s state of mind.”</w:t>
      </w:r>
      <w:r w:rsidRPr="00AF5BF6">
        <w:rPr>
          <w:rStyle w:val="EndnoteReference"/>
          <w:rFonts w:ascii="Times New Roman" w:hAnsi="Times New Roman" w:cs="Times New Roman"/>
          <w:sz w:val="22"/>
          <w:szCs w:val="22"/>
        </w:rPr>
        <w:endnoteReference w:id="13"/>
      </w:r>
      <w:r w:rsidRPr="00AF5BF6">
        <w:rPr>
          <w:rFonts w:ascii="Times New Roman" w:hAnsi="Times New Roman" w:cs="Times New Roman"/>
          <w:sz w:val="22"/>
          <w:szCs w:val="22"/>
        </w:rPr>
        <w:t xml:space="preserve"> However, abuses may still result when women with disabilities, particularly intellectual and psychosocial disabilities, are stripped of legal capacity or otherwise denied reasonable accommodations. Concerning informed consent, the guidelines indicate that the client must sign a consent form before surgery, and that spousal consent is not needed for sterilization, though the guidelines do not comment on guardian consent. While the “informed consent” form requires confirmation that information about the procedure has been read out and explained to the person concerned in their preferred language, it does not require confirmation that support and reasonable accommodation has been given to persons with disabilities in order to ensure their full and informed consent.</w:t>
      </w:r>
      <w:r w:rsidRPr="00AF5BF6">
        <w:rPr>
          <w:rStyle w:val="EndnoteReference"/>
          <w:rFonts w:ascii="Times New Roman" w:hAnsi="Times New Roman" w:cs="Times New Roman"/>
          <w:sz w:val="22"/>
          <w:szCs w:val="22"/>
        </w:rPr>
        <w:endnoteReference w:id="14"/>
      </w:r>
      <w:r w:rsidRPr="00AF5BF6">
        <w:rPr>
          <w:rFonts w:ascii="Times New Roman" w:hAnsi="Times New Roman" w:cs="Times New Roman"/>
          <w:sz w:val="22"/>
          <w:szCs w:val="22"/>
        </w:rPr>
        <w:t xml:space="preserve"> In the absence of guarantees for reasonable accommodations and a specific bar on substituted decision-making, it may still be possible for women and girls with disabilities to be sterilized without their consent and with only the consent of a guardian or parent, a situation that does not conform to </w:t>
      </w:r>
      <w:r w:rsidRPr="00AF5BF6">
        <w:rPr>
          <w:rFonts w:ascii="Times New Roman" w:hAnsi="Times New Roman" w:cs="Times New Roman"/>
          <w:sz w:val="22"/>
          <w:szCs w:val="22"/>
        </w:rPr>
        <w:lastRenderedPageBreak/>
        <w:t>international medical ethics standards from the International Federation of Gynecology and Obstetrics (FIGO).</w:t>
      </w:r>
      <w:r w:rsidRPr="00AF5BF6">
        <w:rPr>
          <w:rStyle w:val="EndnoteReference"/>
          <w:rFonts w:ascii="Times New Roman" w:hAnsi="Times New Roman" w:cs="Times New Roman"/>
          <w:sz w:val="22"/>
          <w:szCs w:val="22"/>
        </w:rPr>
        <w:endnoteReference w:id="15"/>
      </w:r>
      <w:r w:rsidRPr="00AF5BF6">
        <w:rPr>
          <w:rFonts w:ascii="Times New Roman" w:hAnsi="Times New Roman" w:cs="Times New Roman"/>
          <w:sz w:val="22"/>
          <w:szCs w:val="22"/>
        </w:rPr>
        <w:t xml:space="preserve"> </w:t>
      </w:r>
    </w:p>
    <w:p w14:paraId="41132501" w14:textId="77777777" w:rsidR="00AC7D05" w:rsidRPr="00AF5BF6" w:rsidRDefault="00AC7D05" w:rsidP="00AC7D05">
      <w:pPr>
        <w:jc w:val="both"/>
        <w:rPr>
          <w:rFonts w:ascii="Times New Roman" w:hAnsi="Times New Roman" w:cs="Times New Roman"/>
          <w:sz w:val="22"/>
          <w:szCs w:val="22"/>
        </w:rPr>
      </w:pPr>
    </w:p>
    <w:p w14:paraId="167F6D3C" w14:textId="77777777" w:rsidR="00AC7D05" w:rsidRPr="00AF5BF6" w:rsidRDefault="00AC7D05" w:rsidP="00AC7D05">
      <w:pPr>
        <w:jc w:val="both"/>
        <w:rPr>
          <w:rFonts w:ascii="Times New Roman" w:hAnsi="Times New Roman" w:cs="Times New Roman"/>
          <w:sz w:val="22"/>
          <w:szCs w:val="22"/>
        </w:rPr>
      </w:pPr>
      <w:r w:rsidRPr="00AF5BF6">
        <w:rPr>
          <w:rFonts w:ascii="Times New Roman" w:hAnsi="Times New Roman" w:cs="Times New Roman"/>
          <w:sz w:val="22"/>
          <w:szCs w:val="22"/>
        </w:rPr>
        <w:t>Additionally, under the Medical Termination of Pregnancy Act, 1971 (as amended in 2002), guardians can consent to abortions for women with psychosocial disabilities, leading to forced abortions.</w:t>
      </w:r>
      <w:r w:rsidRPr="00AF5BF6">
        <w:rPr>
          <w:rStyle w:val="EndnoteReference"/>
          <w:rFonts w:ascii="Times New Roman" w:hAnsi="Times New Roman" w:cs="Times New Roman"/>
          <w:sz w:val="22"/>
          <w:szCs w:val="22"/>
        </w:rPr>
        <w:endnoteReference w:id="16"/>
      </w:r>
      <w:r w:rsidRPr="00AF5BF6">
        <w:rPr>
          <w:rFonts w:ascii="Times New Roman" w:hAnsi="Times New Roman" w:cs="Times New Roman"/>
          <w:sz w:val="22"/>
          <w:szCs w:val="22"/>
        </w:rPr>
        <w:t xml:space="preserve"> Although the Supreme Court of India in 2009 found that guardians of women with “mild to moderate” intellectual disabilities cannot similarly provide consent to abortion on behalf of their wards, the Court did not strike down the provisions of the Medical Termination of Pregnancy Act, 1971, that allow for forced abortion of women with psychosocial disabilities. The Court in fact distinguished between psychosocial and intellectual disabilities, stating that, as per the law, a guardian could still provide consent for terminating pregnancies of women with psychosocial disabilities.</w:t>
      </w:r>
      <w:r w:rsidRPr="00AF5BF6">
        <w:rPr>
          <w:rStyle w:val="EndnoteReference"/>
          <w:rFonts w:ascii="Times New Roman" w:hAnsi="Times New Roman" w:cs="Times New Roman"/>
          <w:sz w:val="22"/>
          <w:szCs w:val="22"/>
        </w:rPr>
        <w:endnoteReference w:id="17"/>
      </w:r>
      <w:r w:rsidRPr="00AF5BF6">
        <w:rPr>
          <w:rFonts w:ascii="Times New Roman" w:hAnsi="Times New Roman" w:cs="Times New Roman"/>
          <w:sz w:val="22"/>
          <w:szCs w:val="22"/>
        </w:rPr>
        <w:t xml:space="preserve"> </w:t>
      </w:r>
    </w:p>
    <w:p w14:paraId="318E506B" w14:textId="77777777" w:rsidR="00AC7D05" w:rsidRPr="00AF5BF6" w:rsidRDefault="00AC7D05">
      <w:pPr>
        <w:rPr>
          <w:rFonts w:ascii="Times New Roman" w:hAnsi="Times New Roman" w:cs="Times New Roman"/>
          <w:sz w:val="22"/>
          <w:szCs w:val="22"/>
        </w:rPr>
      </w:pPr>
    </w:p>
    <w:sectPr w:rsidR="00AC7D05" w:rsidRPr="00AF5BF6" w:rsidSect="00222C25">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5F46C" w14:textId="77777777" w:rsidR="00FC34B6" w:rsidRDefault="00FC34B6" w:rsidP="00AC7D05">
      <w:r>
        <w:separator/>
      </w:r>
    </w:p>
  </w:endnote>
  <w:endnote w:type="continuationSeparator" w:id="0">
    <w:p w14:paraId="5F2502F8" w14:textId="77777777" w:rsidR="00FC34B6" w:rsidRDefault="00FC34B6" w:rsidP="00AC7D05">
      <w:r>
        <w:continuationSeparator/>
      </w:r>
    </w:p>
  </w:endnote>
  <w:endnote w:id="1">
    <w:p w14:paraId="67A2BC67" w14:textId="6E9D2114"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t>
      </w:r>
      <w:r w:rsidR="00B54A9C" w:rsidRPr="00B54A9C">
        <w:rPr>
          <w:rFonts w:cs="Times New Roman"/>
          <w:sz w:val="20"/>
          <w:szCs w:val="20"/>
        </w:rPr>
        <w:t xml:space="preserve">UN Special Rapporteur on Violence against Women, </w:t>
      </w:r>
      <w:r w:rsidR="00B54A9C" w:rsidRPr="00B54A9C">
        <w:rPr>
          <w:rFonts w:cs="Times New Roman"/>
          <w:i/>
          <w:sz w:val="20"/>
          <w:szCs w:val="20"/>
        </w:rPr>
        <w:t>Report of the Special Rapporteur on violence against women, its causes and consequences</w:t>
      </w:r>
      <w:r w:rsidR="00B54A9C" w:rsidRPr="00B54A9C">
        <w:rPr>
          <w:rFonts w:cs="Times New Roman"/>
          <w:sz w:val="20"/>
          <w:szCs w:val="20"/>
        </w:rPr>
        <w:t>,</w:t>
      </w:r>
      <w:r w:rsidR="00B54A9C" w:rsidRPr="00B54A9C">
        <w:rPr>
          <w:rFonts w:cs="Times New Roman"/>
          <w:i/>
          <w:sz w:val="20"/>
          <w:szCs w:val="20"/>
        </w:rPr>
        <w:t xml:space="preserve"> </w:t>
      </w:r>
      <w:r w:rsidR="00B54A9C" w:rsidRPr="00B54A9C">
        <w:rPr>
          <w:rFonts w:cs="Times New Roman"/>
          <w:b/>
          <w:color w:val="000000"/>
          <w:sz w:val="20"/>
          <w:szCs w:val="20"/>
        </w:rPr>
        <w:t>¶¶</w:t>
      </w:r>
      <w:r w:rsidR="00B54A9C" w:rsidRPr="00B54A9C">
        <w:rPr>
          <w:rFonts w:eastAsiaTheme="minorEastAsia" w:cs="Times New Roman"/>
          <w:sz w:val="20"/>
          <w:szCs w:val="20"/>
        </w:rPr>
        <w:t xml:space="preserve"> </w:t>
      </w:r>
      <w:r w:rsidR="00B54A9C" w:rsidRPr="00B54A9C">
        <w:rPr>
          <w:rFonts w:cs="Times New Roman"/>
          <w:sz w:val="20"/>
          <w:szCs w:val="20"/>
        </w:rPr>
        <w:t>28 &amp; 36, U.N. Doc. A/67/227 (2012).</w:t>
      </w:r>
    </w:p>
  </w:endnote>
  <w:endnote w:id="2">
    <w:p w14:paraId="6922BC25" w14:textId="1970C7C9"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t>
      </w:r>
      <w:r w:rsidR="00B54A9C" w:rsidRPr="00B54A9C">
        <w:rPr>
          <w:rFonts w:cs="Times New Roman"/>
          <w:sz w:val="20"/>
          <w:szCs w:val="20"/>
        </w:rPr>
        <w:t xml:space="preserve">CRPD Committee, </w:t>
      </w:r>
      <w:r w:rsidR="00B54A9C" w:rsidRPr="00B54A9C">
        <w:rPr>
          <w:rFonts w:cs="Times New Roman"/>
          <w:i/>
          <w:sz w:val="20"/>
          <w:szCs w:val="20"/>
        </w:rPr>
        <w:t>General Comment No. 3: Article 6: Women and girls with disabilities</w:t>
      </w:r>
      <w:r w:rsidR="00B54A9C" w:rsidRPr="00B54A9C">
        <w:rPr>
          <w:rFonts w:cs="Times New Roman"/>
          <w:sz w:val="20"/>
          <w:szCs w:val="20"/>
        </w:rPr>
        <w:t xml:space="preserve">, </w:t>
      </w:r>
      <w:r w:rsidR="00B54A9C" w:rsidRPr="00B54A9C">
        <w:rPr>
          <w:rFonts w:cs="Times New Roman"/>
          <w:b/>
          <w:color w:val="000000"/>
          <w:sz w:val="20"/>
          <w:szCs w:val="20"/>
        </w:rPr>
        <w:t>¶ 44</w:t>
      </w:r>
      <w:r w:rsidR="00B54A9C" w:rsidRPr="00B54A9C">
        <w:rPr>
          <w:rFonts w:cs="Times New Roman"/>
          <w:sz w:val="20"/>
          <w:szCs w:val="20"/>
        </w:rPr>
        <w:t>, U.N. Doc. CRPD/C/GC/3 (2016).</w:t>
      </w:r>
    </w:p>
  </w:endnote>
  <w:endnote w:id="3">
    <w:p w14:paraId="7498B387" w14:textId="77777777" w:rsidR="00AC7D05" w:rsidRPr="00B54A9C" w:rsidRDefault="00AC7D05" w:rsidP="00AC7D05">
      <w:pPr>
        <w:pStyle w:val="EndnoteText"/>
        <w:jc w:val="both"/>
        <w:rPr>
          <w:rFonts w:cs="Times New Roman"/>
          <w:i/>
          <w:sz w:val="20"/>
          <w:szCs w:val="20"/>
        </w:rPr>
      </w:pPr>
      <w:r w:rsidRPr="00B54A9C">
        <w:rPr>
          <w:rStyle w:val="EndnoteReference"/>
          <w:rFonts w:cs="Times New Roman"/>
          <w:sz w:val="20"/>
          <w:szCs w:val="20"/>
        </w:rPr>
        <w:endnoteRef/>
      </w:r>
      <w:r w:rsidRPr="00B54A9C">
        <w:rPr>
          <w:rFonts w:cs="Times New Roman"/>
          <w:sz w:val="20"/>
          <w:szCs w:val="20"/>
        </w:rPr>
        <w:t xml:space="preserve"> </w:t>
      </w:r>
      <w:r w:rsidRPr="00B54A9C">
        <w:rPr>
          <w:rFonts w:cs="Times New Roman"/>
          <w:i/>
          <w:sz w:val="20"/>
          <w:szCs w:val="20"/>
        </w:rPr>
        <w:t>Id.</w:t>
      </w:r>
    </w:p>
  </w:endnote>
  <w:endnote w:id="4">
    <w:p w14:paraId="212C24F3" w14:textId="3043C0E2"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t>
      </w:r>
      <w:r w:rsidR="00B54A9C" w:rsidRPr="00B54A9C">
        <w:rPr>
          <w:rFonts w:cs="Times New Roman"/>
          <w:sz w:val="20"/>
          <w:szCs w:val="20"/>
        </w:rPr>
        <w:t xml:space="preserve">UN Special Rapporteur on Violence against Women, </w:t>
      </w:r>
      <w:r w:rsidR="00B54A9C" w:rsidRPr="00B54A9C">
        <w:rPr>
          <w:rFonts w:cs="Times New Roman"/>
          <w:i/>
          <w:sz w:val="20"/>
          <w:szCs w:val="20"/>
        </w:rPr>
        <w:t>Report of the Special Rapporteur on violence against women, its causes and consequences</w:t>
      </w:r>
      <w:r w:rsidR="00B54A9C" w:rsidRPr="00B54A9C">
        <w:rPr>
          <w:rFonts w:cs="Times New Roman"/>
          <w:sz w:val="20"/>
          <w:szCs w:val="20"/>
        </w:rPr>
        <w:t>,</w:t>
      </w:r>
      <w:r w:rsidR="00B54A9C" w:rsidRPr="00B54A9C">
        <w:rPr>
          <w:rFonts w:cs="Times New Roman"/>
          <w:i/>
          <w:sz w:val="20"/>
          <w:szCs w:val="20"/>
        </w:rPr>
        <w:t xml:space="preserve"> </w:t>
      </w:r>
      <w:r w:rsidR="00B54A9C" w:rsidRPr="00B54A9C">
        <w:rPr>
          <w:rFonts w:cs="Times New Roman"/>
          <w:b/>
          <w:color w:val="000000"/>
          <w:sz w:val="20"/>
          <w:szCs w:val="20"/>
        </w:rPr>
        <w:t>¶¶</w:t>
      </w:r>
      <w:r w:rsidR="00B54A9C" w:rsidRPr="00B54A9C">
        <w:rPr>
          <w:rFonts w:eastAsiaTheme="minorEastAsia" w:cs="Times New Roman"/>
          <w:sz w:val="20"/>
          <w:szCs w:val="20"/>
        </w:rPr>
        <w:t xml:space="preserve"> </w:t>
      </w:r>
      <w:r w:rsidR="00B54A9C" w:rsidRPr="00B54A9C">
        <w:rPr>
          <w:rFonts w:cs="Times New Roman"/>
          <w:sz w:val="20"/>
          <w:szCs w:val="20"/>
        </w:rPr>
        <w:t>28 &amp; 36, U.N. Doc. A/67/227 (2012).</w:t>
      </w:r>
    </w:p>
  </w:endnote>
  <w:endnote w:id="5">
    <w:p w14:paraId="35924F20" w14:textId="77777777" w:rsidR="00AC7D05" w:rsidRPr="00B54A9C" w:rsidRDefault="00AC7D05" w:rsidP="00AC7D05">
      <w:pPr>
        <w:jc w:val="both"/>
        <w:rPr>
          <w:rFonts w:ascii="Times New Roman" w:hAnsi="Times New Roman" w:cs="Times New Roman"/>
          <w:sz w:val="20"/>
          <w:szCs w:val="20"/>
        </w:rPr>
      </w:pPr>
      <w:r w:rsidRPr="00B54A9C">
        <w:rPr>
          <w:rStyle w:val="EndnoteReference"/>
          <w:rFonts w:ascii="Times New Roman" w:hAnsi="Times New Roman" w:cs="Times New Roman"/>
          <w:sz w:val="20"/>
          <w:szCs w:val="20"/>
        </w:rPr>
        <w:endnoteRef/>
      </w:r>
      <w:r w:rsidRPr="00B54A9C">
        <w:rPr>
          <w:rFonts w:ascii="Times New Roman" w:hAnsi="Times New Roman" w:cs="Times New Roman"/>
          <w:sz w:val="20"/>
          <w:szCs w:val="20"/>
        </w:rPr>
        <w:t xml:space="preserve"> CEDAW Committee, </w:t>
      </w:r>
      <w:r w:rsidRPr="00B54A9C">
        <w:rPr>
          <w:rFonts w:ascii="Times New Roman" w:hAnsi="Times New Roman" w:cs="Times New Roman"/>
          <w:i/>
          <w:sz w:val="20"/>
          <w:szCs w:val="20"/>
        </w:rPr>
        <w:t>General Recommendation No. 24: Article 12 of the Convention (women and health)</w:t>
      </w:r>
      <w:r w:rsidRPr="00B54A9C">
        <w:rPr>
          <w:rFonts w:ascii="Times New Roman" w:hAnsi="Times New Roman" w:cs="Times New Roman"/>
          <w:sz w:val="20"/>
          <w:szCs w:val="20"/>
        </w:rPr>
        <w:t xml:space="preserve">, (20th Sess., 1999), in Compilation of General Comments and General Recommendations Adopted by Human Rights Treaty Bodies, </w:t>
      </w:r>
      <w:r w:rsidRPr="00B54A9C">
        <w:rPr>
          <w:rFonts w:ascii="Times New Roman" w:hAnsi="Times New Roman" w:cs="Times New Roman"/>
          <w:b/>
          <w:color w:val="000000"/>
          <w:sz w:val="20"/>
          <w:szCs w:val="20"/>
        </w:rPr>
        <w:t>¶</w:t>
      </w:r>
      <w:r w:rsidRPr="00B54A9C">
        <w:rPr>
          <w:rFonts w:ascii="Times New Roman" w:eastAsiaTheme="minorEastAsia" w:hAnsi="Times New Roman" w:cs="Times New Roman"/>
          <w:sz w:val="20"/>
          <w:szCs w:val="20"/>
        </w:rPr>
        <w:t xml:space="preserve"> </w:t>
      </w:r>
      <w:r w:rsidRPr="00B54A9C">
        <w:rPr>
          <w:rFonts w:ascii="Times New Roman" w:hAnsi="Times New Roman" w:cs="Times New Roman"/>
          <w:sz w:val="20"/>
          <w:szCs w:val="20"/>
        </w:rPr>
        <w:t xml:space="preserve">22, U.N. Doc. HRI/GEN/1/Rev.9 (Vol. II) (2008); CRPD Committee, </w:t>
      </w:r>
      <w:r w:rsidRPr="00B54A9C">
        <w:rPr>
          <w:rFonts w:ascii="Times New Roman" w:eastAsia="Times New Roman" w:hAnsi="Times New Roman" w:cs="Times New Roman"/>
          <w:i/>
          <w:sz w:val="20"/>
          <w:szCs w:val="20"/>
        </w:rPr>
        <w:t xml:space="preserve">General Comment No. 1: Article 12: Equal recognition before the law, </w:t>
      </w:r>
      <w:r w:rsidRPr="00B54A9C">
        <w:rPr>
          <w:rFonts w:ascii="Times New Roman" w:eastAsia="Times New Roman" w:hAnsi="Times New Roman" w:cs="Times New Roman"/>
          <w:sz w:val="20"/>
          <w:szCs w:val="20"/>
        </w:rPr>
        <w:t>U.N. Doc. CRPD/C/GC/1 (2014)</w:t>
      </w:r>
      <w:r w:rsidRPr="00B54A9C">
        <w:rPr>
          <w:rFonts w:ascii="Times New Roman" w:hAnsi="Times New Roman" w:cs="Times New Roman"/>
          <w:sz w:val="20"/>
          <w:szCs w:val="20"/>
        </w:rPr>
        <w:t xml:space="preserve">; Human Rights Committee, </w:t>
      </w:r>
      <w:r w:rsidRPr="00B54A9C">
        <w:rPr>
          <w:rFonts w:ascii="Times New Roman" w:hAnsi="Times New Roman" w:cs="Times New Roman"/>
          <w:i/>
          <w:sz w:val="20"/>
          <w:szCs w:val="20"/>
        </w:rPr>
        <w:t>Concluding Observations: Czech Republic</w:t>
      </w:r>
      <w:r w:rsidRPr="00B54A9C">
        <w:rPr>
          <w:rFonts w:ascii="Times New Roman" w:hAnsi="Times New Roman" w:cs="Times New Roman"/>
          <w:sz w:val="20"/>
          <w:szCs w:val="20"/>
        </w:rPr>
        <w:t xml:space="preserve">, </w:t>
      </w:r>
      <w:r w:rsidRPr="00B54A9C">
        <w:rPr>
          <w:rFonts w:ascii="Times New Roman" w:hAnsi="Times New Roman" w:cs="Times New Roman"/>
          <w:b/>
          <w:color w:val="000000"/>
          <w:sz w:val="20"/>
          <w:szCs w:val="20"/>
        </w:rPr>
        <w:t>¶</w:t>
      </w:r>
      <w:r w:rsidRPr="00B54A9C">
        <w:rPr>
          <w:rFonts w:ascii="Times New Roman" w:eastAsiaTheme="minorEastAsia" w:hAnsi="Times New Roman" w:cs="Times New Roman"/>
          <w:sz w:val="20"/>
          <w:szCs w:val="20"/>
        </w:rPr>
        <w:t xml:space="preserve"> </w:t>
      </w:r>
      <w:r w:rsidRPr="00B54A9C">
        <w:rPr>
          <w:rFonts w:ascii="Times New Roman" w:hAnsi="Times New Roman" w:cs="Times New Roman"/>
          <w:sz w:val="20"/>
          <w:szCs w:val="20"/>
        </w:rPr>
        <w:t xml:space="preserve">11, U.N. Doc CCPR/C/CZE/CO/3 (2013); CAT Committee, </w:t>
      </w:r>
      <w:r w:rsidRPr="00B54A9C">
        <w:rPr>
          <w:rFonts w:ascii="Times New Roman" w:hAnsi="Times New Roman" w:cs="Times New Roman"/>
          <w:i/>
          <w:sz w:val="20"/>
          <w:szCs w:val="20"/>
        </w:rPr>
        <w:t>Concluding Observations: Czech Republic</w:t>
      </w:r>
      <w:r w:rsidRPr="00B54A9C">
        <w:rPr>
          <w:rFonts w:ascii="Times New Roman" w:hAnsi="Times New Roman" w:cs="Times New Roman"/>
          <w:sz w:val="20"/>
          <w:szCs w:val="20"/>
        </w:rPr>
        <w:t xml:space="preserve">, </w:t>
      </w:r>
      <w:r w:rsidRPr="00B54A9C">
        <w:rPr>
          <w:rFonts w:ascii="Times New Roman" w:hAnsi="Times New Roman" w:cs="Times New Roman"/>
          <w:b/>
          <w:color w:val="000000"/>
          <w:sz w:val="20"/>
          <w:szCs w:val="20"/>
        </w:rPr>
        <w:t>¶</w:t>
      </w:r>
      <w:r w:rsidRPr="00B54A9C">
        <w:rPr>
          <w:rFonts w:ascii="Times New Roman" w:eastAsiaTheme="minorEastAsia" w:hAnsi="Times New Roman" w:cs="Times New Roman"/>
          <w:sz w:val="20"/>
          <w:szCs w:val="20"/>
        </w:rPr>
        <w:t xml:space="preserve"> </w:t>
      </w:r>
      <w:r w:rsidRPr="00B54A9C">
        <w:rPr>
          <w:rFonts w:ascii="Times New Roman" w:hAnsi="Times New Roman" w:cs="Times New Roman"/>
          <w:sz w:val="20"/>
          <w:szCs w:val="20"/>
        </w:rPr>
        <w:t xml:space="preserve">12, U.N. Doc. CAT/C/CZE/CO/4-5 (2012); Human Rights Council, </w:t>
      </w:r>
      <w:r w:rsidRPr="00B54A9C">
        <w:rPr>
          <w:rFonts w:ascii="Times New Roman" w:hAnsi="Times New Roman" w:cs="Times New Roman"/>
          <w:i/>
          <w:sz w:val="20"/>
          <w:szCs w:val="20"/>
        </w:rPr>
        <w:t>Report of the Special Rapporteur on torture and other cruel, inhuman or degrading treatment or punishment, Juan E. Mendez</w:t>
      </w:r>
      <w:r w:rsidRPr="00B54A9C">
        <w:rPr>
          <w:rFonts w:ascii="Times New Roman" w:hAnsi="Times New Roman" w:cs="Times New Roman"/>
          <w:sz w:val="20"/>
          <w:szCs w:val="20"/>
        </w:rPr>
        <w:t xml:space="preserve">, </w:t>
      </w:r>
      <w:r w:rsidRPr="00B54A9C">
        <w:rPr>
          <w:rFonts w:ascii="Times New Roman" w:hAnsi="Times New Roman" w:cs="Times New Roman"/>
          <w:b/>
          <w:color w:val="000000"/>
          <w:sz w:val="20"/>
          <w:szCs w:val="20"/>
        </w:rPr>
        <w:t>¶</w:t>
      </w:r>
      <w:r w:rsidRPr="00B54A9C">
        <w:rPr>
          <w:rFonts w:ascii="Times New Roman" w:eastAsiaTheme="minorEastAsia" w:hAnsi="Times New Roman" w:cs="Times New Roman"/>
          <w:sz w:val="20"/>
          <w:szCs w:val="20"/>
        </w:rPr>
        <w:t xml:space="preserve"> </w:t>
      </w:r>
      <w:r w:rsidRPr="00B54A9C">
        <w:rPr>
          <w:rFonts w:ascii="Times New Roman" w:hAnsi="Times New Roman" w:cs="Times New Roman"/>
          <w:sz w:val="20"/>
          <w:szCs w:val="20"/>
        </w:rPr>
        <w:t>48, U.N. Doc. A/HRC/22/53 (2013).</w:t>
      </w:r>
    </w:p>
  </w:endnote>
  <w:endnote w:id="6">
    <w:p w14:paraId="48F25817"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World Health Organization, et al, </w:t>
      </w:r>
      <w:r w:rsidRPr="00B54A9C">
        <w:rPr>
          <w:rFonts w:cs="Times New Roman"/>
          <w:i/>
          <w:sz w:val="20"/>
          <w:szCs w:val="20"/>
        </w:rPr>
        <w:t>Eliminating forced, coercive or otherwise involuntary sterilization: An interagency statement</w:t>
      </w:r>
      <w:r w:rsidRPr="00B54A9C">
        <w:rPr>
          <w:rFonts w:cs="Times New Roman"/>
          <w:sz w:val="20"/>
          <w:szCs w:val="20"/>
        </w:rPr>
        <w:t xml:space="preserve"> 1 (2014), </w:t>
      </w:r>
      <w:r w:rsidRPr="00B54A9C">
        <w:rPr>
          <w:rFonts w:cs="Times New Roman"/>
          <w:i/>
          <w:sz w:val="20"/>
          <w:szCs w:val="20"/>
        </w:rPr>
        <w:t xml:space="preserve">available at </w:t>
      </w:r>
      <w:r w:rsidRPr="00B54A9C">
        <w:rPr>
          <w:rFonts w:cs="Times New Roman"/>
          <w:sz w:val="20"/>
          <w:szCs w:val="20"/>
        </w:rPr>
        <w:t>http://apps.who.int/iris/bitstream/10665/112848/1/9789241507325_</w:t>
      </w:r>
    </w:p>
    <w:p w14:paraId="142A3F8D" w14:textId="77777777" w:rsidR="00AC7D05" w:rsidRPr="00B54A9C" w:rsidRDefault="00AC7D05" w:rsidP="00AC7D05">
      <w:pPr>
        <w:pStyle w:val="EndnoteText"/>
        <w:jc w:val="both"/>
        <w:rPr>
          <w:rFonts w:cs="Times New Roman"/>
          <w:sz w:val="20"/>
          <w:szCs w:val="20"/>
        </w:rPr>
      </w:pPr>
      <w:r w:rsidRPr="00B54A9C">
        <w:rPr>
          <w:rFonts w:cs="Times New Roman"/>
          <w:sz w:val="20"/>
          <w:szCs w:val="20"/>
        </w:rPr>
        <w:t>eng.pdf.</w:t>
      </w:r>
    </w:p>
  </w:endnote>
  <w:endnote w:id="7">
    <w:p w14:paraId="33D4CBDB" w14:textId="77777777" w:rsidR="00AC7D05" w:rsidRPr="00B54A9C" w:rsidRDefault="00AC7D05" w:rsidP="00AC7D05">
      <w:pPr>
        <w:pStyle w:val="EndnoteText"/>
        <w:jc w:val="both"/>
        <w:rPr>
          <w:rFonts w:cs="Times New Roman"/>
          <w:sz w:val="20"/>
          <w:szCs w:val="20"/>
          <w:highlight w:val="yellow"/>
        </w:rPr>
      </w:pPr>
      <w:r w:rsidRPr="00B54A9C">
        <w:rPr>
          <w:rStyle w:val="EndnoteReference"/>
          <w:rFonts w:cs="Times New Roman"/>
          <w:sz w:val="20"/>
          <w:szCs w:val="20"/>
        </w:rPr>
        <w:endnoteRef/>
      </w:r>
      <w:r w:rsidRPr="00B54A9C">
        <w:rPr>
          <w:rFonts w:cs="Times New Roman"/>
          <w:sz w:val="20"/>
          <w:szCs w:val="20"/>
        </w:rPr>
        <w:t xml:space="preserve"> For instance, a 2004 survey of violence against women with disabilities in Orissa, India, found that about 6% of women with physical disabilities and about 8% of women with intellectual and psychosocial disabilities had been forcibly sterilized (Dr. Sruti Mohapatra and Mr. Mihir Mohanty, </w:t>
      </w:r>
      <w:r w:rsidRPr="00B54A9C">
        <w:rPr>
          <w:rFonts w:cs="Times New Roman"/>
          <w:i/>
          <w:sz w:val="20"/>
          <w:szCs w:val="20"/>
        </w:rPr>
        <w:t>Abuse and Activity Limitation: A Study on Domestic Violence against Disabled Women in Orissa, India</w:t>
      </w:r>
      <w:r w:rsidRPr="00B54A9C">
        <w:rPr>
          <w:rFonts w:cs="Times New Roman"/>
          <w:sz w:val="20"/>
          <w:szCs w:val="20"/>
        </w:rPr>
        <w:t xml:space="preserve"> 16 (2004), </w:t>
      </w:r>
      <w:r w:rsidRPr="00B54A9C">
        <w:rPr>
          <w:rFonts w:cs="Times New Roman"/>
          <w:i/>
          <w:sz w:val="20"/>
          <w:szCs w:val="20"/>
        </w:rPr>
        <w:t>available at</w:t>
      </w:r>
      <w:r w:rsidRPr="00B54A9C">
        <w:rPr>
          <w:rFonts w:cs="Times New Roman"/>
          <w:sz w:val="20"/>
          <w:szCs w:val="20"/>
        </w:rPr>
        <w:t xml:space="preserve"> http://swabhiman.org/userfiles/file/Abuse%20and%20Activity%20Limitation%20Study.pdf). These sterilizations were often the result of fears from family members that women with disabilities would be raped and become pregnant, as well as assumptions about whether women with disabilities could consent to sex and whether they could be good parents (</w:t>
      </w:r>
      <w:r w:rsidRPr="00B54A9C">
        <w:rPr>
          <w:rFonts w:cs="Times New Roman"/>
          <w:i/>
          <w:sz w:val="20"/>
          <w:szCs w:val="20"/>
        </w:rPr>
        <w:t xml:space="preserve">Id. at </w:t>
      </w:r>
      <w:r w:rsidRPr="00B54A9C">
        <w:rPr>
          <w:rFonts w:cs="Times New Roman"/>
          <w:sz w:val="20"/>
          <w:szCs w:val="20"/>
        </w:rPr>
        <w:t>16). This was also a major point of discussion at the Regional Meeting of the WwD India Network organized in Hyderabad on Feb. 23-24, 2013.</w:t>
      </w:r>
    </w:p>
  </w:endnote>
  <w:endnote w:id="8">
    <w:p w14:paraId="059D5CEA"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t>
      </w:r>
      <w:r w:rsidRPr="00B54A9C">
        <w:rPr>
          <w:rFonts w:cs="Times New Roman"/>
          <w:i/>
          <w:sz w:val="20"/>
          <w:szCs w:val="20"/>
        </w:rPr>
        <w:t>See, e.g.</w:t>
      </w:r>
      <w:r w:rsidRPr="00B54A9C">
        <w:rPr>
          <w:rFonts w:cs="Times New Roman"/>
          <w:sz w:val="20"/>
          <w:szCs w:val="20"/>
        </w:rPr>
        <w:t>,</w:t>
      </w:r>
      <w:r w:rsidRPr="00B54A9C">
        <w:rPr>
          <w:rFonts w:cs="Times New Roman"/>
          <w:i/>
          <w:sz w:val="20"/>
          <w:szCs w:val="20"/>
        </w:rPr>
        <w:t xml:space="preserve"> </w:t>
      </w:r>
      <w:r w:rsidRPr="00B54A9C">
        <w:rPr>
          <w:rFonts w:cs="Times New Roman"/>
          <w:sz w:val="20"/>
          <w:szCs w:val="20"/>
        </w:rPr>
        <w:t xml:space="preserve">Rajeswari Sundar Rajan, </w:t>
      </w:r>
      <w:r w:rsidRPr="00B54A9C">
        <w:rPr>
          <w:rFonts w:cs="Times New Roman"/>
          <w:i/>
          <w:sz w:val="20"/>
          <w:szCs w:val="20"/>
        </w:rPr>
        <w:t>Beyond the Hysterectomies Scandal: Women, the Institution, Family, and State in India</w:t>
      </w:r>
      <w:r w:rsidRPr="00B54A9C">
        <w:rPr>
          <w:rFonts w:cs="Times New Roman"/>
          <w:sz w:val="20"/>
          <w:szCs w:val="20"/>
        </w:rPr>
        <w:t xml:space="preserve">, in </w:t>
      </w:r>
      <w:r w:rsidRPr="00B54A9C">
        <w:rPr>
          <w:rFonts w:cs="Times New Roman"/>
          <w:smallCaps/>
          <w:sz w:val="20"/>
          <w:szCs w:val="20"/>
        </w:rPr>
        <w:t>The Pre-occupation of Post-Colonial Studies</w:t>
      </w:r>
      <w:r w:rsidRPr="00B54A9C">
        <w:rPr>
          <w:rFonts w:cs="Times New Roman"/>
          <w:sz w:val="20"/>
          <w:szCs w:val="20"/>
        </w:rPr>
        <w:t xml:space="preserve"> (ed. Khan &amp; Seshadri) 200, 201 (2000).</w:t>
      </w:r>
    </w:p>
  </w:endnote>
  <w:endnote w:id="9">
    <w:p w14:paraId="01023402"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Ashika Misra, </w:t>
      </w:r>
      <w:r w:rsidRPr="00B54A9C">
        <w:rPr>
          <w:rFonts w:cs="Times New Roman"/>
          <w:i/>
          <w:sz w:val="20"/>
          <w:szCs w:val="20"/>
        </w:rPr>
        <w:t>Is hysterectomy the final solution?,</w:t>
      </w:r>
      <w:r w:rsidRPr="00B54A9C">
        <w:rPr>
          <w:rFonts w:cs="Times New Roman"/>
          <w:sz w:val="20"/>
          <w:szCs w:val="20"/>
        </w:rPr>
        <w:t xml:space="preserve"> </w:t>
      </w:r>
      <w:r w:rsidRPr="00B54A9C">
        <w:rPr>
          <w:rFonts w:cs="Times New Roman"/>
          <w:smallCaps/>
          <w:sz w:val="20"/>
          <w:szCs w:val="20"/>
        </w:rPr>
        <w:t>DNA India</w:t>
      </w:r>
      <w:r w:rsidRPr="00B54A9C">
        <w:rPr>
          <w:rFonts w:cs="Times New Roman"/>
          <w:sz w:val="20"/>
          <w:szCs w:val="20"/>
        </w:rPr>
        <w:t>, Jan. 30, 2008, http://www.dnaindia.com/mumbai/</w:t>
      </w:r>
    </w:p>
    <w:p w14:paraId="4C91F0A4" w14:textId="77777777" w:rsidR="00AC7D05" w:rsidRPr="00B54A9C" w:rsidRDefault="00AC7D05" w:rsidP="00AC7D05">
      <w:pPr>
        <w:pStyle w:val="EndnoteText"/>
        <w:jc w:val="both"/>
        <w:rPr>
          <w:rFonts w:cs="Times New Roman"/>
          <w:sz w:val="20"/>
          <w:szCs w:val="20"/>
        </w:rPr>
      </w:pPr>
      <w:r w:rsidRPr="00B54A9C">
        <w:rPr>
          <w:rFonts w:cs="Times New Roman"/>
          <w:sz w:val="20"/>
          <w:szCs w:val="20"/>
        </w:rPr>
        <w:t>report-is-hysterectomy-the-final-solution-11482.</w:t>
      </w:r>
    </w:p>
  </w:endnote>
  <w:endnote w:id="10">
    <w:p w14:paraId="15C99B19" w14:textId="77777777" w:rsidR="00AC7D05" w:rsidRPr="00B54A9C" w:rsidRDefault="00AC7D05" w:rsidP="00AC7D05">
      <w:pPr>
        <w:pStyle w:val="NoSpacing"/>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Women with Disabilities India Network, </w:t>
      </w:r>
      <w:r w:rsidRPr="00B54A9C">
        <w:rPr>
          <w:rFonts w:cs="Times New Roman"/>
          <w:i/>
          <w:sz w:val="20"/>
          <w:szCs w:val="20"/>
        </w:rPr>
        <w:t>Meeting in Bangalore</w:t>
      </w:r>
      <w:r w:rsidRPr="00B54A9C">
        <w:rPr>
          <w:rFonts w:cs="Times New Roman"/>
          <w:sz w:val="20"/>
          <w:szCs w:val="20"/>
        </w:rPr>
        <w:t xml:space="preserve">, Feb. 4, 2012. </w:t>
      </w:r>
    </w:p>
  </w:endnote>
  <w:endnote w:id="11">
    <w:p w14:paraId="724FD303"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CEDAW Committee, </w:t>
      </w:r>
      <w:r w:rsidRPr="00B54A9C">
        <w:rPr>
          <w:rFonts w:cs="Times New Roman"/>
          <w:i/>
          <w:sz w:val="20"/>
          <w:szCs w:val="20"/>
        </w:rPr>
        <w:t>Concluding Observations: India</w:t>
      </w:r>
      <w:r w:rsidRPr="00B54A9C">
        <w:rPr>
          <w:rFonts w:cs="Times New Roman"/>
          <w:sz w:val="20"/>
          <w:szCs w:val="20"/>
        </w:rPr>
        <w:t xml:space="preserve">, </w:t>
      </w:r>
      <w:r w:rsidRPr="00B54A9C">
        <w:rPr>
          <w:rFonts w:cs="Times New Roman"/>
          <w:b/>
          <w:color w:val="000000"/>
          <w:sz w:val="20"/>
          <w:szCs w:val="20"/>
        </w:rPr>
        <w:t>¶</w:t>
      </w:r>
      <w:r w:rsidRPr="00B54A9C">
        <w:rPr>
          <w:rFonts w:eastAsiaTheme="minorEastAsia" w:cs="Times New Roman"/>
          <w:sz w:val="20"/>
          <w:szCs w:val="20"/>
        </w:rPr>
        <w:t xml:space="preserve"> </w:t>
      </w:r>
      <w:r w:rsidRPr="00B54A9C">
        <w:rPr>
          <w:rFonts w:cs="Times New Roman"/>
          <w:sz w:val="20"/>
          <w:szCs w:val="20"/>
        </w:rPr>
        <w:t>36, U.N. Doc. CEDAW/C/IND/CO/4-5 (2014).</w:t>
      </w:r>
    </w:p>
  </w:endnote>
  <w:endnote w:id="12">
    <w:p w14:paraId="7B5F1E7C"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For instance, these guidelines indicate that women in India who undergo sterilization should be between the ages of 22 and 49—meaning that girls with disabilities should not be subjected to sterilization (Ministry of Health and Family Welfare, </w:t>
      </w:r>
      <w:r w:rsidRPr="00B54A9C">
        <w:rPr>
          <w:rFonts w:cs="Times New Roman"/>
          <w:i/>
          <w:sz w:val="20"/>
          <w:szCs w:val="20"/>
        </w:rPr>
        <w:t>Standards for Female and Male Sterilization Services</w:t>
      </w:r>
      <w:r w:rsidRPr="00B54A9C">
        <w:rPr>
          <w:rFonts w:cs="Times New Roman"/>
          <w:sz w:val="20"/>
          <w:szCs w:val="20"/>
        </w:rPr>
        <w:t xml:space="preserve"> 3-4 (2006), </w:t>
      </w:r>
      <w:r w:rsidRPr="00B54A9C">
        <w:rPr>
          <w:rFonts w:cs="Times New Roman"/>
          <w:i/>
          <w:sz w:val="20"/>
          <w:szCs w:val="20"/>
        </w:rPr>
        <w:t>available at</w:t>
      </w:r>
      <w:r w:rsidRPr="00B54A9C">
        <w:rPr>
          <w:rFonts w:cs="Times New Roman"/>
          <w:sz w:val="20"/>
          <w:szCs w:val="20"/>
        </w:rPr>
        <w:t xml:space="preserve"> http://nrhm.gov.in/images/pdf/guidelines/nrhm-guidelines/family-planning/std-for-sterilization-services.pdf.).</w:t>
      </w:r>
    </w:p>
  </w:endnote>
  <w:endnote w:id="13">
    <w:p w14:paraId="0B2179C1"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t>
      </w:r>
      <w:r w:rsidRPr="00B54A9C">
        <w:rPr>
          <w:rFonts w:cs="Times New Roman"/>
          <w:i/>
          <w:sz w:val="20"/>
          <w:szCs w:val="20"/>
        </w:rPr>
        <w:t xml:space="preserve">Id. </w:t>
      </w:r>
      <w:r w:rsidRPr="00B54A9C">
        <w:rPr>
          <w:rFonts w:cs="Times New Roman"/>
          <w:sz w:val="20"/>
          <w:szCs w:val="20"/>
        </w:rPr>
        <w:t>at 3-4.</w:t>
      </w:r>
    </w:p>
  </w:endnote>
  <w:endnote w:id="14">
    <w:p w14:paraId="1E489A96"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w:t>
      </w:r>
      <w:r w:rsidRPr="00B54A9C">
        <w:rPr>
          <w:rFonts w:cs="Times New Roman"/>
          <w:i/>
          <w:sz w:val="20"/>
          <w:szCs w:val="20"/>
        </w:rPr>
        <w:t xml:space="preserve">Id. </w:t>
      </w:r>
      <w:r w:rsidRPr="00B54A9C">
        <w:rPr>
          <w:rFonts w:cs="Times New Roman"/>
          <w:sz w:val="20"/>
          <w:szCs w:val="20"/>
        </w:rPr>
        <w:t>at 6.</w:t>
      </w:r>
    </w:p>
  </w:endnote>
  <w:endnote w:id="15">
    <w:p w14:paraId="625F2C2E"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International Federation of Gynecology and Obstetrics (FIGO), </w:t>
      </w:r>
      <w:r w:rsidRPr="00B54A9C">
        <w:rPr>
          <w:rFonts w:cs="Times New Roman"/>
          <w:i/>
          <w:sz w:val="20"/>
          <w:szCs w:val="20"/>
        </w:rPr>
        <w:t>Female Contraceptive Sterilisation</w:t>
      </w:r>
      <w:r w:rsidRPr="00B54A9C">
        <w:rPr>
          <w:rFonts w:cs="Times New Roman"/>
          <w:sz w:val="20"/>
          <w:szCs w:val="20"/>
        </w:rPr>
        <w:t xml:space="preserve">, </w:t>
      </w:r>
      <w:r w:rsidRPr="00B54A9C">
        <w:rPr>
          <w:rFonts w:cs="Times New Roman"/>
          <w:b/>
          <w:color w:val="000000"/>
          <w:sz w:val="20"/>
          <w:szCs w:val="20"/>
        </w:rPr>
        <w:t>¶</w:t>
      </w:r>
      <w:r w:rsidRPr="00B54A9C">
        <w:rPr>
          <w:rFonts w:eastAsiaTheme="minorEastAsia" w:cs="Times New Roman"/>
          <w:sz w:val="20"/>
          <w:szCs w:val="20"/>
        </w:rPr>
        <w:t xml:space="preserve"> </w:t>
      </w:r>
      <w:r w:rsidRPr="00B54A9C">
        <w:rPr>
          <w:rFonts w:cs="Times New Roman"/>
          <w:sz w:val="20"/>
          <w:szCs w:val="20"/>
        </w:rPr>
        <w:t xml:space="preserve">7 (June 2011), </w:t>
      </w:r>
      <w:r w:rsidRPr="00B54A9C">
        <w:rPr>
          <w:rFonts w:cs="Times New Roman"/>
          <w:i/>
          <w:sz w:val="20"/>
          <w:szCs w:val="20"/>
        </w:rPr>
        <w:t>available at</w:t>
      </w:r>
      <w:r w:rsidRPr="00B54A9C">
        <w:rPr>
          <w:rFonts w:cs="Times New Roman"/>
          <w:sz w:val="20"/>
          <w:szCs w:val="20"/>
        </w:rPr>
        <w:t xml:space="preserve"> http://www.figo.org/sites/default/files/uploads/wg-publications/ethics/English%20Ethical%</w:t>
      </w:r>
    </w:p>
    <w:p w14:paraId="782EC9AF" w14:textId="77777777" w:rsidR="00AC7D05" w:rsidRPr="00B54A9C" w:rsidRDefault="00AC7D05" w:rsidP="00AC7D05">
      <w:pPr>
        <w:pStyle w:val="EndnoteText"/>
        <w:jc w:val="both"/>
        <w:rPr>
          <w:rFonts w:cs="Times New Roman"/>
          <w:sz w:val="20"/>
          <w:szCs w:val="20"/>
        </w:rPr>
      </w:pPr>
      <w:r w:rsidRPr="00B54A9C">
        <w:rPr>
          <w:rFonts w:cs="Times New Roman"/>
          <w:sz w:val="20"/>
          <w:szCs w:val="20"/>
        </w:rPr>
        <w:t>20Issues%20in%20Obstetrics%20and%20Gynecology.pdf (“Only women themselves can give ethically valid consent to their own sterilisation. Family members – including husbands, parents, legal guardians, medical practitioners and, for instance, government or other public officers – cannot consent on any woman’s or girl’s behalf.”).</w:t>
      </w:r>
    </w:p>
  </w:endnote>
  <w:endnote w:id="16">
    <w:p w14:paraId="35FC2AC6"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Medical Termination of Pregnancy Act, 1971, </w:t>
      </w:r>
      <w:r w:rsidRPr="00B54A9C">
        <w:rPr>
          <w:rFonts w:cs="Times New Roman"/>
          <w:sz w:val="20"/>
          <w:szCs w:val="20"/>
          <w:shd w:val="clear" w:color="auto" w:fill="FFFFFF"/>
        </w:rPr>
        <w:t>§</w:t>
      </w:r>
      <w:r w:rsidRPr="00B54A9C">
        <w:rPr>
          <w:rFonts w:cs="Times New Roman"/>
          <w:sz w:val="20"/>
          <w:szCs w:val="20"/>
        </w:rPr>
        <w:t xml:space="preserve"> 3(4)(a) (1971) (India).</w:t>
      </w:r>
    </w:p>
  </w:endnote>
  <w:endnote w:id="17">
    <w:p w14:paraId="2601AC7F" w14:textId="77777777" w:rsidR="00AC7D05" w:rsidRPr="00B54A9C" w:rsidRDefault="00AC7D05" w:rsidP="00AC7D05">
      <w:pPr>
        <w:pStyle w:val="EndnoteText"/>
        <w:jc w:val="both"/>
        <w:rPr>
          <w:rFonts w:cs="Times New Roman"/>
          <w:sz w:val="20"/>
          <w:szCs w:val="20"/>
        </w:rPr>
      </w:pPr>
      <w:r w:rsidRPr="00B54A9C">
        <w:rPr>
          <w:rStyle w:val="EndnoteReference"/>
          <w:rFonts w:cs="Times New Roman"/>
          <w:sz w:val="20"/>
          <w:szCs w:val="20"/>
        </w:rPr>
        <w:endnoteRef/>
      </w:r>
      <w:r w:rsidRPr="00B54A9C">
        <w:rPr>
          <w:rFonts w:cs="Times New Roman"/>
          <w:sz w:val="20"/>
          <w:szCs w:val="20"/>
        </w:rPr>
        <w:t xml:space="preserve"> Supreme Court of India, </w:t>
      </w:r>
      <w:r w:rsidRPr="00B54A9C">
        <w:rPr>
          <w:rFonts w:cs="Times New Roman"/>
          <w:i/>
          <w:sz w:val="20"/>
          <w:szCs w:val="20"/>
        </w:rPr>
        <w:t>S</w:t>
      </w:r>
      <w:r w:rsidRPr="00B54A9C">
        <w:rPr>
          <w:rFonts w:cs="Times New Roman"/>
          <w:bCs/>
          <w:i/>
          <w:sz w:val="20"/>
          <w:szCs w:val="20"/>
        </w:rPr>
        <w:t>uchita Srivastava &amp; Anr vs Chandigarh</w:t>
      </w:r>
      <w:r w:rsidRPr="00B54A9C">
        <w:rPr>
          <w:rFonts w:cs="Times New Roman"/>
          <w:bCs/>
          <w:sz w:val="20"/>
          <w:szCs w:val="20"/>
        </w:rPr>
        <w:t xml:space="preserve"> (2009), </w:t>
      </w:r>
      <w:r w:rsidRPr="00B54A9C">
        <w:rPr>
          <w:rFonts w:cs="Times New Roman"/>
          <w:i/>
          <w:sz w:val="20"/>
          <w:szCs w:val="20"/>
        </w:rPr>
        <w:t>available at</w:t>
      </w:r>
      <w:r w:rsidRPr="00B54A9C">
        <w:rPr>
          <w:rFonts w:cs="Times New Roman"/>
          <w:sz w:val="20"/>
          <w:szCs w:val="20"/>
        </w:rPr>
        <w:t xml:space="preserve"> https://indiankanoon.org/</w:t>
      </w:r>
    </w:p>
    <w:p w14:paraId="29435151" w14:textId="77777777" w:rsidR="00AC7D05" w:rsidRPr="00826345" w:rsidRDefault="00AC7D05" w:rsidP="00AC7D05">
      <w:pPr>
        <w:pStyle w:val="EndnoteText"/>
        <w:jc w:val="both"/>
        <w:rPr>
          <w:rFonts w:cs="Times New Roman"/>
          <w:sz w:val="20"/>
          <w:szCs w:val="20"/>
        </w:rPr>
      </w:pPr>
      <w:r w:rsidRPr="00B54A9C">
        <w:rPr>
          <w:rFonts w:cs="Times New Roman"/>
          <w:sz w:val="20"/>
          <w:szCs w:val="20"/>
        </w:rPr>
        <w:t>doc/1500783/.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72149243"/>
      <w:docPartObj>
        <w:docPartGallery w:val="Page Numbers (Bottom of Page)"/>
        <w:docPartUnique/>
      </w:docPartObj>
    </w:sdtPr>
    <w:sdtEndPr>
      <w:rPr>
        <w:rStyle w:val="PageNumber"/>
      </w:rPr>
    </w:sdtEndPr>
    <w:sdtContent>
      <w:p w14:paraId="549BA7D7" w14:textId="77777777" w:rsidR="00BA51E4" w:rsidRDefault="00BA51E4" w:rsidP="00AB7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82B60C" w14:textId="77777777" w:rsidR="00BA51E4" w:rsidRDefault="00BA5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03672119"/>
      <w:docPartObj>
        <w:docPartGallery w:val="Page Numbers (Bottom of Page)"/>
        <w:docPartUnique/>
      </w:docPartObj>
    </w:sdtPr>
    <w:sdtEndPr>
      <w:rPr>
        <w:rStyle w:val="PageNumber"/>
      </w:rPr>
    </w:sdtEndPr>
    <w:sdtContent>
      <w:p w14:paraId="55398317" w14:textId="77777777" w:rsidR="00BA51E4" w:rsidRDefault="00BA51E4" w:rsidP="00AB700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725E">
          <w:rPr>
            <w:rStyle w:val="PageNumber"/>
            <w:noProof/>
          </w:rPr>
          <w:t>1</w:t>
        </w:r>
        <w:r>
          <w:rPr>
            <w:rStyle w:val="PageNumber"/>
          </w:rPr>
          <w:fldChar w:fldCharType="end"/>
        </w:r>
      </w:p>
    </w:sdtContent>
  </w:sdt>
  <w:p w14:paraId="1A66E96B" w14:textId="77777777" w:rsidR="00BA51E4" w:rsidRDefault="00BA5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195C9" w14:textId="77777777" w:rsidR="00FC34B6" w:rsidRDefault="00FC34B6" w:rsidP="00AC7D05">
      <w:r>
        <w:separator/>
      </w:r>
    </w:p>
  </w:footnote>
  <w:footnote w:type="continuationSeparator" w:id="0">
    <w:p w14:paraId="00964F99" w14:textId="77777777" w:rsidR="00FC34B6" w:rsidRDefault="00FC34B6" w:rsidP="00AC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05"/>
    <w:rsid w:val="00222C25"/>
    <w:rsid w:val="00481B16"/>
    <w:rsid w:val="004F72CD"/>
    <w:rsid w:val="0050725E"/>
    <w:rsid w:val="007C43F2"/>
    <w:rsid w:val="009506EE"/>
    <w:rsid w:val="00A649BA"/>
    <w:rsid w:val="00AC7D05"/>
    <w:rsid w:val="00AF5BF6"/>
    <w:rsid w:val="00B54A9C"/>
    <w:rsid w:val="00BA51E4"/>
    <w:rsid w:val="00FC3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66F37"/>
  <w14:defaultImageDpi w14:val="32767"/>
  <w15:docId w15:val="{75730636-11EA-6543-BA68-74DE3A0E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D05"/>
    <w:pPr>
      <w:spacing w:after="160" w:line="259" w:lineRule="auto"/>
      <w:ind w:left="720"/>
      <w:contextualSpacing/>
    </w:pPr>
    <w:rPr>
      <w:rFonts w:ascii="Times New Roman" w:hAnsi="Times New Roman"/>
      <w:szCs w:val="22"/>
    </w:rPr>
  </w:style>
  <w:style w:type="paragraph" w:styleId="EndnoteText">
    <w:name w:val="endnote text"/>
    <w:basedOn w:val="Normal"/>
    <w:link w:val="EndnoteTextChar"/>
    <w:uiPriority w:val="99"/>
    <w:unhideWhenUsed/>
    <w:rsid w:val="00AC7D05"/>
    <w:rPr>
      <w:rFonts w:ascii="Times New Roman" w:hAnsi="Times New Roman"/>
    </w:rPr>
  </w:style>
  <w:style w:type="character" w:customStyle="1" w:styleId="EndnoteTextChar">
    <w:name w:val="Endnote Text Char"/>
    <w:basedOn w:val="DefaultParagraphFont"/>
    <w:link w:val="EndnoteText"/>
    <w:uiPriority w:val="99"/>
    <w:rsid w:val="00AC7D05"/>
    <w:rPr>
      <w:rFonts w:ascii="Times New Roman" w:hAnsi="Times New Roman"/>
    </w:rPr>
  </w:style>
  <w:style w:type="character" w:styleId="EndnoteReference">
    <w:name w:val="endnote reference"/>
    <w:basedOn w:val="DefaultParagraphFont"/>
    <w:uiPriority w:val="99"/>
    <w:unhideWhenUsed/>
    <w:rsid w:val="00AC7D05"/>
    <w:rPr>
      <w:vertAlign w:val="superscript"/>
    </w:rPr>
  </w:style>
  <w:style w:type="paragraph" w:styleId="NoSpacing">
    <w:name w:val="No Spacing"/>
    <w:link w:val="NoSpacingChar"/>
    <w:uiPriority w:val="1"/>
    <w:qFormat/>
    <w:rsid w:val="00AC7D05"/>
    <w:rPr>
      <w:rFonts w:ascii="Times New Roman" w:hAnsi="Times New Roman"/>
      <w:szCs w:val="22"/>
    </w:rPr>
  </w:style>
  <w:style w:type="character" w:customStyle="1" w:styleId="NoSpacingChar">
    <w:name w:val="No Spacing Char"/>
    <w:basedOn w:val="DefaultParagraphFont"/>
    <w:link w:val="NoSpacing"/>
    <w:uiPriority w:val="1"/>
    <w:locked/>
    <w:rsid w:val="00AC7D05"/>
    <w:rPr>
      <w:rFonts w:ascii="Times New Roman" w:hAnsi="Times New Roman"/>
      <w:szCs w:val="22"/>
    </w:rPr>
  </w:style>
  <w:style w:type="paragraph" w:styleId="Footer">
    <w:name w:val="footer"/>
    <w:basedOn w:val="Normal"/>
    <w:link w:val="FooterChar"/>
    <w:uiPriority w:val="99"/>
    <w:unhideWhenUsed/>
    <w:rsid w:val="00BA51E4"/>
    <w:pPr>
      <w:tabs>
        <w:tab w:val="center" w:pos="4680"/>
        <w:tab w:val="right" w:pos="9360"/>
      </w:tabs>
    </w:pPr>
  </w:style>
  <w:style w:type="character" w:customStyle="1" w:styleId="FooterChar">
    <w:name w:val="Footer Char"/>
    <w:basedOn w:val="DefaultParagraphFont"/>
    <w:link w:val="Footer"/>
    <w:uiPriority w:val="99"/>
    <w:rsid w:val="00BA51E4"/>
  </w:style>
  <w:style w:type="character" w:styleId="PageNumber">
    <w:name w:val="page number"/>
    <w:basedOn w:val="DefaultParagraphFont"/>
    <w:uiPriority w:val="99"/>
    <w:semiHidden/>
    <w:unhideWhenUsed/>
    <w:rsid w:val="00BA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D8AAEF-9B95-47A7-937E-C9447CDE4509}"/>
</file>

<file path=customXml/itemProps2.xml><?xml version="1.0" encoding="utf-8"?>
<ds:datastoreItem xmlns:ds="http://schemas.openxmlformats.org/officeDocument/2006/customXml" ds:itemID="{0F93BD24-3ADA-4CCD-B8DE-6C0D6113FEB0}"/>
</file>

<file path=customXml/itemProps3.xml><?xml version="1.0" encoding="utf-8"?>
<ds:datastoreItem xmlns:ds="http://schemas.openxmlformats.org/officeDocument/2006/customXml" ds:itemID="{72129D07-2C9B-43F7-A0BA-AEBE243D48EC}"/>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GRIGORAS Alina</cp:lastModifiedBy>
  <cp:revision>2</cp:revision>
  <dcterms:created xsi:type="dcterms:W3CDTF">2018-04-11T14:06:00Z</dcterms:created>
  <dcterms:modified xsi:type="dcterms:W3CDTF">2018-04-11T14:06:00Z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