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8CFA21" w14:textId="77777777" w:rsidR="00F11908" w:rsidRPr="00884A88" w:rsidRDefault="008640F2">
      <w:pPr>
        <w:spacing w:line="331" w:lineRule="auto"/>
        <w:jc w:val="center"/>
        <w:rPr>
          <w:lang w:val="en-US"/>
        </w:rPr>
      </w:pPr>
      <w:bookmarkStart w:id="0" w:name="_GoBack"/>
      <w:bookmarkEnd w:id="0"/>
      <w:r w:rsidRPr="00884A88">
        <w:rPr>
          <w:b/>
          <w:sz w:val="28"/>
          <w:szCs w:val="28"/>
          <w:lang w:val="en-US"/>
        </w:rPr>
        <w:t>Questionnaire</w:t>
      </w:r>
    </w:p>
    <w:p w14:paraId="0D8CFA22" w14:textId="77777777" w:rsidR="00F11908" w:rsidRPr="00884A88" w:rsidRDefault="008640F2">
      <w:pPr>
        <w:spacing w:line="331" w:lineRule="auto"/>
        <w:jc w:val="center"/>
        <w:rPr>
          <w:lang w:val="en-US"/>
        </w:rPr>
      </w:pPr>
      <w:r w:rsidRPr="00884A88">
        <w:rPr>
          <w:b/>
          <w:sz w:val="28"/>
          <w:szCs w:val="28"/>
          <w:lang w:val="en-US"/>
        </w:rPr>
        <w:t>Convention on the Rights of Persons with Disabilities</w:t>
      </w:r>
    </w:p>
    <w:p w14:paraId="0D8CFA23" w14:textId="77777777" w:rsidR="00F11908" w:rsidRPr="00884A88" w:rsidRDefault="008640F2">
      <w:pPr>
        <w:spacing w:line="331" w:lineRule="auto"/>
        <w:jc w:val="center"/>
        <w:rPr>
          <w:lang w:val="en-US"/>
        </w:rPr>
      </w:pPr>
      <w:r w:rsidRPr="00884A88">
        <w:rPr>
          <w:rFonts w:ascii="Calibri" w:eastAsia="Calibri" w:hAnsi="Calibri" w:cs="Calibri"/>
          <w:b/>
          <w:sz w:val="28"/>
          <w:szCs w:val="28"/>
          <w:lang w:val="en-US"/>
        </w:rPr>
        <w:t>Article 5 - equality and non-discrimination</w:t>
      </w:r>
    </w:p>
    <w:p w14:paraId="0D8CFA24" w14:textId="77777777" w:rsidR="00F11908" w:rsidRPr="00884A88" w:rsidRDefault="008640F2">
      <w:pPr>
        <w:spacing w:line="331" w:lineRule="auto"/>
        <w:jc w:val="center"/>
        <w:rPr>
          <w:lang w:val="en-US"/>
        </w:rPr>
      </w:pPr>
      <w:r w:rsidRPr="00884A88">
        <w:rPr>
          <w:b/>
          <w:sz w:val="28"/>
          <w:szCs w:val="28"/>
          <w:lang w:val="en-US"/>
        </w:rPr>
        <w:t>Deadline 30 June 2016</w:t>
      </w:r>
    </w:p>
    <w:p w14:paraId="0D8CFA25" w14:textId="77777777" w:rsidR="00F11908" w:rsidRPr="00884A88" w:rsidRDefault="00F11908">
      <w:pPr>
        <w:spacing w:line="331" w:lineRule="auto"/>
        <w:rPr>
          <w:lang w:val="en-US"/>
        </w:rPr>
      </w:pPr>
    </w:p>
    <w:tbl>
      <w:tblPr>
        <w:tblStyle w:val="TableGrid"/>
        <w:tblW w:w="0" w:type="auto"/>
        <w:tblLook w:val="04A0" w:firstRow="1" w:lastRow="0" w:firstColumn="1" w:lastColumn="0" w:noHBand="0" w:noVBand="1"/>
      </w:tblPr>
      <w:tblGrid>
        <w:gridCol w:w="9500"/>
      </w:tblGrid>
      <w:tr w:rsidR="00884A88" w:rsidRPr="00884A88" w14:paraId="0D8CFA2B" w14:textId="77777777" w:rsidTr="00C43EEE">
        <w:tc>
          <w:tcPr>
            <w:tcW w:w="9500" w:type="dxa"/>
          </w:tcPr>
          <w:p w14:paraId="0D8CFA26" w14:textId="77777777" w:rsidR="00884A88" w:rsidRPr="00726DF5" w:rsidRDefault="00884A88" w:rsidP="00726DF5">
            <w:pPr>
              <w:spacing w:before="240" w:after="100" w:afterAutospacing="1" w:line="276" w:lineRule="auto"/>
              <w:rPr>
                <w:rFonts w:eastAsia="Times New Roman"/>
                <w:b/>
                <w:bCs/>
                <w:color w:val="000000"/>
                <w:lang w:eastAsia="en-GB"/>
              </w:rPr>
            </w:pPr>
            <w:r w:rsidRPr="00726DF5">
              <w:rPr>
                <w:rFonts w:eastAsia="Times New Roman"/>
                <w:b/>
                <w:bCs/>
                <w:color w:val="000000"/>
                <w:lang w:eastAsia="en-GB"/>
              </w:rPr>
              <w:t>Submission by Unia (Interfederal Centre for Equal Opportunities), Belgium</w:t>
            </w:r>
          </w:p>
          <w:p w14:paraId="0D8CFA27" w14:textId="407AAE69" w:rsidR="00884A88" w:rsidRPr="00726DF5" w:rsidRDefault="00884A88" w:rsidP="00726DF5">
            <w:pPr>
              <w:spacing w:before="240" w:after="200" w:line="276" w:lineRule="auto"/>
              <w:jc w:val="both"/>
              <w:rPr>
                <w:rFonts w:eastAsia="Times New Roman"/>
                <w:bCs/>
                <w:color w:val="000000"/>
                <w:lang w:eastAsia="en-GB"/>
              </w:rPr>
            </w:pPr>
            <w:r w:rsidRPr="00726DF5">
              <w:rPr>
                <w:rFonts w:eastAsia="Times New Roman"/>
                <w:bCs/>
                <w:color w:val="000000"/>
                <w:lang w:eastAsia="en-GB"/>
              </w:rPr>
              <w:t>Unia</w:t>
            </w:r>
            <w:r w:rsidRPr="00726DF5">
              <w:rPr>
                <w:rFonts w:eastAsia="Times New Roman"/>
                <w:bCs/>
                <w:color w:val="000000"/>
                <w:vertAlign w:val="superscript"/>
                <w:lang w:eastAsia="en-GB"/>
              </w:rPr>
              <w:t xml:space="preserve"> </w:t>
            </w:r>
            <w:r w:rsidRPr="00726DF5">
              <w:rPr>
                <w:rFonts w:eastAsia="Times New Roman"/>
                <w:bCs/>
                <w:color w:val="000000"/>
                <w:lang w:eastAsia="en-GB"/>
              </w:rPr>
              <w:t xml:space="preserve">is an </w:t>
            </w:r>
            <w:r w:rsidR="00035255">
              <w:rPr>
                <w:rFonts w:eastAsia="Times New Roman"/>
                <w:bCs/>
                <w:color w:val="000000"/>
                <w:lang w:eastAsia="en-GB"/>
              </w:rPr>
              <w:t xml:space="preserve">independent, </w:t>
            </w:r>
            <w:r w:rsidRPr="00726DF5">
              <w:rPr>
                <w:rFonts w:eastAsia="Times New Roman"/>
                <w:bCs/>
                <w:color w:val="000000"/>
                <w:lang w:eastAsia="en-GB"/>
              </w:rPr>
              <w:t xml:space="preserve">interfederal </w:t>
            </w:r>
            <w:r w:rsidR="00035255">
              <w:rPr>
                <w:rFonts w:eastAsia="Times New Roman"/>
                <w:bCs/>
                <w:color w:val="000000"/>
                <w:lang w:eastAsia="en-GB"/>
              </w:rPr>
              <w:t>public institution</w:t>
            </w:r>
            <w:r w:rsidRPr="00726DF5">
              <w:rPr>
                <w:rFonts w:eastAsia="Times New Roman"/>
                <w:bCs/>
                <w:color w:val="000000"/>
                <w:lang w:eastAsia="en-GB"/>
              </w:rPr>
              <w:t>, specialised in equal opportunities policy and non-discrimination.</w:t>
            </w:r>
          </w:p>
          <w:p w14:paraId="0D8CFA28" w14:textId="34CF3300" w:rsidR="00884A88" w:rsidRPr="00726DF5" w:rsidRDefault="00884A88" w:rsidP="00726DF5">
            <w:pPr>
              <w:spacing w:before="240" w:after="200" w:line="276" w:lineRule="auto"/>
              <w:jc w:val="both"/>
              <w:rPr>
                <w:rFonts w:eastAsia="Times New Roman"/>
                <w:bCs/>
                <w:color w:val="000000"/>
                <w:lang w:eastAsia="en-GB"/>
              </w:rPr>
            </w:pPr>
            <w:r w:rsidRPr="00726DF5">
              <w:rPr>
                <w:rFonts w:eastAsia="Times New Roman"/>
                <w:bCs/>
                <w:color w:val="000000"/>
                <w:lang w:eastAsia="en-GB"/>
              </w:rPr>
              <w:t xml:space="preserve">Unia is </w:t>
            </w:r>
            <w:r w:rsidR="00EC3270">
              <w:rPr>
                <w:rFonts w:eastAsia="Times New Roman"/>
                <w:bCs/>
                <w:color w:val="000000"/>
                <w:lang w:eastAsia="en-GB"/>
              </w:rPr>
              <w:t>charged with the responsibility of</w:t>
            </w:r>
            <w:r w:rsidRPr="00726DF5">
              <w:rPr>
                <w:rFonts w:eastAsia="Times New Roman"/>
                <w:bCs/>
                <w:color w:val="000000"/>
                <w:lang w:eastAsia="en-GB"/>
              </w:rPr>
              <w:t xml:space="preserve"> assisting victims of discrimination based on different protected criteria (one of which is disability) by the anti-discrimination laws which are the transposition of the </w:t>
            </w:r>
            <w:r w:rsidR="00726DF5">
              <w:rPr>
                <w:rFonts w:eastAsia="Times New Roman"/>
                <w:bCs/>
                <w:color w:val="000000"/>
                <w:lang w:eastAsia="en-GB"/>
              </w:rPr>
              <w:t>EU</w:t>
            </w:r>
            <w:r w:rsidRPr="00726DF5">
              <w:rPr>
                <w:rFonts w:eastAsia="Times New Roman"/>
                <w:bCs/>
                <w:color w:val="000000"/>
                <w:lang w:eastAsia="en-GB"/>
              </w:rPr>
              <w:t xml:space="preserve"> directives 2000/43 and 2000/78. </w:t>
            </w:r>
          </w:p>
          <w:p w14:paraId="0D8CFA29" w14:textId="5A7E9593" w:rsidR="00884A88" w:rsidRPr="00726DF5" w:rsidRDefault="00884A88" w:rsidP="00726DF5">
            <w:pPr>
              <w:spacing w:before="240" w:after="200" w:line="276" w:lineRule="auto"/>
              <w:jc w:val="both"/>
              <w:rPr>
                <w:rFonts w:eastAsia="Times New Roman"/>
                <w:bCs/>
                <w:color w:val="000000"/>
                <w:lang w:eastAsia="en-GB"/>
              </w:rPr>
            </w:pPr>
            <w:r w:rsidRPr="00726DF5">
              <w:rPr>
                <w:rFonts w:eastAsia="Times New Roman"/>
                <w:bCs/>
                <w:color w:val="000000"/>
                <w:lang w:eastAsia="en-GB"/>
              </w:rPr>
              <w:t>Unia is also responsible,</w:t>
            </w:r>
            <w:r w:rsidR="00726DF5">
              <w:rPr>
                <w:rFonts w:eastAsia="Times New Roman"/>
                <w:bCs/>
                <w:color w:val="000000"/>
                <w:lang w:eastAsia="en-GB"/>
              </w:rPr>
              <w:t xml:space="preserve"> as national independent follow-</w:t>
            </w:r>
            <w:r w:rsidRPr="00726DF5">
              <w:rPr>
                <w:rFonts w:eastAsia="Times New Roman"/>
                <w:bCs/>
                <w:color w:val="000000"/>
                <w:lang w:eastAsia="en-GB"/>
              </w:rPr>
              <w:t>up mechanism</w:t>
            </w:r>
            <w:r w:rsidR="00726DF5">
              <w:rPr>
                <w:rFonts w:eastAsia="Times New Roman"/>
                <w:bCs/>
                <w:color w:val="000000"/>
                <w:lang w:eastAsia="en-GB"/>
              </w:rPr>
              <w:t xml:space="preserve"> under article 33.2 of the Convention on the Rights of Persons with Disabilities (CRPD)</w:t>
            </w:r>
            <w:r w:rsidRPr="00726DF5">
              <w:rPr>
                <w:rFonts w:eastAsia="Times New Roman"/>
                <w:bCs/>
                <w:color w:val="000000"/>
                <w:lang w:eastAsia="en-GB"/>
              </w:rPr>
              <w:t>, for promoting, protecting and monitoring the implementation of the CRPD in Belgium.</w:t>
            </w:r>
          </w:p>
          <w:p w14:paraId="0D8CFA2A" w14:textId="77777777" w:rsidR="00884A88" w:rsidRPr="00884A88" w:rsidRDefault="00884A88" w:rsidP="00726DF5">
            <w:pPr>
              <w:spacing w:before="240" w:after="200" w:line="276" w:lineRule="auto"/>
              <w:jc w:val="both"/>
              <w:rPr>
                <w:rFonts w:eastAsia="Times New Roman"/>
                <w:bCs/>
                <w:color w:val="000000"/>
                <w:lang w:eastAsia="en-GB"/>
              </w:rPr>
            </w:pPr>
            <w:r w:rsidRPr="00726DF5">
              <w:rPr>
                <w:rFonts w:eastAsia="Times New Roman"/>
                <w:bCs/>
                <w:color w:val="000000"/>
                <w:u w:val="single"/>
                <w:lang w:eastAsia="en-GB"/>
              </w:rPr>
              <w:t xml:space="preserve">Contact </w:t>
            </w:r>
            <w:r w:rsidRPr="00726DF5">
              <w:rPr>
                <w:rFonts w:ascii="Calibri" w:eastAsia="Calibri" w:hAnsi="Calibri" w:cs="Times New Roman"/>
                <w:u w:val="single"/>
              </w:rPr>
              <w:t>person</w:t>
            </w:r>
            <w:r w:rsidRPr="00884A88">
              <w:rPr>
                <w:rFonts w:eastAsia="Times New Roman"/>
                <w:bCs/>
                <w:color w:val="000000"/>
                <w:lang w:eastAsia="en-GB"/>
              </w:rPr>
              <w:t xml:space="preserve">: Charlotte Dekempeneer, </w:t>
            </w:r>
            <w:hyperlink r:id="rId12" w:history="1">
              <w:r w:rsidRPr="00884A88">
                <w:rPr>
                  <w:rStyle w:val="Hyperlink"/>
                  <w:rFonts w:eastAsia="Times New Roman"/>
                  <w:bCs/>
                  <w:lang w:eastAsia="en-GB"/>
                </w:rPr>
                <w:t>charlotte.dekempeneer@unia.be</w:t>
              </w:r>
            </w:hyperlink>
          </w:p>
        </w:tc>
      </w:tr>
    </w:tbl>
    <w:p w14:paraId="0D8CFA2C" w14:textId="77777777" w:rsidR="00884A88" w:rsidRPr="00884A88" w:rsidRDefault="00884A88">
      <w:pPr>
        <w:spacing w:line="331" w:lineRule="auto"/>
        <w:rPr>
          <w:rFonts w:asciiTheme="minorHAnsi" w:eastAsia="Calibri" w:hAnsiTheme="minorHAnsi" w:cs="Calibri"/>
          <w:lang w:val="en-US"/>
        </w:rPr>
      </w:pPr>
    </w:p>
    <w:p w14:paraId="0D8CFA2E" w14:textId="77777777" w:rsidR="00F11908" w:rsidRPr="00FF68DB" w:rsidRDefault="008640F2" w:rsidP="00726DF5">
      <w:pPr>
        <w:rPr>
          <w:rFonts w:asciiTheme="minorHAnsi" w:hAnsiTheme="minorHAnsi"/>
          <w:b/>
          <w:lang w:val="en-US"/>
        </w:rPr>
      </w:pPr>
      <w:r w:rsidRPr="00FF68DB">
        <w:rPr>
          <w:rFonts w:asciiTheme="minorHAnsi" w:eastAsia="Calibri" w:hAnsiTheme="minorHAnsi" w:cs="Calibri"/>
          <w:b/>
          <w:lang w:val="en-US"/>
        </w:rPr>
        <w:t>1. Has your country adopted legislation establishing disability as a prohibited ground of discrimination, including denial of reasonable accommodation as discrimination? Please provide details on any related legal reforms.</w:t>
      </w:r>
    </w:p>
    <w:p w14:paraId="0D8CFA2F" w14:textId="77777777" w:rsidR="00884A88" w:rsidRPr="00884A88" w:rsidRDefault="00884A88" w:rsidP="00726DF5">
      <w:pPr>
        <w:spacing w:before="240" w:after="200"/>
        <w:jc w:val="both"/>
        <w:rPr>
          <w:rFonts w:ascii="Calibri" w:eastAsia="Calibri" w:hAnsi="Calibri" w:cs="Times New Roman"/>
          <w:color w:val="auto"/>
          <w:lang w:eastAsia="en-US"/>
        </w:rPr>
      </w:pPr>
      <w:r w:rsidRPr="00884A88">
        <w:rPr>
          <w:rFonts w:ascii="Calibri" w:eastAsia="Calibri" w:hAnsi="Calibri" w:cs="Times New Roman"/>
          <w:color w:val="auto"/>
          <w:lang w:eastAsia="en-US"/>
        </w:rPr>
        <w:t>Disability is specifically mentioned as a prohibited ground of discrimination in the antidiscrimination legislation of the federal state, the communities</w:t>
      </w:r>
      <w:r w:rsidRPr="00FF68DB">
        <w:rPr>
          <w:rFonts w:ascii="Calibri" w:eastAsia="Calibri" w:hAnsi="Calibri" w:cs="Times New Roman"/>
          <w:color w:val="auto"/>
          <w:vertAlign w:val="superscript"/>
          <w:lang w:eastAsia="en-US"/>
        </w:rPr>
        <w:footnoteReference w:id="1"/>
      </w:r>
      <w:r w:rsidRPr="00884A88">
        <w:rPr>
          <w:rFonts w:ascii="Calibri" w:eastAsia="Calibri" w:hAnsi="Calibri" w:cs="Times New Roman"/>
          <w:color w:val="auto"/>
          <w:lang w:eastAsia="en-US"/>
        </w:rPr>
        <w:t xml:space="preserve"> and the regions</w:t>
      </w:r>
      <w:r w:rsidRPr="00FF68DB">
        <w:rPr>
          <w:rFonts w:ascii="Calibri" w:eastAsia="Calibri" w:hAnsi="Calibri" w:cs="Times New Roman"/>
          <w:color w:val="auto"/>
          <w:vertAlign w:val="superscript"/>
          <w:lang w:eastAsia="en-US"/>
        </w:rPr>
        <w:footnoteReference w:id="2"/>
      </w:r>
      <w:r w:rsidRPr="00884A88">
        <w:rPr>
          <w:rFonts w:ascii="Calibri" w:eastAsia="Calibri" w:hAnsi="Calibri" w:cs="Times New Roman"/>
          <w:color w:val="auto"/>
          <w:lang w:eastAsia="en-US"/>
        </w:rPr>
        <w:t>.</w:t>
      </w:r>
    </w:p>
    <w:p w14:paraId="0D8CFA30" w14:textId="77777777" w:rsidR="00884A88" w:rsidRPr="00884A88" w:rsidRDefault="00884A88" w:rsidP="00726DF5">
      <w:pPr>
        <w:spacing w:before="240" w:after="200"/>
        <w:jc w:val="both"/>
        <w:rPr>
          <w:rFonts w:ascii="Calibri" w:eastAsia="Calibri" w:hAnsi="Calibri" w:cs="Times New Roman"/>
          <w:color w:val="auto"/>
          <w:lang w:val="en-US" w:eastAsia="en-US"/>
        </w:rPr>
      </w:pPr>
      <w:r w:rsidRPr="00884A88">
        <w:rPr>
          <w:rFonts w:ascii="Calibri" w:eastAsia="Calibri" w:hAnsi="Calibri" w:cs="Times New Roman"/>
          <w:color w:val="auto"/>
          <w:lang w:val="en-US" w:eastAsia="en-US"/>
        </w:rPr>
        <w:t xml:space="preserve">While the antidiscrimination legislation ensures protection against discrimination in many areas, several weaknesses still exist. For example, the scope of the antidiscrimination legislation does not cover the </w:t>
      </w:r>
      <w:r w:rsidRPr="00884A88">
        <w:rPr>
          <w:rFonts w:ascii="Calibri" w:eastAsia="Calibri" w:hAnsi="Calibri" w:cs="Times New Roman"/>
          <w:color w:val="auto"/>
          <w:lang w:val="en-US" w:eastAsia="en-US"/>
        </w:rPr>
        <w:lastRenderedPageBreak/>
        <w:t xml:space="preserve">relations between joint owners. Consequently, joint owners are not obliged to provide reasonable accommodations (e.g. in the common area of a block of flats) if one of the joint owners has a disability. </w:t>
      </w:r>
    </w:p>
    <w:p w14:paraId="0D8CFA31" w14:textId="77777777" w:rsidR="00F11908" w:rsidRPr="00FF68DB" w:rsidRDefault="00884A88" w:rsidP="00726DF5">
      <w:pPr>
        <w:spacing w:before="240" w:after="200"/>
        <w:jc w:val="both"/>
        <w:rPr>
          <w:rFonts w:ascii="Calibri" w:eastAsia="Calibri" w:hAnsi="Calibri" w:cs="Times New Roman"/>
          <w:color w:val="auto"/>
          <w:lang w:val="en-US" w:eastAsia="en-US"/>
        </w:rPr>
      </w:pPr>
      <w:r w:rsidRPr="00884A88">
        <w:rPr>
          <w:rFonts w:ascii="Calibri" w:eastAsia="Calibri" w:hAnsi="Calibri" w:cs="Times New Roman"/>
          <w:color w:val="auto"/>
          <w:lang w:val="en-US" w:eastAsia="en-US"/>
        </w:rPr>
        <w:t>For further details, please refer to Unia’s assessment report of February 2016 on the federal Anti-Discrimination Law and Anti-Racism Law.</w:t>
      </w:r>
      <w:r w:rsidRPr="00FF68DB">
        <w:rPr>
          <w:rFonts w:ascii="Calibri" w:eastAsia="Calibri" w:hAnsi="Calibri" w:cs="Times New Roman"/>
          <w:color w:val="auto"/>
          <w:vertAlign w:val="superscript"/>
          <w:lang w:val="en-US" w:eastAsia="en-US"/>
        </w:rPr>
        <w:footnoteReference w:id="3"/>
      </w:r>
    </w:p>
    <w:p w14:paraId="0D8CFA32" w14:textId="77777777" w:rsidR="00F11908" w:rsidRPr="00FF68DB" w:rsidRDefault="008640F2" w:rsidP="00726DF5">
      <w:pPr>
        <w:jc w:val="both"/>
        <w:rPr>
          <w:rFonts w:asciiTheme="minorHAnsi" w:hAnsiTheme="minorHAnsi"/>
          <w:b/>
          <w:lang w:val="en-US"/>
        </w:rPr>
      </w:pPr>
      <w:r w:rsidRPr="00FF68DB">
        <w:rPr>
          <w:rFonts w:asciiTheme="minorHAnsi" w:eastAsia="Calibri" w:hAnsiTheme="minorHAnsi" w:cs="Calibri"/>
          <w:b/>
          <w:lang w:val="en-US"/>
        </w:rPr>
        <w:t>2. Does your country apply an objective test to determine if an accommodation requested by a person with disability is undue or disproportionate? If so, please describe the tests and their different elements (500 words).</w:t>
      </w:r>
    </w:p>
    <w:p w14:paraId="0D8CFA33" w14:textId="32B93928" w:rsidR="00F11908" w:rsidRPr="00FF68DB" w:rsidRDefault="00884A88" w:rsidP="00726DF5">
      <w:p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 xml:space="preserve">The term “reasonable accommodation” has to be interpreted following the principles and indicators of a protocol </w:t>
      </w:r>
      <w:r w:rsidR="00EC3270">
        <w:rPr>
          <w:rFonts w:ascii="Calibri" w:eastAsia="Calibri" w:hAnsi="Calibri" w:cs="Times New Roman"/>
          <w:color w:val="auto"/>
          <w:lang w:val="en-US" w:eastAsia="en-US"/>
        </w:rPr>
        <w:t xml:space="preserve">agreement </w:t>
      </w:r>
      <w:r w:rsidRPr="00FF68DB">
        <w:rPr>
          <w:rFonts w:ascii="Calibri" w:eastAsia="Calibri" w:hAnsi="Calibri" w:cs="Times New Roman"/>
          <w:color w:val="auto"/>
          <w:lang w:val="en-US" w:eastAsia="en-US"/>
        </w:rPr>
        <w:t>signed by the federal state, the communities and the regions.</w:t>
      </w:r>
      <w:r w:rsidRPr="00FF68DB">
        <w:rPr>
          <w:rStyle w:val="FootnoteReference"/>
          <w:rFonts w:ascii="Calibri" w:eastAsia="Calibri" w:hAnsi="Calibri" w:cs="Times New Roman"/>
          <w:color w:val="auto"/>
          <w:lang w:val="en-US" w:eastAsia="en-US"/>
        </w:rPr>
        <w:footnoteReference w:id="4"/>
      </w:r>
    </w:p>
    <w:p w14:paraId="0D8CFA34" w14:textId="77777777" w:rsidR="00851D48" w:rsidRPr="00FF68DB" w:rsidRDefault="00851D48" w:rsidP="00726DF5">
      <w:pPr>
        <w:spacing w:before="24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According to the protocol, an accommodation has to:</w:t>
      </w:r>
    </w:p>
    <w:p w14:paraId="0D8CFA35" w14:textId="77777777" w:rsidR="00851D48" w:rsidRPr="00FF68DB" w:rsidRDefault="00851D48" w:rsidP="00726DF5">
      <w:pPr>
        <w:pStyle w:val="ListParagraph"/>
        <w:numPr>
          <w:ilvl w:val="0"/>
          <w:numId w:val="1"/>
        </w:numPr>
        <w:spacing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be effective, so that the person with a disability can actually participate;</w:t>
      </w:r>
    </w:p>
    <w:p w14:paraId="0D8CFA36" w14:textId="77777777" w:rsidR="00851D48" w:rsidRPr="00FF68DB" w:rsidRDefault="00851D48" w:rsidP="00726DF5">
      <w:pPr>
        <w:pStyle w:val="ListParagraph"/>
        <w:numPr>
          <w:ilvl w:val="0"/>
          <w:numId w:val="1"/>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enable the person with a disability to participate on an equal basis with others</w:t>
      </w:r>
      <w:r w:rsidR="00EB4428" w:rsidRPr="00FF68DB">
        <w:rPr>
          <w:rFonts w:ascii="Calibri" w:eastAsia="Calibri" w:hAnsi="Calibri" w:cs="Times New Roman"/>
          <w:color w:val="auto"/>
          <w:lang w:val="en-US" w:eastAsia="en-US"/>
        </w:rPr>
        <w:t>;</w:t>
      </w:r>
    </w:p>
    <w:p w14:paraId="0D8CFA37" w14:textId="77777777" w:rsidR="00851D48" w:rsidRPr="00FF68DB" w:rsidRDefault="00EB4428" w:rsidP="00726DF5">
      <w:pPr>
        <w:pStyle w:val="ListParagraph"/>
        <w:numPr>
          <w:ilvl w:val="0"/>
          <w:numId w:val="1"/>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enable the person with a disability to participate independently; and</w:t>
      </w:r>
    </w:p>
    <w:p w14:paraId="0D8CFA38" w14:textId="77777777" w:rsidR="00EB4428" w:rsidRPr="00FF68DB" w:rsidRDefault="00EB4428" w:rsidP="00726DF5">
      <w:pPr>
        <w:pStyle w:val="ListParagraph"/>
        <w:numPr>
          <w:ilvl w:val="0"/>
          <w:numId w:val="1"/>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guarantee the security of the person with a disability.</w:t>
      </w:r>
    </w:p>
    <w:p w14:paraId="0D8CFA39" w14:textId="6F014DA1" w:rsidR="00EB4428" w:rsidRPr="00FF68DB" w:rsidRDefault="00EB4428" w:rsidP="00726DF5">
      <w:pPr>
        <w:spacing w:before="24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 xml:space="preserve">To determine if an accommodation is reasonable, the following indicators have to be </w:t>
      </w:r>
      <w:r w:rsidR="00EC3270">
        <w:rPr>
          <w:rFonts w:ascii="Calibri" w:eastAsia="Calibri" w:hAnsi="Calibri" w:cs="Times New Roman"/>
          <w:color w:val="auto"/>
          <w:lang w:val="en-US" w:eastAsia="en-US"/>
        </w:rPr>
        <w:t>assessed</w:t>
      </w:r>
      <w:r w:rsidRPr="00FF68DB">
        <w:rPr>
          <w:rFonts w:ascii="Calibri" w:eastAsia="Calibri" w:hAnsi="Calibri" w:cs="Times New Roman"/>
          <w:color w:val="auto"/>
          <w:lang w:val="en-US" w:eastAsia="en-US"/>
        </w:rPr>
        <w:t>:</w:t>
      </w:r>
    </w:p>
    <w:p w14:paraId="0D8CFA3C" w14:textId="150737E7" w:rsidR="00EB4428" w:rsidRPr="00C61B9F" w:rsidRDefault="00EB4428" w:rsidP="00726DF5">
      <w:pPr>
        <w:pStyle w:val="ListParagraph"/>
        <w:numPr>
          <w:ilvl w:val="0"/>
          <w:numId w:val="2"/>
        </w:numPr>
        <w:spacing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the financial impact of the accommodation, taking into account</w:t>
      </w:r>
      <w:r w:rsidR="00C61B9F">
        <w:rPr>
          <w:rFonts w:ascii="Calibri" w:eastAsia="Calibri" w:hAnsi="Calibri" w:cs="Times New Roman"/>
          <w:color w:val="auto"/>
          <w:lang w:val="en-US" w:eastAsia="en-US"/>
        </w:rPr>
        <w:t xml:space="preserve"> </w:t>
      </w:r>
      <w:r w:rsidRPr="00C61B9F">
        <w:rPr>
          <w:rFonts w:ascii="Calibri" w:eastAsia="Calibri" w:hAnsi="Calibri" w:cs="Times New Roman"/>
          <w:color w:val="auto"/>
          <w:lang w:val="en-US" w:eastAsia="en-US"/>
        </w:rPr>
        <w:t>financial support by public authorities</w:t>
      </w:r>
      <w:r w:rsidR="00C61B9F">
        <w:rPr>
          <w:rFonts w:ascii="Calibri" w:eastAsia="Calibri" w:hAnsi="Calibri" w:cs="Times New Roman"/>
          <w:color w:val="auto"/>
          <w:lang w:val="en-US" w:eastAsia="en-US"/>
        </w:rPr>
        <w:t xml:space="preserve"> and </w:t>
      </w:r>
      <w:r w:rsidRPr="00C61B9F">
        <w:rPr>
          <w:rFonts w:ascii="Calibri" w:eastAsia="Calibri" w:hAnsi="Calibri" w:cs="Times New Roman"/>
          <w:color w:val="auto"/>
          <w:lang w:val="en-US" w:eastAsia="en-US"/>
        </w:rPr>
        <w:t>the financial capacity of the person/organization/… that is obliged to provide reasonable accommodation</w:t>
      </w:r>
      <w:r w:rsidR="00FF68DB" w:rsidRPr="00C61B9F">
        <w:rPr>
          <w:rFonts w:ascii="Calibri" w:eastAsia="Calibri" w:hAnsi="Calibri" w:cs="Times New Roman"/>
          <w:color w:val="auto"/>
          <w:lang w:val="en-US" w:eastAsia="en-US"/>
        </w:rPr>
        <w:t>;</w:t>
      </w:r>
    </w:p>
    <w:p w14:paraId="0D8CFA3D" w14:textId="77777777" w:rsidR="00EB4428" w:rsidRPr="00FF68DB" w:rsidRDefault="00EB4428" w:rsidP="00726DF5">
      <w:pPr>
        <w:pStyle w:val="ListParagraph"/>
        <w:numPr>
          <w:ilvl w:val="0"/>
          <w:numId w:val="2"/>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the organizational impact of the accommodation</w:t>
      </w:r>
      <w:r w:rsidR="00FF68DB">
        <w:rPr>
          <w:rFonts w:ascii="Calibri" w:eastAsia="Calibri" w:hAnsi="Calibri" w:cs="Times New Roman"/>
          <w:color w:val="auto"/>
          <w:lang w:val="en-US" w:eastAsia="en-US"/>
        </w:rPr>
        <w:t>;</w:t>
      </w:r>
    </w:p>
    <w:p w14:paraId="0D8CFA3E" w14:textId="77777777" w:rsidR="00EB4428" w:rsidRPr="00FF68DB" w:rsidRDefault="00EB4428" w:rsidP="00726DF5">
      <w:pPr>
        <w:pStyle w:val="ListParagraph"/>
        <w:numPr>
          <w:ilvl w:val="0"/>
          <w:numId w:val="2"/>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 xml:space="preserve">the expected frequency and duration of the use of the </w:t>
      </w:r>
      <w:r w:rsidR="00FF68DB">
        <w:rPr>
          <w:rFonts w:ascii="Calibri" w:eastAsia="Calibri" w:hAnsi="Calibri" w:cs="Times New Roman"/>
          <w:color w:val="auto"/>
          <w:lang w:val="en-US" w:eastAsia="en-US"/>
        </w:rPr>
        <w:t xml:space="preserve">accommodation by persons with </w:t>
      </w:r>
      <w:r w:rsidRPr="00FF68DB">
        <w:rPr>
          <w:rFonts w:ascii="Calibri" w:eastAsia="Calibri" w:hAnsi="Calibri" w:cs="Times New Roman"/>
          <w:color w:val="auto"/>
          <w:lang w:val="en-US" w:eastAsia="en-US"/>
        </w:rPr>
        <w:t>disabilit</w:t>
      </w:r>
      <w:r w:rsidR="00FF68DB">
        <w:rPr>
          <w:rFonts w:ascii="Calibri" w:eastAsia="Calibri" w:hAnsi="Calibri" w:cs="Times New Roman"/>
          <w:color w:val="auto"/>
          <w:lang w:val="en-US" w:eastAsia="en-US"/>
        </w:rPr>
        <w:t>ies</w:t>
      </w:r>
      <w:r w:rsidRPr="00FF68DB">
        <w:rPr>
          <w:rFonts w:ascii="Calibri" w:eastAsia="Calibri" w:hAnsi="Calibri" w:cs="Times New Roman"/>
          <w:color w:val="auto"/>
          <w:lang w:val="en-US" w:eastAsia="en-US"/>
        </w:rPr>
        <w:t>;</w:t>
      </w:r>
    </w:p>
    <w:p w14:paraId="0D8CFA3F" w14:textId="77777777" w:rsidR="00EB4428" w:rsidRPr="00FF68DB" w:rsidRDefault="00EB4428" w:rsidP="00726DF5">
      <w:pPr>
        <w:pStyle w:val="ListParagraph"/>
        <w:numPr>
          <w:ilvl w:val="0"/>
          <w:numId w:val="2"/>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the impact of the accommodation on the quality of life of (an) actual or prospective user(s) with a disability</w:t>
      </w:r>
      <w:r w:rsidR="00FF68DB" w:rsidRPr="00FF68DB">
        <w:rPr>
          <w:rFonts w:ascii="Calibri" w:eastAsia="Calibri" w:hAnsi="Calibri" w:cs="Times New Roman"/>
          <w:color w:val="auto"/>
          <w:lang w:val="en-US" w:eastAsia="en-US"/>
        </w:rPr>
        <w:t>;</w:t>
      </w:r>
    </w:p>
    <w:p w14:paraId="0D8CFA40" w14:textId="77777777" w:rsidR="00851D48" w:rsidRPr="00FF68DB" w:rsidRDefault="00FF68DB" w:rsidP="00726DF5">
      <w:pPr>
        <w:pStyle w:val="ListParagraph"/>
        <w:numPr>
          <w:ilvl w:val="0"/>
          <w:numId w:val="2"/>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the impact of the accommodation on the</w:t>
      </w:r>
      <w:r w:rsidR="00454CE5">
        <w:rPr>
          <w:rFonts w:ascii="Calibri" w:eastAsia="Calibri" w:hAnsi="Calibri" w:cs="Times New Roman"/>
          <w:color w:val="auto"/>
          <w:lang w:val="en-US" w:eastAsia="en-US"/>
        </w:rPr>
        <w:t xml:space="preserve"> environment and on other users;</w:t>
      </w:r>
    </w:p>
    <w:p w14:paraId="0D8CFA41" w14:textId="77777777" w:rsidR="00FF68DB" w:rsidRPr="00FF68DB" w:rsidRDefault="00FF68DB" w:rsidP="00726DF5">
      <w:pPr>
        <w:pStyle w:val="ListParagraph"/>
        <w:numPr>
          <w:ilvl w:val="0"/>
          <w:numId w:val="2"/>
        </w:numPr>
        <w:spacing w:before="240" w:after="200"/>
        <w:jc w:val="both"/>
        <w:rPr>
          <w:rFonts w:ascii="Calibri" w:eastAsia="Calibri" w:hAnsi="Calibri" w:cs="Times New Roman"/>
          <w:color w:val="auto"/>
          <w:lang w:val="en-US" w:eastAsia="en-US"/>
        </w:rPr>
      </w:pPr>
      <w:r w:rsidRPr="00FF68DB">
        <w:rPr>
          <w:rFonts w:ascii="Calibri" w:eastAsia="Calibri" w:hAnsi="Calibri" w:cs="Times New Roman"/>
          <w:color w:val="auto"/>
          <w:lang w:val="en-US" w:eastAsia="en-US"/>
        </w:rPr>
        <w:t>the lack of equivalent alternatives;</w:t>
      </w:r>
    </w:p>
    <w:p w14:paraId="0D8CFA42" w14:textId="77777777" w:rsidR="00FF68DB" w:rsidRDefault="00FF68DB" w:rsidP="00726DF5">
      <w:pPr>
        <w:pStyle w:val="ListParagraph"/>
        <w:numPr>
          <w:ilvl w:val="0"/>
          <w:numId w:val="2"/>
        </w:numPr>
        <w:spacing w:before="240" w:after="200"/>
        <w:jc w:val="both"/>
        <w:rPr>
          <w:rFonts w:ascii="Calibri" w:eastAsia="Calibri" w:hAnsi="Calibri" w:cs="Times New Roman"/>
          <w:color w:val="auto"/>
          <w:lang w:val="en-US" w:eastAsia="en-US"/>
        </w:rPr>
      </w:pPr>
      <w:r w:rsidRPr="00C61B9F">
        <w:rPr>
          <w:rFonts w:ascii="Calibri" w:eastAsia="Calibri" w:hAnsi="Calibri" w:cs="Times New Roman"/>
          <w:color w:val="auto"/>
          <w:lang w:val="en-US" w:eastAsia="en-US"/>
        </w:rPr>
        <w:t xml:space="preserve">non-compliance with self-evident or legally binding standards. </w:t>
      </w:r>
    </w:p>
    <w:p w14:paraId="43A1C1BB" w14:textId="4FEA01BD" w:rsidR="00F55AA5" w:rsidRDefault="00F55AA5" w:rsidP="00F55AA5">
      <w:pPr>
        <w:spacing w:before="240"/>
        <w:jc w:val="both"/>
        <w:rPr>
          <w:rFonts w:ascii="Calibri" w:eastAsia="Calibri" w:hAnsi="Calibri" w:cs="Times New Roman"/>
          <w:color w:val="auto"/>
          <w:lang w:val="en-US" w:eastAsia="en-US"/>
        </w:rPr>
      </w:pPr>
      <w:r w:rsidRPr="00F55AA5">
        <w:rPr>
          <w:rFonts w:ascii="Calibri" w:eastAsia="Calibri" w:hAnsi="Calibri" w:cs="Times New Roman"/>
          <w:color w:val="auto"/>
          <w:lang w:val="en-US" w:eastAsia="en-US"/>
        </w:rPr>
        <w:lastRenderedPageBreak/>
        <w:t>The list of indicators is not exhaustive.</w:t>
      </w:r>
    </w:p>
    <w:p w14:paraId="0161B331" w14:textId="7F7D5374" w:rsidR="00AD4EDB" w:rsidRPr="00AD4EDB" w:rsidRDefault="00AD4EDB" w:rsidP="00F55AA5">
      <w:pPr>
        <w:spacing w:before="240"/>
        <w:jc w:val="both"/>
        <w:rPr>
          <w:rFonts w:ascii="Calibri" w:eastAsia="Calibri" w:hAnsi="Calibri" w:cs="Times New Roman"/>
          <w:color w:val="auto"/>
          <w:lang w:eastAsia="en-US"/>
        </w:rPr>
      </w:pPr>
      <w:r w:rsidRPr="00AD4EDB">
        <w:rPr>
          <w:rFonts w:ascii="Calibri" w:eastAsia="Calibri" w:hAnsi="Calibri" w:cs="Times New Roman"/>
          <w:color w:val="auto"/>
          <w:lang w:eastAsia="en-US"/>
        </w:rPr>
        <w:t>More efforts are needed in order to raise awareness about the right to reasonable accom</w:t>
      </w:r>
      <w:r>
        <w:rPr>
          <w:rFonts w:ascii="Calibri" w:eastAsia="Calibri" w:hAnsi="Calibri" w:cs="Times New Roman"/>
          <w:color w:val="auto"/>
          <w:lang w:eastAsia="en-US"/>
        </w:rPr>
        <w:t>m</w:t>
      </w:r>
      <w:r w:rsidRPr="00AD4EDB">
        <w:rPr>
          <w:rFonts w:ascii="Calibri" w:eastAsia="Calibri" w:hAnsi="Calibri" w:cs="Times New Roman"/>
          <w:color w:val="auto"/>
          <w:lang w:eastAsia="en-US"/>
        </w:rPr>
        <w:t xml:space="preserve">odation and in </w:t>
      </w:r>
      <w:r>
        <w:rPr>
          <w:rFonts w:ascii="Calibri" w:eastAsia="Calibri" w:hAnsi="Calibri" w:cs="Times New Roman"/>
          <w:color w:val="auto"/>
          <w:lang w:eastAsia="en-US"/>
        </w:rPr>
        <w:t>order to share good practices. To this end, Unia has published a brochure concerning reasonable accommodation at school.</w:t>
      </w:r>
      <w:r>
        <w:rPr>
          <w:rStyle w:val="FootnoteReference"/>
          <w:rFonts w:ascii="Calibri" w:eastAsia="Calibri" w:hAnsi="Calibri" w:cs="Times New Roman"/>
          <w:color w:val="auto"/>
          <w:lang w:eastAsia="en-US"/>
        </w:rPr>
        <w:footnoteReference w:id="5"/>
      </w:r>
      <w:r>
        <w:rPr>
          <w:rFonts w:ascii="Calibri" w:eastAsia="Calibri" w:hAnsi="Calibri" w:cs="Times New Roman"/>
          <w:color w:val="auto"/>
          <w:lang w:eastAsia="en-US"/>
        </w:rPr>
        <w:t xml:space="preserve"> A brochure concerning reasonable accommodation </w:t>
      </w:r>
      <w:r w:rsidR="00EC3270">
        <w:rPr>
          <w:rFonts w:ascii="Calibri" w:eastAsia="Calibri" w:hAnsi="Calibri" w:cs="Times New Roman"/>
          <w:color w:val="auto"/>
          <w:lang w:eastAsia="en-US"/>
        </w:rPr>
        <w:t>in the work</w:t>
      </w:r>
      <w:r w:rsidR="00035255">
        <w:rPr>
          <w:rFonts w:ascii="Calibri" w:eastAsia="Calibri" w:hAnsi="Calibri" w:cs="Times New Roman"/>
          <w:color w:val="auto"/>
          <w:lang w:eastAsia="en-US"/>
        </w:rPr>
        <w:t>place</w:t>
      </w:r>
      <w:r>
        <w:rPr>
          <w:rFonts w:ascii="Calibri" w:eastAsia="Calibri" w:hAnsi="Calibri" w:cs="Times New Roman"/>
          <w:color w:val="auto"/>
          <w:lang w:eastAsia="en-US"/>
        </w:rPr>
        <w:t xml:space="preserve"> will be published in 2017.</w:t>
      </w:r>
    </w:p>
    <w:p w14:paraId="0D8CFA43" w14:textId="77777777" w:rsidR="00F11908" w:rsidRPr="00454CE5" w:rsidRDefault="00FF68DB" w:rsidP="00726DF5">
      <w:pPr>
        <w:spacing w:before="240" w:after="200"/>
        <w:jc w:val="both"/>
        <w:rPr>
          <w:rFonts w:asciiTheme="minorHAnsi" w:hAnsiTheme="minorHAnsi"/>
          <w:b/>
          <w:lang w:val="en-US"/>
        </w:rPr>
      </w:pPr>
      <w:r w:rsidRPr="00AD4EDB">
        <w:rPr>
          <w:rFonts w:ascii="Calibri" w:eastAsia="Calibri" w:hAnsi="Calibri" w:cs="Times New Roman"/>
          <w:color w:val="1F497D" w:themeColor="text2"/>
          <w:lang w:eastAsia="en-US"/>
        </w:rPr>
        <w:t xml:space="preserve"> </w:t>
      </w:r>
      <w:r w:rsidR="008640F2" w:rsidRPr="00454CE5">
        <w:rPr>
          <w:rFonts w:asciiTheme="minorHAnsi" w:eastAsia="Calibri" w:hAnsiTheme="minorHAnsi" w:cs="Calibri"/>
          <w:b/>
          <w:lang w:val="en-US"/>
        </w:rPr>
        <w:t>3. Does your country apply affirmative actions for combating structural discrimination against persons with disabilities? If so, please describe how are these measures applied and enforced (500 words).</w:t>
      </w:r>
    </w:p>
    <w:p w14:paraId="3071FF37" w14:textId="622FB439" w:rsidR="00161814" w:rsidRPr="00884A88" w:rsidRDefault="00454CE5" w:rsidP="00161814">
      <w:pPr>
        <w:spacing w:before="240" w:after="200"/>
        <w:jc w:val="both"/>
        <w:rPr>
          <w:rFonts w:asciiTheme="minorHAnsi" w:hAnsiTheme="minorHAnsi"/>
          <w:lang w:val="en-US"/>
        </w:rPr>
      </w:pPr>
      <w:r w:rsidRPr="00454CE5">
        <w:rPr>
          <w:rFonts w:asciiTheme="minorHAnsi" w:hAnsiTheme="minorHAnsi"/>
          <w:lang w:val="en-US"/>
        </w:rPr>
        <w:t xml:space="preserve">Quotas for employing persons with disabilities exist in the major public services in Belgium, both at the federal </w:t>
      </w:r>
      <w:r w:rsidRPr="00454CE5">
        <w:rPr>
          <w:rFonts w:ascii="Calibri" w:eastAsia="Calibri" w:hAnsi="Calibri" w:cs="Times New Roman"/>
          <w:color w:val="auto"/>
          <w:lang w:val="en-US" w:eastAsia="en-US"/>
        </w:rPr>
        <w:t>and</w:t>
      </w:r>
      <w:r w:rsidRPr="00454CE5">
        <w:rPr>
          <w:rFonts w:asciiTheme="minorHAnsi" w:hAnsiTheme="minorHAnsi"/>
          <w:lang w:val="en-US"/>
        </w:rPr>
        <w:t xml:space="preserve"> regional level. These quotas vary at different political levels. These quotas are generally not achieved.</w:t>
      </w:r>
      <w:r w:rsidR="00161814">
        <w:rPr>
          <w:rFonts w:asciiTheme="minorHAnsi" w:hAnsiTheme="minorHAnsi"/>
          <w:lang w:val="en-US"/>
        </w:rPr>
        <w:t xml:space="preserve"> Different commissions (with </w:t>
      </w:r>
      <w:r w:rsidR="00EC3270">
        <w:rPr>
          <w:rFonts w:asciiTheme="minorHAnsi" w:hAnsiTheme="minorHAnsi"/>
          <w:lang w:val="en-US"/>
        </w:rPr>
        <w:t xml:space="preserve">the participation of </w:t>
      </w:r>
      <w:r w:rsidR="00A776F3" w:rsidRPr="00A776F3">
        <w:rPr>
          <w:rFonts w:asciiTheme="minorHAnsi" w:hAnsiTheme="minorHAnsi"/>
        </w:rPr>
        <w:t>organisations</w:t>
      </w:r>
      <w:r w:rsidR="00A776F3">
        <w:rPr>
          <w:rFonts w:asciiTheme="minorHAnsi" w:hAnsiTheme="minorHAnsi"/>
          <w:lang w:val="en-US"/>
        </w:rPr>
        <w:t xml:space="preserve"> of persons with disabilities</w:t>
      </w:r>
      <w:r w:rsidR="00161814">
        <w:rPr>
          <w:rFonts w:asciiTheme="minorHAnsi" w:hAnsiTheme="minorHAnsi"/>
          <w:lang w:val="en-US"/>
        </w:rPr>
        <w:t xml:space="preserve">) have been set up to </w:t>
      </w:r>
      <w:r w:rsidR="00EC3270">
        <w:rPr>
          <w:rFonts w:asciiTheme="minorHAnsi" w:hAnsiTheme="minorHAnsi"/>
          <w:lang w:val="en-US"/>
        </w:rPr>
        <w:t>monitor</w:t>
      </w:r>
      <w:r w:rsidR="00161814">
        <w:rPr>
          <w:rFonts w:asciiTheme="minorHAnsi" w:hAnsiTheme="minorHAnsi"/>
          <w:lang w:val="en-US"/>
        </w:rPr>
        <w:t xml:space="preserve"> the situation of the quotas and to report to the governments.</w:t>
      </w:r>
    </w:p>
    <w:p w14:paraId="0D8CFA45" w14:textId="77777777" w:rsidR="00F11908" w:rsidRPr="00454CE5" w:rsidRDefault="008640F2" w:rsidP="00726DF5">
      <w:pPr>
        <w:jc w:val="both"/>
        <w:rPr>
          <w:rFonts w:asciiTheme="minorHAnsi" w:hAnsiTheme="minorHAnsi"/>
          <w:b/>
          <w:lang w:val="en-US"/>
        </w:rPr>
      </w:pPr>
      <w:r w:rsidRPr="00454CE5">
        <w:rPr>
          <w:rFonts w:asciiTheme="minorHAnsi" w:eastAsia="Calibri" w:hAnsiTheme="minorHAnsi" w:cs="Calibri"/>
          <w:b/>
          <w:lang w:val="en-US"/>
        </w:rPr>
        <w:t>4. Does your country have laws, policies and strategies for combating discrimination against women and children with disabilities? Please describe how these policies are reflected in legislation and policy frameworks (500 words).</w:t>
      </w:r>
    </w:p>
    <w:p w14:paraId="0D8CFA46" w14:textId="7F12A6CB" w:rsidR="00F11908" w:rsidRPr="00326D71" w:rsidRDefault="00326D71" w:rsidP="00726DF5">
      <w:pPr>
        <w:spacing w:before="240" w:after="200"/>
        <w:jc w:val="both"/>
        <w:rPr>
          <w:rFonts w:asciiTheme="minorHAnsi" w:hAnsiTheme="minorHAnsi"/>
          <w:u w:val="single"/>
          <w:lang w:val="en-US"/>
        </w:rPr>
      </w:pPr>
      <w:r w:rsidRPr="00326D71">
        <w:rPr>
          <w:rFonts w:asciiTheme="minorHAnsi" w:hAnsiTheme="minorHAnsi"/>
          <w:u w:val="single"/>
          <w:lang w:val="en-US"/>
        </w:rPr>
        <w:t>Women with disabilities</w:t>
      </w:r>
    </w:p>
    <w:p w14:paraId="00BC7AA9" w14:textId="5D48E205" w:rsidR="0075244D" w:rsidRDefault="0075244D" w:rsidP="00726DF5">
      <w:pPr>
        <w:spacing w:before="240" w:after="200"/>
        <w:jc w:val="both"/>
        <w:rPr>
          <w:rFonts w:asciiTheme="minorHAnsi" w:hAnsiTheme="minorHAnsi"/>
          <w:lang w:val="en-US"/>
        </w:rPr>
      </w:pPr>
      <w:r w:rsidRPr="0075244D">
        <w:rPr>
          <w:rFonts w:asciiTheme="minorHAnsi" w:hAnsiTheme="minorHAnsi"/>
          <w:lang w:val="en-US"/>
        </w:rPr>
        <w:t xml:space="preserve">Disability </w:t>
      </w:r>
      <w:r>
        <w:rPr>
          <w:rFonts w:asciiTheme="minorHAnsi" w:hAnsiTheme="minorHAnsi"/>
          <w:lang w:val="en-US"/>
        </w:rPr>
        <w:t xml:space="preserve">and gender are </w:t>
      </w:r>
      <w:r w:rsidRPr="0075244D">
        <w:rPr>
          <w:rFonts w:asciiTheme="minorHAnsi" w:hAnsiTheme="minorHAnsi"/>
          <w:lang w:val="en-US"/>
        </w:rPr>
        <w:t>specifically mentioned as prohibited ground</w:t>
      </w:r>
      <w:r>
        <w:rPr>
          <w:rFonts w:asciiTheme="minorHAnsi" w:hAnsiTheme="minorHAnsi"/>
          <w:lang w:val="en-US"/>
        </w:rPr>
        <w:t>s</w:t>
      </w:r>
      <w:r w:rsidRPr="0075244D">
        <w:rPr>
          <w:rFonts w:asciiTheme="minorHAnsi" w:hAnsiTheme="minorHAnsi"/>
          <w:lang w:val="en-US"/>
        </w:rPr>
        <w:t xml:space="preserve"> of discrimination in the antidiscrimination legislation of the federal state, t</w:t>
      </w:r>
      <w:r>
        <w:rPr>
          <w:rFonts w:asciiTheme="minorHAnsi" w:hAnsiTheme="minorHAnsi"/>
          <w:lang w:val="en-US"/>
        </w:rPr>
        <w:t>he communities and the regions</w:t>
      </w:r>
      <w:r w:rsidRPr="0075244D">
        <w:rPr>
          <w:rFonts w:asciiTheme="minorHAnsi" w:hAnsiTheme="minorHAnsi"/>
          <w:lang w:val="en-US"/>
        </w:rPr>
        <w:t>.</w:t>
      </w:r>
      <w:r>
        <w:rPr>
          <w:rFonts w:asciiTheme="minorHAnsi" w:hAnsiTheme="minorHAnsi"/>
          <w:lang w:val="en-US"/>
        </w:rPr>
        <w:t xml:space="preserve"> Nevertheless, discrimination against women with disabilities continues to exist.</w:t>
      </w:r>
    </w:p>
    <w:p w14:paraId="21F6D07F" w14:textId="54DE1C1E" w:rsidR="00326D71" w:rsidRDefault="00326D71" w:rsidP="00726DF5">
      <w:pPr>
        <w:spacing w:before="240" w:after="200"/>
        <w:jc w:val="both"/>
        <w:rPr>
          <w:rFonts w:asciiTheme="minorHAnsi" w:hAnsiTheme="minorHAnsi"/>
          <w:lang w:val="en-US"/>
        </w:rPr>
      </w:pPr>
      <w:r w:rsidRPr="00326D71">
        <w:rPr>
          <w:rFonts w:asciiTheme="minorHAnsi" w:hAnsiTheme="minorHAnsi"/>
          <w:lang w:val="en-US"/>
        </w:rPr>
        <w:t xml:space="preserve">In its Concluding Observations of October 2014, </w:t>
      </w:r>
      <w:r>
        <w:rPr>
          <w:rFonts w:asciiTheme="minorHAnsi" w:hAnsiTheme="minorHAnsi"/>
          <w:lang w:val="en-US"/>
        </w:rPr>
        <w:t>t</w:t>
      </w:r>
      <w:r w:rsidRPr="00326D71">
        <w:rPr>
          <w:rFonts w:asciiTheme="minorHAnsi" w:hAnsiTheme="minorHAnsi"/>
          <w:lang w:val="en-US"/>
        </w:rPr>
        <w:t xml:space="preserve">he </w:t>
      </w:r>
      <w:r>
        <w:rPr>
          <w:rFonts w:asciiTheme="minorHAnsi" w:hAnsiTheme="minorHAnsi"/>
          <w:lang w:val="en-US"/>
        </w:rPr>
        <w:t>CRPD Committee expressed its concern about</w:t>
      </w:r>
      <w:r w:rsidRPr="00326D71">
        <w:rPr>
          <w:rFonts w:asciiTheme="minorHAnsi" w:hAnsiTheme="minorHAnsi"/>
          <w:lang w:val="en-US"/>
        </w:rPr>
        <w:t xml:space="preserve"> the lack of knowledge about whether women with</w:t>
      </w:r>
      <w:r>
        <w:rPr>
          <w:rFonts w:asciiTheme="minorHAnsi" w:hAnsiTheme="minorHAnsi"/>
          <w:lang w:val="en-US"/>
        </w:rPr>
        <w:t xml:space="preserve"> </w:t>
      </w:r>
      <w:r w:rsidRPr="00326D71">
        <w:rPr>
          <w:rFonts w:asciiTheme="minorHAnsi" w:hAnsiTheme="minorHAnsi"/>
          <w:lang w:val="en-US"/>
        </w:rPr>
        <w:t>disabilities are discriminated against because of their gender and about the extent to which</w:t>
      </w:r>
      <w:r>
        <w:rPr>
          <w:rFonts w:asciiTheme="minorHAnsi" w:hAnsiTheme="minorHAnsi"/>
          <w:lang w:val="en-US"/>
        </w:rPr>
        <w:t xml:space="preserve"> </w:t>
      </w:r>
      <w:r w:rsidRPr="00326D71">
        <w:rPr>
          <w:rFonts w:asciiTheme="minorHAnsi" w:hAnsiTheme="minorHAnsi"/>
          <w:lang w:val="en-US"/>
        </w:rPr>
        <w:t>women and girls with disabilities are discriminated against as compared to men and boys</w:t>
      </w:r>
      <w:r>
        <w:rPr>
          <w:rFonts w:asciiTheme="minorHAnsi" w:hAnsiTheme="minorHAnsi"/>
          <w:lang w:val="en-US"/>
        </w:rPr>
        <w:t xml:space="preserve"> </w:t>
      </w:r>
      <w:r w:rsidRPr="00326D71">
        <w:rPr>
          <w:rFonts w:asciiTheme="minorHAnsi" w:hAnsiTheme="minorHAnsi"/>
          <w:lang w:val="en-US"/>
        </w:rPr>
        <w:t>with disabilities, and to women without disabilities.</w:t>
      </w:r>
      <w:r>
        <w:rPr>
          <w:rFonts w:asciiTheme="minorHAnsi" w:hAnsiTheme="minorHAnsi"/>
          <w:lang w:val="en-US"/>
        </w:rPr>
        <w:t xml:space="preserve"> The CRPD Committee recommended</w:t>
      </w:r>
      <w:r w:rsidRPr="00326D71">
        <w:rPr>
          <w:rFonts w:asciiTheme="minorHAnsi" w:hAnsiTheme="minorHAnsi"/>
          <w:lang w:val="en-US"/>
        </w:rPr>
        <w:t xml:space="preserve"> that </w:t>
      </w:r>
      <w:r>
        <w:rPr>
          <w:rFonts w:asciiTheme="minorHAnsi" w:hAnsiTheme="minorHAnsi"/>
          <w:lang w:val="en-US"/>
        </w:rPr>
        <w:t>Belgium</w:t>
      </w:r>
      <w:r w:rsidRPr="00326D71">
        <w:rPr>
          <w:rFonts w:asciiTheme="minorHAnsi" w:hAnsiTheme="minorHAnsi"/>
          <w:lang w:val="en-US"/>
        </w:rPr>
        <w:t xml:space="preserve"> ensure the integration of</w:t>
      </w:r>
      <w:r>
        <w:rPr>
          <w:rFonts w:asciiTheme="minorHAnsi" w:hAnsiTheme="minorHAnsi"/>
          <w:lang w:val="en-US"/>
        </w:rPr>
        <w:t xml:space="preserve"> </w:t>
      </w:r>
      <w:r w:rsidRPr="00326D71">
        <w:rPr>
          <w:rFonts w:asciiTheme="minorHAnsi" w:hAnsiTheme="minorHAnsi"/>
          <w:lang w:val="en-US"/>
        </w:rPr>
        <w:t>gender and disability perspectives in its legislation and policies, surveys, plans,</w:t>
      </w:r>
      <w:r>
        <w:rPr>
          <w:rFonts w:asciiTheme="minorHAnsi" w:hAnsiTheme="minorHAnsi"/>
          <w:lang w:val="en-US"/>
        </w:rPr>
        <w:t xml:space="preserve"> </w:t>
      </w:r>
      <w:r w:rsidRPr="00326D71">
        <w:rPr>
          <w:rFonts w:asciiTheme="minorHAnsi" w:hAnsiTheme="minorHAnsi"/>
          <w:lang w:val="en-US"/>
        </w:rPr>
        <w:t>evaluation and monito</w:t>
      </w:r>
      <w:r w:rsidR="0075244D">
        <w:rPr>
          <w:rFonts w:asciiTheme="minorHAnsi" w:hAnsiTheme="minorHAnsi"/>
          <w:lang w:val="en-US"/>
        </w:rPr>
        <w:t>ring activities and services. The CRPD Committee</w:t>
      </w:r>
      <w:r w:rsidRPr="00326D71">
        <w:rPr>
          <w:rFonts w:asciiTheme="minorHAnsi" w:hAnsiTheme="minorHAnsi"/>
          <w:lang w:val="en-US"/>
        </w:rPr>
        <w:t xml:space="preserve"> also recommend</w:t>
      </w:r>
      <w:r>
        <w:rPr>
          <w:rFonts w:asciiTheme="minorHAnsi" w:hAnsiTheme="minorHAnsi"/>
          <w:lang w:val="en-US"/>
        </w:rPr>
        <w:t>ed</w:t>
      </w:r>
      <w:r w:rsidRPr="00326D71">
        <w:rPr>
          <w:rFonts w:asciiTheme="minorHAnsi" w:hAnsiTheme="minorHAnsi"/>
          <w:lang w:val="en-US"/>
        </w:rPr>
        <w:t xml:space="preserve"> that </w:t>
      </w:r>
      <w:r>
        <w:rPr>
          <w:rFonts w:asciiTheme="minorHAnsi" w:hAnsiTheme="minorHAnsi"/>
          <w:lang w:val="en-US"/>
        </w:rPr>
        <w:t>Belgium</w:t>
      </w:r>
      <w:r w:rsidRPr="00326D71">
        <w:rPr>
          <w:rFonts w:asciiTheme="minorHAnsi" w:hAnsiTheme="minorHAnsi"/>
          <w:lang w:val="en-US"/>
        </w:rPr>
        <w:t xml:space="preserve"> adopt effective and specific measures to prevent intersecting forms of</w:t>
      </w:r>
      <w:r>
        <w:rPr>
          <w:rFonts w:asciiTheme="minorHAnsi" w:hAnsiTheme="minorHAnsi"/>
          <w:lang w:val="en-US"/>
        </w:rPr>
        <w:t xml:space="preserve"> </w:t>
      </w:r>
      <w:r w:rsidRPr="00326D71">
        <w:rPr>
          <w:rFonts w:asciiTheme="minorHAnsi" w:hAnsiTheme="minorHAnsi"/>
          <w:lang w:val="en-US"/>
        </w:rPr>
        <w:t>discrimination against women and girls with disabilities.</w:t>
      </w:r>
    </w:p>
    <w:p w14:paraId="7D80F940" w14:textId="5B0C44E9" w:rsidR="00780643" w:rsidRDefault="00780643" w:rsidP="00726DF5">
      <w:pPr>
        <w:spacing w:before="240" w:after="200"/>
        <w:jc w:val="both"/>
        <w:rPr>
          <w:rFonts w:asciiTheme="minorHAnsi" w:hAnsiTheme="minorHAnsi"/>
          <w:lang w:val="en-US"/>
        </w:rPr>
      </w:pPr>
      <w:r>
        <w:rPr>
          <w:rFonts w:asciiTheme="minorHAnsi" w:hAnsiTheme="minorHAnsi"/>
          <w:lang w:val="en-US"/>
        </w:rPr>
        <w:lastRenderedPageBreak/>
        <w:t>In its concluding observations of November 2014, the CEDAW Committee expressed its concern</w:t>
      </w:r>
      <w:r w:rsidRPr="00780643">
        <w:rPr>
          <w:rFonts w:asciiTheme="minorHAnsi" w:hAnsiTheme="minorHAnsi"/>
          <w:lang w:val="en-US"/>
        </w:rPr>
        <w:t xml:space="preserve"> about multiple and intersecting forms of</w:t>
      </w:r>
      <w:r>
        <w:rPr>
          <w:rFonts w:asciiTheme="minorHAnsi" w:hAnsiTheme="minorHAnsi"/>
          <w:lang w:val="en-US"/>
        </w:rPr>
        <w:t xml:space="preserve"> </w:t>
      </w:r>
      <w:r w:rsidRPr="00780643">
        <w:rPr>
          <w:rFonts w:asciiTheme="minorHAnsi" w:hAnsiTheme="minorHAnsi"/>
          <w:lang w:val="en-US"/>
        </w:rPr>
        <w:t>discrimination against women with disabilities and about the high rate of violence</w:t>
      </w:r>
      <w:r>
        <w:rPr>
          <w:rFonts w:asciiTheme="minorHAnsi" w:hAnsiTheme="minorHAnsi"/>
          <w:lang w:val="en-US"/>
        </w:rPr>
        <w:t xml:space="preserve"> against them. </w:t>
      </w:r>
      <w:r w:rsidR="001D4E53">
        <w:rPr>
          <w:rFonts w:asciiTheme="minorHAnsi" w:hAnsiTheme="minorHAnsi"/>
          <w:lang w:val="en-US"/>
        </w:rPr>
        <w:t>The Committee recommended</w:t>
      </w:r>
      <w:r w:rsidRPr="00780643">
        <w:rPr>
          <w:rFonts w:asciiTheme="minorHAnsi" w:hAnsiTheme="minorHAnsi"/>
          <w:lang w:val="en-US"/>
        </w:rPr>
        <w:t xml:space="preserve"> that </w:t>
      </w:r>
      <w:r w:rsidR="001D4E53">
        <w:rPr>
          <w:rFonts w:asciiTheme="minorHAnsi" w:hAnsiTheme="minorHAnsi"/>
          <w:lang w:val="en-US"/>
        </w:rPr>
        <w:t>Belgium</w:t>
      </w:r>
      <w:r w:rsidRPr="00780643">
        <w:rPr>
          <w:rFonts w:asciiTheme="minorHAnsi" w:hAnsiTheme="minorHAnsi"/>
          <w:lang w:val="en-US"/>
        </w:rPr>
        <w:t xml:space="preserve"> strengthen its efforts to</w:t>
      </w:r>
      <w:r w:rsidR="001D4E53">
        <w:rPr>
          <w:rFonts w:asciiTheme="minorHAnsi" w:hAnsiTheme="minorHAnsi"/>
          <w:lang w:val="en-US"/>
        </w:rPr>
        <w:t xml:space="preserve"> </w:t>
      </w:r>
      <w:r w:rsidRPr="00780643">
        <w:rPr>
          <w:rFonts w:asciiTheme="minorHAnsi" w:hAnsiTheme="minorHAnsi"/>
          <w:lang w:val="en-US"/>
        </w:rPr>
        <w:t>eliminate discrimination and violence a</w:t>
      </w:r>
      <w:r w:rsidR="001D4E53">
        <w:rPr>
          <w:rFonts w:asciiTheme="minorHAnsi" w:hAnsiTheme="minorHAnsi"/>
          <w:lang w:val="en-US"/>
        </w:rPr>
        <w:t>gainst women with disabilities.</w:t>
      </w:r>
      <w:r w:rsidR="0075244D">
        <w:rPr>
          <w:rFonts w:asciiTheme="minorHAnsi" w:hAnsiTheme="minorHAnsi"/>
          <w:lang w:val="en-US"/>
        </w:rPr>
        <w:t xml:space="preserve"> </w:t>
      </w:r>
    </w:p>
    <w:p w14:paraId="424A6397" w14:textId="37C15842" w:rsidR="00F14726" w:rsidRPr="00326D71" w:rsidRDefault="00407B13" w:rsidP="00407B13">
      <w:pPr>
        <w:spacing w:before="240" w:after="200"/>
        <w:jc w:val="both"/>
        <w:rPr>
          <w:rFonts w:asciiTheme="minorHAnsi" w:hAnsiTheme="minorHAnsi"/>
          <w:lang w:val="en-US"/>
        </w:rPr>
      </w:pPr>
      <w:r>
        <w:rPr>
          <w:rFonts w:asciiTheme="minorHAnsi" w:hAnsiTheme="minorHAnsi"/>
          <w:lang w:val="en-US"/>
        </w:rPr>
        <w:t xml:space="preserve">The </w:t>
      </w:r>
      <w:r w:rsidRPr="00407B13">
        <w:rPr>
          <w:rFonts w:asciiTheme="minorHAnsi" w:hAnsiTheme="minorHAnsi"/>
          <w:lang w:val="en-US"/>
        </w:rPr>
        <w:t>national action plan</w:t>
      </w:r>
      <w:r>
        <w:rPr>
          <w:rFonts w:asciiTheme="minorHAnsi" w:hAnsiTheme="minorHAnsi"/>
          <w:lang w:val="en-US"/>
        </w:rPr>
        <w:t xml:space="preserve"> </w:t>
      </w:r>
      <w:r w:rsidRPr="00407B13">
        <w:rPr>
          <w:rFonts w:asciiTheme="minorHAnsi" w:hAnsiTheme="minorHAnsi"/>
          <w:lang w:val="en-US"/>
        </w:rPr>
        <w:t>to combat all forms</w:t>
      </w:r>
      <w:r>
        <w:rPr>
          <w:rFonts w:asciiTheme="minorHAnsi" w:hAnsiTheme="minorHAnsi"/>
          <w:lang w:val="en-US"/>
        </w:rPr>
        <w:t xml:space="preserve"> </w:t>
      </w:r>
      <w:r w:rsidRPr="00407B13">
        <w:rPr>
          <w:rFonts w:asciiTheme="minorHAnsi" w:hAnsiTheme="minorHAnsi"/>
          <w:lang w:val="en-US"/>
        </w:rPr>
        <w:t>of gender-based</w:t>
      </w:r>
      <w:r>
        <w:rPr>
          <w:rFonts w:asciiTheme="minorHAnsi" w:hAnsiTheme="minorHAnsi"/>
          <w:lang w:val="en-US"/>
        </w:rPr>
        <w:t xml:space="preserve"> violence (</w:t>
      </w:r>
      <w:r w:rsidRPr="00407B13">
        <w:rPr>
          <w:rFonts w:asciiTheme="minorHAnsi" w:hAnsiTheme="minorHAnsi"/>
          <w:lang w:val="en-US"/>
        </w:rPr>
        <w:t>2015-2019</w:t>
      </w:r>
      <w:r>
        <w:rPr>
          <w:rFonts w:asciiTheme="minorHAnsi" w:hAnsiTheme="minorHAnsi"/>
          <w:lang w:val="en-US"/>
        </w:rPr>
        <w:t xml:space="preserve">) announces </w:t>
      </w:r>
      <w:r w:rsidRPr="00407B13">
        <w:rPr>
          <w:rFonts w:asciiTheme="minorHAnsi" w:hAnsiTheme="minorHAnsi"/>
          <w:lang w:val="en-US"/>
        </w:rPr>
        <w:t>an extensive investigation into the reach of violence</w:t>
      </w:r>
      <w:r>
        <w:rPr>
          <w:rFonts w:asciiTheme="minorHAnsi" w:hAnsiTheme="minorHAnsi"/>
          <w:lang w:val="en-US"/>
        </w:rPr>
        <w:t xml:space="preserve"> </w:t>
      </w:r>
      <w:r w:rsidRPr="00407B13">
        <w:rPr>
          <w:rFonts w:asciiTheme="minorHAnsi" w:hAnsiTheme="minorHAnsi"/>
          <w:lang w:val="en-US"/>
        </w:rPr>
        <w:t>against women and girls</w:t>
      </w:r>
      <w:r>
        <w:rPr>
          <w:rFonts w:asciiTheme="minorHAnsi" w:hAnsiTheme="minorHAnsi"/>
          <w:lang w:val="en-US"/>
        </w:rPr>
        <w:t xml:space="preserve"> with disabilities.</w:t>
      </w:r>
      <w:r>
        <w:rPr>
          <w:rStyle w:val="FootnoteReference"/>
          <w:rFonts w:asciiTheme="minorHAnsi" w:hAnsiTheme="minorHAnsi"/>
          <w:lang w:val="en-US"/>
        </w:rPr>
        <w:footnoteReference w:id="6"/>
      </w:r>
      <w:r>
        <w:rPr>
          <w:rFonts w:asciiTheme="minorHAnsi" w:hAnsiTheme="minorHAnsi"/>
          <w:lang w:val="en-US"/>
        </w:rPr>
        <w:t xml:space="preserve"> To date, only t</w:t>
      </w:r>
      <w:r w:rsidR="00F14726">
        <w:rPr>
          <w:rFonts w:asciiTheme="minorHAnsi" w:hAnsiTheme="minorHAnsi"/>
          <w:lang w:val="en-US"/>
        </w:rPr>
        <w:t>he Flemish community has commissioned a study on violence against women with disabilities. The study is expected to be finalised in 2017.</w:t>
      </w:r>
    </w:p>
    <w:p w14:paraId="4DE90286" w14:textId="4501C187" w:rsidR="00326D71" w:rsidRDefault="00326D71" w:rsidP="00726DF5">
      <w:pPr>
        <w:keepNext/>
        <w:rPr>
          <w:rFonts w:asciiTheme="minorHAnsi" w:hAnsiTheme="minorHAnsi"/>
          <w:u w:val="single"/>
          <w:lang w:val="en-US"/>
        </w:rPr>
      </w:pPr>
      <w:r>
        <w:rPr>
          <w:rFonts w:asciiTheme="minorHAnsi" w:hAnsiTheme="minorHAnsi"/>
          <w:u w:val="single"/>
          <w:lang w:val="en-US"/>
        </w:rPr>
        <w:t>Children with disabilities</w:t>
      </w:r>
    </w:p>
    <w:p w14:paraId="3E0CCCD2" w14:textId="19DD1DC4" w:rsidR="00161814" w:rsidRPr="002C28FD" w:rsidRDefault="0075244D" w:rsidP="00726DF5">
      <w:pPr>
        <w:spacing w:before="240" w:after="200"/>
        <w:jc w:val="both"/>
        <w:rPr>
          <w:rFonts w:asciiTheme="minorHAnsi" w:hAnsiTheme="minorHAnsi"/>
          <w:lang w:val="en-US"/>
        </w:rPr>
      </w:pPr>
      <w:r>
        <w:rPr>
          <w:rFonts w:asciiTheme="minorHAnsi" w:hAnsiTheme="minorHAnsi"/>
          <w:lang w:val="en-US"/>
        </w:rPr>
        <w:t>The rights of the child are included in article 22bis of the Constitution.</w:t>
      </w:r>
      <w:r>
        <w:rPr>
          <w:rStyle w:val="FootnoteReference"/>
          <w:rFonts w:asciiTheme="minorHAnsi" w:hAnsiTheme="minorHAnsi"/>
          <w:lang w:val="en-US"/>
        </w:rPr>
        <w:footnoteReference w:id="7"/>
      </w:r>
      <w:r>
        <w:rPr>
          <w:rFonts w:asciiTheme="minorHAnsi" w:hAnsiTheme="minorHAnsi"/>
          <w:lang w:val="en-US"/>
        </w:rPr>
        <w:t xml:space="preserve"> </w:t>
      </w:r>
      <w:r w:rsidR="002C28FD">
        <w:rPr>
          <w:rFonts w:asciiTheme="minorHAnsi" w:hAnsiTheme="minorHAnsi"/>
          <w:lang w:val="en-US"/>
        </w:rPr>
        <w:t>C</w:t>
      </w:r>
      <w:r w:rsidR="002C28FD" w:rsidRPr="002C28FD">
        <w:rPr>
          <w:rFonts w:asciiTheme="minorHAnsi" w:hAnsiTheme="minorHAnsi"/>
          <w:lang w:val="en-US"/>
        </w:rPr>
        <w:t xml:space="preserve">ompliance with and the application of children’s rights </w:t>
      </w:r>
      <w:r w:rsidR="002C28FD">
        <w:rPr>
          <w:rFonts w:asciiTheme="minorHAnsi" w:hAnsiTheme="minorHAnsi"/>
          <w:lang w:val="en-US"/>
        </w:rPr>
        <w:t xml:space="preserve">is monitored by the </w:t>
      </w:r>
      <w:r w:rsidR="002C28FD" w:rsidRPr="002C28FD">
        <w:rPr>
          <w:rFonts w:asciiTheme="minorHAnsi" w:hAnsiTheme="minorHAnsi"/>
          <w:lang w:val="en-US"/>
        </w:rPr>
        <w:t>Flemish Office of the Children's Rights Commissioner</w:t>
      </w:r>
      <w:r w:rsidR="002C28FD">
        <w:rPr>
          <w:rStyle w:val="FootnoteReference"/>
          <w:rFonts w:asciiTheme="minorHAnsi" w:hAnsiTheme="minorHAnsi"/>
          <w:lang w:val="en-US"/>
        </w:rPr>
        <w:footnoteReference w:id="8"/>
      </w:r>
      <w:r w:rsidR="002C28FD">
        <w:rPr>
          <w:rFonts w:asciiTheme="minorHAnsi" w:hAnsiTheme="minorHAnsi"/>
          <w:lang w:val="en-US"/>
        </w:rPr>
        <w:t xml:space="preserve"> and the </w:t>
      </w:r>
      <w:r w:rsidR="002C28FD" w:rsidRPr="002C28FD">
        <w:rPr>
          <w:rFonts w:asciiTheme="minorHAnsi" w:hAnsiTheme="minorHAnsi"/>
          <w:i/>
          <w:lang w:val="en-US"/>
        </w:rPr>
        <w:t>Délégué général aux droits de l'enfant</w:t>
      </w:r>
      <w:r w:rsidR="002C28FD">
        <w:rPr>
          <w:rStyle w:val="FootnoteReference"/>
          <w:rFonts w:asciiTheme="minorHAnsi" w:hAnsiTheme="minorHAnsi"/>
          <w:i/>
          <w:lang w:val="en-US"/>
        </w:rPr>
        <w:footnoteReference w:id="9"/>
      </w:r>
      <w:r w:rsidR="002C28FD">
        <w:rPr>
          <w:rFonts w:asciiTheme="minorHAnsi" w:hAnsiTheme="minorHAnsi"/>
          <w:i/>
          <w:lang w:val="en-US"/>
        </w:rPr>
        <w:t>.</w:t>
      </w:r>
    </w:p>
    <w:p w14:paraId="4D4E0424" w14:textId="3F4125E6" w:rsidR="00326D71" w:rsidRDefault="00326D71" w:rsidP="00726DF5">
      <w:pPr>
        <w:spacing w:before="240" w:after="200"/>
        <w:jc w:val="both"/>
        <w:rPr>
          <w:rFonts w:asciiTheme="minorHAnsi" w:hAnsiTheme="minorHAnsi"/>
          <w:lang w:val="en-US"/>
        </w:rPr>
      </w:pPr>
      <w:r w:rsidRPr="00326D71">
        <w:rPr>
          <w:rFonts w:asciiTheme="minorHAnsi" w:hAnsiTheme="minorHAnsi"/>
          <w:lang w:val="en-US"/>
        </w:rPr>
        <w:t>In its Concluding Observations of October 2014, the CRPD Committee expressed its concern about the fact that Belgium is among the European countries with the highest rates of children with disabilities placed in institutions. The Committee was also concerned that children with disabilities are not systematically included in decisions which affect their lives and do not have the opportunity to express their opinion about issues that affect them directly.</w:t>
      </w:r>
      <w:r w:rsidR="00780643" w:rsidRPr="00D26423">
        <w:rPr>
          <w:rFonts w:asciiTheme="minorHAnsi" w:hAnsiTheme="minorHAnsi"/>
          <w:lang w:val="en-US"/>
        </w:rPr>
        <w:t xml:space="preserve"> </w:t>
      </w:r>
      <w:r w:rsidR="00D26423" w:rsidRPr="00D26423">
        <w:rPr>
          <w:rFonts w:asciiTheme="minorHAnsi" w:hAnsiTheme="minorHAnsi"/>
          <w:lang w:val="en-US"/>
        </w:rPr>
        <w:t>Regarding the right to education, the CRPD Committee expressed its concern the fact that many students with disabilities are referred to and obliged to attend special schools be</w:t>
      </w:r>
      <w:r w:rsidR="00D26423">
        <w:rPr>
          <w:rFonts w:asciiTheme="minorHAnsi" w:hAnsiTheme="minorHAnsi"/>
          <w:lang w:val="en-US"/>
        </w:rPr>
        <w:t xml:space="preserve">cause of the lack of reasonable </w:t>
      </w:r>
      <w:r w:rsidR="00D26423" w:rsidRPr="00D26423">
        <w:rPr>
          <w:rFonts w:asciiTheme="minorHAnsi" w:hAnsiTheme="minorHAnsi"/>
          <w:lang w:val="en-US"/>
        </w:rPr>
        <w:t>accommodation in the mainstream education system. According the CRPD Committee, the special education system remains an all too frequent option for children with disabilities. The Committee was also concerned about poor accessibility in schools.</w:t>
      </w:r>
      <w:r w:rsidR="00D26423">
        <w:rPr>
          <w:rStyle w:val="FootnoteReference"/>
          <w:rFonts w:asciiTheme="minorHAnsi" w:hAnsiTheme="minorHAnsi"/>
          <w:lang w:val="en-US"/>
        </w:rPr>
        <w:footnoteReference w:id="10"/>
      </w:r>
    </w:p>
    <w:p w14:paraId="0BA7CBC6" w14:textId="2BD72420" w:rsidR="00780643" w:rsidRDefault="00780643" w:rsidP="00726DF5">
      <w:pPr>
        <w:spacing w:before="240" w:after="200"/>
        <w:jc w:val="both"/>
        <w:rPr>
          <w:rFonts w:asciiTheme="minorHAnsi" w:hAnsiTheme="minorHAnsi"/>
          <w:lang w:val="en-US"/>
        </w:rPr>
      </w:pPr>
      <w:r>
        <w:rPr>
          <w:rFonts w:asciiTheme="minorHAnsi" w:hAnsiTheme="minorHAnsi"/>
          <w:lang w:val="en-US"/>
        </w:rPr>
        <w:lastRenderedPageBreak/>
        <w:t xml:space="preserve">The three communities in Belgium have taken steps towards the </w:t>
      </w:r>
      <w:r w:rsidRPr="00A776F3">
        <w:rPr>
          <w:rFonts w:asciiTheme="minorHAnsi" w:hAnsiTheme="minorHAnsi"/>
        </w:rPr>
        <w:t xml:space="preserve">realisation </w:t>
      </w:r>
      <w:r>
        <w:rPr>
          <w:rFonts w:asciiTheme="minorHAnsi" w:hAnsiTheme="minorHAnsi"/>
          <w:lang w:val="en-US"/>
        </w:rPr>
        <w:t xml:space="preserve">of the right to inclusive education. However, the education system </w:t>
      </w:r>
      <w:r w:rsidR="00346855">
        <w:rPr>
          <w:rFonts w:asciiTheme="minorHAnsi" w:hAnsiTheme="minorHAnsi"/>
          <w:lang w:val="en-US"/>
        </w:rPr>
        <w:t xml:space="preserve">is </w:t>
      </w:r>
      <w:r w:rsidR="00F55AA5">
        <w:rPr>
          <w:rFonts w:asciiTheme="minorHAnsi" w:hAnsiTheme="minorHAnsi"/>
          <w:lang w:val="en-US"/>
        </w:rPr>
        <w:t>not yet</w:t>
      </w:r>
      <w:r>
        <w:rPr>
          <w:rFonts w:asciiTheme="minorHAnsi" w:hAnsiTheme="minorHAnsi"/>
          <w:lang w:val="en-US"/>
        </w:rPr>
        <w:t xml:space="preserve"> inclusive and many children with disabilities still attend special schools. For more detailed information about the legislation in the three communities, please refer to Unia’s annual report of 2015.</w:t>
      </w:r>
      <w:r>
        <w:rPr>
          <w:rStyle w:val="FootnoteReference"/>
          <w:rFonts w:asciiTheme="minorHAnsi" w:hAnsiTheme="minorHAnsi"/>
          <w:lang w:val="en-US"/>
        </w:rPr>
        <w:footnoteReference w:id="11"/>
      </w:r>
      <w:r>
        <w:rPr>
          <w:rFonts w:asciiTheme="minorHAnsi" w:hAnsiTheme="minorHAnsi"/>
          <w:lang w:val="en-US"/>
        </w:rPr>
        <w:t xml:space="preserve"> </w:t>
      </w:r>
    </w:p>
    <w:p w14:paraId="0D8CFA47" w14:textId="77777777" w:rsidR="00F11908" w:rsidRPr="00454CE5" w:rsidRDefault="008640F2" w:rsidP="00CE3477">
      <w:pPr>
        <w:keepNext/>
        <w:rPr>
          <w:rFonts w:asciiTheme="minorHAnsi" w:hAnsiTheme="minorHAnsi"/>
          <w:b/>
          <w:lang w:val="en-US"/>
        </w:rPr>
      </w:pPr>
      <w:r w:rsidRPr="00454CE5">
        <w:rPr>
          <w:rFonts w:asciiTheme="minorHAnsi" w:eastAsia="Calibri" w:hAnsiTheme="minorHAnsi" w:cs="Calibri"/>
          <w:b/>
          <w:lang w:val="en-US"/>
        </w:rPr>
        <w:t>5</w:t>
      </w:r>
      <w:r w:rsidR="00454CE5">
        <w:rPr>
          <w:rFonts w:asciiTheme="minorHAnsi" w:eastAsia="Calibri" w:hAnsiTheme="minorHAnsi" w:cs="Calibri"/>
          <w:b/>
          <w:lang w:val="en-US"/>
        </w:rPr>
        <w:t>.</w:t>
      </w:r>
      <w:r w:rsidRPr="00454CE5">
        <w:rPr>
          <w:rFonts w:asciiTheme="minorHAnsi" w:eastAsia="Calibri" w:hAnsiTheme="minorHAnsi" w:cs="Calibri"/>
          <w:b/>
          <w:lang w:val="en-US"/>
        </w:rPr>
        <w:t xml:space="preserve"> Is your country monitoring and collecting disaggregated data on discrimination against persons with disabilities, including gender, age and impairment disaggregation?</w:t>
      </w:r>
    </w:p>
    <w:p w14:paraId="5E0EFFEA" w14:textId="73AB7A1D" w:rsidR="00F55AA5" w:rsidRDefault="00F55AA5" w:rsidP="00CE3477">
      <w:pPr>
        <w:keepNext/>
        <w:spacing w:before="240" w:after="200"/>
        <w:jc w:val="both"/>
        <w:rPr>
          <w:rFonts w:asciiTheme="minorHAnsi" w:hAnsiTheme="minorHAnsi"/>
          <w:lang w:val="en-US"/>
        </w:rPr>
      </w:pPr>
      <w:r>
        <w:rPr>
          <w:rFonts w:asciiTheme="minorHAnsi" w:hAnsiTheme="minorHAnsi"/>
          <w:lang w:val="en-US"/>
        </w:rPr>
        <w:t xml:space="preserve">In general, there is a lack of disaggregated data on discrimination against persons with disabilities. </w:t>
      </w:r>
    </w:p>
    <w:p w14:paraId="20AEF9A2" w14:textId="2F6838EE" w:rsidR="00F55AA5" w:rsidRDefault="002410BC" w:rsidP="00726DF5">
      <w:pPr>
        <w:spacing w:before="240" w:after="200"/>
        <w:jc w:val="both"/>
        <w:rPr>
          <w:rFonts w:asciiTheme="minorHAnsi" w:hAnsiTheme="minorHAnsi"/>
          <w:lang w:val="en-US"/>
        </w:rPr>
      </w:pPr>
      <w:r>
        <w:rPr>
          <w:rFonts w:asciiTheme="minorHAnsi" w:hAnsiTheme="minorHAnsi"/>
          <w:lang w:val="en-US"/>
        </w:rPr>
        <w:t>Each year</w:t>
      </w:r>
      <w:r w:rsidR="00F55AA5">
        <w:rPr>
          <w:rFonts w:asciiTheme="minorHAnsi" w:hAnsiTheme="minorHAnsi"/>
          <w:lang w:val="en-US"/>
        </w:rPr>
        <w:t xml:space="preserve">, Unia presents an overview of the </w:t>
      </w:r>
      <w:r w:rsidR="00F55AA5" w:rsidRPr="00685140">
        <w:rPr>
          <w:rFonts w:asciiTheme="minorHAnsi" w:hAnsiTheme="minorHAnsi"/>
          <w:u w:val="single"/>
          <w:lang w:val="en-US"/>
        </w:rPr>
        <w:t>files and reports</w:t>
      </w:r>
      <w:r w:rsidRPr="00685140">
        <w:rPr>
          <w:rFonts w:asciiTheme="minorHAnsi" w:hAnsiTheme="minorHAnsi"/>
          <w:u w:val="single"/>
          <w:lang w:val="en-US"/>
        </w:rPr>
        <w:t xml:space="preserve"> of discrimination</w:t>
      </w:r>
      <w:r>
        <w:rPr>
          <w:rStyle w:val="FootnoteReference"/>
          <w:rFonts w:asciiTheme="minorHAnsi" w:hAnsiTheme="minorHAnsi"/>
          <w:lang w:val="en-US"/>
        </w:rPr>
        <w:footnoteReference w:id="12"/>
      </w:r>
      <w:r w:rsidR="00F55AA5" w:rsidRPr="00F55AA5">
        <w:rPr>
          <w:rFonts w:asciiTheme="minorHAnsi" w:hAnsiTheme="minorHAnsi"/>
          <w:lang w:val="en-US"/>
        </w:rPr>
        <w:t xml:space="preserve"> dealt with by Unia. </w:t>
      </w:r>
      <w:r w:rsidRPr="002410BC">
        <w:rPr>
          <w:rFonts w:asciiTheme="minorHAnsi" w:hAnsiTheme="minorHAnsi"/>
        </w:rPr>
        <w:t>T</w:t>
      </w:r>
      <w:r w:rsidR="00F55AA5" w:rsidRPr="002410BC">
        <w:rPr>
          <w:rFonts w:asciiTheme="minorHAnsi" w:hAnsiTheme="minorHAnsi"/>
        </w:rPr>
        <w:t>hese</w:t>
      </w:r>
      <w:r w:rsidR="00F55AA5" w:rsidRPr="00F55AA5">
        <w:rPr>
          <w:rFonts w:asciiTheme="minorHAnsi" w:hAnsiTheme="minorHAnsi"/>
          <w:lang w:val="en-US"/>
        </w:rPr>
        <w:t xml:space="preserve"> files are analysed according to the areas for action (goods and services, media/internet, employment, education, etc.) and according to the discrimination criteria (so-called "racial" criteria, disability, religious or philosophical beliefs, sexual orientation, age, wealth, etc.)</w:t>
      </w:r>
      <w:r>
        <w:rPr>
          <w:rFonts w:asciiTheme="minorHAnsi" w:hAnsiTheme="minorHAnsi"/>
          <w:lang w:val="en-US"/>
        </w:rPr>
        <w:t>. In 2015, Unia received 4,</w:t>
      </w:r>
      <w:r w:rsidRPr="002410BC">
        <w:rPr>
          <w:rFonts w:asciiTheme="minorHAnsi" w:hAnsiTheme="minorHAnsi"/>
          <w:lang w:val="en-US"/>
        </w:rPr>
        <w:t>554 reports regarding potential discrimination, resulting in the opening of 1,596 files.</w:t>
      </w:r>
      <w:r>
        <w:rPr>
          <w:rFonts w:asciiTheme="minorHAnsi" w:hAnsiTheme="minorHAnsi"/>
          <w:lang w:val="en-US"/>
        </w:rPr>
        <w:t xml:space="preserve"> 22% of the files opened concerned (potential) discrimination on the grounds of disability.</w:t>
      </w:r>
      <w:r>
        <w:rPr>
          <w:rStyle w:val="FootnoteReference"/>
          <w:rFonts w:asciiTheme="minorHAnsi" w:hAnsiTheme="minorHAnsi"/>
          <w:lang w:val="en-US"/>
        </w:rPr>
        <w:footnoteReference w:id="13"/>
      </w:r>
      <w:r>
        <w:rPr>
          <w:rFonts w:asciiTheme="minorHAnsi" w:hAnsiTheme="minorHAnsi"/>
          <w:lang w:val="en-US"/>
        </w:rPr>
        <w:t xml:space="preserve"> </w:t>
      </w:r>
    </w:p>
    <w:p w14:paraId="0D8CFA48" w14:textId="3FC8F455" w:rsidR="00F6483E" w:rsidRPr="00F6483E" w:rsidRDefault="00F6483E" w:rsidP="00CE3477">
      <w:pPr>
        <w:spacing w:before="240"/>
        <w:jc w:val="both"/>
        <w:rPr>
          <w:rFonts w:asciiTheme="minorHAnsi" w:hAnsiTheme="minorHAnsi"/>
          <w:lang w:val="en-US"/>
        </w:rPr>
      </w:pPr>
      <w:r>
        <w:rPr>
          <w:rFonts w:asciiTheme="minorHAnsi" w:hAnsiTheme="minorHAnsi"/>
          <w:lang w:val="en-US"/>
        </w:rPr>
        <w:t xml:space="preserve">Unia </w:t>
      </w:r>
      <w:r w:rsidR="002410BC">
        <w:rPr>
          <w:rFonts w:asciiTheme="minorHAnsi" w:hAnsiTheme="minorHAnsi"/>
          <w:lang w:val="en-US"/>
        </w:rPr>
        <w:t xml:space="preserve">also </w:t>
      </w:r>
      <w:r>
        <w:rPr>
          <w:rFonts w:asciiTheme="minorHAnsi" w:hAnsiTheme="minorHAnsi"/>
          <w:lang w:val="en-US"/>
        </w:rPr>
        <w:t xml:space="preserve">carries out statistical studies to </w:t>
      </w:r>
      <w:r w:rsidRPr="00F6483E">
        <w:rPr>
          <w:rFonts w:asciiTheme="minorHAnsi" w:hAnsiTheme="minorHAnsi"/>
          <w:lang w:val="en-US"/>
        </w:rPr>
        <w:t>collect objective</w:t>
      </w:r>
      <w:r>
        <w:rPr>
          <w:rFonts w:asciiTheme="minorHAnsi" w:hAnsiTheme="minorHAnsi"/>
          <w:lang w:val="en-US"/>
        </w:rPr>
        <w:t xml:space="preserve"> reliable data which can be </w:t>
      </w:r>
      <w:r w:rsidRPr="00F6483E">
        <w:rPr>
          <w:rFonts w:asciiTheme="minorHAnsi" w:hAnsiTheme="minorHAnsi"/>
          <w:lang w:val="en-US"/>
        </w:rPr>
        <w:t>the building blocks of a fact-based policy.</w:t>
      </w:r>
      <w:r>
        <w:rPr>
          <w:rFonts w:asciiTheme="minorHAnsi" w:hAnsiTheme="minorHAnsi"/>
          <w:lang w:val="en-US"/>
        </w:rPr>
        <w:t xml:space="preserve"> One of these studies is the </w:t>
      </w:r>
      <w:r w:rsidRPr="00685140">
        <w:rPr>
          <w:rFonts w:asciiTheme="minorHAnsi" w:hAnsiTheme="minorHAnsi"/>
          <w:u w:val="single"/>
          <w:lang w:val="en-US"/>
        </w:rPr>
        <w:t>Diversity Barometer</w:t>
      </w:r>
      <w:r>
        <w:rPr>
          <w:rFonts w:asciiTheme="minorHAnsi" w:hAnsiTheme="minorHAnsi"/>
          <w:lang w:val="en-US"/>
        </w:rPr>
        <w:t xml:space="preserve">, which </w:t>
      </w:r>
      <w:r w:rsidRPr="00F6483E">
        <w:rPr>
          <w:rFonts w:asciiTheme="minorHAnsi" w:hAnsiTheme="minorHAnsi"/>
          <w:lang w:val="en-US"/>
        </w:rPr>
        <w:t>maps out the following aspects of Belgian society:</w:t>
      </w:r>
    </w:p>
    <w:p w14:paraId="0D8CFA49" w14:textId="19C8D209" w:rsidR="00F6483E" w:rsidRPr="00F6483E" w:rsidRDefault="00F6483E" w:rsidP="00726DF5">
      <w:pPr>
        <w:pStyle w:val="ListParagraph"/>
        <w:numPr>
          <w:ilvl w:val="0"/>
          <w:numId w:val="2"/>
        </w:numPr>
        <w:jc w:val="both"/>
        <w:rPr>
          <w:rFonts w:asciiTheme="minorHAnsi" w:hAnsiTheme="minorHAnsi"/>
          <w:lang w:val="en-US"/>
        </w:rPr>
      </w:pPr>
      <w:r w:rsidRPr="00F6483E">
        <w:rPr>
          <w:rFonts w:asciiTheme="minorHAnsi" w:hAnsiTheme="minorHAnsi"/>
          <w:lang w:val="en-US"/>
        </w:rPr>
        <w:t xml:space="preserve">The degree of discrimination: the </w:t>
      </w:r>
      <w:r w:rsidRPr="00A776F3">
        <w:rPr>
          <w:rFonts w:asciiTheme="minorHAnsi" w:hAnsiTheme="minorHAnsi"/>
        </w:rPr>
        <w:t xml:space="preserve">behaviour </w:t>
      </w:r>
      <w:r w:rsidRPr="00F6483E">
        <w:rPr>
          <w:rFonts w:asciiTheme="minorHAnsi" w:hAnsiTheme="minorHAnsi"/>
          <w:lang w:val="en-US"/>
        </w:rPr>
        <w:t xml:space="preserve">toward specific target groups in society. </w:t>
      </w:r>
      <w:r>
        <w:rPr>
          <w:rFonts w:asciiTheme="minorHAnsi" w:hAnsiTheme="minorHAnsi"/>
          <w:lang w:val="en-US"/>
        </w:rPr>
        <w:t>One of the target groups consists of persons with disabilities.</w:t>
      </w:r>
    </w:p>
    <w:p w14:paraId="0D8CFA4A" w14:textId="77777777" w:rsidR="00F6483E" w:rsidRPr="00F6483E" w:rsidRDefault="00F6483E" w:rsidP="00726DF5">
      <w:pPr>
        <w:pStyle w:val="ListParagraph"/>
        <w:numPr>
          <w:ilvl w:val="0"/>
          <w:numId w:val="2"/>
        </w:numPr>
        <w:jc w:val="both"/>
        <w:rPr>
          <w:rFonts w:asciiTheme="minorHAnsi" w:hAnsiTheme="minorHAnsi"/>
          <w:lang w:val="en-US"/>
        </w:rPr>
      </w:pPr>
      <w:r w:rsidRPr="00F6483E">
        <w:rPr>
          <w:rFonts w:asciiTheme="minorHAnsi" w:hAnsiTheme="minorHAnsi"/>
          <w:lang w:val="en-US"/>
        </w:rPr>
        <w:t>The degree of tolerance: the attitudes toward these target groups.</w:t>
      </w:r>
    </w:p>
    <w:p w14:paraId="0D8CFA4B" w14:textId="77777777" w:rsidR="00F6483E" w:rsidRPr="00F6483E" w:rsidRDefault="00F6483E" w:rsidP="00726DF5">
      <w:pPr>
        <w:pStyle w:val="ListParagraph"/>
        <w:numPr>
          <w:ilvl w:val="0"/>
          <w:numId w:val="2"/>
        </w:numPr>
        <w:jc w:val="both"/>
        <w:rPr>
          <w:rFonts w:asciiTheme="minorHAnsi" w:hAnsiTheme="minorHAnsi"/>
          <w:lang w:val="en-US"/>
        </w:rPr>
      </w:pPr>
      <w:r w:rsidRPr="00F6483E">
        <w:rPr>
          <w:rFonts w:asciiTheme="minorHAnsi" w:hAnsiTheme="minorHAnsi"/>
          <w:lang w:val="en-US"/>
        </w:rPr>
        <w:t>The degree of participation: the degree to which these target groups contribute to society.</w:t>
      </w:r>
    </w:p>
    <w:p w14:paraId="0D8CFA4C" w14:textId="77777777" w:rsidR="00F6483E" w:rsidRDefault="00F6483E" w:rsidP="00726DF5">
      <w:pPr>
        <w:jc w:val="both"/>
        <w:rPr>
          <w:rFonts w:asciiTheme="minorHAnsi" w:hAnsiTheme="minorHAnsi"/>
          <w:lang w:val="en-US"/>
        </w:rPr>
      </w:pPr>
    </w:p>
    <w:p w14:paraId="0D8CFA4D" w14:textId="4BDE26E4" w:rsidR="00F11908" w:rsidRPr="00884A88" w:rsidRDefault="00C43EEE" w:rsidP="00726DF5">
      <w:pPr>
        <w:jc w:val="both"/>
        <w:rPr>
          <w:rFonts w:asciiTheme="minorHAnsi" w:hAnsiTheme="minorHAnsi"/>
          <w:lang w:val="en-US"/>
        </w:rPr>
      </w:pPr>
      <w:r>
        <w:rPr>
          <w:rFonts w:asciiTheme="minorHAnsi" w:hAnsiTheme="minorHAnsi"/>
          <w:lang w:val="en-US"/>
        </w:rPr>
        <w:lastRenderedPageBreak/>
        <w:t>The Diversity Barometer is financed by the public authorities and developed in cooperation with several universities. The Diversity Barometer</w:t>
      </w:r>
      <w:r w:rsidR="00F6483E">
        <w:rPr>
          <w:rFonts w:asciiTheme="minorHAnsi" w:hAnsiTheme="minorHAnsi"/>
          <w:lang w:val="en-US"/>
        </w:rPr>
        <w:t xml:space="preserve"> focuses on three sectors: </w:t>
      </w:r>
      <w:r w:rsidR="00F6483E" w:rsidRPr="00F6483E">
        <w:rPr>
          <w:rFonts w:asciiTheme="minorHAnsi" w:hAnsiTheme="minorHAnsi"/>
          <w:lang w:val="en-US"/>
        </w:rPr>
        <w:t>employment, housing and education</w:t>
      </w:r>
      <w:r w:rsidR="00F6483E">
        <w:rPr>
          <w:rFonts w:asciiTheme="minorHAnsi" w:hAnsiTheme="minorHAnsi"/>
          <w:lang w:val="en-US"/>
        </w:rPr>
        <w:t xml:space="preserve">. It is published biennially. </w:t>
      </w:r>
      <w:r w:rsidR="00F6483E" w:rsidRPr="00F6483E">
        <w:rPr>
          <w:rFonts w:asciiTheme="minorHAnsi" w:hAnsiTheme="minorHAnsi"/>
          <w:lang w:val="en-US"/>
        </w:rPr>
        <w:t>In 2012 the first 'Diversity Barometer: Work' appeared; in 2014, the first 'Diversity Barometer: Housing'; in 2016 we are working on the first 'Diversity Barometer: Education’. Thereafter we resume the cycle. Thus we can compare the data collected every six years.</w:t>
      </w:r>
      <w:r w:rsidR="00F6483E">
        <w:rPr>
          <w:rStyle w:val="FootnoteReference"/>
          <w:rFonts w:asciiTheme="minorHAnsi" w:hAnsiTheme="minorHAnsi"/>
          <w:lang w:val="en-US"/>
        </w:rPr>
        <w:footnoteReference w:id="14"/>
      </w:r>
    </w:p>
    <w:sectPr w:rsidR="00F11908" w:rsidRPr="00884A88" w:rsidSect="00346855">
      <w:headerReference w:type="default" r:id="rId13"/>
      <w:footerReference w:type="default" r:id="rId14"/>
      <w:pgSz w:w="11906" w:h="16838"/>
      <w:pgMar w:top="1133" w:right="1133" w:bottom="1133" w:left="1133" w:header="720" w:footer="720" w:gutter="0"/>
      <w:pgNumType w:start="1"/>
      <w:cols w:space="720" w:equalWidth="0">
        <w:col w:w="9406"/>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CFA52" w14:textId="77777777" w:rsidR="00C43EEE" w:rsidRDefault="00C43EEE">
      <w:pPr>
        <w:spacing w:line="240" w:lineRule="auto"/>
      </w:pPr>
      <w:r>
        <w:separator/>
      </w:r>
    </w:p>
  </w:endnote>
  <w:endnote w:type="continuationSeparator" w:id="0">
    <w:p w14:paraId="0D8CFA53" w14:textId="77777777" w:rsidR="00C43EEE" w:rsidRDefault="00C43E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963521"/>
      <w:docPartObj>
        <w:docPartGallery w:val="Page Numbers (Bottom of Page)"/>
        <w:docPartUnique/>
      </w:docPartObj>
    </w:sdtPr>
    <w:sdtEndPr>
      <w:rPr>
        <w:noProof/>
      </w:rPr>
    </w:sdtEndPr>
    <w:sdtContent>
      <w:p w14:paraId="46ED68E6" w14:textId="0F0B2EAB" w:rsidR="00AB4AE5" w:rsidRDefault="00AB4AE5">
        <w:pPr>
          <w:pStyle w:val="Footer"/>
          <w:jc w:val="right"/>
        </w:pPr>
        <w:r>
          <w:fldChar w:fldCharType="begin"/>
        </w:r>
        <w:r>
          <w:instrText xml:space="preserve"> PAGE   \* MERGEFORMAT </w:instrText>
        </w:r>
        <w:r>
          <w:fldChar w:fldCharType="separate"/>
        </w:r>
        <w:r w:rsidR="00BE59E4">
          <w:rPr>
            <w:noProof/>
          </w:rPr>
          <w:t>1</w:t>
        </w:r>
        <w:r>
          <w:rPr>
            <w:noProof/>
          </w:rPr>
          <w:fldChar w:fldCharType="end"/>
        </w:r>
      </w:p>
    </w:sdtContent>
  </w:sdt>
  <w:p w14:paraId="04483ECC" w14:textId="77777777" w:rsidR="00AB4AE5" w:rsidRDefault="00AB4A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CFA50" w14:textId="77777777" w:rsidR="00C43EEE" w:rsidRDefault="00C43EEE">
      <w:pPr>
        <w:spacing w:line="240" w:lineRule="auto"/>
      </w:pPr>
      <w:r>
        <w:separator/>
      </w:r>
    </w:p>
  </w:footnote>
  <w:footnote w:type="continuationSeparator" w:id="0">
    <w:p w14:paraId="0D8CFA51" w14:textId="77777777" w:rsidR="00C43EEE" w:rsidRDefault="00C43EEE">
      <w:pPr>
        <w:spacing w:line="240" w:lineRule="auto"/>
      </w:pPr>
      <w:r>
        <w:continuationSeparator/>
      </w:r>
    </w:p>
  </w:footnote>
  <w:footnote w:id="1">
    <w:p w14:paraId="0D8CFA5A" w14:textId="77777777" w:rsidR="00C43EEE" w:rsidRPr="00FF68DB" w:rsidRDefault="00C43EEE" w:rsidP="00884A88">
      <w:pPr>
        <w:pStyle w:val="FootnoteText"/>
        <w:rPr>
          <w:rFonts w:asciiTheme="minorHAnsi" w:hAnsiTheme="minorHAnsi"/>
          <w:color w:val="auto"/>
          <w:lang w:val="en-US"/>
        </w:rPr>
      </w:pPr>
      <w:r w:rsidRPr="00FF68DB">
        <w:rPr>
          <w:rStyle w:val="FootnoteReference"/>
          <w:rFonts w:asciiTheme="minorHAnsi" w:hAnsiTheme="minorHAnsi"/>
          <w:color w:val="auto"/>
        </w:rPr>
        <w:footnoteRef/>
      </w:r>
      <w:r w:rsidRPr="00FF68DB">
        <w:rPr>
          <w:rFonts w:asciiTheme="minorHAnsi" w:hAnsiTheme="minorHAnsi"/>
          <w:color w:val="auto"/>
          <w:lang w:val="en-US"/>
        </w:rPr>
        <w:t xml:space="preserve"> Flemish Community, French Community, German-speaking Community</w:t>
      </w:r>
    </w:p>
  </w:footnote>
  <w:footnote w:id="2">
    <w:p w14:paraId="0D8CFA5B" w14:textId="77777777" w:rsidR="00C43EEE" w:rsidRPr="002F5CF4" w:rsidRDefault="00C43EEE" w:rsidP="00884A88">
      <w:pPr>
        <w:pStyle w:val="FootnoteText"/>
        <w:rPr>
          <w:lang w:val="en-US"/>
        </w:rPr>
      </w:pPr>
      <w:r w:rsidRPr="00FF68DB">
        <w:rPr>
          <w:rStyle w:val="FootnoteReference"/>
          <w:rFonts w:asciiTheme="minorHAnsi" w:hAnsiTheme="minorHAnsi"/>
          <w:color w:val="auto"/>
        </w:rPr>
        <w:footnoteRef/>
      </w:r>
      <w:r w:rsidRPr="00FF68DB">
        <w:rPr>
          <w:rFonts w:asciiTheme="minorHAnsi" w:hAnsiTheme="minorHAnsi"/>
          <w:color w:val="auto"/>
          <w:lang w:val="en-US"/>
        </w:rPr>
        <w:t xml:space="preserve"> Brussels-Capital Region, Flemish Region, Walloon Region</w:t>
      </w:r>
    </w:p>
  </w:footnote>
  <w:footnote w:id="3">
    <w:p w14:paraId="0D8CFA5C" w14:textId="291ECD09" w:rsidR="00C43EEE" w:rsidRPr="00AD4EDB" w:rsidRDefault="00C43EEE" w:rsidP="00C61B9F">
      <w:pPr>
        <w:pStyle w:val="FootnoteText"/>
        <w:jc w:val="both"/>
        <w:rPr>
          <w:rFonts w:asciiTheme="minorHAnsi" w:hAnsiTheme="minorHAnsi"/>
          <w:color w:val="auto"/>
          <w:lang w:val="fr-BE"/>
        </w:rPr>
      </w:pPr>
      <w:r w:rsidRPr="00780643">
        <w:rPr>
          <w:rStyle w:val="FootnoteReference"/>
          <w:rFonts w:asciiTheme="minorHAnsi" w:hAnsiTheme="minorHAnsi"/>
          <w:color w:val="auto"/>
        </w:rPr>
        <w:footnoteRef/>
      </w:r>
      <w:r w:rsidRPr="00780643">
        <w:rPr>
          <w:rFonts w:asciiTheme="minorHAnsi" w:hAnsiTheme="minorHAnsi"/>
          <w:color w:val="auto"/>
          <w:lang w:val="en-US"/>
        </w:rPr>
        <w:t xml:space="preserve"> </w:t>
      </w:r>
      <w:hyperlink r:id="rId1" w:history="1">
        <w:r w:rsidRPr="00FF68DB">
          <w:rPr>
            <w:rStyle w:val="Hyperlink"/>
            <w:rFonts w:asciiTheme="minorHAnsi" w:hAnsiTheme="minorHAnsi"/>
            <w:lang w:val="en-US"/>
          </w:rPr>
          <w:t>http://unia.be/en/publications-statistics/publications/evaluation-of-federal-anti-discrimination-legislation</w:t>
        </w:r>
      </w:hyperlink>
      <w:r w:rsidRPr="00780643">
        <w:rPr>
          <w:rFonts w:asciiTheme="minorHAnsi" w:hAnsiTheme="minorHAnsi"/>
          <w:color w:val="auto"/>
          <w:lang w:val="en-US"/>
        </w:rPr>
        <w:t xml:space="preserve">. </w:t>
      </w:r>
      <w:r w:rsidRPr="00AD4EDB">
        <w:rPr>
          <w:rFonts w:asciiTheme="minorHAnsi" w:hAnsiTheme="minorHAnsi"/>
          <w:color w:val="auto"/>
          <w:lang w:val="fr-BE"/>
        </w:rPr>
        <w:t xml:space="preserve">Report available in French and Dutch. </w:t>
      </w:r>
    </w:p>
  </w:footnote>
  <w:footnote w:id="4">
    <w:p w14:paraId="0D8CFA5D" w14:textId="77777777" w:rsidR="00C43EEE" w:rsidRPr="00AD4EDB" w:rsidRDefault="00C43EEE" w:rsidP="00C61B9F">
      <w:pPr>
        <w:pStyle w:val="FootnoteText"/>
        <w:jc w:val="both"/>
        <w:rPr>
          <w:lang w:val="fr-BE"/>
        </w:rPr>
      </w:pPr>
      <w:r w:rsidRPr="00780643">
        <w:rPr>
          <w:rStyle w:val="FootnoteReference"/>
          <w:rFonts w:asciiTheme="minorHAnsi" w:hAnsiTheme="minorHAnsi"/>
          <w:color w:val="auto"/>
        </w:rPr>
        <w:footnoteRef/>
      </w:r>
      <w:r w:rsidRPr="00AD4EDB">
        <w:rPr>
          <w:rFonts w:asciiTheme="minorHAnsi" w:hAnsiTheme="minorHAnsi"/>
          <w:color w:val="auto"/>
          <w:lang w:val="fr-BE"/>
        </w:rPr>
        <w:t xml:space="preserve"> Protocole du 19 juillet 2007 relatif au concept d'aménagements raisonnables en Belgique en vertu de la loi du 25 février 2003 tendant à lutter contre la discrimination et modifiant la loi du 15 février 1993 créant un Centre pour l'égalité des chances et de lutte contre le racisme.</w:t>
      </w:r>
    </w:p>
  </w:footnote>
  <w:footnote w:id="5">
    <w:p w14:paraId="0F40DD48" w14:textId="7FC69C5E" w:rsidR="00AD4EDB" w:rsidRPr="00AD4EDB" w:rsidRDefault="00AD4EDB">
      <w:pPr>
        <w:pStyle w:val="FootnoteText"/>
        <w:rPr>
          <w:rFonts w:asciiTheme="minorHAnsi" w:hAnsiTheme="minorHAnsi"/>
          <w:lang w:val="fr-BE"/>
        </w:rPr>
      </w:pPr>
      <w:r w:rsidRPr="00AD4EDB">
        <w:rPr>
          <w:rStyle w:val="FootnoteReference"/>
          <w:rFonts w:asciiTheme="minorHAnsi" w:hAnsiTheme="minorHAnsi"/>
        </w:rPr>
        <w:footnoteRef/>
      </w:r>
      <w:r w:rsidRPr="00AD4EDB">
        <w:rPr>
          <w:rFonts w:asciiTheme="minorHAnsi" w:hAnsiTheme="minorHAnsi"/>
          <w:lang w:val="fr-BE"/>
        </w:rPr>
        <w:t xml:space="preserve"> </w:t>
      </w:r>
      <w:hyperlink r:id="rId2" w:history="1">
        <w:r w:rsidRPr="00BB7F12">
          <w:rPr>
            <w:rStyle w:val="Hyperlink"/>
            <w:rFonts w:asciiTheme="minorHAnsi" w:hAnsiTheme="minorHAnsi"/>
            <w:lang w:val="fr-BE"/>
          </w:rPr>
          <w:t>http://unia.be/fr/publications-et-statistiques/publications/a-lecole-de-ton-choix-avec-un-handicap</w:t>
        </w:r>
      </w:hyperlink>
      <w:r>
        <w:rPr>
          <w:rFonts w:asciiTheme="minorHAnsi" w:hAnsiTheme="minorHAnsi"/>
          <w:lang w:val="fr-BE"/>
        </w:rPr>
        <w:t>. The brochure is available in French, Dutch and German.</w:t>
      </w:r>
    </w:p>
  </w:footnote>
  <w:footnote w:id="6">
    <w:p w14:paraId="0F63AD21" w14:textId="79753EBF" w:rsidR="00407B13" w:rsidRPr="00407B13" w:rsidRDefault="00407B13">
      <w:pPr>
        <w:pStyle w:val="FootnoteText"/>
        <w:rPr>
          <w:rFonts w:asciiTheme="minorHAnsi" w:hAnsiTheme="minorHAnsi"/>
          <w:lang w:val="fr-BE"/>
        </w:rPr>
      </w:pPr>
      <w:r w:rsidRPr="00407B13">
        <w:rPr>
          <w:rStyle w:val="FootnoteReference"/>
          <w:rFonts w:asciiTheme="minorHAnsi" w:hAnsiTheme="minorHAnsi"/>
        </w:rPr>
        <w:footnoteRef/>
      </w:r>
      <w:r w:rsidRPr="00407B13">
        <w:rPr>
          <w:rFonts w:asciiTheme="minorHAnsi" w:hAnsiTheme="minorHAnsi"/>
          <w:lang w:val="fr-BE"/>
        </w:rPr>
        <w:t xml:space="preserve"> </w:t>
      </w:r>
      <w:hyperlink r:id="rId3" w:history="1">
        <w:r w:rsidRPr="00471C9A">
          <w:rPr>
            <w:rStyle w:val="Hyperlink"/>
            <w:rFonts w:asciiTheme="minorHAnsi" w:hAnsiTheme="minorHAnsi"/>
            <w:lang w:val="fr-BE"/>
          </w:rPr>
          <w:t>http://igvm-iefh.belgium.be/sites/default/files/comprehensive_press_file_0.pdf</w:t>
        </w:r>
      </w:hyperlink>
      <w:r>
        <w:rPr>
          <w:rFonts w:asciiTheme="minorHAnsi" w:hAnsiTheme="minorHAnsi"/>
          <w:lang w:val="fr-BE"/>
        </w:rPr>
        <w:t xml:space="preserve"> </w:t>
      </w:r>
    </w:p>
  </w:footnote>
  <w:footnote w:id="7">
    <w:p w14:paraId="11233ED9" w14:textId="5806E843" w:rsidR="0075244D" w:rsidRPr="002C28FD" w:rsidRDefault="0075244D" w:rsidP="00726DF5">
      <w:pPr>
        <w:pStyle w:val="FootnoteText"/>
        <w:jc w:val="both"/>
        <w:rPr>
          <w:rFonts w:asciiTheme="minorHAnsi" w:hAnsiTheme="minorHAnsi"/>
          <w:lang w:val="fr-BE"/>
        </w:rPr>
      </w:pPr>
      <w:r w:rsidRPr="00407B13">
        <w:rPr>
          <w:rStyle w:val="FootnoteReference"/>
          <w:rFonts w:asciiTheme="minorHAnsi" w:hAnsiTheme="minorHAnsi"/>
        </w:rPr>
        <w:footnoteRef/>
      </w:r>
      <w:r w:rsidRPr="00407B13">
        <w:rPr>
          <w:rFonts w:asciiTheme="minorHAnsi" w:hAnsiTheme="minorHAnsi"/>
          <w:lang w:val="fr-BE"/>
        </w:rPr>
        <w:t xml:space="preserve"> </w:t>
      </w:r>
      <w:r w:rsidR="00726DF5" w:rsidRPr="00407B13">
        <w:rPr>
          <w:rFonts w:asciiTheme="minorHAnsi" w:hAnsiTheme="minorHAnsi"/>
          <w:lang w:val="fr-BE"/>
        </w:rPr>
        <w:t>« </w:t>
      </w:r>
      <w:r w:rsidRPr="00407B13">
        <w:rPr>
          <w:rFonts w:asciiTheme="minorHAnsi" w:hAnsiTheme="minorHAnsi"/>
          <w:lang w:val="fr-BE"/>
        </w:rPr>
        <w:t>Chaque enfant a droit au respect de son intégrité morale, p</w:t>
      </w:r>
      <w:r w:rsidR="00726DF5" w:rsidRPr="00407B13">
        <w:rPr>
          <w:rFonts w:asciiTheme="minorHAnsi" w:hAnsiTheme="minorHAnsi"/>
          <w:lang w:val="fr-BE"/>
        </w:rPr>
        <w:t>hysique, psychique et</w:t>
      </w:r>
      <w:r w:rsidR="00726DF5" w:rsidRPr="00AD4EDB">
        <w:rPr>
          <w:rFonts w:asciiTheme="minorHAnsi" w:hAnsiTheme="minorHAnsi"/>
          <w:lang w:val="fr-BE"/>
        </w:rPr>
        <w:t xml:space="preserve"> sexuelle. </w:t>
      </w:r>
      <w:r w:rsidRPr="00726DF5">
        <w:rPr>
          <w:rFonts w:asciiTheme="minorHAnsi" w:hAnsiTheme="minorHAnsi"/>
          <w:lang w:val="fr-BE"/>
        </w:rPr>
        <w:t>Chaque enfant a le droit de s'exprimer sur toute question qui le concerne; son opinion est prise en considération, eu égard à</w:t>
      </w:r>
      <w:r w:rsidR="00726DF5" w:rsidRPr="00AD4EDB">
        <w:rPr>
          <w:rFonts w:asciiTheme="minorHAnsi" w:hAnsiTheme="minorHAnsi"/>
          <w:lang w:val="fr-BE"/>
        </w:rPr>
        <w:t xml:space="preserve"> son âge et à son discernement. </w:t>
      </w:r>
      <w:r w:rsidRPr="00726DF5">
        <w:rPr>
          <w:rFonts w:asciiTheme="minorHAnsi" w:hAnsiTheme="minorHAnsi"/>
          <w:lang w:val="fr-BE"/>
        </w:rPr>
        <w:t xml:space="preserve">Chaque enfant a le droit de bénéficier des mesures et services qui </w:t>
      </w:r>
      <w:r w:rsidR="00726DF5" w:rsidRPr="00AD4EDB">
        <w:rPr>
          <w:rFonts w:asciiTheme="minorHAnsi" w:hAnsiTheme="minorHAnsi"/>
          <w:lang w:val="fr-BE"/>
        </w:rPr>
        <w:t xml:space="preserve">concourent à son développement. </w:t>
      </w:r>
      <w:r w:rsidRPr="00726DF5">
        <w:rPr>
          <w:rFonts w:asciiTheme="minorHAnsi" w:hAnsiTheme="minorHAnsi"/>
          <w:lang w:val="fr-BE"/>
        </w:rPr>
        <w:t xml:space="preserve">Dans toute décision qui le concerne, </w:t>
      </w:r>
      <w:r w:rsidRPr="002C28FD">
        <w:rPr>
          <w:rFonts w:asciiTheme="minorHAnsi" w:hAnsiTheme="minorHAnsi"/>
          <w:lang w:val="fr-BE"/>
        </w:rPr>
        <w:t>l'intérêt de l'enfant est pris en consid</w:t>
      </w:r>
      <w:r w:rsidR="00726DF5" w:rsidRPr="002C28FD">
        <w:rPr>
          <w:rFonts w:asciiTheme="minorHAnsi" w:hAnsiTheme="minorHAnsi"/>
          <w:lang w:val="fr-BE"/>
        </w:rPr>
        <w:t xml:space="preserve">ération de manière primordiale. </w:t>
      </w:r>
      <w:r w:rsidRPr="002C28FD">
        <w:rPr>
          <w:rFonts w:asciiTheme="minorHAnsi" w:hAnsiTheme="minorHAnsi"/>
          <w:lang w:val="fr-BE"/>
        </w:rPr>
        <w:t xml:space="preserve">La loi, le décret ou la règle </w:t>
      </w:r>
      <w:r w:rsidR="00726DF5" w:rsidRPr="002C28FD">
        <w:rPr>
          <w:rFonts w:asciiTheme="minorHAnsi" w:hAnsiTheme="minorHAnsi"/>
          <w:lang w:val="fr-BE"/>
        </w:rPr>
        <w:t>[…]</w:t>
      </w:r>
      <w:r w:rsidRPr="002C28FD">
        <w:rPr>
          <w:rFonts w:asciiTheme="minorHAnsi" w:hAnsiTheme="minorHAnsi"/>
          <w:lang w:val="fr-BE"/>
        </w:rPr>
        <w:t xml:space="preserve"> garantissent ces droits de l'enfant.</w:t>
      </w:r>
      <w:r w:rsidR="00726DF5" w:rsidRPr="002C28FD">
        <w:rPr>
          <w:rFonts w:asciiTheme="minorHAnsi" w:hAnsiTheme="minorHAnsi"/>
          <w:lang w:val="fr-BE"/>
        </w:rPr>
        <w:t> »</w:t>
      </w:r>
    </w:p>
  </w:footnote>
  <w:footnote w:id="8">
    <w:p w14:paraId="74586184" w14:textId="12CC403E" w:rsidR="002C28FD" w:rsidRPr="002C28FD" w:rsidRDefault="002C28FD">
      <w:pPr>
        <w:pStyle w:val="FootnoteText"/>
        <w:rPr>
          <w:rFonts w:asciiTheme="minorHAnsi" w:hAnsiTheme="minorHAnsi"/>
          <w:lang w:val="fr-BE"/>
        </w:rPr>
      </w:pPr>
      <w:r w:rsidRPr="002C28FD">
        <w:rPr>
          <w:rStyle w:val="FootnoteReference"/>
          <w:rFonts w:asciiTheme="minorHAnsi" w:hAnsiTheme="minorHAnsi"/>
        </w:rPr>
        <w:footnoteRef/>
      </w:r>
      <w:r w:rsidRPr="002C28FD">
        <w:rPr>
          <w:rFonts w:asciiTheme="minorHAnsi" w:hAnsiTheme="minorHAnsi"/>
          <w:lang w:val="fr-BE"/>
        </w:rPr>
        <w:t xml:space="preserve"> </w:t>
      </w:r>
      <w:hyperlink r:id="rId4" w:history="1">
        <w:r w:rsidRPr="002C28FD">
          <w:rPr>
            <w:rStyle w:val="Hyperlink"/>
            <w:rFonts w:asciiTheme="minorHAnsi" w:hAnsiTheme="minorHAnsi"/>
            <w:lang w:val="fr-BE"/>
          </w:rPr>
          <w:t>http://www.kinderrechtencommissariaat.be/en/about-us</w:t>
        </w:r>
      </w:hyperlink>
      <w:r w:rsidRPr="002C28FD">
        <w:rPr>
          <w:rFonts w:asciiTheme="minorHAnsi" w:hAnsiTheme="minorHAnsi"/>
          <w:lang w:val="fr-BE"/>
        </w:rPr>
        <w:t xml:space="preserve"> </w:t>
      </w:r>
    </w:p>
  </w:footnote>
  <w:footnote w:id="9">
    <w:p w14:paraId="3A0C9040" w14:textId="5074361E" w:rsidR="002C28FD" w:rsidRPr="002C28FD" w:rsidRDefault="002C28FD">
      <w:pPr>
        <w:pStyle w:val="FootnoteText"/>
        <w:rPr>
          <w:rFonts w:asciiTheme="minorHAnsi" w:hAnsiTheme="minorHAnsi"/>
          <w:lang w:val="fr-BE"/>
        </w:rPr>
      </w:pPr>
      <w:r w:rsidRPr="002C28FD">
        <w:rPr>
          <w:rStyle w:val="FootnoteReference"/>
          <w:rFonts w:asciiTheme="minorHAnsi" w:hAnsiTheme="minorHAnsi"/>
        </w:rPr>
        <w:footnoteRef/>
      </w:r>
      <w:r w:rsidRPr="002C28FD">
        <w:rPr>
          <w:rFonts w:asciiTheme="minorHAnsi" w:hAnsiTheme="minorHAnsi"/>
          <w:lang w:val="fr-BE"/>
        </w:rPr>
        <w:t xml:space="preserve"> </w:t>
      </w:r>
      <w:hyperlink r:id="rId5" w:history="1">
        <w:r w:rsidRPr="002C28FD">
          <w:rPr>
            <w:rStyle w:val="Hyperlink"/>
            <w:rFonts w:asciiTheme="minorHAnsi" w:hAnsiTheme="minorHAnsi"/>
            <w:lang w:val="fr-BE"/>
          </w:rPr>
          <w:t>http://www.dgde.cfwb.be/</w:t>
        </w:r>
      </w:hyperlink>
      <w:r w:rsidRPr="002C28FD">
        <w:rPr>
          <w:rFonts w:asciiTheme="minorHAnsi" w:hAnsiTheme="minorHAnsi"/>
          <w:lang w:val="fr-BE"/>
        </w:rPr>
        <w:t xml:space="preserve"> </w:t>
      </w:r>
    </w:p>
  </w:footnote>
  <w:footnote w:id="10">
    <w:p w14:paraId="62ECC602" w14:textId="4F66D74D" w:rsidR="00D26423" w:rsidRPr="00780643" w:rsidRDefault="00D26423" w:rsidP="00726DF5">
      <w:pPr>
        <w:pStyle w:val="FootnoteText"/>
        <w:jc w:val="both"/>
        <w:rPr>
          <w:rFonts w:asciiTheme="minorHAnsi" w:hAnsiTheme="minorHAnsi"/>
          <w:lang w:val="en-US"/>
        </w:rPr>
      </w:pPr>
      <w:r w:rsidRPr="002C28FD">
        <w:rPr>
          <w:rStyle w:val="FootnoteReference"/>
          <w:rFonts w:asciiTheme="minorHAnsi" w:hAnsiTheme="minorHAnsi"/>
        </w:rPr>
        <w:footnoteRef/>
      </w:r>
      <w:r w:rsidRPr="002C28FD">
        <w:rPr>
          <w:rFonts w:asciiTheme="minorHAnsi" w:hAnsiTheme="minorHAnsi"/>
          <w:lang w:val="en-US"/>
        </w:rPr>
        <w:t xml:space="preserve"> Similar concerns were </w:t>
      </w:r>
      <w:r w:rsidR="00780643" w:rsidRPr="002C28FD">
        <w:rPr>
          <w:rFonts w:asciiTheme="minorHAnsi" w:hAnsiTheme="minorHAnsi"/>
          <w:lang w:val="en-US"/>
        </w:rPr>
        <w:t>already</w:t>
      </w:r>
      <w:r w:rsidRPr="002C28FD">
        <w:rPr>
          <w:rFonts w:asciiTheme="minorHAnsi" w:hAnsiTheme="minorHAnsi"/>
          <w:lang w:val="en-US"/>
        </w:rPr>
        <w:t xml:space="preserve"> voiced by the CRC Committee</w:t>
      </w:r>
      <w:r w:rsidRPr="00780643">
        <w:rPr>
          <w:rFonts w:asciiTheme="minorHAnsi" w:hAnsiTheme="minorHAnsi"/>
          <w:lang w:val="en-US"/>
        </w:rPr>
        <w:t xml:space="preserve"> in its Concluding Observations of June 2010.</w:t>
      </w:r>
    </w:p>
  </w:footnote>
  <w:footnote w:id="11">
    <w:p w14:paraId="1334742A" w14:textId="73C5920D" w:rsidR="00780643" w:rsidRPr="00780643" w:rsidRDefault="00780643">
      <w:pPr>
        <w:pStyle w:val="FootnoteText"/>
        <w:rPr>
          <w:rFonts w:asciiTheme="minorHAnsi" w:hAnsiTheme="minorHAnsi"/>
          <w:lang w:val="fr-BE"/>
        </w:rPr>
      </w:pPr>
      <w:r w:rsidRPr="00780643">
        <w:rPr>
          <w:rStyle w:val="FootnoteReference"/>
          <w:rFonts w:asciiTheme="minorHAnsi" w:hAnsiTheme="minorHAnsi"/>
        </w:rPr>
        <w:footnoteRef/>
      </w:r>
      <w:r w:rsidRPr="00780643">
        <w:rPr>
          <w:rFonts w:asciiTheme="minorHAnsi" w:hAnsiTheme="minorHAnsi"/>
          <w:lang w:val="fr-BE"/>
        </w:rPr>
        <w:t xml:space="preserve"> Unia, </w:t>
      </w:r>
      <w:r w:rsidRPr="00780643">
        <w:rPr>
          <w:rFonts w:asciiTheme="minorHAnsi" w:hAnsiTheme="minorHAnsi"/>
          <w:i/>
          <w:lang w:val="fr-BE"/>
        </w:rPr>
        <w:t xml:space="preserve">Rapport annuel 2015: </w:t>
      </w:r>
      <w:r w:rsidRPr="00AD4EDB">
        <w:rPr>
          <w:rFonts w:asciiTheme="minorHAnsi" w:hAnsiTheme="minorHAnsi"/>
          <w:i/>
          <w:lang w:val="fr-BE"/>
        </w:rPr>
        <w:t>L</w:t>
      </w:r>
      <w:r w:rsidRPr="00780643">
        <w:rPr>
          <w:rFonts w:asciiTheme="minorHAnsi" w:hAnsiTheme="minorHAnsi"/>
          <w:i/>
          <w:lang w:val="fr-BE"/>
        </w:rPr>
        <w:t>e v</w:t>
      </w:r>
      <w:r w:rsidRPr="00AD4EDB">
        <w:rPr>
          <w:rFonts w:asciiTheme="minorHAnsi" w:hAnsiTheme="minorHAnsi"/>
          <w:i/>
          <w:lang w:val="fr-BE"/>
        </w:rPr>
        <w:t>ivre ensemble mis à l’épreuve</w:t>
      </w:r>
      <w:r w:rsidRPr="00AD4EDB">
        <w:rPr>
          <w:rFonts w:asciiTheme="minorHAnsi" w:hAnsiTheme="minorHAnsi"/>
          <w:lang w:val="fr-BE"/>
        </w:rPr>
        <w:t xml:space="preserve">, June 2016, p. 9-10, </w:t>
      </w:r>
      <w:hyperlink r:id="rId6" w:history="1">
        <w:r w:rsidRPr="00AD4EDB">
          <w:rPr>
            <w:rStyle w:val="Hyperlink"/>
            <w:rFonts w:asciiTheme="minorHAnsi" w:hAnsiTheme="minorHAnsi"/>
            <w:lang w:val="fr-BE"/>
          </w:rPr>
          <w:t>http://www.unia.be/fr/publications-et-statistiques/publications/rapport-annuel-2015-le-vivre-ensemble-mis-a-lepreuve</w:t>
        </w:r>
      </w:hyperlink>
      <w:r w:rsidRPr="00AD4EDB">
        <w:rPr>
          <w:rFonts w:asciiTheme="minorHAnsi" w:hAnsiTheme="minorHAnsi"/>
          <w:lang w:val="fr-BE"/>
        </w:rPr>
        <w:t xml:space="preserve">. </w:t>
      </w:r>
    </w:p>
  </w:footnote>
  <w:footnote w:id="12">
    <w:p w14:paraId="3B5D00EC" w14:textId="180D1BDE" w:rsidR="002410BC" w:rsidRPr="002410BC" w:rsidRDefault="002410BC" w:rsidP="002410BC">
      <w:pPr>
        <w:pStyle w:val="FootnoteText"/>
        <w:jc w:val="both"/>
        <w:rPr>
          <w:rFonts w:asciiTheme="minorHAnsi" w:hAnsiTheme="minorHAnsi"/>
        </w:rPr>
      </w:pPr>
      <w:r w:rsidRPr="002410BC">
        <w:rPr>
          <w:rStyle w:val="FootnoteReference"/>
          <w:rFonts w:asciiTheme="minorHAnsi" w:hAnsiTheme="minorHAnsi"/>
        </w:rPr>
        <w:footnoteRef/>
      </w:r>
      <w:r w:rsidRPr="002410BC">
        <w:rPr>
          <w:rFonts w:asciiTheme="minorHAnsi" w:hAnsiTheme="minorHAnsi"/>
        </w:rPr>
        <w:t xml:space="preserve"> One of Unia's statutory tasks is to deal with "individual reports". Hence, anyone can contact Unia to ask a question, request an intervention, submit an observation or raise any other issue relating to anti-discrimination legislation or the fundamental rights of persons with disabilities, as provided for in the </w:t>
      </w:r>
      <w:r w:rsidR="00685140">
        <w:rPr>
          <w:rFonts w:asciiTheme="minorHAnsi" w:hAnsiTheme="minorHAnsi"/>
        </w:rPr>
        <w:t>CRPD</w:t>
      </w:r>
      <w:r w:rsidRPr="002410BC">
        <w:rPr>
          <w:rFonts w:asciiTheme="minorHAnsi" w:hAnsiTheme="minorHAnsi"/>
        </w:rPr>
        <w:t>.</w:t>
      </w:r>
      <w:r>
        <w:rPr>
          <w:rFonts w:asciiTheme="minorHAnsi" w:hAnsiTheme="minorHAnsi"/>
        </w:rPr>
        <w:t xml:space="preserve"> </w:t>
      </w:r>
      <w:r w:rsidRPr="002410BC">
        <w:rPr>
          <w:rFonts w:asciiTheme="minorHAnsi" w:hAnsiTheme="minorHAnsi"/>
        </w:rPr>
        <w:t>If Unia considers itself competent to deal with a report, and if this report is more than a simple request for information, a file will be opened.</w:t>
      </w:r>
    </w:p>
  </w:footnote>
  <w:footnote w:id="13">
    <w:p w14:paraId="38CEE1EF" w14:textId="215969C1" w:rsidR="002410BC" w:rsidRPr="002410BC" w:rsidRDefault="002410BC" w:rsidP="00685140">
      <w:pPr>
        <w:pStyle w:val="FootnoteText"/>
        <w:jc w:val="both"/>
        <w:rPr>
          <w:rFonts w:asciiTheme="minorHAnsi" w:hAnsiTheme="minorHAnsi"/>
          <w:lang w:val="fr-BE"/>
        </w:rPr>
      </w:pPr>
      <w:r w:rsidRPr="002410BC">
        <w:rPr>
          <w:rStyle w:val="FootnoteReference"/>
          <w:rFonts w:asciiTheme="minorHAnsi" w:hAnsiTheme="minorHAnsi"/>
        </w:rPr>
        <w:footnoteRef/>
      </w:r>
      <w:r w:rsidRPr="002410BC">
        <w:rPr>
          <w:rFonts w:asciiTheme="minorHAnsi" w:hAnsiTheme="minorHAnsi"/>
          <w:lang w:val="fr-BE"/>
        </w:rPr>
        <w:t xml:space="preserve"> Unia, </w:t>
      </w:r>
      <w:r w:rsidRPr="002410BC">
        <w:rPr>
          <w:rFonts w:asciiTheme="minorHAnsi" w:hAnsiTheme="minorHAnsi"/>
          <w:i/>
          <w:lang w:val="fr-BE"/>
        </w:rPr>
        <w:t>Rapport annuel 2015: Le vivre ensemble mis à l’épreuve</w:t>
      </w:r>
      <w:r w:rsidRPr="002410BC">
        <w:rPr>
          <w:rFonts w:asciiTheme="minorHAnsi" w:hAnsiTheme="minorHAnsi"/>
          <w:lang w:val="fr-BE"/>
        </w:rPr>
        <w:t xml:space="preserve">, June 2016, </w:t>
      </w:r>
      <w:hyperlink r:id="rId7" w:history="1">
        <w:r w:rsidRPr="002410BC">
          <w:rPr>
            <w:rStyle w:val="Hyperlink"/>
            <w:rFonts w:asciiTheme="minorHAnsi" w:hAnsiTheme="minorHAnsi"/>
            <w:lang w:val="fr-BE"/>
          </w:rPr>
          <w:t>http://www.unia.be/fr/publications-et-statistiques/publications/rapport-annuel-2015-le-vivre-ensemble-mis-a-lepreuve</w:t>
        </w:r>
      </w:hyperlink>
      <w:r w:rsidRPr="002410BC">
        <w:rPr>
          <w:rFonts w:asciiTheme="minorHAnsi" w:hAnsiTheme="minorHAnsi"/>
          <w:lang w:val="fr-BE"/>
        </w:rPr>
        <w:t xml:space="preserve">; Unia, </w:t>
      </w:r>
      <w:r w:rsidRPr="002410BC">
        <w:rPr>
          <w:rFonts w:asciiTheme="minorHAnsi" w:hAnsiTheme="minorHAnsi"/>
          <w:i/>
          <w:lang w:val="fr-BE"/>
        </w:rPr>
        <w:t>Unia’s work expressed in figures for 2015</w:t>
      </w:r>
      <w:r>
        <w:rPr>
          <w:rFonts w:asciiTheme="minorHAnsi" w:hAnsiTheme="minorHAnsi"/>
          <w:i/>
          <w:lang w:val="fr-BE"/>
        </w:rPr>
        <w:t xml:space="preserve">, </w:t>
      </w:r>
      <w:r>
        <w:rPr>
          <w:rFonts w:asciiTheme="minorHAnsi" w:hAnsiTheme="minorHAnsi"/>
          <w:lang w:val="fr-BE"/>
        </w:rPr>
        <w:t xml:space="preserve">June 2016, </w:t>
      </w:r>
      <w:hyperlink r:id="rId8" w:history="1">
        <w:r w:rsidR="00362F8C" w:rsidRPr="001513EC">
          <w:rPr>
            <w:rStyle w:val="Hyperlink"/>
            <w:rFonts w:asciiTheme="minorHAnsi" w:hAnsiTheme="minorHAnsi"/>
            <w:lang w:val="fr-BE"/>
          </w:rPr>
          <w:t>http://www.unia.be/en/publications-statistics/publications/unias-work-expressed-in-figures-for-2015</w:t>
        </w:r>
      </w:hyperlink>
      <w:r w:rsidR="00362F8C">
        <w:rPr>
          <w:rFonts w:asciiTheme="minorHAnsi" w:hAnsiTheme="minorHAnsi"/>
          <w:lang w:val="fr-BE"/>
        </w:rPr>
        <w:t xml:space="preserve">. </w:t>
      </w:r>
    </w:p>
  </w:footnote>
  <w:footnote w:id="14">
    <w:p w14:paraId="0D8CFA5E" w14:textId="77777777" w:rsidR="00C43EEE" w:rsidRPr="00F6483E" w:rsidRDefault="00C43EEE">
      <w:pPr>
        <w:pStyle w:val="FootnoteText"/>
        <w:rPr>
          <w:rFonts w:asciiTheme="minorHAnsi" w:hAnsiTheme="minorHAnsi"/>
          <w:lang w:val="en-US"/>
        </w:rPr>
      </w:pPr>
      <w:r w:rsidRPr="002410BC">
        <w:rPr>
          <w:rStyle w:val="FootnoteReference"/>
          <w:rFonts w:asciiTheme="minorHAnsi" w:hAnsiTheme="minorHAnsi"/>
        </w:rPr>
        <w:footnoteRef/>
      </w:r>
      <w:r w:rsidRPr="002410BC">
        <w:rPr>
          <w:rFonts w:asciiTheme="minorHAnsi" w:hAnsiTheme="minorHAnsi"/>
          <w:lang w:val="en-US"/>
        </w:rPr>
        <w:t xml:space="preserve"> The studies are available on our website : </w:t>
      </w:r>
      <w:hyperlink r:id="rId9" w:history="1">
        <w:r w:rsidRPr="002410BC">
          <w:rPr>
            <w:rStyle w:val="Hyperlink"/>
            <w:rFonts w:asciiTheme="minorHAnsi" w:hAnsiTheme="minorHAnsi"/>
            <w:lang w:val="en-US"/>
          </w:rPr>
          <w:t>http://unia.be/en/publications-statistics/statistics/unias-statistical-studies</w:t>
        </w:r>
      </w:hyperlink>
      <w:r>
        <w:rPr>
          <w:rFonts w:asciiTheme="minorHAnsi" w:hAnsiTheme="minorHAnsi"/>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21AD0" w14:textId="77777777" w:rsidR="00EC3270" w:rsidRDefault="00C43EEE">
    <w:pPr>
      <w:spacing w:before="1680" w:after="60"/>
      <w:jc w:val="center"/>
      <w:rPr>
        <w:sz w:val="14"/>
        <w:szCs w:val="14"/>
        <w:lang w:val="en-US"/>
      </w:rPr>
    </w:pPr>
    <w:r>
      <w:rPr>
        <w:noProof/>
        <w:lang w:eastAsia="en-GB"/>
      </w:rPr>
      <w:drawing>
        <wp:inline distT="114300" distB="114300" distL="114300" distR="114300" wp14:anchorId="0D8CFA58" wp14:editId="0D8CFA59">
          <wp:extent cx="5283200" cy="965200"/>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5283200" cy="965200"/>
                  </a:xfrm>
                  <a:prstGeom prst="rect">
                    <a:avLst/>
                  </a:prstGeom>
                  <a:ln/>
                </pic:spPr>
              </pic:pic>
            </a:graphicData>
          </a:graphic>
        </wp:inline>
      </w:drawing>
    </w:r>
  </w:p>
  <w:p w14:paraId="0D8CFA54" w14:textId="1E0B74EE" w:rsidR="00C43EEE" w:rsidRPr="00884A88" w:rsidRDefault="00C43EEE" w:rsidP="00035255">
    <w:pPr>
      <w:spacing w:before="240"/>
      <w:jc w:val="center"/>
      <w:rPr>
        <w:lang w:val="en-US"/>
      </w:rPr>
    </w:pPr>
    <w:r w:rsidRPr="00884A88">
      <w:rPr>
        <w:sz w:val="14"/>
        <w:szCs w:val="14"/>
        <w:lang w:val="en-US"/>
      </w:rPr>
      <w:t>HAUT-COMMISSARIAT AUX DROITS DE L’HOMME • OFFICE OF THE HIGH COMMISSIONER FOR HUMAN RIGHTS</w:t>
    </w:r>
  </w:p>
  <w:p w14:paraId="0D8CFA55" w14:textId="77777777" w:rsidR="00C43EEE" w:rsidRPr="00AD4EDB" w:rsidRDefault="00C43EEE" w:rsidP="00EC3270">
    <w:pPr>
      <w:jc w:val="center"/>
      <w:rPr>
        <w:lang w:val="fr-BE"/>
      </w:rPr>
    </w:pPr>
    <w:r w:rsidRPr="00AD4EDB">
      <w:rPr>
        <w:sz w:val="14"/>
        <w:szCs w:val="14"/>
        <w:lang w:val="fr-BE"/>
      </w:rPr>
      <w:t>PALAIS DES NATIONS • 1211 GENEVA 10, SWITZERLAND</w:t>
    </w:r>
  </w:p>
  <w:p w14:paraId="0D8CFA56" w14:textId="77777777" w:rsidR="00C43EEE" w:rsidRPr="00AD4EDB" w:rsidRDefault="00C43EEE" w:rsidP="00035255">
    <w:pPr>
      <w:spacing w:after="240"/>
      <w:jc w:val="center"/>
      <w:rPr>
        <w:lang w:val="fr-BE"/>
      </w:rPr>
    </w:pPr>
    <w:r w:rsidRPr="00AD4EDB">
      <w:rPr>
        <w:sz w:val="14"/>
        <w:szCs w:val="14"/>
        <w:lang w:val="fr-BE"/>
      </w:rPr>
      <w:t>www.ohchr.org • TEL:  +41 22 917 9000 • FAX:  +41 22 917 9008 • E-MAIL:  registry@ohchr.org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161"/>
    <w:multiLevelType w:val="hybridMultilevel"/>
    <w:tmpl w:val="576E68D2"/>
    <w:lvl w:ilvl="0" w:tplc="2A7653A8">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77B654F4"/>
    <w:multiLevelType w:val="hybridMultilevel"/>
    <w:tmpl w:val="BC10469A"/>
    <w:lvl w:ilvl="0" w:tplc="2A7653A8">
      <w:numFmt w:val="bullet"/>
      <w:lvlText w:val="-"/>
      <w:lvlJc w:val="left"/>
      <w:pPr>
        <w:ind w:left="360" w:hanging="360"/>
      </w:pPr>
      <w:rPr>
        <w:rFonts w:ascii="Calibri" w:eastAsia="Calibri"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F11908"/>
    <w:rsid w:val="00035255"/>
    <w:rsid w:val="00161814"/>
    <w:rsid w:val="001D4E53"/>
    <w:rsid w:val="002410BC"/>
    <w:rsid w:val="002C28FD"/>
    <w:rsid w:val="00326D71"/>
    <w:rsid w:val="00346855"/>
    <w:rsid w:val="00362F8C"/>
    <w:rsid w:val="00407B13"/>
    <w:rsid w:val="00454CE5"/>
    <w:rsid w:val="004857C4"/>
    <w:rsid w:val="00584D9C"/>
    <w:rsid w:val="00685140"/>
    <w:rsid w:val="00726DF5"/>
    <w:rsid w:val="0075244D"/>
    <w:rsid w:val="00780643"/>
    <w:rsid w:val="00851D48"/>
    <w:rsid w:val="008640F2"/>
    <w:rsid w:val="00866476"/>
    <w:rsid w:val="00884A88"/>
    <w:rsid w:val="00A02B5F"/>
    <w:rsid w:val="00A776F3"/>
    <w:rsid w:val="00AB4AE5"/>
    <w:rsid w:val="00AD4EDB"/>
    <w:rsid w:val="00BE59E4"/>
    <w:rsid w:val="00C43EEE"/>
    <w:rsid w:val="00C61B9F"/>
    <w:rsid w:val="00CE3477"/>
    <w:rsid w:val="00D26423"/>
    <w:rsid w:val="00E176DB"/>
    <w:rsid w:val="00EB4428"/>
    <w:rsid w:val="00EC3270"/>
    <w:rsid w:val="00F11908"/>
    <w:rsid w:val="00F14726"/>
    <w:rsid w:val="00F55AA5"/>
    <w:rsid w:val="00F6483E"/>
    <w:rsid w:val="00FF68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8C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BE" w:eastAsia="fr-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84A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88"/>
    <w:rPr>
      <w:rFonts w:ascii="Tahoma" w:hAnsi="Tahoma" w:cs="Tahoma"/>
      <w:sz w:val="16"/>
      <w:szCs w:val="16"/>
    </w:rPr>
  </w:style>
  <w:style w:type="character" w:styleId="Hyperlink">
    <w:name w:val="Hyperlink"/>
    <w:basedOn w:val="DefaultParagraphFont"/>
    <w:uiPriority w:val="99"/>
    <w:unhideWhenUsed/>
    <w:rsid w:val="00884A88"/>
    <w:rPr>
      <w:color w:val="0000FF"/>
      <w:u w:val="single"/>
    </w:rPr>
  </w:style>
  <w:style w:type="table" w:styleId="TableGrid">
    <w:name w:val="Table Grid"/>
    <w:basedOn w:val="TableNormal"/>
    <w:uiPriority w:val="59"/>
    <w:rsid w:val="00884A88"/>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4A88"/>
    <w:pPr>
      <w:spacing w:line="240" w:lineRule="auto"/>
    </w:pPr>
    <w:rPr>
      <w:sz w:val="20"/>
      <w:szCs w:val="20"/>
    </w:rPr>
  </w:style>
  <w:style w:type="character" w:customStyle="1" w:styleId="FootnoteTextChar">
    <w:name w:val="Footnote Text Char"/>
    <w:basedOn w:val="DefaultParagraphFont"/>
    <w:link w:val="FootnoteText"/>
    <w:uiPriority w:val="99"/>
    <w:semiHidden/>
    <w:rsid w:val="00884A88"/>
    <w:rPr>
      <w:sz w:val="20"/>
      <w:szCs w:val="20"/>
    </w:rPr>
  </w:style>
  <w:style w:type="character" w:styleId="FootnoteReference">
    <w:name w:val="footnote reference"/>
    <w:basedOn w:val="DefaultParagraphFont"/>
    <w:unhideWhenUsed/>
    <w:rsid w:val="00884A88"/>
    <w:rPr>
      <w:vertAlign w:val="superscript"/>
    </w:rPr>
  </w:style>
  <w:style w:type="paragraph" w:styleId="ListParagraph">
    <w:name w:val="List Paragraph"/>
    <w:basedOn w:val="Normal"/>
    <w:uiPriority w:val="34"/>
    <w:qFormat/>
    <w:rsid w:val="00851D48"/>
    <w:pPr>
      <w:ind w:left="720"/>
      <w:contextualSpacing/>
    </w:pPr>
  </w:style>
  <w:style w:type="character" w:styleId="CommentReference">
    <w:name w:val="annotation reference"/>
    <w:basedOn w:val="DefaultParagraphFont"/>
    <w:uiPriority w:val="99"/>
    <w:semiHidden/>
    <w:unhideWhenUsed/>
    <w:rsid w:val="008640F2"/>
    <w:rPr>
      <w:sz w:val="16"/>
      <w:szCs w:val="16"/>
    </w:rPr>
  </w:style>
  <w:style w:type="paragraph" w:styleId="CommentText">
    <w:name w:val="annotation text"/>
    <w:basedOn w:val="Normal"/>
    <w:link w:val="CommentTextChar"/>
    <w:uiPriority w:val="99"/>
    <w:semiHidden/>
    <w:unhideWhenUsed/>
    <w:rsid w:val="008640F2"/>
    <w:pPr>
      <w:spacing w:line="240" w:lineRule="auto"/>
    </w:pPr>
    <w:rPr>
      <w:sz w:val="20"/>
      <w:szCs w:val="20"/>
    </w:rPr>
  </w:style>
  <w:style w:type="character" w:customStyle="1" w:styleId="CommentTextChar">
    <w:name w:val="Comment Text Char"/>
    <w:basedOn w:val="DefaultParagraphFont"/>
    <w:link w:val="CommentText"/>
    <w:uiPriority w:val="99"/>
    <w:semiHidden/>
    <w:rsid w:val="008640F2"/>
    <w:rPr>
      <w:sz w:val="20"/>
      <w:szCs w:val="20"/>
    </w:rPr>
  </w:style>
  <w:style w:type="paragraph" w:styleId="CommentSubject">
    <w:name w:val="annotation subject"/>
    <w:basedOn w:val="CommentText"/>
    <w:next w:val="CommentText"/>
    <w:link w:val="CommentSubjectChar"/>
    <w:uiPriority w:val="99"/>
    <w:semiHidden/>
    <w:unhideWhenUsed/>
    <w:rsid w:val="008640F2"/>
    <w:rPr>
      <w:b/>
      <w:bCs/>
    </w:rPr>
  </w:style>
  <w:style w:type="character" w:customStyle="1" w:styleId="CommentSubjectChar">
    <w:name w:val="Comment Subject Char"/>
    <w:basedOn w:val="CommentTextChar"/>
    <w:link w:val="CommentSubject"/>
    <w:uiPriority w:val="99"/>
    <w:semiHidden/>
    <w:rsid w:val="008640F2"/>
    <w:rPr>
      <w:b/>
      <w:bCs/>
      <w:sz w:val="20"/>
      <w:szCs w:val="20"/>
    </w:rPr>
  </w:style>
  <w:style w:type="paragraph" w:styleId="Header">
    <w:name w:val="header"/>
    <w:basedOn w:val="Normal"/>
    <w:link w:val="HeaderChar"/>
    <w:uiPriority w:val="99"/>
    <w:unhideWhenUsed/>
    <w:rsid w:val="00EC3270"/>
    <w:pPr>
      <w:tabs>
        <w:tab w:val="center" w:pos="4536"/>
        <w:tab w:val="right" w:pos="9072"/>
      </w:tabs>
      <w:spacing w:line="240" w:lineRule="auto"/>
    </w:pPr>
  </w:style>
  <w:style w:type="character" w:customStyle="1" w:styleId="HeaderChar">
    <w:name w:val="Header Char"/>
    <w:basedOn w:val="DefaultParagraphFont"/>
    <w:link w:val="Header"/>
    <w:uiPriority w:val="99"/>
    <w:rsid w:val="00EC3270"/>
    <w:rPr>
      <w:lang w:val="en-GB"/>
    </w:rPr>
  </w:style>
  <w:style w:type="paragraph" w:styleId="Footer">
    <w:name w:val="footer"/>
    <w:basedOn w:val="Normal"/>
    <w:link w:val="FooterChar"/>
    <w:uiPriority w:val="99"/>
    <w:unhideWhenUsed/>
    <w:rsid w:val="00EC3270"/>
    <w:pPr>
      <w:tabs>
        <w:tab w:val="center" w:pos="4536"/>
        <w:tab w:val="right" w:pos="9072"/>
      </w:tabs>
      <w:spacing w:line="240" w:lineRule="auto"/>
    </w:pPr>
  </w:style>
  <w:style w:type="character" w:customStyle="1" w:styleId="FooterChar">
    <w:name w:val="Footer Char"/>
    <w:basedOn w:val="DefaultParagraphFont"/>
    <w:link w:val="Footer"/>
    <w:uiPriority w:val="99"/>
    <w:rsid w:val="00EC3270"/>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BE" w:eastAsia="fr-B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884A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A88"/>
    <w:rPr>
      <w:rFonts w:ascii="Tahoma" w:hAnsi="Tahoma" w:cs="Tahoma"/>
      <w:sz w:val="16"/>
      <w:szCs w:val="16"/>
    </w:rPr>
  </w:style>
  <w:style w:type="character" w:styleId="Hyperlink">
    <w:name w:val="Hyperlink"/>
    <w:basedOn w:val="DefaultParagraphFont"/>
    <w:uiPriority w:val="99"/>
    <w:unhideWhenUsed/>
    <w:rsid w:val="00884A88"/>
    <w:rPr>
      <w:color w:val="0000FF"/>
      <w:u w:val="single"/>
    </w:rPr>
  </w:style>
  <w:style w:type="table" w:styleId="TableGrid">
    <w:name w:val="Table Grid"/>
    <w:basedOn w:val="TableNormal"/>
    <w:uiPriority w:val="59"/>
    <w:rsid w:val="00884A88"/>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84A88"/>
    <w:pPr>
      <w:spacing w:line="240" w:lineRule="auto"/>
    </w:pPr>
    <w:rPr>
      <w:sz w:val="20"/>
      <w:szCs w:val="20"/>
    </w:rPr>
  </w:style>
  <w:style w:type="character" w:customStyle="1" w:styleId="FootnoteTextChar">
    <w:name w:val="Footnote Text Char"/>
    <w:basedOn w:val="DefaultParagraphFont"/>
    <w:link w:val="FootnoteText"/>
    <w:uiPriority w:val="99"/>
    <w:semiHidden/>
    <w:rsid w:val="00884A88"/>
    <w:rPr>
      <w:sz w:val="20"/>
      <w:szCs w:val="20"/>
    </w:rPr>
  </w:style>
  <w:style w:type="character" w:styleId="FootnoteReference">
    <w:name w:val="footnote reference"/>
    <w:basedOn w:val="DefaultParagraphFont"/>
    <w:unhideWhenUsed/>
    <w:rsid w:val="00884A88"/>
    <w:rPr>
      <w:vertAlign w:val="superscript"/>
    </w:rPr>
  </w:style>
  <w:style w:type="paragraph" w:styleId="ListParagraph">
    <w:name w:val="List Paragraph"/>
    <w:basedOn w:val="Normal"/>
    <w:uiPriority w:val="34"/>
    <w:qFormat/>
    <w:rsid w:val="00851D48"/>
    <w:pPr>
      <w:ind w:left="720"/>
      <w:contextualSpacing/>
    </w:pPr>
  </w:style>
  <w:style w:type="character" w:styleId="CommentReference">
    <w:name w:val="annotation reference"/>
    <w:basedOn w:val="DefaultParagraphFont"/>
    <w:uiPriority w:val="99"/>
    <w:semiHidden/>
    <w:unhideWhenUsed/>
    <w:rsid w:val="008640F2"/>
    <w:rPr>
      <w:sz w:val="16"/>
      <w:szCs w:val="16"/>
    </w:rPr>
  </w:style>
  <w:style w:type="paragraph" w:styleId="CommentText">
    <w:name w:val="annotation text"/>
    <w:basedOn w:val="Normal"/>
    <w:link w:val="CommentTextChar"/>
    <w:uiPriority w:val="99"/>
    <w:semiHidden/>
    <w:unhideWhenUsed/>
    <w:rsid w:val="008640F2"/>
    <w:pPr>
      <w:spacing w:line="240" w:lineRule="auto"/>
    </w:pPr>
    <w:rPr>
      <w:sz w:val="20"/>
      <w:szCs w:val="20"/>
    </w:rPr>
  </w:style>
  <w:style w:type="character" w:customStyle="1" w:styleId="CommentTextChar">
    <w:name w:val="Comment Text Char"/>
    <w:basedOn w:val="DefaultParagraphFont"/>
    <w:link w:val="CommentText"/>
    <w:uiPriority w:val="99"/>
    <w:semiHidden/>
    <w:rsid w:val="008640F2"/>
    <w:rPr>
      <w:sz w:val="20"/>
      <w:szCs w:val="20"/>
    </w:rPr>
  </w:style>
  <w:style w:type="paragraph" w:styleId="CommentSubject">
    <w:name w:val="annotation subject"/>
    <w:basedOn w:val="CommentText"/>
    <w:next w:val="CommentText"/>
    <w:link w:val="CommentSubjectChar"/>
    <w:uiPriority w:val="99"/>
    <w:semiHidden/>
    <w:unhideWhenUsed/>
    <w:rsid w:val="008640F2"/>
    <w:rPr>
      <w:b/>
      <w:bCs/>
    </w:rPr>
  </w:style>
  <w:style w:type="character" w:customStyle="1" w:styleId="CommentSubjectChar">
    <w:name w:val="Comment Subject Char"/>
    <w:basedOn w:val="CommentTextChar"/>
    <w:link w:val="CommentSubject"/>
    <w:uiPriority w:val="99"/>
    <w:semiHidden/>
    <w:rsid w:val="008640F2"/>
    <w:rPr>
      <w:b/>
      <w:bCs/>
      <w:sz w:val="20"/>
      <w:szCs w:val="20"/>
    </w:rPr>
  </w:style>
  <w:style w:type="paragraph" w:styleId="Header">
    <w:name w:val="header"/>
    <w:basedOn w:val="Normal"/>
    <w:link w:val="HeaderChar"/>
    <w:uiPriority w:val="99"/>
    <w:unhideWhenUsed/>
    <w:rsid w:val="00EC3270"/>
    <w:pPr>
      <w:tabs>
        <w:tab w:val="center" w:pos="4536"/>
        <w:tab w:val="right" w:pos="9072"/>
      </w:tabs>
      <w:spacing w:line="240" w:lineRule="auto"/>
    </w:pPr>
  </w:style>
  <w:style w:type="character" w:customStyle="1" w:styleId="HeaderChar">
    <w:name w:val="Header Char"/>
    <w:basedOn w:val="DefaultParagraphFont"/>
    <w:link w:val="Header"/>
    <w:uiPriority w:val="99"/>
    <w:rsid w:val="00EC3270"/>
    <w:rPr>
      <w:lang w:val="en-GB"/>
    </w:rPr>
  </w:style>
  <w:style w:type="paragraph" w:styleId="Footer">
    <w:name w:val="footer"/>
    <w:basedOn w:val="Normal"/>
    <w:link w:val="FooterChar"/>
    <w:uiPriority w:val="99"/>
    <w:unhideWhenUsed/>
    <w:rsid w:val="00EC3270"/>
    <w:pPr>
      <w:tabs>
        <w:tab w:val="center" w:pos="4536"/>
        <w:tab w:val="right" w:pos="9072"/>
      </w:tabs>
      <w:spacing w:line="240" w:lineRule="auto"/>
    </w:pPr>
  </w:style>
  <w:style w:type="character" w:customStyle="1" w:styleId="FooterChar">
    <w:name w:val="Footer Char"/>
    <w:basedOn w:val="DefaultParagraphFont"/>
    <w:link w:val="Footer"/>
    <w:uiPriority w:val="99"/>
    <w:rsid w:val="00EC327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961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harlotte.dekempeneer@unia.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ia.be/en/publications-statistics/publications/unias-work-expressed-in-figures-for-2015" TargetMode="External"/><Relationship Id="rId3" Type="http://schemas.openxmlformats.org/officeDocument/2006/relationships/hyperlink" Target="http://igvm-iefh.belgium.be/sites/default/files/comprehensive_press_file_0.pdf" TargetMode="External"/><Relationship Id="rId7" Type="http://schemas.openxmlformats.org/officeDocument/2006/relationships/hyperlink" Target="http://www.unia.be/fr/publications-et-statistiques/publications/rapport-annuel-2015-le-vivre-ensemble-mis-a-lepreuve" TargetMode="External"/><Relationship Id="rId2" Type="http://schemas.openxmlformats.org/officeDocument/2006/relationships/hyperlink" Target="http://unia.be/fr/publications-et-statistiques/publications/a-lecole-de-ton-choix-avec-un-handicap" TargetMode="External"/><Relationship Id="rId1" Type="http://schemas.openxmlformats.org/officeDocument/2006/relationships/hyperlink" Target="http://unia.be/en/publications-statistics/publications/evaluation-of-federal-anti-discrimination-legislation" TargetMode="External"/><Relationship Id="rId6" Type="http://schemas.openxmlformats.org/officeDocument/2006/relationships/hyperlink" Target="http://www.unia.be/fr/publications-et-statistiques/publications/rapport-annuel-2015-le-vivre-ensemble-mis-a-lepreuve" TargetMode="External"/><Relationship Id="rId5" Type="http://schemas.openxmlformats.org/officeDocument/2006/relationships/hyperlink" Target="http://www.dgde.cfwb.be/" TargetMode="External"/><Relationship Id="rId4" Type="http://schemas.openxmlformats.org/officeDocument/2006/relationships/hyperlink" Target="http://www.kinderrechtencommissariaat.be/en/about-us" TargetMode="External"/><Relationship Id="rId9" Type="http://schemas.openxmlformats.org/officeDocument/2006/relationships/hyperlink" Target="http://unia.be/en/publications-statistics/statistics/unias-statistical-stu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A5CAF-8003-4FDA-90A0-597EB0C2AE95}"/>
</file>

<file path=customXml/itemProps2.xml><?xml version="1.0" encoding="utf-8"?>
<ds:datastoreItem xmlns:ds="http://schemas.openxmlformats.org/officeDocument/2006/customXml" ds:itemID="{1126E640-3AB1-4409-B5CF-3066BEBDC15C}"/>
</file>

<file path=customXml/itemProps3.xml><?xml version="1.0" encoding="utf-8"?>
<ds:datastoreItem xmlns:ds="http://schemas.openxmlformats.org/officeDocument/2006/customXml" ds:itemID="{77CF8624-955D-4FC3-9DB6-D071F1B7B545}"/>
</file>

<file path=customXml/itemProps4.xml><?xml version="1.0" encoding="utf-8"?>
<ds:datastoreItem xmlns:ds="http://schemas.openxmlformats.org/officeDocument/2006/customXml" ds:itemID="{8F1109AC-9771-4DDE-9FD4-F2A23BE62D7A}"/>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8336</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;#ONU;#</dc:subject>
  <dc:creator>Facundo Chavez Penillas</dc:creator>
  <cp:lastModifiedBy>Facundo Chavez Penillas</cp:lastModifiedBy>
  <cp:revision>2</cp:revision>
  <dcterms:created xsi:type="dcterms:W3CDTF">2016-06-30T11:46:00Z</dcterms:created>
  <dcterms:modified xsi:type="dcterms:W3CDTF">2016-06-30T11:46:00Z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4" name="Language">
    <vt:lpwstr>EN</vt:lpwstr>
  </property>
  <property fmtid="{D5CDD505-2E9C-101B-9397-08002B2CF9AE}" pid="5" name="Order">
    <vt:r8>3844300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