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emf" ContentType="image/x-emf"/>
  <Default Extension="rels" ContentType="application/vnd.openxmlformats-package.relationships+xml"/>
  <Override PartName="/word/diagrams/colors1.xml" ContentType="application/vnd.openxmlformats-officedocument.drawingml.diagramColor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C73" w:rsidRDefault="00D70C73">
      <w:pPr>
        <w:spacing w:after="200" w:line="276" w:lineRule="auto"/>
        <w:rPr>
          <w:rFonts w:asciiTheme="majorHAnsi" w:eastAsiaTheme="majorEastAsia" w:hAnsiTheme="majorHAnsi" w:cstheme="majorBidi"/>
          <w:b/>
          <w:bCs/>
          <w:color w:val="00B0F0"/>
          <w:sz w:val="132"/>
          <w:szCs w:val="132"/>
          <w:lang w:val="en-US"/>
        </w:rPr>
      </w:pPr>
      <w:bookmarkStart w:id="0" w:name="_GoBack"/>
      <w:r>
        <w:rPr>
          <w:noProof/>
          <w:lang w:eastAsia="en-GB"/>
        </w:rPr>
        <w:drawing>
          <wp:inline distT="0" distB="0" distL="0" distR="0">
            <wp:extent cx="5676900" cy="8677275"/>
            <wp:effectExtent l="19050" t="0" r="0" b="0"/>
            <wp:docPr id="13" name="860da41c-1eff-4e7d-9c27-3cd9740397b7" descr="cid:582853A3-81DB-4F2B-AEA3-356062689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0da41c-1eff-4e7d-9c27-3cd9740397b7" descr="cid:582853A3-81DB-4F2B-AEA3-356062689CF0"/>
                    <pic:cNvPicPr>
                      <a:picLocks noChangeAspect="1" noChangeArrowheads="1"/>
                    </pic:cNvPicPr>
                  </pic:nvPicPr>
                  <pic:blipFill>
                    <a:blip r:embed="rId9" r:link="rId10" cstate="print"/>
                    <a:srcRect/>
                    <a:stretch>
                      <a:fillRect/>
                    </a:stretch>
                  </pic:blipFill>
                  <pic:spPr bwMode="auto">
                    <a:xfrm>
                      <a:off x="0" y="0"/>
                      <a:ext cx="5676900" cy="8677275"/>
                    </a:xfrm>
                    <a:prstGeom prst="rect">
                      <a:avLst/>
                    </a:prstGeom>
                    <a:noFill/>
                    <a:ln w="9525">
                      <a:noFill/>
                      <a:miter lim="800000"/>
                      <a:headEnd/>
                      <a:tailEnd/>
                    </a:ln>
                  </pic:spPr>
                </pic:pic>
              </a:graphicData>
            </a:graphic>
          </wp:inline>
        </w:drawing>
      </w:r>
      <w:bookmarkEnd w:id="0"/>
      <w:r>
        <w:rPr>
          <w:color w:val="00B0F0"/>
          <w:sz w:val="132"/>
          <w:szCs w:val="132"/>
        </w:rPr>
        <w:br w:type="page"/>
      </w:r>
    </w:p>
    <w:p w:rsidR="00B25D5D" w:rsidRPr="005323CF" w:rsidRDefault="003A4AC4" w:rsidP="00B25D5D">
      <w:pPr>
        <w:pStyle w:val="TOCHeading"/>
        <w:spacing w:after="240"/>
        <w:rPr>
          <w:color w:val="00B0F0"/>
          <w:sz w:val="144"/>
          <w:szCs w:val="144"/>
        </w:rPr>
      </w:pPr>
      <w:r>
        <w:rPr>
          <w:noProof/>
          <w:color w:val="00B0F0"/>
          <w:sz w:val="132"/>
          <w:szCs w:val="132"/>
          <w:lang w:val="en-GB" w:eastAsia="en-GB"/>
        </w:rPr>
        <w:lastRenderedPageBreak/>
        <mc:AlternateContent>
          <mc:Choice Requires="wps">
            <w:drawing>
              <wp:anchor distT="0" distB="0" distL="114300" distR="114300" simplePos="0" relativeHeight="251657728" behindDoc="0" locked="0" layoutInCell="1" allowOverlap="1">
                <wp:simplePos x="0" y="0"/>
                <wp:positionH relativeFrom="column">
                  <wp:posOffset>1371600</wp:posOffset>
                </wp:positionH>
                <wp:positionV relativeFrom="paragraph">
                  <wp:posOffset>1152525</wp:posOffset>
                </wp:positionV>
                <wp:extent cx="708660" cy="64135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64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116" w:rsidRPr="005323CF" w:rsidRDefault="00BC1116" w:rsidP="00B25D5D">
                            <w:pPr>
                              <w:rPr>
                                <w:rFonts w:asciiTheme="majorHAnsi" w:hAnsiTheme="majorHAnsi"/>
                                <w:i/>
                                <w:color w:val="00B0F0"/>
                                <w:sz w:val="72"/>
                                <w:szCs w:val="72"/>
                              </w:rPr>
                            </w:pPr>
                            <w:r w:rsidRPr="005323CF">
                              <w:rPr>
                                <w:rFonts w:asciiTheme="majorHAnsi" w:hAnsiTheme="majorHAnsi"/>
                                <w:i/>
                                <w:color w:val="00B0F0"/>
                                <w:sz w:val="72"/>
                                <w:szCs w:val="72"/>
                              </w:rPr>
                              <w:t>of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8pt;margin-top:90.75pt;width:55.8pt;height: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zBgQ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" stroked="f">
                <v:textbox>
                  <w:txbxContent>
                    <w:p w:rsidR="00BC1116" w:rsidRPr="005323CF" w:rsidRDefault="00BC1116" w:rsidP="00B25D5D">
                      <w:pPr>
                        <w:rPr>
                          <w:rFonts w:asciiTheme="majorHAnsi" w:hAnsiTheme="majorHAnsi"/>
                          <w:i/>
                          <w:color w:val="00B0F0"/>
                          <w:sz w:val="72"/>
                          <w:szCs w:val="72"/>
                        </w:rPr>
                      </w:pPr>
                      <w:r w:rsidRPr="005323CF">
                        <w:rPr>
                          <w:rFonts w:asciiTheme="majorHAnsi" w:hAnsiTheme="majorHAnsi"/>
                          <w:i/>
                          <w:color w:val="00B0F0"/>
                          <w:sz w:val="72"/>
                          <w:szCs w:val="72"/>
                        </w:rPr>
                        <w:t>of</w:t>
                      </w:r>
                    </w:p>
                  </w:txbxContent>
                </v:textbox>
              </v:shape>
            </w:pict>
          </mc:Fallback>
        </mc:AlternateContent>
      </w:r>
      <w:r>
        <w:rPr>
          <w:noProof/>
          <w:color w:val="00B0F0"/>
          <w:sz w:val="132"/>
          <w:szCs w:val="132"/>
          <w:lang w:val="en-GB" w:eastAsia="en-GB"/>
        </w:rPr>
        <mc:AlternateContent>
          <mc:Choice Requires="wps">
            <w:drawing>
              <wp:anchor distT="0" distB="0" distL="114300" distR="114300" simplePos="0" relativeHeight="251656704" behindDoc="1" locked="0" layoutInCell="1" allowOverlap="1">
                <wp:simplePos x="0" y="0"/>
                <wp:positionH relativeFrom="column">
                  <wp:posOffset>2006600</wp:posOffset>
                </wp:positionH>
                <wp:positionV relativeFrom="paragraph">
                  <wp:posOffset>388620</wp:posOffset>
                </wp:positionV>
                <wp:extent cx="4229100" cy="1892300"/>
                <wp:effectExtent l="0" t="0" r="317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89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116" w:rsidRPr="005323CF" w:rsidRDefault="00BC1116" w:rsidP="00B25D5D">
                            <w:pPr>
                              <w:pStyle w:val="TOCHeading"/>
                              <w:rPr>
                                <w:color w:val="00B0F0"/>
                                <w:sz w:val="96"/>
                                <w:szCs w:val="96"/>
                              </w:rPr>
                            </w:pPr>
                            <w:r w:rsidRPr="005323CF">
                              <w:rPr>
                                <w:color w:val="00B0F0"/>
                                <w:sz w:val="96"/>
                                <w:szCs w:val="96"/>
                              </w:rPr>
                              <w:t>Contents</w:t>
                            </w:r>
                          </w:p>
                          <w:p w:rsidR="00BC1116" w:rsidRDefault="00BC1116" w:rsidP="00B25D5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158pt;margin-top:30.6pt;width:333pt;height:14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" stroked="f">
                <v:textbox>
                  <w:txbxContent>
                    <w:p w:rsidR="00BC1116" w:rsidRPr="005323CF" w:rsidRDefault="00BC1116" w:rsidP="00B25D5D">
                      <w:pPr>
                        <w:pStyle w:val="TOCHeading"/>
                        <w:rPr>
                          <w:color w:val="00B0F0"/>
                          <w:sz w:val="96"/>
                          <w:szCs w:val="96"/>
                        </w:rPr>
                      </w:pPr>
                      <w:r w:rsidRPr="005323CF">
                        <w:rPr>
                          <w:color w:val="00B0F0"/>
                          <w:sz w:val="96"/>
                          <w:szCs w:val="96"/>
                        </w:rPr>
                        <w:t>Contents</w:t>
                      </w:r>
                    </w:p>
                    <w:p w:rsidR="00BC1116" w:rsidRDefault="00BC1116" w:rsidP="00B25D5D"/>
                  </w:txbxContent>
                </v:textbox>
              </v:shape>
            </w:pict>
          </mc:Fallback>
        </mc:AlternateContent>
      </w:r>
      <w:r w:rsidR="00B25D5D" w:rsidRPr="005323CF">
        <w:rPr>
          <w:color w:val="00B0F0"/>
          <w:sz w:val="132"/>
          <w:szCs w:val="132"/>
        </w:rPr>
        <w:t>Table</w:t>
      </w:r>
      <w:r w:rsidR="00B25D5D" w:rsidRPr="005323CF">
        <w:rPr>
          <w:color w:val="00B0F0"/>
          <w:sz w:val="144"/>
          <w:szCs w:val="144"/>
        </w:rPr>
        <w:t xml:space="preserve"> </w:t>
      </w:r>
    </w:p>
    <w:p w:rsidR="00B25D5D" w:rsidRPr="00B25D5D" w:rsidRDefault="00B25D5D" w:rsidP="00B25D5D">
      <w:pPr>
        <w:rPr>
          <w:lang w:val="en-US"/>
        </w:rPr>
      </w:pPr>
    </w:p>
    <w:p w:rsidR="00FF56C1" w:rsidRDefault="00FF56C1" w:rsidP="006F17C8">
      <w:pPr>
        <w:tabs>
          <w:tab w:val="left" w:pos="720"/>
          <w:tab w:val="left" w:leader="dot" w:pos="7200"/>
        </w:tabs>
        <w:rPr>
          <w:b/>
          <w:sz w:val="23"/>
          <w:szCs w:val="23"/>
        </w:rPr>
      </w:pPr>
    </w:p>
    <w:p w:rsidR="006F17C8" w:rsidRPr="003252C6" w:rsidRDefault="004E76D5" w:rsidP="003252C6">
      <w:pPr>
        <w:tabs>
          <w:tab w:val="left" w:pos="720"/>
          <w:tab w:val="left" w:leader="dot" w:pos="7200"/>
        </w:tabs>
        <w:spacing w:line="480" w:lineRule="auto"/>
        <w:rPr>
          <w:rFonts w:cs="Arial"/>
          <w:sz w:val="36"/>
          <w:szCs w:val="36"/>
        </w:rPr>
      </w:pPr>
      <w:r w:rsidRPr="003252C6">
        <w:rPr>
          <w:rFonts w:cs="Arial"/>
          <w:sz w:val="36"/>
          <w:szCs w:val="36"/>
        </w:rPr>
        <w:t>Foreword</w:t>
      </w:r>
      <w:r w:rsidR="006F17C8" w:rsidRPr="003252C6">
        <w:rPr>
          <w:rFonts w:cs="Arial"/>
          <w:sz w:val="36"/>
          <w:szCs w:val="36"/>
        </w:rPr>
        <w:tab/>
      </w:r>
      <w:r w:rsidR="00947147" w:rsidRPr="003252C6">
        <w:rPr>
          <w:rFonts w:cs="Arial"/>
          <w:sz w:val="36"/>
          <w:szCs w:val="36"/>
        </w:rPr>
        <w:t xml:space="preserve"> </w:t>
      </w:r>
      <w:r w:rsidR="00136C7A" w:rsidRPr="003252C6">
        <w:rPr>
          <w:rFonts w:cs="Arial"/>
          <w:sz w:val="36"/>
          <w:szCs w:val="36"/>
        </w:rPr>
        <w:t xml:space="preserve"> </w:t>
      </w:r>
      <w:r w:rsidR="00947147" w:rsidRPr="003252C6">
        <w:rPr>
          <w:rFonts w:cs="Arial"/>
          <w:sz w:val="36"/>
          <w:szCs w:val="36"/>
        </w:rPr>
        <w:t>1</w:t>
      </w:r>
    </w:p>
    <w:p w:rsidR="00947147" w:rsidRPr="003252C6" w:rsidRDefault="00FF56C1" w:rsidP="00947147">
      <w:pPr>
        <w:tabs>
          <w:tab w:val="left" w:pos="720"/>
          <w:tab w:val="left" w:leader="dot" w:pos="7200"/>
        </w:tabs>
        <w:spacing w:line="480" w:lineRule="auto"/>
        <w:rPr>
          <w:rFonts w:cs="Arial"/>
          <w:sz w:val="36"/>
          <w:szCs w:val="36"/>
        </w:rPr>
      </w:pPr>
      <w:r w:rsidRPr="003252C6">
        <w:rPr>
          <w:rFonts w:cs="Arial"/>
          <w:sz w:val="36"/>
          <w:szCs w:val="36"/>
        </w:rPr>
        <w:t>Who are we</w:t>
      </w:r>
      <w:r w:rsidR="005142C6" w:rsidRPr="003252C6">
        <w:rPr>
          <w:rFonts w:cs="Arial"/>
          <w:sz w:val="36"/>
          <w:szCs w:val="36"/>
        </w:rPr>
        <w:t>?</w:t>
      </w:r>
      <w:r w:rsidRPr="003252C6">
        <w:rPr>
          <w:rFonts w:cs="Arial"/>
          <w:sz w:val="36"/>
          <w:szCs w:val="36"/>
        </w:rPr>
        <w:tab/>
      </w:r>
      <w:r w:rsidR="00947147" w:rsidRPr="003252C6">
        <w:rPr>
          <w:rFonts w:cs="Arial"/>
          <w:sz w:val="36"/>
          <w:szCs w:val="36"/>
        </w:rPr>
        <w:t xml:space="preserve">  2</w:t>
      </w:r>
    </w:p>
    <w:p w:rsidR="005A69EA" w:rsidRPr="003252C6" w:rsidRDefault="005A69EA" w:rsidP="00947147">
      <w:pPr>
        <w:tabs>
          <w:tab w:val="left" w:pos="720"/>
          <w:tab w:val="left" w:leader="dot" w:pos="7200"/>
        </w:tabs>
        <w:spacing w:line="480" w:lineRule="auto"/>
        <w:rPr>
          <w:rFonts w:cs="Arial"/>
          <w:sz w:val="36"/>
          <w:szCs w:val="36"/>
        </w:rPr>
      </w:pPr>
      <w:r w:rsidRPr="003252C6">
        <w:rPr>
          <w:rFonts w:cs="Arial"/>
          <w:sz w:val="36"/>
          <w:szCs w:val="36"/>
        </w:rPr>
        <w:t>Employment cycle</w:t>
      </w:r>
      <w:r w:rsidRPr="003252C6">
        <w:rPr>
          <w:rFonts w:cs="Arial"/>
          <w:sz w:val="36"/>
          <w:szCs w:val="36"/>
        </w:rPr>
        <w:tab/>
      </w:r>
      <w:r w:rsidR="00947147" w:rsidRPr="003252C6">
        <w:rPr>
          <w:rFonts w:cs="Arial"/>
          <w:sz w:val="36"/>
          <w:szCs w:val="36"/>
        </w:rPr>
        <w:t xml:space="preserve">  3</w:t>
      </w:r>
    </w:p>
    <w:p w:rsidR="003252C6" w:rsidRPr="003252C6" w:rsidRDefault="003252C6" w:rsidP="00947147">
      <w:pPr>
        <w:tabs>
          <w:tab w:val="left" w:pos="720"/>
          <w:tab w:val="left" w:leader="dot" w:pos="7200"/>
        </w:tabs>
        <w:spacing w:line="480" w:lineRule="auto"/>
        <w:rPr>
          <w:rFonts w:cs="Arial"/>
          <w:sz w:val="36"/>
          <w:szCs w:val="36"/>
        </w:rPr>
      </w:pPr>
      <w:r w:rsidRPr="003252C6">
        <w:rPr>
          <w:rFonts w:cs="Arial"/>
          <w:sz w:val="36"/>
          <w:szCs w:val="36"/>
        </w:rPr>
        <w:t>Article 27 of the CRPD......</w:t>
      </w:r>
      <w:r>
        <w:rPr>
          <w:rFonts w:cs="Arial"/>
          <w:sz w:val="36"/>
          <w:szCs w:val="36"/>
        </w:rPr>
        <w:t xml:space="preserve">.............................   </w:t>
      </w:r>
      <w:r w:rsidRPr="003252C6">
        <w:rPr>
          <w:rFonts w:cs="Arial"/>
          <w:sz w:val="36"/>
          <w:szCs w:val="36"/>
        </w:rPr>
        <w:t>4</w:t>
      </w:r>
    </w:p>
    <w:p w:rsidR="005A69EA" w:rsidRPr="003252C6" w:rsidRDefault="00554171" w:rsidP="00947147">
      <w:pPr>
        <w:tabs>
          <w:tab w:val="left" w:pos="720"/>
          <w:tab w:val="left" w:leader="dot" w:pos="7200"/>
        </w:tabs>
        <w:spacing w:line="480" w:lineRule="auto"/>
        <w:rPr>
          <w:rFonts w:cs="Arial"/>
          <w:sz w:val="36"/>
          <w:szCs w:val="36"/>
        </w:rPr>
      </w:pPr>
      <w:r w:rsidRPr="003252C6">
        <w:rPr>
          <w:rFonts w:cs="Arial"/>
          <w:sz w:val="36"/>
          <w:szCs w:val="36"/>
        </w:rPr>
        <w:t>Disabled people</w:t>
      </w:r>
      <w:r w:rsidR="00A377A0" w:rsidRPr="003252C6">
        <w:rPr>
          <w:rFonts w:cs="Arial"/>
          <w:sz w:val="36"/>
          <w:szCs w:val="36"/>
        </w:rPr>
        <w:tab/>
      </w:r>
      <w:r w:rsidR="00947147" w:rsidRPr="003252C6">
        <w:rPr>
          <w:rFonts w:cs="Arial"/>
          <w:sz w:val="36"/>
          <w:szCs w:val="36"/>
        </w:rPr>
        <w:t xml:space="preserve">  5</w:t>
      </w:r>
    </w:p>
    <w:p w:rsidR="003252C6" w:rsidRPr="002127F2" w:rsidRDefault="003252C6" w:rsidP="00947147">
      <w:pPr>
        <w:tabs>
          <w:tab w:val="left" w:pos="720"/>
          <w:tab w:val="left" w:leader="dot" w:pos="7200"/>
        </w:tabs>
        <w:spacing w:line="480" w:lineRule="auto"/>
        <w:rPr>
          <w:rFonts w:cs="Arial"/>
          <w:sz w:val="36"/>
          <w:szCs w:val="36"/>
        </w:rPr>
      </w:pPr>
      <w:r w:rsidRPr="002127F2">
        <w:rPr>
          <w:rFonts w:cs="Arial"/>
          <w:sz w:val="36"/>
          <w:szCs w:val="36"/>
        </w:rPr>
        <w:t xml:space="preserve">Future action.................................................. </w:t>
      </w:r>
      <w:r w:rsidR="002127F2" w:rsidRPr="002127F2">
        <w:rPr>
          <w:rFonts w:cs="Arial"/>
          <w:sz w:val="36"/>
          <w:szCs w:val="36"/>
        </w:rPr>
        <w:t>17</w:t>
      </w:r>
      <w:r w:rsidRPr="002127F2">
        <w:rPr>
          <w:rFonts w:cs="Arial"/>
          <w:sz w:val="36"/>
          <w:szCs w:val="36"/>
        </w:rPr>
        <w:t xml:space="preserve"> </w:t>
      </w:r>
    </w:p>
    <w:p w:rsidR="00A377A0" w:rsidRPr="002127F2" w:rsidRDefault="00A377A0" w:rsidP="00947147">
      <w:pPr>
        <w:tabs>
          <w:tab w:val="left" w:pos="720"/>
          <w:tab w:val="left" w:leader="dot" w:pos="7200"/>
        </w:tabs>
        <w:spacing w:line="480" w:lineRule="auto"/>
        <w:rPr>
          <w:rFonts w:cs="Arial"/>
          <w:sz w:val="36"/>
          <w:szCs w:val="36"/>
        </w:rPr>
      </w:pPr>
      <w:r w:rsidRPr="002127F2">
        <w:rPr>
          <w:rFonts w:cs="Arial"/>
          <w:sz w:val="36"/>
          <w:szCs w:val="36"/>
        </w:rPr>
        <w:t>Where are we now?</w:t>
      </w:r>
      <w:r w:rsidRPr="002127F2">
        <w:rPr>
          <w:rFonts w:cs="Arial"/>
          <w:sz w:val="36"/>
          <w:szCs w:val="36"/>
        </w:rPr>
        <w:tab/>
      </w:r>
      <w:r w:rsidR="00947147" w:rsidRPr="002127F2">
        <w:rPr>
          <w:rFonts w:cs="Arial"/>
          <w:sz w:val="36"/>
          <w:szCs w:val="36"/>
        </w:rPr>
        <w:t>18</w:t>
      </w:r>
    </w:p>
    <w:p w:rsidR="003252C6" w:rsidRPr="002127F2" w:rsidRDefault="003252C6" w:rsidP="00947147">
      <w:pPr>
        <w:tabs>
          <w:tab w:val="left" w:pos="720"/>
          <w:tab w:val="left" w:leader="dot" w:pos="7200"/>
        </w:tabs>
        <w:spacing w:line="480" w:lineRule="auto"/>
        <w:rPr>
          <w:rFonts w:cs="Arial"/>
          <w:sz w:val="36"/>
          <w:szCs w:val="36"/>
        </w:rPr>
      </w:pPr>
      <w:r w:rsidRPr="002127F2">
        <w:rPr>
          <w:rFonts w:cs="Arial"/>
          <w:sz w:val="36"/>
          <w:szCs w:val="36"/>
        </w:rPr>
        <w:t>Monitoring New Zealand’s p</w:t>
      </w:r>
      <w:r w:rsidR="002127F2" w:rsidRPr="002127F2">
        <w:rPr>
          <w:rFonts w:cs="Arial"/>
          <w:sz w:val="36"/>
          <w:szCs w:val="36"/>
        </w:rPr>
        <w:t>rogress.............. 35</w:t>
      </w:r>
    </w:p>
    <w:p w:rsidR="00A377A0" w:rsidRPr="00C82F13" w:rsidRDefault="00A377A0" w:rsidP="00947147">
      <w:pPr>
        <w:tabs>
          <w:tab w:val="left" w:pos="720"/>
          <w:tab w:val="left" w:leader="dot" w:pos="7200"/>
        </w:tabs>
        <w:spacing w:line="480" w:lineRule="auto"/>
        <w:rPr>
          <w:rFonts w:cs="Arial"/>
          <w:sz w:val="36"/>
          <w:szCs w:val="36"/>
        </w:rPr>
      </w:pPr>
      <w:r w:rsidRPr="002127F2">
        <w:rPr>
          <w:rFonts w:cs="Arial"/>
          <w:sz w:val="36"/>
          <w:szCs w:val="36"/>
        </w:rPr>
        <w:t>Equality at work indicators</w:t>
      </w:r>
      <w:r w:rsidRPr="002127F2">
        <w:rPr>
          <w:rFonts w:cs="Arial"/>
          <w:sz w:val="36"/>
          <w:szCs w:val="36"/>
        </w:rPr>
        <w:tab/>
      </w:r>
      <w:r w:rsidR="002127F2" w:rsidRPr="002127F2">
        <w:rPr>
          <w:rFonts w:cs="Arial"/>
          <w:sz w:val="36"/>
          <w:szCs w:val="36"/>
        </w:rPr>
        <w:t>36</w:t>
      </w:r>
    </w:p>
    <w:p w:rsidR="00FF56C1" w:rsidRPr="00C82F13" w:rsidRDefault="00A377A0" w:rsidP="00947147">
      <w:pPr>
        <w:tabs>
          <w:tab w:val="left" w:pos="720"/>
          <w:tab w:val="left" w:leader="dot" w:pos="7200"/>
        </w:tabs>
        <w:spacing w:line="480" w:lineRule="auto"/>
        <w:rPr>
          <w:rFonts w:cs="Arial"/>
          <w:sz w:val="36"/>
          <w:szCs w:val="36"/>
        </w:rPr>
      </w:pPr>
      <w:r w:rsidRPr="00C82F13">
        <w:rPr>
          <w:rFonts w:cs="Arial"/>
          <w:sz w:val="36"/>
          <w:szCs w:val="36"/>
        </w:rPr>
        <w:t>What next</w:t>
      </w:r>
      <w:r w:rsidR="00E907AB" w:rsidRPr="00C82F13">
        <w:rPr>
          <w:rFonts w:cs="Arial"/>
          <w:sz w:val="36"/>
          <w:szCs w:val="36"/>
        </w:rPr>
        <w:t>?</w:t>
      </w:r>
      <w:r w:rsidRPr="00C82F13">
        <w:rPr>
          <w:rFonts w:cs="Arial"/>
          <w:sz w:val="36"/>
          <w:szCs w:val="36"/>
        </w:rPr>
        <w:tab/>
      </w:r>
      <w:r w:rsidR="002127F2">
        <w:rPr>
          <w:rFonts w:cs="Arial"/>
          <w:sz w:val="36"/>
          <w:szCs w:val="36"/>
        </w:rPr>
        <w:t>41</w:t>
      </w:r>
    </w:p>
    <w:p w:rsidR="006F17C8" w:rsidRDefault="006F17C8" w:rsidP="00947147">
      <w:pPr>
        <w:rPr>
          <w:rFonts w:cs="Arial"/>
          <w:b/>
          <w:sz w:val="20"/>
          <w:szCs w:val="20"/>
        </w:rPr>
      </w:pPr>
    </w:p>
    <w:p w:rsidR="004E76D5" w:rsidRDefault="004E76D5" w:rsidP="00294200">
      <w:pPr>
        <w:rPr>
          <w:rFonts w:cs="Arial"/>
          <w:sz w:val="20"/>
          <w:szCs w:val="20"/>
        </w:rPr>
      </w:pPr>
    </w:p>
    <w:p w:rsidR="00122A7A" w:rsidRDefault="00E907AB" w:rsidP="0085039D">
      <w:pPr>
        <w:rPr>
          <w:rFonts w:cs="Arial"/>
          <w:b/>
          <w:sz w:val="22"/>
          <w:szCs w:val="22"/>
        </w:rPr>
      </w:pPr>
      <w:r>
        <w:rPr>
          <w:rFonts w:cs="Arial"/>
          <w:b/>
          <w:sz w:val="22"/>
          <w:szCs w:val="22"/>
        </w:rPr>
        <w:t>Published in July</w:t>
      </w:r>
      <w:r w:rsidR="009F1C6F" w:rsidRPr="00122A7A">
        <w:rPr>
          <w:rFonts w:cs="Arial"/>
          <w:b/>
          <w:sz w:val="22"/>
          <w:szCs w:val="22"/>
        </w:rPr>
        <w:t xml:space="preserve"> 2011 by the New Zealand Human Rights Commission</w:t>
      </w:r>
    </w:p>
    <w:p w:rsidR="0085039D" w:rsidRPr="00122A7A" w:rsidRDefault="003A4AC4" w:rsidP="0085039D">
      <w:pPr>
        <w:rPr>
          <w:rFonts w:cs="Arial"/>
          <w:sz w:val="22"/>
          <w:szCs w:val="22"/>
        </w:rPr>
      </w:pPr>
      <w:hyperlink r:id="rId11" w:history="1">
        <w:r w:rsidR="0085039D" w:rsidRPr="00122A7A">
          <w:rPr>
            <w:rStyle w:val="Hyperlink"/>
            <w:rFonts w:cs="Arial"/>
            <w:color w:val="auto"/>
            <w:sz w:val="22"/>
            <w:szCs w:val="22"/>
          </w:rPr>
          <w:t>www.hrc.co.nz</w:t>
        </w:r>
      </w:hyperlink>
    </w:p>
    <w:p w:rsidR="009F1C6F" w:rsidRPr="00122A7A" w:rsidRDefault="009F1C6F" w:rsidP="006F17C8">
      <w:pPr>
        <w:rPr>
          <w:rFonts w:cs="Arial"/>
          <w:sz w:val="22"/>
          <w:szCs w:val="22"/>
        </w:rPr>
      </w:pPr>
      <w:r w:rsidRPr="00122A7A">
        <w:rPr>
          <w:rFonts w:cs="Arial"/>
          <w:sz w:val="22"/>
          <w:szCs w:val="22"/>
        </w:rPr>
        <w:t>Wellington, New Zealand</w:t>
      </w:r>
      <w:r w:rsidR="0085039D" w:rsidRPr="00122A7A">
        <w:rPr>
          <w:rFonts w:cs="Arial"/>
          <w:sz w:val="22"/>
          <w:szCs w:val="22"/>
        </w:rPr>
        <w:t xml:space="preserve">.   </w:t>
      </w:r>
    </w:p>
    <w:p w:rsidR="00FF56C1" w:rsidRPr="00122A7A" w:rsidRDefault="00FF56C1" w:rsidP="006F17C8">
      <w:pPr>
        <w:rPr>
          <w:rFonts w:cs="Arial"/>
          <w:b/>
          <w:sz w:val="22"/>
          <w:szCs w:val="22"/>
        </w:rPr>
      </w:pPr>
    </w:p>
    <w:p w:rsidR="009F1C6F" w:rsidRPr="00122A7A" w:rsidRDefault="009F1C6F" w:rsidP="006F17C8">
      <w:pPr>
        <w:rPr>
          <w:rFonts w:cs="Arial"/>
          <w:sz w:val="22"/>
          <w:szCs w:val="22"/>
        </w:rPr>
      </w:pPr>
      <w:r w:rsidRPr="00122A7A">
        <w:rPr>
          <w:rFonts w:cs="Arial"/>
          <w:b/>
          <w:sz w:val="22"/>
          <w:szCs w:val="22"/>
        </w:rPr>
        <w:t>The Tracking Equality at Work website</w:t>
      </w:r>
      <w:r w:rsidRPr="00122A7A">
        <w:rPr>
          <w:rFonts w:cs="Arial"/>
          <w:sz w:val="22"/>
          <w:szCs w:val="22"/>
        </w:rPr>
        <w:t>:  www.neon.org.nz/</w:t>
      </w:r>
      <w:r w:rsidR="00163C51">
        <w:rPr>
          <w:rFonts w:cs="Arial"/>
          <w:sz w:val="22"/>
          <w:szCs w:val="22"/>
        </w:rPr>
        <w:t>tracking</w:t>
      </w:r>
      <w:r w:rsidRPr="00122A7A">
        <w:rPr>
          <w:rFonts w:cs="Arial"/>
          <w:sz w:val="22"/>
          <w:szCs w:val="22"/>
        </w:rPr>
        <w:t xml:space="preserve">equalityatwork/ </w:t>
      </w:r>
    </w:p>
    <w:p w:rsidR="00FF56C1" w:rsidRPr="00122A7A" w:rsidRDefault="00FF56C1" w:rsidP="006F17C8">
      <w:pPr>
        <w:rPr>
          <w:rFonts w:cs="Arial"/>
          <w:sz w:val="22"/>
          <w:szCs w:val="22"/>
        </w:rPr>
      </w:pPr>
    </w:p>
    <w:p w:rsidR="00947147" w:rsidRPr="00947147" w:rsidRDefault="00947147" w:rsidP="00947147">
      <w:pPr>
        <w:rPr>
          <w:color w:val="1F497D"/>
          <w:sz w:val="22"/>
          <w:szCs w:val="22"/>
        </w:rPr>
      </w:pPr>
      <w:r w:rsidRPr="00947147">
        <w:rPr>
          <w:color w:val="1F497D"/>
          <w:sz w:val="22"/>
          <w:szCs w:val="22"/>
        </w:rPr>
        <w:t>978-0-478-35602-1 (Print)</w:t>
      </w:r>
    </w:p>
    <w:p w:rsidR="00947147" w:rsidRPr="00947147" w:rsidRDefault="00947147" w:rsidP="00947147">
      <w:pPr>
        <w:rPr>
          <w:color w:val="1F497D"/>
          <w:sz w:val="22"/>
          <w:szCs w:val="22"/>
        </w:rPr>
      </w:pPr>
      <w:r w:rsidRPr="00947147">
        <w:rPr>
          <w:color w:val="1F497D"/>
          <w:sz w:val="22"/>
          <w:szCs w:val="22"/>
        </w:rPr>
        <w:t>978-0-478-35604-5 (PDF)</w:t>
      </w:r>
    </w:p>
    <w:p w:rsidR="009B324F" w:rsidRDefault="009B324F" w:rsidP="004E76D5">
      <w:pPr>
        <w:rPr>
          <w:lang w:val="en-US"/>
        </w:rPr>
        <w:sectPr w:rsidR="009B324F" w:rsidSect="00040D3F">
          <w:footerReference w:type="default" r:id="rId12"/>
          <w:type w:val="continuous"/>
          <w:pgSz w:w="11906" w:h="16838"/>
          <w:pgMar w:top="1440" w:right="1440" w:bottom="1440" w:left="1440" w:header="706" w:footer="706" w:gutter="0"/>
          <w:pgNumType w:start="40"/>
          <w:cols w:space="708"/>
          <w:titlePg/>
          <w:docGrid w:linePitch="360"/>
        </w:sectPr>
      </w:pPr>
    </w:p>
    <w:p w:rsidR="009B324F" w:rsidRDefault="009B324F" w:rsidP="004E76D5">
      <w:pPr>
        <w:rPr>
          <w:lang w:val="en-US"/>
        </w:rPr>
        <w:sectPr w:rsidR="009B324F" w:rsidSect="00566FA3">
          <w:type w:val="continuous"/>
          <w:pgSz w:w="11906" w:h="16838"/>
          <w:pgMar w:top="1440" w:right="1440" w:bottom="1440" w:left="1440" w:header="706" w:footer="706" w:gutter="0"/>
          <w:pgNumType w:start="1"/>
          <w:cols w:space="708"/>
          <w:titlePg/>
          <w:docGrid w:linePitch="360"/>
        </w:sectPr>
      </w:pPr>
    </w:p>
    <w:p w:rsidR="00554171" w:rsidRDefault="004E76D5" w:rsidP="00554171">
      <w:pPr>
        <w:rPr>
          <w:rFonts w:asciiTheme="majorHAnsi" w:hAnsiTheme="majorHAnsi"/>
          <w:b/>
          <w:color w:val="00B0F0"/>
          <w:sz w:val="72"/>
          <w:szCs w:val="72"/>
        </w:rPr>
      </w:pPr>
      <w:r>
        <w:rPr>
          <w:rFonts w:asciiTheme="majorHAnsi" w:hAnsiTheme="majorHAnsi"/>
          <w:b/>
          <w:color w:val="00B0F0"/>
          <w:sz w:val="72"/>
          <w:szCs w:val="72"/>
        </w:rPr>
        <w:lastRenderedPageBreak/>
        <w:t>Foreword</w:t>
      </w:r>
    </w:p>
    <w:p w:rsidR="00CD7E8A" w:rsidRPr="00CD7E8A" w:rsidRDefault="00CD7E8A" w:rsidP="00C82F13">
      <w:pPr>
        <w:jc w:val="both"/>
        <w:rPr>
          <w:sz w:val="22"/>
        </w:rPr>
      </w:pPr>
      <w:r w:rsidRPr="00CD7E8A">
        <w:rPr>
          <w:sz w:val="22"/>
        </w:rPr>
        <w:t>Disabled people in New Zealand find that getting a decent job is one of their most significant challenges. New Zealand’s leadership role in the development of the United Nations Convention on the Rights of Persons with Disabilities means there is a renewed focus on the right to work of disabled people.</w:t>
      </w:r>
    </w:p>
    <w:p w:rsidR="00CD7E8A" w:rsidRPr="00CD7E8A" w:rsidRDefault="00CD7E8A" w:rsidP="00C82F13">
      <w:pPr>
        <w:jc w:val="both"/>
        <w:rPr>
          <w:sz w:val="22"/>
        </w:rPr>
      </w:pPr>
    </w:p>
    <w:p w:rsidR="00CD7E8A" w:rsidRPr="00CD7E8A" w:rsidRDefault="00CD7E8A" w:rsidP="00C82F13">
      <w:pPr>
        <w:jc w:val="both"/>
        <w:rPr>
          <w:sz w:val="22"/>
        </w:rPr>
      </w:pPr>
      <w:r w:rsidRPr="00CD7E8A">
        <w:rPr>
          <w:sz w:val="22"/>
        </w:rPr>
        <w:t>The urgent need to improve the participation of disabled people in the paid workforce and their accessibility to decent work is gaining traction. For example, the Disabled Persons Assembly (NZ) has led the way with the Employment Disability Forum in recognition of the need for progress given that at every level of qualification, disabled people are less likely than non-disabled people to be in the workforce. And the Employers Disability Network is promoting the employment of disabled people in the public and private sectors at a time of discussion and debate about the need for behavioural and attitudinal change in society and among employers.</w:t>
      </w:r>
    </w:p>
    <w:p w:rsidR="00CD7E8A" w:rsidRPr="00CD7E8A" w:rsidRDefault="00CD7E8A" w:rsidP="00C82F13">
      <w:pPr>
        <w:jc w:val="both"/>
        <w:rPr>
          <w:sz w:val="22"/>
        </w:rPr>
      </w:pPr>
    </w:p>
    <w:p w:rsidR="00CD7E8A" w:rsidRPr="00CD7E8A" w:rsidRDefault="00CD7E8A" w:rsidP="00C82F13">
      <w:pPr>
        <w:jc w:val="both"/>
        <w:rPr>
          <w:sz w:val="22"/>
        </w:rPr>
      </w:pPr>
      <w:r w:rsidRPr="00CD7E8A">
        <w:rPr>
          <w:sz w:val="22"/>
        </w:rPr>
        <w:t>There is a growing public consensus of the need to address the fundamental inequalities faced by disabled people in employment that recognises the New Zealand Disability Strategy and acknowledges the Treaty of Waitangi.  The time for talking is over. It is now time for action to address the barriers and discrimination faced by disabled people in accessing decent work and in retaining paid employment.</w:t>
      </w:r>
    </w:p>
    <w:p w:rsidR="00CD7E8A" w:rsidRPr="00CD7E8A" w:rsidRDefault="00CD7E8A" w:rsidP="00C82F13">
      <w:pPr>
        <w:jc w:val="both"/>
        <w:rPr>
          <w:sz w:val="22"/>
        </w:rPr>
      </w:pPr>
    </w:p>
    <w:p w:rsidR="00CD7E8A" w:rsidRPr="00CD7E8A" w:rsidRDefault="007E2F39" w:rsidP="00C82F13">
      <w:pPr>
        <w:jc w:val="both"/>
        <w:rPr>
          <w:sz w:val="22"/>
        </w:rPr>
      </w:pPr>
      <w:r>
        <w:rPr>
          <w:sz w:val="22"/>
        </w:rPr>
        <w:t xml:space="preserve">In </w:t>
      </w:r>
      <w:r w:rsidR="00CD7E8A" w:rsidRPr="00CD7E8A">
        <w:rPr>
          <w:i/>
          <w:sz w:val="22"/>
        </w:rPr>
        <w:t xml:space="preserve">Tracking Equality </w:t>
      </w:r>
      <w:r w:rsidR="003C1995">
        <w:rPr>
          <w:i/>
          <w:sz w:val="22"/>
        </w:rPr>
        <w:t xml:space="preserve">at Work </w:t>
      </w:r>
      <w:r w:rsidR="00CD7E8A" w:rsidRPr="00CD7E8A">
        <w:rPr>
          <w:i/>
          <w:sz w:val="22"/>
        </w:rPr>
        <w:t>for Disabled People,</w:t>
      </w:r>
      <w:r w:rsidR="00CD7E8A" w:rsidRPr="00CD7E8A">
        <w:rPr>
          <w:sz w:val="22"/>
        </w:rPr>
        <w:t xml:space="preserve"> </w:t>
      </w:r>
      <w:r>
        <w:rPr>
          <w:sz w:val="22"/>
        </w:rPr>
        <w:t xml:space="preserve">the Human Rights Commission identifies </w:t>
      </w:r>
      <w:r w:rsidR="00CD7E8A" w:rsidRPr="00CD7E8A">
        <w:rPr>
          <w:sz w:val="22"/>
        </w:rPr>
        <w:t>young people entering employment</w:t>
      </w:r>
      <w:r>
        <w:rPr>
          <w:sz w:val="22"/>
        </w:rPr>
        <w:t xml:space="preserve"> as a critical issue</w:t>
      </w:r>
      <w:r w:rsidR="00CD7E8A" w:rsidRPr="00CD7E8A">
        <w:rPr>
          <w:sz w:val="22"/>
        </w:rPr>
        <w:t xml:space="preserve">. </w:t>
      </w:r>
      <w:r>
        <w:rPr>
          <w:sz w:val="22"/>
        </w:rPr>
        <w:t xml:space="preserve"> The Commission </w:t>
      </w:r>
      <w:r w:rsidR="00CD7E8A" w:rsidRPr="00CD7E8A">
        <w:rPr>
          <w:sz w:val="22"/>
        </w:rPr>
        <w:t>urgently recommends a national youth-to-work strategy that includes a plan for every young New Zealander. The strategy must address the barriers faced by disabled youth, and be responsive to M</w:t>
      </w:r>
      <w:r w:rsidR="00CD7E8A" w:rsidRPr="00CD7E8A">
        <w:rPr>
          <w:rFonts w:cs="Arial"/>
          <w:sz w:val="22"/>
        </w:rPr>
        <w:t>ā</w:t>
      </w:r>
      <w:r w:rsidR="00CD7E8A" w:rsidRPr="00CD7E8A">
        <w:rPr>
          <w:sz w:val="22"/>
        </w:rPr>
        <w:t>ori and Pacific young people who have been a casualty of the global economic recession.</w:t>
      </w:r>
    </w:p>
    <w:p w:rsidR="00CD7E8A" w:rsidRPr="00CD7E8A" w:rsidRDefault="00CD7E8A" w:rsidP="00C82F13">
      <w:pPr>
        <w:jc w:val="both"/>
        <w:rPr>
          <w:sz w:val="22"/>
        </w:rPr>
      </w:pPr>
    </w:p>
    <w:p w:rsidR="00CD7E8A" w:rsidRPr="00CD7E8A" w:rsidRDefault="00CD7E8A" w:rsidP="00C82F13">
      <w:pPr>
        <w:jc w:val="both"/>
        <w:rPr>
          <w:sz w:val="22"/>
        </w:rPr>
      </w:pPr>
      <w:r w:rsidRPr="00CD7E8A">
        <w:rPr>
          <w:sz w:val="22"/>
        </w:rPr>
        <w:t>Too many young disabled graduates cannot benefit from their years of education and training and face significant under-employment, if they can find a job at all</w:t>
      </w:r>
      <w:r w:rsidR="003C1995">
        <w:rPr>
          <w:sz w:val="22"/>
        </w:rPr>
        <w:t>.  M</w:t>
      </w:r>
      <w:r w:rsidRPr="00CD7E8A">
        <w:rPr>
          <w:sz w:val="22"/>
        </w:rPr>
        <w:t xml:space="preserve">any do not have access to vocational services that improve their pathways to paid employment. </w:t>
      </w:r>
    </w:p>
    <w:p w:rsidR="00CD7E8A" w:rsidRPr="00CD7E8A" w:rsidRDefault="00CD7E8A" w:rsidP="00C82F13">
      <w:pPr>
        <w:jc w:val="both"/>
        <w:rPr>
          <w:sz w:val="22"/>
        </w:rPr>
      </w:pPr>
    </w:p>
    <w:p w:rsidR="00CD7E8A" w:rsidRPr="00CD7E8A" w:rsidRDefault="00CD7E8A" w:rsidP="00C82F13">
      <w:pPr>
        <w:jc w:val="both"/>
        <w:rPr>
          <w:sz w:val="22"/>
        </w:rPr>
      </w:pPr>
      <w:r w:rsidRPr="00CD7E8A">
        <w:rPr>
          <w:sz w:val="22"/>
        </w:rPr>
        <w:t>The Commission wants a joined-up approach to youth employment that connects young people, schools, families and whanau, communities, employers, local and national government and that operates at a regional level to take account of sector opportunities. For example, there has been a constant and continuing need for the wider availability of work experience both at after school and tertiary holiday periods for disabled people that could be addressed in a youth-to-work strategy. Transition to work has been identified as a critical issue.</w:t>
      </w:r>
    </w:p>
    <w:p w:rsidR="00CD7E8A" w:rsidRPr="00CD7E8A" w:rsidRDefault="00CD7E8A" w:rsidP="00C82F13">
      <w:pPr>
        <w:jc w:val="both"/>
        <w:rPr>
          <w:sz w:val="22"/>
        </w:rPr>
      </w:pPr>
    </w:p>
    <w:p w:rsidR="00CD7E8A" w:rsidRPr="00CD7E8A" w:rsidRDefault="00CD7E8A" w:rsidP="00C82F13">
      <w:pPr>
        <w:jc w:val="both"/>
        <w:rPr>
          <w:sz w:val="22"/>
        </w:rPr>
      </w:pPr>
      <w:r w:rsidRPr="00CD7E8A">
        <w:rPr>
          <w:sz w:val="22"/>
        </w:rPr>
        <w:t xml:space="preserve">In this new report the Commission is promoting equal employment opportunities for disabled people in accordance with Article 27 of the Convention on the Rights of Persons with Disabilities as it relates to work and employment. </w:t>
      </w:r>
    </w:p>
    <w:p w:rsidR="00554171" w:rsidRPr="00332CC0" w:rsidRDefault="00554171" w:rsidP="00C82F13">
      <w:pPr>
        <w:spacing w:before="240"/>
        <w:jc w:val="both"/>
        <w:rPr>
          <w:sz w:val="22"/>
          <w:szCs w:val="22"/>
        </w:rPr>
      </w:pPr>
      <w:r w:rsidRPr="00332CC0">
        <w:rPr>
          <w:noProof/>
          <w:sz w:val="22"/>
          <w:szCs w:val="22"/>
          <w:lang w:eastAsia="en-GB"/>
        </w:rPr>
        <w:drawing>
          <wp:inline distT="0" distB="0" distL="0" distR="0">
            <wp:extent cx="1609725" cy="541886"/>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635010" cy="550398"/>
                    </a:xfrm>
                    <a:prstGeom prst="rect">
                      <a:avLst/>
                    </a:prstGeom>
                    <a:noFill/>
                    <a:ln w="9525">
                      <a:noFill/>
                      <a:miter lim="800000"/>
                      <a:headEnd/>
                      <a:tailEnd/>
                    </a:ln>
                  </pic:spPr>
                </pic:pic>
              </a:graphicData>
            </a:graphic>
          </wp:inline>
        </w:drawing>
      </w:r>
    </w:p>
    <w:p w:rsidR="00947147" w:rsidRDefault="00947147" w:rsidP="00C82F13">
      <w:pPr>
        <w:jc w:val="both"/>
        <w:rPr>
          <w:sz w:val="22"/>
          <w:szCs w:val="22"/>
        </w:rPr>
      </w:pPr>
    </w:p>
    <w:p w:rsidR="00554171" w:rsidRPr="00332CC0" w:rsidRDefault="00554171" w:rsidP="00C82F13">
      <w:pPr>
        <w:jc w:val="both"/>
        <w:rPr>
          <w:sz w:val="22"/>
          <w:szCs w:val="22"/>
        </w:rPr>
      </w:pPr>
      <w:r w:rsidRPr="00332CC0">
        <w:rPr>
          <w:sz w:val="22"/>
          <w:szCs w:val="22"/>
        </w:rPr>
        <w:t>Dr Judy McGregor</w:t>
      </w:r>
    </w:p>
    <w:p w:rsidR="00566FA3" w:rsidRDefault="00554171" w:rsidP="00566FA3">
      <w:pPr>
        <w:jc w:val="both"/>
        <w:rPr>
          <w:sz w:val="22"/>
          <w:szCs w:val="22"/>
        </w:rPr>
      </w:pPr>
      <w:r w:rsidRPr="00332CC0">
        <w:rPr>
          <w:sz w:val="22"/>
          <w:szCs w:val="22"/>
        </w:rPr>
        <w:t>Equal Employment Opportunities Commissioner</w:t>
      </w:r>
    </w:p>
    <w:p w:rsidR="00554171" w:rsidRPr="00332CC0" w:rsidRDefault="00554171" w:rsidP="00566FA3">
      <w:pPr>
        <w:jc w:val="both"/>
        <w:rPr>
          <w:rFonts w:asciiTheme="majorHAnsi" w:hAnsiTheme="majorHAnsi"/>
          <w:b/>
          <w:color w:val="00B0F0"/>
          <w:sz w:val="72"/>
          <w:szCs w:val="72"/>
        </w:rPr>
      </w:pPr>
      <w:r w:rsidRPr="00332CC0">
        <w:rPr>
          <w:rFonts w:asciiTheme="majorHAnsi" w:hAnsiTheme="majorHAnsi"/>
          <w:b/>
          <w:color w:val="00B0F0"/>
          <w:sz w:val="72"/>
          <w:szCs w:val="72"/>
        </w:rPr>
        <w:lastRenderedPageBreak/>
        <w:t>Who are we?</w:t>
      </w:r>
    </w:p>
    <w:p w:rsidR="006D405D" w:rsidRPr="003252C6" w:rsidRDefault="00EA63CF" w:rsidP="003252C6">
      <w:pPr>
        <w:jc w:val="both"/>
        <w:rPr>
          <w:sz w:val="22"/>
        </w:rPr>
      </w:pPr>
      <w:r w:rsidRPr="003252C6">
        <w:rPr>
          <w:sz w:val="22"/>
        </w:rPr>
        <w:t xml:space="preserve">A </w:t>
      </w:r>
      <w:r w:rsidR="00D151A1" w:rsidRPr="003252C6">
        <w:rPr>
          <w:sz w:val="22"/>
        </w:rPr>
        <w:t xml:space="preserve">key </w:t>
      </w:r>
      <w:r w:rsidRPr="003252C6">
        <w:rPr>
          <w:sz w:val="22"/>
        </w:rPr>
        <w:t>feature</w:t>
      </w:r>
      <w:r w:rsidR="0090135C" w:rsidRPr="003252C6">
        <w:rPr>
          <w:sz w:val="22"/>
        </w:rPr>
        <w:t xml:space="preserve"> and </w:t>
      </w:r>
      <w:r w:rsidR="00596ADE" w:rsidRPr="003252C6">
        <w:rPr>
          <w:sz w:val="22"/>
        </w:rPr>
        <w:t>priority</w:t>
      </w:r>
      <w:r w:rsidRPr="003252C6">
        <w:rPr>
          <w:sz w:val="22"/>
        </w:rPr>
        <w:t xml:space="preserve"> of the Commission’s equal employment opportunities</w:t>
      </w:r>
      <w:r w:rsidR="0022685E" w:rsidRPr="003252C6">
        <w:rPr>
          <w:sz w:val="22"/>
        </w:rPr>
        <w:t xml:space="preserve"> (EEO) programme </w:t>
      </w:r>
      <w:r w:rsidR="00596ADE" w:rsidRPr="003252C6">
        <w:rPr>
          <w:sz w:val="22"/>
        </w:rPr>
        <w:t xml:space="preserve">relates </w:t>
      </w:r>
      <w:r w:rsidRPr="003252C6">
        <w:rPr>
          <w:sz w:val="22"/>
        </w:rPr>
        <w:t xml:space="preserve">to disabled people and </w:t>
      </w:r>
      <w:r w:rsidR="00596ADE" w:rsidRPr="003252C6">
        <w:rPr>
          <w:sz w:val="22"/>
        </w:rPr>
        <w:t xml:space="preserve">the barriers they face in accessing and retaining paid </w:t>
      </w:r>
      <w:r w:rsidRPr="003252C6">
        <w:rPr>
          <w:sz w:val="22"/>
        </w:rPr>
        <w:t xml:space="preserve">employment.  This was a focus of the </w:t>
      </w:r>
      <w:r w:rsidRPr="003252C6">
        <w:rPr>
          <w:i/>
          <w:sz w:val="22"/>
        </w:rPr>
        <w:t>National Conversation about Work</w:t>
      </w:r>
      <w:r w:rsidRPr="003252C6">
        <w:rPr>
          <w:sz w:val="22"/>
        </w:rPr>
        <w:t xml:space="preserve"> which </w:t>
      </w:r>
      <w:r w:rsidR="0022685E" w:rsidRPr="003252C6">
        <w:rPr>
          <w:sz w:val="22"/>
        </w:rPr>
        <w:t>explored the work-related vi</w:t>
      </w:r>
      <w:r w:rsidR="00596ADE" w:rsidRPr="003252C6">
        <w:rPr>
          <w:sz w:val="22"/>
        </w:rPr>
        <w:t>ews of over 3000 New Zealanders in 16 regions and across a variety of industry sectors.</w:t>
      </w:r>
    </w:p>
    <w:p w:rsidR="006D405D" w:rsidRPr="003252C6" w:rsidRDefault="006D405D" w:rsidP="003252C6">
      <w:pPr>
        <w:jc w:val="both"/>
        <w:rPr>
          <w:sz w:val="22"/>
        </w:rPr>
      </w:pPr>
    </w:p>
    <w:p w:rsidR="00554171" w:rsidRPr="00332CC0" w:rsidRDefault="00554171" w:rsidP="00554171">
      <w:pPr>
        <w:jc w:val="both"/>
        <w:rPr>
          <w:sz w:val="22"/>
          <w:szCs w:val="22"/>
        </w:rPr>
      </w:pPr>
      <w:r w:rsidRPr="003252C6">
        <w:rPr>
          <w:sz w:val="22"/>
        </w:rPr>
        <w:t>Promoting EEO is the</w:t>
      </w:r>
      <w:r w:rsidRPr="00332CC0">
        <w:rPr>
          <w:sz w:val="22"/>
        </w:rPr>
        <w:t xml:space="preserve"> core responsibility of the EEO Commissioner. Under section 17 of the Human Rights Act (HRA), the EEO Commissioner provides leadership and advice on EEO, develops guidelines, monitors and analyses progress in EEO and works with others promoting equal employment. The HRA makes explicit that EEO includes pay equity. A Cabinet minute dated June 2004 gives the EEO Commissioner the authority to provide guidance to Crown entities to help ensure state-sector consistency and good EEO practice including how to be a good employer. </w:t>
      </w:r>
      <w:r w:rsidRPr="00332CC0">
        <w:rPr>
          <w:sz w:val="22"/>
          <w:szCs w:val="22"/>
        </w:rPr>
        <w:t xml:space="preserve">Further information on equality at work and EEO is available on the National Equal Opportunities Network website </w:t>
      </w:r>
      <w:hyperlink r:id="rId14" w:history="1">
        <w:r w:rsidRPr="00332CC0">
          <w:rPr>
            <w:rStyle w:val="Hyperlink"/>
            <w:rFonts w:eastAsiaTheme="majorEastAsia"/>
            <w:color w:val="auto"/>
            <w:sz w:val="22"/>
            <w:szCs w:val="22"/>
          </w:rPr>
          <w:t>www.neon.org.nz</w:t>
        </w:r>
      </w:hyperlink>
      <w:r w:rsidRPr="00332CC0">
        <w:rPr>
          <w:sz w:val="22"/>
          <w:szCs w:val="22"/>
        </w:rPr>
        <w:t>.</w:t>
      </w:r>
    </w:p>
    <w:p w:rsidR="00554171" w:rsidRPr="00332CC0" w:rsidRDefault="00554171" w:rsidP="00554171">
      <w:pPr>
        <w:jc w:val="both"/>
        <w:rPr>
          <w:sz w:val="22"/>
          <w:szCs w:val="22"/>
        </w:rPr>
      </w:pPr>
    </w:p>
    <w:p w:rsidR="00554171" w:rsidRPr="00332CC0" w:rsidRDefault="00554171" w:rsidP="00554171">
      <w:pPr>
        <w:rPr>
          <w:rFonts w:cs="Arial"/>
          <w:sz w:val="22"/>
          <w:szCs w:val="22"/>
        </w:rPr>
      </w:pPr>
      <w:r w:rsidRPr="00332CC0">
        <w:rPr>
          <w:sz w:val="22"/>
          <w:szCs w:val="22"/>
        </w:rPr>
        <w:t xml:space="preserve">A more comprehensive Tracking Equality at Work report is available at </w:t>
      </w:r>
      <w:hyperlink r:id="rId15" w:history="1">
        <w:r w:rsidRPr="00332CC0">
          <w:rPr>
            <w:rStyle w:val="Hyperlink"/>
            <w:rFonts w:cs="Arial"/>
            <w:color w:val="auto"/>
            <w:sz w:val="22"/>
            <w:szCs w:val="22"/>
          </w:rPr>
          <w:t>www.neon.org.nz/trackingequalityatwork/</w:t>
        </w:r>
      </w:hyperlink>
    </w:p>
    <w:p w:rsidR="00554171" w:rsidRPr="00332CC0" w:rsidRDefault="00554171" w:rsidP="00554171">
      <w:pPr>
        <w:tabs>
          <w:tab w:val="left" w:pos="0"/>
          <w:tab w:val="left" w:leader="dot" w:pos="7200"/>
        </w:tabs>
        <w:rPr>
          <w:b/>
          <w:sz w:val="22"/>
          <w:szCs w:val="22"/>
        </w:rPr>
      </w:pPr>
    </w:p>
    <w:p w:rsidR="00554171" w:rsidRPr="00332CC0" w:rsidRDefault="00554171" w:rsidP="00554171">
      <w:pPr>
        <w:pStyle w:val="ListParagraph"/>
        <w:numPr>
          <w:ilvl w:val="0"/>
          <w:numId w:val="52"/>
        </w:numPr>
        <w:tabs>
          <w:tab w:val="left" w:pos="0"/>
          <w:tab w:val="left" w:leader="dot" w:pos="7200"/>
        </w:tabs>
        <w:rPr>
          <w:sz w:val="22"/>
          <w:szCs w:val="22"/>
        </w:rPr>
      </w:pPr>
      <w:r w:rsidRPr="00332CC0">
        <w:rPr>
          <w:sz w:val="22"/>
          <w:szCs w:val="22"/>
        </w:rPr>
        <w:t>Protection from unemployment</w:t>
      </w:r>
    </w:p>
    <w:p w:rsidR="00554171" w:rsidRPr="00332CC0" w:rsidRDefault="00554171" w:rsidP="00554171">
      <w:pPr>
        <w:pStyle w:val="ListParagraph"/>
        <w:numPr>
          <w:ilvl w:val="0"/>
          <w:numId w:val="52"/>
        </w:numPr>
        <w:tabs>
          <w:tab w:val="left" w:pos="720"/>
          <w:tab w:val="left" w:pos="1350"/>
          <w:tab w:val="left" w:leader="dot" w:pos="7200"/>
        </w:tabs>
        <w:rPr>
          <w:sz w:val="22"/>
          <w:szCs w:val="22"/>
        </w:rPr>
      </w:pPr>
      <w:r w:rsidRPr="00332CC0">
        <w:rPr>
          <w:sz w:val="22"/>
          <w:szCs w:val="22"/>
        </w:rPr>
        <w:t>Migrants</w:t>
      </w:r>
    </w:p>
    <w:p w:rsidR="00554171" w:rsidRPr="00332CC0" w:rsidRDefault="00554171" w:rsidP="00554171">
      <w:pPr>
        <w:pStyle w:val="ListParagraph"/>
        <w:numPr>
          <w:ilvl w:val="0"/>
          <w:numId w:val="53"/>
        </w:numPr>
        <w:tabs>
          <w:tab w:val="left" w:pos="360"/>
          <w:tab w:val="left" w:pos="720"/>
          <w:tab w:val="left" w:pos="1350"/>
          <w:tab w:val="left" w:leader="dot" w:pos="7200"/>
        </w:tabs>
        <w:rPr>
          <w:sz w:val="22"/>
          <w:szCs w:val="22"/>
        </w:rPr>
      </w:pPr>
      <w:r w:rsidRPr="00332CC0">
        <w:rPr>
          <w:sz w:val="22"/>
          <w:szCs w:val="22"/>
        </w:rPr>
        <w:t>Occupational segregation and non-traditional roles</w:t>
      </w:r>
    </w:p>
    <w:p w:rsidR="00554171" w:rsidRPr="00332CC0" w:rsidRDefault="00554171" w:rsidP="00554171">
      <w:pPr>
        <w:pStyle w:val="ListParagraph"/>
        <w:numPr>
          <w:ilvl w:val="0"/>
          <w:numId w:val="53"/>
        </w:numPr>
        <w:tabs>
          <w:tab w:val="left" w:pos="360"/>
          <w:tab w:val="left" w:pos="720"/>
          <w:tab w:val="left" w:leader="dot" w:pos="7200"/>
        </w:tabs>
        <w:rPr>
          <w:sz w:val="22"/>
          <w:szCs w:val="22"/>
        </w:rPr>
      </w:pPr>
      <w:r w:rsidRPr="00332CC0">
        <w:rPr>
          <w:sz w:val="22"/>
          <w:szCs w:val="22"/>
        </w:rPr>
        <w:t>Access to quality and affordable early childhood education</w:t>
      </w:r>
    </w:p>
    <w:p w:rsidR="00554171" w:rsidRPr="00332CC0" w:rsidRDefault="00554171" w:rsidP="00554171">
      <w:pPr>
        <w:pStyle w:val="ListParagraph"/>
        <w:numPr>
          <w:ilvl w:val="0"/>
          <w:numId w:val="53"/>
        </w:numPr>
        <w:tabs>
          <w:tab w:val="left" w:pos="360"/>
          <w:tab w:val="left" w:pos="720"/>
          <w:tab w:val="left" w:leader="dot" w:pos="7200"/>
        </w:tabs>
        <w:rPr>
          <w:sz w:val="22"/>
          <w:szCs w:val="22"/>
        </w:rPr>
      </w:pPr>
      <w:r w:rsidRPr="00332CC0">
        <w:rPr>
          <w:sz w:val="22"/>
          <w:szCs w:val="22"/>
        </w:rPr>
        <w:t xml:space="preserve">Paid parental leave </w:t>
      </w:r>
    </w:p>
    <w:p w:rsidR="00554171" w:rsidRPr="00332CC0" w:rsidRDefault="00554171" w:rsidP="00554171">
      <w:pPr>
        <w:pStyle w:val="ListParagraph"/>
        <w:numPr>
          <w:ilvl w:val="0"/>
          <w:numId w:val="53"/>
        </w:numPr>
        <w:tabs>
          <w:tab w:val="left" w:pos="360"/>
          <w:tab w:val="left" w:pos="720"/>
          <w:tab w:val="left" w:leader="dot" w:pos="7200"/>
        </w:tabs>
        <w:rPr>
          <w:sz w:val="22"/>
          <w:szCs w:val="22"/>
        </w:rPr>
      </w:pPr>
      <w:r w:rsidRPr="00332CC0">
        <w:rPr>
          <w:sz w:val="22"/>
          <w:szCs w:val="22"/>
        </w:rPr>
        <w:t>Low pay and the minimum wage</w:t>
      </w:r>
    </w:p>
    <w:p w:rsidR="00554171" w:rsidRPr="00332CC0" w:rsidRDefault="00554171" w:rsidP="00554171">
      <w:pPr>
        <w:pStyle w:val="ListParagraph"/>
        <w:numPr>
          <w:ilvl w:val="0"/>
          <w:numId w:val="53"/>
        </w:numPr>
        <w:tabs>
          <w:tab w:val="left" w:pos="360"/>
          <w:tab w:val="left" w:pos="720"/>
          <w:tab w:val="left" w:leader="dot" w:pos="7200"/>
        </w:tabs>
        <w:rPr>
          <w:sz w:val="22"/>
          <w:szCs w:val="22"/>
        </w:rPr>
      </w:pPr>
      <w:r w:rsidRPr="00332CC0">
        <w:rPr>
          <w:sz w:val="22"/>
          <w:szCs w:val="22"/>
        </w:rPr>
        <w:t xml:space="preserve">Sexual orientation </w:t>
      </w:r>
    </w:p>
    <w:p w:rsidR="00554171" w:rsidRPr="00332CC0" w:rsidRDefault="00554171" w:rsidP="00554171">
      <w:pPr>
        <w:pStyle w:val="ListParagraph"/>
        <w:numPr>
          <w:ilvl w:val="0"/>
          <w:numId w:val="53"/>
        </w:numPr>
        <w:tabs>
          <w:tab w:val="left" w:pos="720"/>
          <w:tab w:val="left" w:leader="dot" w:pos="7200"/>
        </w:tabs>
        <w:rPr>
          <w:sz w:val="22"/>
          <w:szCs w:val="22"/>
        </w:rPr>
      </w:pPr>
      <w:r w:rsidRPr="00332CC0">
        <w:rPr>
          <w:sz w:val="22"/>
          <w:szCs w:val="22"/>
        </w:rPr>
        <w:t xml:space="preserve">Older workers </w:t>
      </w:r>
    </w:p>
    <w:p w:rsidR="00554171" w:rsidRPr="00332CC0" w:rsidRDefault="00554171" w:rsidP="00554171">
      <w:pPr>
        <w:pStyle w:val="ListParagraph"/>
        <w:numPr>
          <w:ilvl w:val="0"/>
          <w:numId w:val="53"/>
        </w:numPr>
        <w:tabs>
          <w:tab w:val="left" w:pos="720"/>
          <w:tab w:val="left" w:leader="dot" w:pos="7200"/>
        </w:tabs>
        <w:rPr>
          <w:sz w:val="22"/>
          <w:szCs w:val="22"/>
        </w:rPr>
      </w:pPr>
      <w:r w:rsidRPr="00332CC0">
        <w:rPr>
          <w:sz w:val="22"/>
          <w:szCs w:val="22"/>
        </w:rPr>
        <w:t>Literature review</w:t>
      </w:r>
    </w:p>
    <w:p w:rsidR="00554171" w:rsidRPr="00332CC0" w:rsidRDefault="00554171" w:rsidP="00554171">
      <w:pPr>
        <w:pStyle w:val="ListParagraph"/>
        <w:numPr>
          <w:ilvl w:val="0"/>
          <w:numId w:val="53"/>
        </w:numPr>
        <w:tabs>
          <w:tab w:val="left" w:pos="720"/>
          <w:tab w:val="left" w:leader="dot" w:pos="7200"/>
        </w:tabs>
        <w:rPr>
          <w:sz w:val="22"/>
          <w:szCs w:val="22"/>
        </w:rPr>
      </w:pPr>
      <w:r w:rsidRPr="00332CC0">
        <w:rPr>
          <w:sz w:val="22"/>
          <w:szCs w:val="22"/>
        </w:rPr>
        <w:t>Right to work</w:t>
      </w:r>
    </w:p>
    <w:p w:rsidR="00554171" w:rsidRPr="00332CC0" w:rsidRDefault="00554171" w:rsidP="00554171">
      <w:pPr>
        <w:pStyle w:val="ListParagraph"/>
        <w:numPr>
          <w:ilvl w:val="0"/>
          <w:numId w:val="53"/>
        </w:numPr>
        <w:tabs>
          <w:tab w:val="left" w:pos="720"/>
          <w:tab w:val="left" w:leader="dot" w:pos="7200"/>
        </w:tabs>
        <w:rPr>
          <w:sz w:val="22"/>
          <w:szCs w:val="22"/>
        </w:rPr>
      </w:pPr>
      <w:r w:rsidRPr="00332CC0">
        <w:rPr>
          <w:sz w:val="22"/>
          <w:szCs w:val="22"/>
        </w:rPr>
        <w:t>Review of Framework of the Future</w:t>
      </w:r>
    </w:p>
    <w:p w:rsidR="00554171" w:rsidRPr="00332CC0" w:rsidRDefault="00554171" w:rsidP="00554171">
      <w:pPr>
        <w:pStyle w:val="ListParagraph"/>
        <w:numPr>
          <w:ilvl w:val="0"/>
          <w:numId w:val="53"/>
        </w:numPr>
        <w:tabs>
          <w:tab w:val="left" w:pos="720"/>
          <w:tab w:val="left" w:leader="dot" w:pos="7200"/>
        </w:tabs>
        <w:rPr>
          <w:sz w:val="22"/>
          <w:szCs w:val="22"/>
        </w:rPr>
      </w:pPr>
      <w:r w:rsidRPr="00332CC0">
        <w:rPr>
          <w:sz w:val="22"/>
          <w:szCs w:val="22"/>
        </w:rPr>
        <w:t>Employers’ and employees’ check list</w:t>
      </w:r>
      <w:r>
        <w:rPr>
          <w:sz w:val="22"/>
          <w:szCs w:val="22"/>
        </w:rPr>
        <w:t>s</w:t>
      </w:r>
    </w:p>
    <w:p w:rsidR="00554171" w:rsidRPr="00332CC0" w:rsidRDefault="00554171" w:rsidP="00554171">
      <w:pPr>
        <w:jc w:val="both"/>
        <w:rPr>
          <w:sz w:val="22"/>
          <w:szCs w:val="22"/>
        </w:rPr>
      </w:pPr>
    </w:p>
    <w:p w:rsidR="00554171" w:rsidRPr="00332CC0" w:rsidRDefault="00554171" w:rsidP="00554171">
      <w:pPr>
        <w:jc w:val="both"/>
        <w:rPr>
          <w:sz w:val="22"/>
          <w:szCs w:val="22"/>
        </w:rPr>
      </w:pPr>
    </w:p>
    <w:p w:rsidR="00554171" w:rsidRPr="00332CC0" w:rsidRDefault="00554171" w:rsidP="00554171">
      <w:pPr>
        <w:pBdr>
          <w:top w:val="single" w:sz="18" w:space="1" w:color="auto"/>
          <w:left w:val="single" w:sz="18" w:space="4" w:color="auto"/>
          <w:bottom w:val="single" w:sz="18" w:space="1" w:color="auto"/>
          <w:right w:val="single" w:sz="18" w:space="4" w:color="auto"/>
        </w:pBdr>
        <w:shd w:val="clear" w:color="auto" w:fill="5DEFF6" w:themeFill="accent3" w:themeFillTint="99"/>
        <w:jc w:val="both"/>
        <w:rPr>
          <w:sz w:val="22"/>
          <w:szCs w:val="22"/>
        </w:rPr>
      </w:pPr>
      <w:r w:rsidRPr="00332CC0">
        <w:rPr>
          <w:sz w:val="22"/>
          <w:szCs w:val="22"/>
        </w:rPr>
        <w:t xml:space="preserve">The Human Rights Commission welcomes comment on the issues raised in </w:t>
      </w:r>
      <w:r w:rsidRPr="00332CC0">
        <w:rPr>
          <w:i/>
          <w:sz w:val="22"/>
          <w:szCs w:val="22"/>
        </w:rPr>
        <w:t xml:space="preserve">Tracking Equality at Work. </w:t>
      </w:r>
      <w:r w:rsidRPr="00332CC0">
        <w:rPr>
          <w:sz w:val="22"/>
          <w:szCs w:val="22"/>
        </w:rPr>
        <w:t xml:space="preserve">Contact us: </w:t>
      </w:r>
    </w:p>
    <w:p w:rsidR="00554171" w:rsidRPr="00332CC0" w:rsidRDefault="00554171" w:rsidP="00554171">
      <w:pPr>
        <w:pBdr>
          <w:top w:val="single" w:sz="18" w:space="1" w:color="auto"/>
          <w:left w:val="single" w:sz="18" w:space="4" w:color="auto"/>
          <w:bottom w:val="single" w:sz="18" w:space="1" w:color="auto"/>
          <w:right w:val="single" w:sz="18" w:space="4" w:color="auto"/>
        </w:pBdr>
        <w:shd w:val="clear" w:color="auto" w:fill="5DEFF6" w:themeFill="accent3" w:themeFillTint="99"/>
        <w:jc w:val="both"/>
        <w:rPr>
          <w:sz w:val="22"/>
          <w:szCs w:val="22"/>
        </w:rPr>
      </w:pPr>
    </w:p>
    <w:p w:rsidR="00554171" w:rsidRPr="00332CC0" w:rsidRDefault="00554171" w:rsidP="00554171">
      <w:pPr>
        <w:pBdr>
          <w:top w:val="single" w:sz="18" w:space="1" w:color="auto"/>
          <w:left w:val="single" w:sz="18" w:space="4" w:color="auto"/>
          <w:bottom w:val="single" w:sz="18" w:space="1" w:color="auto"/>
          <w:right w:val="single" w:sz="18" w:space="4" w:color="auto"/>
        </w:pBdr>
        <w:shd w:val="clear" w:color="auto" w:fill="5DEFF6" w:themeFill="accent3" w:themeFillTint="99"/>
        <w:jc w:val="both"/>
        <w:rPr>
          <w:sz w:val="22"/>
          <w:szCs w:val="22"/>
        </w:rPr>
      </w:pPr>
      <w:r w:rsidRPr="00332CC0">
        <w:rPr>
          <w:sz w:val="22"/>
          <w:szCs w:val="22"/>
        </w:rPr>
        <w:t xml:space="preserve">Dr Judy McGregor, EEO Commissioner </w:t>
      </w:r>
      <w:hyperlink r:id="rId16" w:history="1">
        <w:r w:rsidRPr="00332CC0">
          <w:rPr>
            <w:rStyle w:val="Hyperlink"/>
            <w:rFonts w:eastAsiaTheme="majorEastAsia"/>
            <w:color w:val="auto"/>
            <w:sz w:val="22"/>
            <w:szCs w:val="22"/>
          </w:rPr>
          <w:t>judym@hrc.co.nz</w:t>
        </w:r>
      </w:hyperlink>
    </w:p>
    <w:p w:rsidR="00554171" w:rsidRPr="00332CC0" w:rsidRDefault="00554171" w:rsidP="00554171">
      <w:pPr>
        <w:pBdr>
          <w:top w:val="single" w:sz="18" w:space="1" w:color="auto"/>
          <w:left w:val="single" w:sz="18" w:space="4" w:color="auto"/>
          <w:bottom w:val="single" w:sz="18" w:space="1" w:color="auto"/>
          <w:right w:val="single" w:sz="18" w:space="4" w:color="auto"/>
        </w:pBdr>
        <w:shd w:val="clear" w:color="auto" w:fill="5DEFF6" w:themeFill="accent3" w:themeFillTint="99"/>
        <w:jc w:val="both"/>
        <w:rPr>
          <w:sz w:val="22"/>
          <w:szCs w:val="22"/>
        </w:rPr>
      </w:pPr>
      <w:r w:rsidRPr="00332CC0">
        <w:rPr>
          <w:sz w:val="22"/>
          <w:szCs w:val="22"/>
        </w:rPr>
        <w:t xml:space="preserve">Emilia Don Silva, Executive Assistant to the Commissioner </w:t>
      </w:r>
      <w:hyperlink r:id="rId17" w:history="1">
        <w:r w:rsidRPr="00332CC0">
          <w:rPr>
            <w:rStyle w:val="Hyperlink"/>
            <w:rFonts w:eastAsiaTheme="majorEastAsia"/>
            <w:color w:val="auto"/>
            <w:sz w:val="22"/>
            <w:szCs w:val="22"/>
          </w:rPr>
          <w:t>emilias@hrc.co.nz</w:t>
        </w:r>
      </w:hyperlink>
    </w:p>
    <w:p w:rsidR="00554171" w:rsidRPr="00332CC0" w:rsidRDefault="00554171" w:rsidP="00554171">
      <w:pPr>
        <w:pBdr>
          <w:top w:val="single" w:sz="18" w:space="1" w:color="auto"/>
          <w:left w:val="single" w:sz="18" w:space="4" w:color="auto"/>
          <w:bottom w:val="single" w:sz="18" w:space="1" w:color="auto"/>
          <w:right w:val="single" w:sz="18" w:space="4" w:color="auto"/>
        </w:pBdr>
        <w:shd w:val="clear" w:color="auto" w:fill="5DEFF6" w:themeFill="accent3" w:themeFillTint="99"/>
        <w:jc w:val="both"/>
        <w:rPr>
          <w:sz w:val="22"/>
          <w:szCs w:val="22"/>
        </w:rPr>
      </w:pPr>
      <w:r w:rsidRPr="00332CC0">
        <w:rPr>
          <w:sz w:val="22"/>
          <w:szCs w:val="22"/>
        </w:rPr>
        <w:t xml:space="preserve">Sue O’Shea, Principal Advisor EEO </w:t>
      </w:r>
      <w:hyperlink r:id="rId18" w:history="1">
        <w:r w:rsidRPr="00332CC0">
          <w:rPr>
            <w:rStyle w:val="Hyperlink"/>
            <w:rFonts w:eastAsiaTheme="majorEastAsia"/>
            <w:color w:val="auto"/>
            <w:sz w:val="22"/>
            <w:szCs w:val="22"/>
          </w:rPr>
          <w:t>sueo@hrc.co.nz</w:t>
        </w:r>
      </w:hyperlink>
      <w:r w:rsidRPr="00332CC0">
        <w:rPr>
          <w:sz w:val="22"/>
          <w:szCs w:val="22"/>
        </w:rPr>
        <w:t xml:space="preserve"> for issues related to women, pay equity, </w:t>
      </w:r>
      <w:r w:rsidR="004E76D5">
        <w:rPr>
          <w:sz w:val="22"/>
          <w:szCs w:val="22"/>
        </w:rPr>
        <w:t xml:space="preserve">disabled </w:t>
      </w:r>
      <w:r w:rsidRPr="00332CC0">
        <w:rPr>
          <w:sz w:val="22"/>
          <w:szCs w:val="22"/>
        </w:rPr>
        <w:t>people and older workers</w:t>
      </w:r>
    </w:p>
    <w:p w:rsidR="00554171" w:rsidRPr="00332CC0" w:rsidRDefault="00554171" w:rsidP="00554171">
      <w:pPr>
        <w:pBdr>
          <w:top w:val="single" w:sz="18" w:space="1" w:color="auto"/>
          <w:left w:val="single" w:sz="18" w:space="4" w:color="auto"/>
          <w:bottom w:val="single" w:sz="18" w:space="1" w:color="auto"/>
          <w:right w:val="single" w:sz="18" w:space="4" w:color="auto"/>
        </w:pBdr>
        <w:shd w:val="clear" w:color="auto" w:fill="5DEFF6" w:themeFill="accent3" w:themeFillTint="99"/>
        <w:jc w:val="both"/>
        <w:rPr>
          <w:sz w:val="22"/>
          <w:szCs w:val="22"/>
        </w:rPr>
      </w:pPr>
      <w:r w:rsidRPr="00332CC0">
        <w:rPr>
          <w:sz w:val="22"/>
          <w:szCs w:val="22"/>
        </w:rPr>
        <w:t xml:space="preserve">Moana Eruera, Senior Advisor EEO and Crown Entities </w:t>
      </w:r>
      <w:hyperlink r:id="rId19" w:history="1">
        <w:r w:rsidRPr="00332CC0">
          <w:rPr>
            <w:rStyle w:val="Hyperlink"/>
            <w:rFonts w:eastAsiaTheme="majorEastAsia"/>
            <w:color w:val="auto"/>
            <w:sz w:val="22"/>
            <w:szCs w:val="22"/>
          </w:rPr>
          <w:t>moanae@hrc.co.nz</w:t>
        </w:r>
      </w:hyperlink>
      <w:r w:rsidRPr="00332CC0">
        <w:rPr>
          <w:sz w:val="22"/>
          <w:szCs w:val="22"/>
        </w:rPr>
        <w:t xml:space="preserve"> for issues related to youth, Māori and Pacific people and “good employer advice”</w:t>
      </w:r>
      <w:r w:rsidR="00C82F13">
        <w:rPr>
          <w:sz w:val="22"/>
          <w:szCs w:val="22"/>
        </w:rPr>
        <w:t>.</w:t>
      </w:r>
    </w:p>
    <w:p w:rsidR="00554171" w:rsidRPr="00332CC0" w:rsidRDefault="00554171" w:rsidP="00554171">
      <w:pPr>
        <w:pBdr>
          <w:top w:val="single" w:sz="18" w:space="1" w:color="auto"/>
          <w:left w:val="single" w:sz="18" w:space="4" w:color="auto"/>
          <w:bottom w:val="single" w:sz="18" w:space="1" w:color="auto"/>
          <w:right w:val="single" w:sz="18" w:space="4" w:color="auto"/>
        </w:pBdr>
        <w:shd w:val="clear" w:color="auto" w:fill="5DEFF6" w:themeFill="accent3" w:themeFillTint="99"/>
        <w:jc w:val="both"/>
        <w:rPr>
          <w:sz w:val="22"/>
          <w:szCs w:val="22"/>
        </w:rPr>
      </w:pPr>
    </w:p>
    <w:p w:rsidR="003E69E7" w:rsidRDefault="003E69E7">
      <w:pPr>
        <w:spacing w:after="200" w:line="276" w:lineRule="auto"/>
        <w:rPr>
          <w:sz w:val="22"/>
          <w:szCs w:val="22"/>
        </w:rPr>
      </w:pPr>
      <w:r>
        <w:rPr>
          <w:sz w:val="22"/>
          <w:szCs w:val="22"/>
        </w:rPr>
        <w:br w:type="page"/>
      </w:r>
    </w:p>
    <w:p w:rsidR="003E69E7" w:rsidRDefault="003E69E7" w:rsidP="003E69E7">
      <w:r>
        <w:rPr>
          <w:rFonts w:asciiTheme="majorHAnsi" w:hAnsiTheme="majorHAnsi"/>
          <w:b/>
          <w:color w:val="00B0F0"/>
          <w:sz w:val="72"/>
          <w:szCs w:val="72"/>
        </w:rPr>
        <w:lastRenderedPageBreak/>
        <w:t>Employment cycle</w:t>
      </w:r>
    </w:p>
    <w:p w:rsidR="003E69E7" w:rsidRDefault="003E69E7" w:rsidP="003E69E7">
      <w:pPr>
        <w:pStyle w:val="Sectionheading"/>
        <w:tabs>
          <w:tab w:val="clear" w:pos="360"/>
        </w:tabs>
        <w:spacing w:before="0" w:after="0"/>
        <w:ind w:left="0" w:firstLine="0"/>
        <w:jc w:val="both"/>
        <w:rPr>
          <w:b w:val="0"/>
          <w:bCs w:val="0"/>
          <w:i w:val="0"/>
          <w:iCs w:val="0"/>
          <w:sz w:val="24"/>
          <w:szCs w:val="24"/>
        </w:rPr>
      </w:pPr>
    </w:p>
    <w:p w:rsidR="003E69E7" w:rsidRPr="00C82F13" w:rsidRDefault="003E69E7" w:rsidP="003E69E7">
      <w:pPr>
        <w:pStyle w:val="Sectionheading"/>
        <w:tabs>
          <w:tab w:val="clear" w:pos="360"/>
        </w:tabs>
        <w:spacing w:before="0" w:after="0"/>
        <w:ind w:left="0" w:firstLine="0"/>
        <w:jc w:val="both"/>
        <w:rPr>
          <w:b w:val="0"/>
          <w:bCs w:val="0"/>
          <w:i w:val="0"/>
          <w:iCs w:val="0"/>
          <w:sz w:val="22"/>
          <w:szCs w:val="22"/>
        </w:rPr>
      </w:pPr>
      <w:r w:rsidRPr="00C82F13">
        <w:rPr>
          <w:b w:val="0"/>
          <w:bCs w:val="0"/>
          <w:i w:val="0"/>
          <w:iCs w:val="0"/>
          <w:sz w:val="22"/>
          <w:szCs w:val="22"/>
        </w:rPr>
        <w:t xml:space="preserve">The employment cycle is used by the </w:t>
      </w:r>
      <w:r w:rsidR="00C82F13">
        <w:rPr>
          <w:b w:val="0"/>
          <w:bCs w:val="0"/>
          <w:i w:val="0"/>
          <w:iCs w:val="0"/>
          <w:sz w:val="22"/>
          <w:szCs w:val="22"/>
        </w:rPr>
        <w:t xml:space="preserve">Human Rights </w:t>
      </w:r>
      <w:r w:rsidRPr="00C82F13">
        <w:rPr>
          <w:b w:val="0"/>
          <w:bCs w:val="0"/>
          <w:i w:val="0"/>
          <w:iCs w:val="0"/>
          <w:sz w:val="22"/>
          <w:szCs w:val="22"/>
        </w:rPr>
        <w:t xml:space="preserve">Commission when advocating for equality issues and the right to work for disabled and all other people.  </w:t>
      </w:r>
      <w:r w:rsidR="00596ADE" w:rsidRPr="00C82F13">
        <w:rPr>
          <w:b w:val="0"/>
          <w:bCs w:val="0"/>
          <w:i w:val="0"/>
          <w:iCs w:val="0"/>
          <w:sz w:val="22"/>
          <w:szCs w:val="22"/>
        </w:rPr>
        <w:t>It covers the whole work experience</w:t>
      </w:r>
      <w:r w:rsidRPr="00C82F13">
        <w:rPr>
          <w:b w:val="0"/>
          <w:bCs w:val="0"/>
          <w:i w:val="0"/>
          <w:iCs w:val="0"/>
          <w:sz w:val="22"/>
          <w:szCs w:val="22"/>
        </w:rPr>
        <w:t xml:space="preserve"> </w:t>
      </w:r>
      <w:r w:rsidR="00596ADE" w:rsidRPr="00C82F13">
        <w:rPr>
          <w:b w:val="0"/>
          <w:bCs w:val="0"/>
          <w:i w:val="0"/>
          <w:iCs w:val="0"/>
          <w:sz w:val="22"/>
          <w:szCs w:val="22"/>
        </w:rPr>
        <w:t xml:space="preserve">and </w:t>
      </w:r>
      <w:r w:rsidRPr="00C82F13">
        <w:rPr>
          <w:b w:val="0"/>
          <w:bCs w:val="0"/>
          <w:i w:val="0"/>
          <w:iCs w:val="0"/>
          <w:sz w:val="22"/>
          <w:szCs w:val="22"/>
        </w:rPr>
        <w:t>spans protection from unemployment and how people access work, through to their exit from the labour market.</w:t>
      </w:r>
    </w:p>
    <w:p w:rsidR="003E69E7" w:rsidRPr="00C82F13" w:rsidRDefault="003E69E7" w:rsidP="003E69E7">
      <w:pPr>
        <w:pStyle w:val="Sectionheading"/>
        <w:tabs>
          <w:tab w:val="clear" w:pos="360"/>
        </w:tabs>
        <w:spacing w:before="0" w:after="0"/>
        <w:ind w:left="0" w:firstLine="0"/>
        <w:jc w:val="both"/>
        <w:rPr>
          <w:b w:val="0"/>
          <w:bCs w:val="0"/>
          <w:i w:val="0"/>
          <w:iCs w:val="0"/>
          <w:sz w:val="22"/>
          <w:szCs w:val="22"/>
        </w:rPr>
      </w:pPr>
    </w:p>
    <w:p w:rsidR="003E69E7" w:rsidRPr="00C82F13" w:rsidRDefault="003E69E7" w:rsidP="003E69E7">
      <w:pPr>
        <w:pStyle w:val="BodyText"/>
        <w:spacing w:after="0"/>
        <w:rPr>
          <w:rFonts w:ascii="Arial" w:hAnsi="Arial" w:cs="Arial"/>
          <w:sz w:val="22"/>
          <w:szCs w:val="22"/>
        </w:rPr>
      </w:pPr>
      <w:r w:rsidRPr="00C82F13">
        <w:rPr>
          <w:rFonts w:ascii="Arial" w:hAnsi="Arial" w:cs="Arial"/>
          <w:sz w:val="22"/>
          <w:szCs w:val="22"/>
        </w:rPr>
        <w:t xml:space="preserve">The employment cycle </w:t>
      </w:r>
      <w:r w:rsidR="00596ADE" w:rsidRPr="00C82F13">
        <w:rPr>
          <w:rFonts w:ascii="Arial" w:hAnsi="Arial" w:cs="Arial"/>
          <w:sz w:val="22"/>
          <w:szCs w:val="22"/>
        </w:rPr>
        <w:t>links to</w:t>
      </w:r>
      <w:r w:rsidRPr="00C82F13">
        <w:rPr>
          <w:rFonts w:ascii="Arial" w:hAnsi="Arial" w:cs="Arial"/>
          <w:sz w:val="22"/>
          <w:szCs w:val="22"/>
        </w:rPr>
        <w:t xml:space="preserve"> Article 27 of the Convention on the Rights of Persons with Disabilities (CRPD) which states that disabled people have “the right to the opportunity to gain a living by work freely chosen or accepted in a labour market and work environment that is open, in</w:t>
      </w:r>
      <w:r w:rsidR="000F2381">
        <w:rPr>
          <w:rFonts w:ascii="Arial" w:hAnsi="Arial" w:cs="Arial"/>
          <w:sz w:val="22"/>
          <w:szCs w:val="22"/>
        </w:rPr>
        <w:t>clusive and accessible to persons</w:t>
      </w:r>
      <w:r w:rsidRPr="00C82F13">
        <w:rPr>
          <w:rFonts w:ascii="Arial" w:hAnsi="Arial" w:cs="Arial"/>
          <w:sz w:val="22"/>
          <w:szCs w:val="22"/>
        </w:rPr>
        <w:t xml:space="preserve"> with disabilities”.  </w:t>
      </w:r>
    </w:p>
    <w:p w:rsidR="003E69E7" w:rsidRPr="00C82F13" w:rsidRDefault="003E69E7" w:rsidP="003E69E7">
      <w:pPr>
        <w:pStyle w:val="BodyText"/>
        <w:spacing w:after="0"/>
        <w:rPr>
          <w:rFonts w:ascii="Arial" w:hAnsi="Arial" w:cs="Arial"/>
          <w:sz w:val="22"/>
          <w:szCs w:val="22"/>
        </w:rPr>
      </w:pPr>
    </w:p>
    <w:p w:rsidR="003E69E7" w:rsidRPr="00A377A0" w:rsidRDefault="003E69E7" w:rsidP="003E69E7">
      <w:pPr>
        <w:pStyle w:val="BodyText"/>
        <w:spacing w:after="0"/>
        <w:rPr>
          <w:rFonts w:ascii="Arial" w:hAnsi="Arial" w:cs="Arial"/>
          <w:sz w:val="22"/>
          <w:szCs w:val="22"/>
        </w:rPr>
      </w:pPr>
      <w:r w:rsidRPr="00C82F13">
        <w:rPr>
          <w:rFonts w:ascii="Arial" w:hAnsi="Arial" w:cs="Arial"/>
          <w:sz w:val="22"/>
          <w:szCs w:val="22"/>
        </w:rPr>
        <w:t xml:space="preserve">The CRPD is the most modern application of the right to work and brings together </w:t>
      </w:r>
      <w:r w:rsidR="00A377A0" w:rsidRPr="00C82F13">
        <w:rPr>
          <w:rFonts w:ascii="Arial" w:hAnsi="Arial" w:cs="Arial"/>
          <w:sz w:val="22"/>
          <w:szCs w:val="22"/>
        </w:rPr>
        <w:t xml:space="preserve">the </w:t>
      </w:r>
      <w:r w:rsidRPr="00C82F13">
        <w:rPr>
          <w:rFonts w:ascii="Arial" w:hAnsi="Arial" w:cs="Arial"/>
          <w:sz w:val="22"/>
          <w:szCs w:val="22"/>
        </w:rPr>
        <w:t>agreed human righ</w:t>
      </w:r>
      <w:r w:rsidR="00A377A0" w:rsidRPr="00C82F13">
        <w:rPr>
          <w:rFonts w:ascii="Arial" w:hAnsi="Arial" w:cs="Arial"/>
          <w:sz w:val="22"/>
          <w:szCs w:val="22"/>
        </w:rPr>
        <w:t>ts and norms of disabled people.  Article 27 of the CRPD brings these rights and norms together in relation to employment.</w:t>
      </w:r>
    </w:p>
    <w:p w:rsidR="003E69E7" w:rsidRPr="003E69E7" w:rsidRDefault="003E69E7" w:rsidP="003E69E7">
      <w:pPr>
        <w:ind w:left="540"/>
      </w:pPr>
      <w:r>
        <w:rPr>
          <w:noProof/>
          <w:lang w:eastAsia="en-GB"/>
        </w:rPr>
        <w:drawing>
          <wp:inline distT="0" distB="0" distL="0" distR="0">
            <wp:extent cx="5181600" cy="5270500"/>
            <wp:effectExtent l="19050" t="0" r="0" b="6350"/>
            <wp:docPr id="8" name="Picture 1" descr="Employment cycle Pin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ment cycle Pink-01"/>
                    <pic:cNvPicPr>
                      <a:picLocks noChangeAspect="1" noChangeArrowheads="1"/>
                    </pic:cNvPicPr>
                  </pic:nvPicPr>
                  <pic:blipFill>
                    <a:blip r:embed="rId20" cstate="print"/>
                    <a:srcRect l="3403" t="12355"/>
                    <a:stretch>
                      <a:fillRect/>
                    </a:stretch>
                  </pic:blipFill>
                  <pic:spPr bwMode="auto">
                    <a:xfrm>
                      <a:off x="0" y="0"/>
                      <a:ext cx="5181600" cy="5270500"/>
                    </a:xfrm>
                    <a:prstGeom prst="rect">
                      <a:avLst/>
                    </a:prstGeom>
                    <a:noFill/>
                    <a:ln w="9525">
                      <a:noFill/>
                      <a:miter lim="800000"/>
                      <a:headEnd/>
                      <a:tailEnd/>
                    </a:ln>
                  </pic:spPr>
                </pic:pic>
              </a:graphicData>
            </a:graphic>
          </wp:inline>
        </w:drawing>
      </w:r>
    </w:p>
    <w:p w:rsidR="003E69E7" w:rsidRDefault="003E69E7" w:rsidP="003E69E7">
      <w:pPr>
        <w:spacing w:after="200" w:line="276" w:lineRule="auto"/>
        <w:rPr>
          <w:rFonts w:cs="Arial"/>
          <w:b/>
          <w:lang w:val="en-NZ" w:eastAsia="en-NZ"/>
        </w:rPr>
      </w:pPr>
      <w:r>
        <w:rPr>
          <w:rFonts w:cs="Arial"/>
          <w:b/>
          <w:lang w:val="en-NZ" w:eastAsia="en-NZ"/>
        </w:rPr>
        <w:br w:type="page"/>
      </w:r>
    </w:p>
    <w:p w:rsidR="003C1995" w:rsidRDefault="003C1995" w:rsidP="003C1995">
      <w:r>
        <w:rPr>
          <w:rFonts w:asciiTheme="majorHAnsi" w:hAnsiTheme="majorHAnsi"/>
          <w:b/>
          <w:color w:val="00B0F0"/>
          <w:sz w:val="72"/>
          <w:szCs w:val="72"/>
        </w:rPr>
        <w:lastRenderedPageBreak/>
        <w:t>Article 27 of the CRPD</w:t>
      </w:r>
    </w:p>
    <w:p w:rsidR="003C1995" w:rsidRPr="003C1995" w:rsidRDefault="003C1995" w:rsidP="003C1995">
      <w:pPr>
        <w:rPr>
          <w:rFonts w:cs="Arial"/>
          <w:i/>
          <w:color w:val="00B0F0"/>
          <w:sz w:val="22"/>
          <w:szCs w:val="22"/>
          <w:lang w:val="en-NZ" w:eastAsia="en-NZ"/>
        </w:rPr>
      </w:pPr>
    </w:p>
    <w:p w:rsidR="00A377A0" w:rsidRPr="003C1995" w:rsidRDefault="003E69E7" w:rsidP="003C1995">
      <w:pPr>
        <w:rPr>
          <w:rFonts w:cs="Arial"/>
          <w:b/>
          <w:color w:val="00B0F0"/>
          <w:lang w:val="en-NZ" w:eastAsia="en-NZ"/>
        </w:rPr>
      </w:pPr>
      <w:r w:rsidRPr="003C1995">
        <w:rPr>
          <w:rFonts w:cs="Arial"/>
          <w:b/>
          <w:i/>
          <w:color w:val="00B0F0"/>
          <w:lang w:val="en-NZ" w:eastAsia="en-NZ"/>
        </w:rPr>
        <w:t>Work and employment</w:t>
      </w:r>
      <w:r w:rsidRPr="003C1995">
        <w:rPr>
          <w:rFonts w:cs="Arial"/>
          <w:b/>
          <w:color w:val="00B0F0"/>
          <w:lang w:val="en-NZ" w:eastAsia="en-NZ"/>
        </w:rPr>
        <w:t xml:space="preserve"> </w:t>
      </w:r>
    </w:p>
    <w:p w:rsidR="003E69E7" w:rsidRPr="00C82F13" w:rsidRDefault="003E69E7" w:rsidP="003E69E7">
      <w:pPr>
        <w:spacing w:after="100" w:afterAutospacing="1"/>
        <w:rPr>
          <w:rFonts w:cs="Arial"/>
          <w:sz w:val="22"/>
          <w:szCs w:val="22"/>
          <w:lang w:val="en-NZ" w:eastAsia="en-NZ"/>
        </w:rPr>
      </w:pPr>
      <w:r w:rsidRPr="00C82F13">
        <w:rPr>
          <w:rFonts w:cs="Arial"/>
          <w:sz w:val="22"/>
          <w:szCs w:val="22"/>
          <w:lang w:val="en-NZ" w:eastAsia="en-NZ"/>
        </w:rPr>
        <w:t xml:space="preserve">1. States Parties recognize the right of persons with disabilities to work, on an equal basis with others; this includes the right to the opportunity to gain a living by work freely chosen or accepted in a labour market and work environment that is open, inclusive and accessible to persons with disabilities. States Parties shall safeguard and promote the realization of the right to work, including for those who acquire a disability during the course of employment, by taking appropriate steps, including through legislation, to, inter alia: </w:t>
      </w:r>
    </w:p>
    <w:p w:rsidR="003E69E7" w:rsidRPr="00C82F13" w:rsidRDefault="003E69E7" w:rsidP="003C1995">
      <w:pPr>
        <w:ind w:left="180"/>
        <w:rPr>
          <w:rFonts w:cs="Arial"/>
          <w:sz w:val="22"/>
          <w:szCs w:val="22"/>
          <w:lang w:val="en-NZ" w:eastAsia="en-NZ"/>
        </w:rPr>
      </w:pPr>
      <w:r w:rsidRPr="00C82F13">
        <w:rPr>
          <w:rFonts w:cs="Arial"/>
          <w:sz w:val="22"/>
          <w:szCs w:val="22"/>
          <w:lang w:val="en-NZ" w:eastAsia="en-NZ"/>
        </w:rPr>
        <w:t xml:space="preserve">(a) Prohibit discrimination on the basis of disability with regard to all matters concerning all forms of employment, including conditions of recruitment, hiring and employment, continuance of employment, career advancement and safe and healthy working conditions; </w:t>
      </w:r>
      <w:r w:rsidRPr="00C82F13">
        <w:rPr>
          <w:rFonts w:cs="Arial"/>
          <w:sz w:val="22"/>
          <w:szCs w:val="22"/>
          <w:lang w:val="en-NZ" w:eastAsia="en-NZ"/>
        </w:rPr>
        <w:br/>
      </w:r>
      <w:r w:rsidRPr="00C82F13">
        <w:rPr>
          <w:rFonts w:cs="Arial"/>
          <w:sz w:val="22"/>
          <w:szCs w:val="22"/>
          <w:lang w:val="en-NZ" w:eastAsia="en-NZ"/>
        </w:rPr>
        <w:br/>
        <w:t xml:space="preserve">(b) Protect the rights of persons with disabilities, on an equal basis with others, to just and favourable conditions of work, including equal opportunities and equal remuneration for work of equal value, safe and healthy working conditions, including protection from harassment, and the redress of grievances; </w:t>
      </w:r>
      <w:r w:rsidRPr="00C82F13">
        <w:rPr>
          <w:rFonts w:cs="Arial"/>
          <w:sz w:val="22"/>
          <w:szCs w:val="22"/>
          <w:lang w:val="en-NZ" w:eastAsia="en-NZ"/>
        </w:rPr>
        <w:br/>
      </w:r>
      <w:r w:rsidRPr="00C82F13">
        <w:rPr>
          <w:rFonts w:cs="Arial"/>
          <w:sz w:val="22"/>
          <w:szCs w:val="22"/>
          <w:lang w:val="en-NZ" w:eastAsia="en-NZ"/>
        </w:rPr>
        <w:br/>
        <w:t xml:space="preserve">(c) Ensure that persons with disabilities are able to exercise their labour and trade union rights on an equal basis with others; </w:t>
      </w:r>
      <w:r w:rsidRPr="00C82F13">
        <w:rPr>
          <w:rFonts w:cs="Arial"/>
          <w:sz w:val="22"/>
          <w:szCs w:val="22"/>
          <w:lang w:val="en-NZ" w:eastAsia="en-NZ"/>
        </w:rPr>
        <w:br/>
      </w:r>
      <w:r w:rsidRPr="00C82F13">
        <w:rPr>
          <w:rFonts w:cs="Arial"/>
          <w:sz w:val="22"/>
          <w:szCs w:val="22"/>
          <w:lang w:val="en-NZ" w:eastAsia="en-NZ"/>
        </w:rPr>
        <w:br/>
        <w:t xml:space="preserve">(d) Enable persons with disabilities to have effective access to general technical and vocational guidance programmes, placement services and vocational and continuing training; </w:t>
      </w:r>
      <w:r w:rsidRPr="00C82F13">
        <w:rPr>
          <w:rFonts w:cs="Arial"/>
          <w:sz w:val="22"/>
          <w:szCs w:val="22"/>
          <w:lang w:val="en-NZ" w:eastAsia="en-NZ"/>
        </w:rPr>
        <w:br/>
      </w:r>
      <w:r w:rsidRPr="00C82F13">
        <w:rPr>
          <w:rFonts w:cs="Arial"/>
          <w:sz w:val="22"/>
          <w:szCs w:val="22"/>
          <w:lang w:val="en-NZ" w:eastAsia="en-NZ"/>
        </w:rPr>
        <w:br/>
        <w:t xml:space="preserve">(e) Promote employment opportunities and career advancement for persons with disabilities in the labour market, as well as assistance in finding, obtaining, maintaining and returning to employment; </w:t>
      </w:r>
      <w:r w:rsidRPr="00C82F13">
        <w:rPr>
          <w:rFonts w:cs="Arial"/>
          <w:sz w:val="22"/>
          <w:szCs w:val="22"/>
          <w:lang w:val="en-NZ" w:eastAsia="en-NZ"/>
        </w:rPr>
        <w:br/>
      </w:r>
      <w:r w:rsidRPr="00C82F13">
        <w:rPr>
          <w:rFonts w:cs="Arial"/>
          <w:sz w:val="22"/>
          <w:szCs w:val="22"/>
          <w:lang w:val="en-NZ" w:eastAsia="en-NZ"/>
        </w:rPr>
        <w:br/>
        <w:t xml:space="preserve">(f) Promote opportunities for self-employment, entrepreneurship, the development of cooperatives and starting one's own business; </w:t>
      </w:r>
      <w:r w:rsidRPr="00C82F13">
        <w:rPr>
          <w:rFonts w:cs="Arial"/>
          <w:sz w:val="22"/>
          <w:szCs w:val="22"/>
          <w:lang w:val="en-NZ" w:eastAsia="en-NZ"/>
        </w:rPr>
        <w:br/>
      </w:r>
      <w:r w:rsidRPr="00C82F13">
        <w:rPr>
          <w:rFonts w:cs="Arial"/>
          <w:sz w:val="22"/>
          <w:szCs w:val="22"/>
          <w:lang w:val="en-NZ" w:eastAsia="en-NZ"/>
        </w:rPr>
        <w:br/>
        <w:t xml:space="preserve">(g) Employ persons with disabilities in the public sector; </w:t>
      </w:r>
      <w:r w:rsidRPr="00C82F13">
        <w:rPr>
          <w:rFonts w:cs="Arial"/>
          <w:sz w:val="22"/>
          <w:szCs w:val="22"/>
          <w:lang w:val="en-NZ" w:eastAsia="en-NZ"/>
        </w:rPr>
        <w:br/>
      </w:r>
      <w:r w:rsidRPr="00C82F13">
        <w:rPr>
          <w:rFonts w:cs="Arial"/>
          <w:sz w:val="22"/>
          <w:szCs w:val="22"/>
          <w:lang w:val="en-NZ" w:eastAsia="en-NZ"/>
        </w:rPr>
        <w:br/>
        <w:t xml:space="preserve">(h) Promote the employment of persons with disabilities in the private sector through appropriate policies and measures, which may include affirmative action programmes, incentives and other measures; </w:t>
      </w:r>
      <w:r w:rsidRPr="00C82F13">
        <w:rPr>
          <w:rFonts w:cs="Arial"/>
          <w:sz w:val="22"/>
          <w:szCs w:val="22"/>
          <w:lang w:val="en-NZ" w:eastAsia="en-NZ"/>
        </w:rPr>
        <w:br/>
      </w:r>
    </w:p>
    <w:p w:rsidR="003E69E7" w:rsidRPr="00C82F13" w:rsidRDefault="003E69E7" w:rsidP="003C1995">
      <w:pPr>
        <w:ind w:left="180"/>
        <w:rPr>
          <w:rFonts w:cs="Arial"/>
          <w:sz w:val="22"/>
          <w:szCs w:val="22"/>
          <w:lang w:val="en-NZ" w:eastAsia="en-NZ"/>
        </w:rPr>
      </w:pPr>
      <w:r w:rsidRPr="00C82F13">
        <w:rPr>
          <w:rFonts w:cs="Arial"/>
          <w:sz w:val="22"/>
          <w:szCs w:val="22"/>
          <w:lang w:val="en-NZ" w:eastAsia="en-NZ"/>
        </w:rPr>
        <w:t xml:space="preserve">(i) Ensure that reasonable accommodation is provided to persons with disabilities in the workplace; </w:t>
      </w:r>
    </w:p>
    <w:p w:rsidR="003E69E7" w:rsidRPr="00C82F13" w:rsidRDefault="003E69E7" w:rsidP="003C1995">
      <w:pPr>
        <w:ind w:left="180"/>
        <w:rPr>
          <w:rFonts w:cs="Arial"/>
          <w:sz w:val="22"/>
          <w:szCs w:val="22"/>
          <w:lang w:val="en-NZ" w:eastAsia="en-NZ"/>
        </w:rPr>
      </w:pPr>
    </w:p>
    <w:p w:rsidR="003E69E7" w:rsidRDefault="003E69E7" w:rsidP="003C1995">
      <w:pPr>
        <w:ind w:left="180"/>
        <w:rPr>
          <w:rFonts w:cs="Arial"/>
          <w:sz w:val="22"/>
          <w:szCs w:val="22"/>
          <w:lang w:val="en-NZ" w:eastAsia="en-NZ"/>
        </w:rPr>
      </w:pPr>
      <w:r w:rsidRPr="00C82F13">
        <w:rPr>
          <w:rFonts w:cs="Arial"/>
          <w:sz w:val="22"/>
          <w:szCs w:val="22"/>
          <w:lang w:val="en-NZ" w:eastAsia="en-NZ"/>
        </w:rPr>
        <w:t xml:space="preserve">(j) Promote the acquisition by persons with disabilities of work experience in the open labour market; </w:t>
      </w:r>
      <w:r w:rsidRPr="00C82F13">
        <w:rPr>
          <w:rFonts w:cs="Arial"/>
          <w:sz w:val="22"/>
          <w:szCs w:val="22"/>
          <w:lang w:val="en-NZ" w:eastAsia="en-NZ"/>
        </w:rPr>
        <w:br/>
      </w:r>
      <w:r w:rsidRPr="00C82F13">
        <w:rPr>
          <w:rFonts w:cs="Arial"/>
          <w:sz w:val="22"/>
          <w:szCs w:val="22"/>
          <w:lang w:val="en-NZ" w:eastAsia="en-NZ"/>
        </w:rPr>
        <w:br/>
        <w:t xml:space="preserve">(k) Promote vocational and professional rehabilitation, job retention and return-to-work programmes for persons with disabilities. </w:t>
      </w:r>
    </w:p>
    <w:p w:rsidR="003E69E7" w:rsidRPr="00A377A0" w:rsidRDefault="003E69E7" w:rsidP="003E69E7">
      <w:pPr>
        <w:pStyle w:val="Sectionheading"/>
        <w:tabs>
          <w:tab w:val="clear" w:pos="360"/>
        </w:tabs>
        <w:spacing w:before="0" w:after="0"/>
        <w:ind w:left="0" w:firstLine="0"/>
        <w:jc w:val="both"/>
        <w:rPr>
          <w:b w:val="0"/>
          <w:bCs w:val="0"/>
          <w:i w:val="0"/>
          <w:iCs w:val="0"/>
          <w:sz w:val="22"/>
          <w:szCs w:val="22"/>
        </w:rPr>
      </w:pPr>
      <w:r w:rsidRPr="00C82F13">
        <w:rPr>
          <w:b w:val="0"/>
          <w:bCs w:val="0"/>
          <w:i w:val="0"/>
          <w:iCs w:val="0"/>
          <w:sz w:val="22"/>
          <w:szCs w:val="22"/>
        </w:rPr>
        <w:t>2. States Parties shall ensure that persons with disabilities are not held in slavery or in servitude, and are protected, on an equal basis with others, from forced or compulsory labour.</w:t>
      </w:r>
    </w:p>
    <w:p w:rsidR="003E69E7" w:rsidRPr="0012092E" w:rsidRDefault="003E69E7" w:rsidP="003E69E7">
      <w:pPr>
        <w:spacing w:after="200" w:line="276" w:lineRule="auto"/>
        <w:rPr>
          <w:rFonts w:asciiTheme="majorHAnsi" w:hAnsiTheme="majorHAnsi"/>
          <w:b/>
          <w:color w:val="00B0F0"/>
        </w:rPr>
      </w:pPr>
    </w:p>
    <w:p w:rsidR="003E69E7" w:rsidRDefault="003E69E7" w:rsidP="003E69E7">
      <w:r>
        <w:rPr>
          <w:rFonts w:asciiTheme="majorHAnsi" w:hAnsiTheme="majorHAnsi"/>
          <w:b/>
          <w:color w:val="00B0F0"/>
          <w:sz w:val="72"/>
          <w:szCs w:val="72"/>
        </w:rPr>
        <w:lastRenderedPageBreak/>
        <w:t xml:space="preserve">Disabled people </w:t>
      </w:r>
    </w:p>
    <w:p w:rsidR="003E69E7" w:rsidRDefault="003E69E7" w:rsidP="003E69E7">
      <w:pPr>
        <w:jc w:val="both"/>
        <w:rPr>
          <w:sz w:val="22"/>
        </w:rPr>
      </w:pPr>
      <w:r>
        <w:rPr>
          <w:sz w:val="22"/>
        </w:rPr>
        <w:t xml:space="preserve">Disability is the most frequent ground of enquiry and complaint to the Commission in the area of employment. Currently disabled people are estimated as having twice the level of unemployment as their non-disabled peers. However, there are a number of factors that lead the Commission to query whether or not this is an under-estimate. </w:t>
      </w:r>
    </w:p>
    <w:p w:rsidR="003E69E7" w:rsidRDefault="003E69E7" w:rsidP="003E69E7">
      <w:pPr>
        <w:jc w:val="both"/>
        <w:rPr>
          <w:sz w:val="22"/>
        </w:rPr>
      </w:pPr>
    </w:p>
    <w:p w:rsidR="003E69E7" w:rsidRDefault="003E69E7" w:rsidP="003E69E7">
      <w:pPr>
        <w:jc w:val="both"/>
        <w:rPr>
          <w:sz w:val="22"/>
        </w:rPr>
      </w:pPr>
      <w:r>
        <w:rPr>
          <w:sz w:val="22"/>
        </w:rPr>
        <w:t xml:space="preserve">Employment data for disabled people is only collected every five years in a survey conducted after the main census. It is not collected in other more regular surveys such as the Household Labour Force Survey sampled quarterly or the Income Survey sampled annually or the State Service Commission’s annual human resources capability survey.   Reliable statistics on the employment of </w:t>
      </w:r>
      <w:r w:rsidR="003C1995">
        <w:rPr>
          <w:sz w:val="22"/>
        </w:rPr>
        <w:t xml:space="preserve">disabled </w:t>
      </w:r>
      <w:r>
        <w:rPr>
          <w:sz w:val="22"/>
        </w:rPr>
        <w:t xml:space="preserve">people are collected in the New Zealand Household Disability Survey conducted every five years after the general survey. </w:t>
      </w:r>
      <w:r w:rsidR="00596ADE" w:rsidRPr="00C82F13">
        <w:rPr>
          <w:sz w:val="22"/>
        </w:rPr>
        <w:t>The next New Zealand Household Disability Survey is planned for 2013, several months after the general census which was delayed because of Christchurch’s earthquakes.</w:t>
      </w:r>
    </w:p>
    <w:p w:rsidR="003E69E7" w:rsidRDefault="003E69E7" w:rsidP="003E69E7">
      <w:pPr>
        <w:jc w:val="both"/>
        <w:rPr>
          <w:sz w:val="22"/>
        </w:rPr>
      </w:pPr>
    </w:p>
    <w:p w:rsidR="003E69E7" w:rsidRDefault="003E69E7" w:rsidP="003E69E7">
      <w:pPr>
        <w:jc w:val="both"/>
        <w:rPr>
          <w:sz w:val="22"/>
        </w:rPr>
      </w:pPr>
      <w:r>
        <w:rPr>
          <w:sz w:val="22"/>
        </w:rPr>
        <w:t xml:space="preserve">During the course of the </w:t>
      </w:r>
      <w:r w:rsidRPr="003C1995">
        <w:rPr>
          <w:i/>
          <w:sz w:val="22"/>
        </w:rPr>
        <w:t>National Conversation about Work</w:t>
      </w:r>
      <w:r>
        <w:rPr>
          <w:sz w:val="22"/>
        </w:rPr>
        <w:t xml:space="preserve"> the Commission heard that disabled people were experiencing a particularly difficult time accessing and maintaining employment. Discriminatory assumptions about what people were capable of is a significant barrier to the employment of disabled people.</w:t>
      </w:r>
    </w:p>
    <w:p w:rsidR="003E69E7" w:rsidRDefault="003E69E7" w:rsidP="003E69E7">
      <w:pPr>
        <w:jc w:val="both"/>
        <w:rPr>
          <w:sz w:val="22"/>
        </w:rPr>
      </w:pPr>
    </w:p>
    <w:p w:rsidR="003E69E7" w:rsidRDefault="003E69E7" w:rsidP="003E69E7">
      <w:pPr>
        <w:jc w:val="both"/>
        <w:rPr>
          <w:sz w:val="22"/>
          <w:u w:val="single"/>
        </w:rPr>
      </w:pPr>
      <w:r>
        <w:rPr>
          <w:sz w:val="22"/>
        </w:rPr>
        <w:t>Without more frequent data gathering, society is unable to monitor the situation for disabled people and also means progress cannot be tracked either.  The Commission has identified the development of a full range of social statistics which measure key outcomes as an area of action to progress the rights of disabled people.</w:t>
      </w:r>
      <w:r>
        <w:rPr>
          <w:rStyle w:val="FootnoteReference"/>
          <w:sz w:val="22"/>
        </w:rPr>
        <w:footnoteReference w:id="1"/>
      </w:r>
    </w:p>
    <w:p w:rsidR="003E69E7" w:rsidRDefault="003E69E7" w:rsidP="003E69E7">
      <w:pPr>
        <w:jc w:val="both"/>
        <w:rPr>
          <w:sz w:val="22"/>
          <w:u w:val="single"/>
        </w:rPr>
      </w:pPr>
    </w:p>
    <w:p w:rsidR="003E69E7" w:rsidRDefault="003E69E7" w:rsidP="003E69E7">
      <w:pPr>
        <w:jc w:val="both"/>
        <w:rPr>
          <w:b/>
          <w:color w:val="00B0F0"/>
          <w:sz w:val="28"/>
          <w:szCs w:val="28"/>
        </w:rPr>
      </w:pPr>
      <w:r>
        <w:rPr>
          <w:b/>
          <w:color w:val="00B0F0"/>
          <w:sz w:val="28"/>
          <w:szCs w:val="28"/>
        </w:rPr>
        <w:t xml:space="preserve">International obligations </w:t>
      </w:r>
    </w:p>
    <w:p w:rsidR="003E69E7" w:rsidRDefault="003E69E7" w:rsidP="003E69E7">
      <w:pPr>
        <w:jc w:val="both"/>
        <w:rPr>
          <w:sz w:val="22"/>
        </w:rPr>
      </w:pPr>
      <w:r>
        <w:rPr>
          <w:sz w:val="22"/>
        </w:rPr>
        <w:t>New Zealand ratified the Convention on the Rights of Persons with Disabilities (CRPD) in 2008. The CRPD did not introduce any new human rights, but clarifies the obligations and legal duties of states to respect and ensure the equal enjoyment of all human rights by disabled people.</w:t>
      </w:r>
    </w:p>
    <w:p w:rsidR="003E69E7" w:rsidRDefault="003E69E7" w:rsidP="003E69E7">
      <w:pPr>
        <w:jc w:val="both"/>
        <w:rPr>
          <w:sz w:val="22"/>
        </w:rPr>
      </w:pPr>
    </w:p>
    <w:p w:rsidR="003E69E7" w:rsidRDefault="003E69E7" w:rsidP="003E69E7">
      <w:pPr>
        <w:jc w:val="both"/>
        <w:rPr>
          <w:sz w:val="22"/>
        </w:rPr>
      </w:pPr>
      <w:r>
        <w:rPr>
          <w:sz w:val="22"/>
        </w:rPr>
        <w:t xml:space="preserve">The purpose of </w:t>
      </w:r>
      <w:r w:rsidR="003C1995">
        <w:rPr>
          <w:sz w:val="22"/>
        </w:rPr>
        <w:t xml:space="preserve">the </w:t>
      </w:r>
      <w:r>
        <w:rPr>
          <w:sz w:val="22"/>
        </w:rPr>
        <w:t xml:space="preserve">CRPD, expressed in Article 1 is to “promote, protect and ensure the full and equal enjoyment of all human rights and fundamental freedoms by persons with disabilities, and to promote respect for their inherent dignity.” Included in the principles that govern the CRPD are non-discrimination, full and effective participation and inclusion in society, and equality of opportunity. Article 27 (1) provides a comprehensive list of the rights of disabled people in relation to employment including the employment of people in the public sector (Art.27 (1) g), the private sector (Art.27 (1) h) and the open labour market (Art.27 (1) j). </w:t>
      </w:r>
    </w:p>
    <w:p w:rsidR="003E69E7" w:rsidRDefault="003E69E7" w:rsidP="003E69E7">
      <w:pPr>
        <w:jc w:val="both"/>
        <w:rPr>
          <w:b/>
          <w:color w:val="00B0F0"/>
          <w:sz w:val="22"/>
          <w:szCs w:val="22"/>
        </w:rPr>
      </w:pPr>
    </w:p>
    <w:p w:rsidR="003E69E7" w:rsidRDefault="003E69E7" w:rsidP="003E69E7">
      <w:pPr>
        <w:jc w:val="both"/>
        <w:rPr>
          <w:b/>
          <w:color w:val="00B0F0"/>
          <w:sz w:val="28"/>
          <w:szCs w:val="28"/>
        </w:rPr>
      </w:pPr>
      <w:r>
        <w:rPr>
          <w:b/>
          <w:color w:val="00B0F0"/>
          <w:sz w:val="28"/>
          <w:szCs w:val="28"/>
        </w:rPr>
        <w:t xml:space="preserve">New Zealand legislation </w:t>
      </w:r>
    </w:p>
    <w:p w:rsidR="003E69E7" w:rsidRDefault="003E69E7" w:rsidP="003E69E7">
      <w:pPr>
        <w:jc w:val="both"/>
        <w:rPr>
          <w:sz w:val="22"/>
        </w:rPr>
      </w:pPr>
      <w:r>
        <w:rPr>
          <w:sz w:val="22"/>
        </w:rPr>
        <w:t xml:space="preserve">Disabled people have the same rights and legal entitlements as other New Zealanders. The Human Rights Act 1993 (HRA) and the New Zealand Bill of Rights Act 1990 (BoRA) protect the right of disabled people to freedom from discrimination. Both rely on the HRA definition of disability: </w:t>
      </w:r>
    </w:p>
    <w:p w:rsidR="003E69E7" w:rsidRDefault="003E69E7" w:rsidP="003E69E7">
      <w:pPr>
        <w:pStyle w:val="ListParagraph"/>
        <w:numPr>
          <w:ilvl w:val="0"/>
          <w:numId w:val="45"/>
        </w:numPr>
        <w:autoSpaceDE w:val="0"/>
        <w:autoSpaceDN w:val="0"/>
        <w:adjustRightInd w:val="0"/>
        <w:jc w:val="both"/>
        <w:rPr>
          <w:rFonts w:cs="Arial"/>
          <w:sz w:val="22"/>
        </w:rPr>
      </w:pPr>
      <w:r>
        <w:rPr>
          <w:rFonts w:cs="Arial"/>
          <w:sz w:val="22"/>
        </w:rPr>
        <w:t>physical disability or impairment</w:t>
      </w:r>
    </w:p>
    <w:p w:rsidR="003E69E7" w:rsidRDefault="003E69E7" w:rsidP="003E69E7">
      <w:pPr>
        <w:pStyle w:val="ListParagraph"/>
        <w:numPr>
          <w:ilvl w:val="0"/>
          <w:numId w:val="45"/>
        </w:numPr>
        <w:autoSpaceDE w:val="0"/>
        <w:autoSpaceDN w:val="0"/>
        <w:adjustRightInd w:val="0"/>
        <w:jc w:val="both"/>
        <w:rPr>
          <w:rFonts w:cs="Arial"/>
          <w:sz w:val="22"/>
        </w:rPr>
      </w:pPr>
      <w:r>
        <w:rPr>
          <w:rFonts w:cs="Arial"/>
          <w:sz w:val="22"/>
        </w:rPr>
        <w:t>physical illness</w:t>
      </w:r>
    </w:p>
    <w:p w:rsidR="003E69E7" w:rsidRDefault="003E69E7" w:rsidP="003E69E7">
      <w:pPr>
        <w:pStyle w:val="ListParagraph"/>
        <w:numPr>
          <w:ilvl w:val="0"/>
          <w:numId w:val="45"/>
        </w:numPr>
        <w:autoSpaceDE w:val="0"/>
        <w:autoSpaceDN w:val="0"/>
        <w:adjustRightInd w:val="0"/>
        <w:jc w:val="both"/>
        <w:rPr>
          <w:rFonts w:cs="Arial"/>
          <w:sz w:val="22"/>
        </w:rPr>
      </w:pPr>
      <w:r>
        <w:rPr>
          <w:rFonts w:cs="Arial"/>
          <w:sz w:val="22"/>
        </w:rPr>
        <w:t>psychiatric illness</w:t>
      </w:r>
    </w:p>
    <w:p w:rsidR="003E69E7" w:rsidRDefault="003E69E7" w:rsidP="003E69E7">
      <w:pPr>
        <w:pStyle w:val="ListParagraph"/>
        <w:numPr>
          <w:ilvl w:val="0"/>
          <w:numId w:val="45"/>
        </w:numPr>
        <w:autoSpaceDE w:val="0"/>
        <w:autoSpaceDN w:val="0"/>
        <w:adjustRightInd w:val="0"/>
        <w:jc w:val="both"/>
        <w:rPr>
          <w:rFonts w:cs="Arial"/>
          <w:sz w:val="22"/>
        </w:rPr>
      </w:pPr>
      <w:r>
        <w:rPr>
          <w:rFonts w:cs="Arial"/>
          <w:sz w:val="22"/>
        </w:rPr>
        <w:t>intellectual or psychological disability or impairment</w:t>
      </w:r>
    </w:p>
    <w:p w:rsidR="003E69E7" w:rsidRDefault="003E69E7" w:rsidP="003E69E7">
      <w:pPr>
        <w:pStyle w:val="ListParagraph"/>
        <w:numPr>
          <w:ilvl w:val="0"/>
          <w:numId w:val="45"/>
        </w:numPr>
        <w:autoSpaceDE w:val="0"/>
        <w:autoSpaceDN w:val="0"/>
        <w:adjustRightInd w:val="0"/>
        <w:jc w:val="both"/>
        <w:rPr>
          <w:rFonts w:cs="Arial"/>
          <w:sz w:val="22"/>
        </w:rPr>
      </w:pPr>
      <w:r>
        <w:rPr>
          <w:rFonts w:cs="Arial"/>
          <w:sz w:val="22"/>
        </w:rPr>
        <w:lastRenderedPageBreak/>
        <w:t>any other loss or abnormality of psychological or anatomical structure of function</w:t>
      </w:r>
    </w:p>
    <w:p w:rsidR="003E69E7" w:rsidRDefault="003E69E7" w:rsidP="003E69E7">
      <w:pPr>
        <w:pStyle w:val="ListParagraph"/>
        <w:numPr>
          <w:ilvl w:val="0"/>
          <w:numId w:val="45"/>
        </w:numPr>
        <w:autoSpaceDE w:val="0"/>
        <w:autoSpaceDN w:val="0"/>
        <w:adjustRightInd w:val="0"/>
        <w:jc w:val="both"/>
        <w:rPr>
          <w:rFonts w:cs="Arial"/>
          <w:sz w:val="22"/>
        </w:rPr>
      </w:pPr>
      <w:r>
        <w:rPr>
          <w:rFonts w:cs="Arial"/>
          <w:sz w:val="22"/>
        </w:rPr>
        <w:t>reliance on a guide dog, wheelchair or other remedial means</w:t>
      </w:r>
    </w:p>
    <w:p w:rsidR="003E69E7" w:rsidRDefault="003E69E7" w:rsidP="003E69E7">
      <w:pPr>
        <w:pStyle w:val="ListParagraph"/>
        <w:numPr>
          <w:ilvl w:val="0"/>
          <w:numId w:val="45"/>
        </w:numPr>
        <w:autoSpaceDE w:val="0"/>
        <w:autoSpaceDN w:val="0"/>
        <w:adjustRightInd w:val="0"/>
        <w:jc w:val="both"/>
        <w:rPr>
          <w:rFonts w:cs="Arial"/>
          <w:sz w:val="22"/>
        </w:rPr>
      </w:pPr>
      <w:r>
        <w:rPr>
          <w:rFonts w:cs="Arial"/>
          <w:sz w:val="22"/>
        </w:rPr>
        <w:t>the presence in the body of organisms capable of causing illness.</w:t>
      </w:r>
    </w:p>
    <w:p w:rsidR="00947147" w:rsidRDefault="00947147" w:rsidP="003E69E7">
      <w:pPr>
        <w:pStyle w:val="Heading3"/>
        <w:spacing w:before="0"/>
        <w:rPr>
          <w:rFonts w:ascii="Arial" w:eastAsia="Times New Roman" w:hAnsi="Arial" w:cs="Times New Roman"/>
          <w:bCs w:val="0"/>
          <w:color w:val="00B0F0"/>
          <w:sz w:val="28"/>
          <w:szCs w:val="28"/>
        </w:rPr>
      </w:pPr>
    </w:p>
    <w:p w:rsidR="003E69E7" w:rsidRDefault="003E69E7" w:rsidP="003E69E7">
      <w:pPr>
        <w:pStyle w:val="Heading3"/>
        <w:spacing w:before="0"/>
      </w:pPr>
      <w:r>
        <w:rPr>
          <w:rFonts w:ascii="Arial" w:eastAsia="Times New Roman" w:hAnsi="Arial" w:cs="Times New Roman"/>
          <w:bCs w:val="0"/>
          <w:color w:val="00B0F0"/>
          <w:sz w:val="28"/>
          <w:szCs w:val="28"/>
        </w:rPr>
        <w:t>Reasonable accommodation</w:t>
      </w:r>
      <w:r>
        <w:t xml:space="preserve"> </w:t>
      </w:r>
    </w:p>
    <w:p w:rsidR="003E69E7" w:rsidRDefault="003E69E7" w:rsidP="003E69E7">
      <w:pPr>
        <w:shd w:val="clear" w:color="auto" w:fill="FFFFFF"/>
        <w:jc w:val="both"/>
        <w:textAlignment w:val="top"/>
        <w:rPr>
          <w:rFonts w:cs="Arial"/>
          <w:color w:val="000000"/>
          <w:sz w:val="22"/>
          <w:szCs w:val="22"/>
          <w:lang w:eastAsia="en-NZ"/>
        </w:rPr>
      </w:pPr>
      <w:r>
        <w:rPr>
          <w:rFonts w:cs="Arial"/>
          <w:i/>
          <w:sz w:val="22"/>
          <w:szCs w:val="22"/>
        </w:rPr>
        <w:t>Reasonable accommodation</w:t>
      </w:r>
      <w:r>
        <w:rPr>
          <w:rFonts w:cs="Arial"/>
          <w:sz w:val="22"/>
          <w:szCs w:val="22"/>
        </w:rPr>
        <w:t xml:space="preserve"> is a term used to describe the creation of an environment that will ensure equality of opportunity for disabled people, family commitments or particular religious practices. </w:t>
      </w:r>
      <w:r>
        <w:rPr>
          <w:rFonts w:cs="Arial"/>
          <w:sz w:val="22"/>
          <w:szCs w:val="22"/>
          <w:lang w:val="en-US"/>
        </w:rPr>
        <w:t>It is most commonly used in the provision of goods and services and employment. The CRPD states</w:t>
      </w:r>
      <w:r w:rsidR="00596ADE">
        <w:rPr>
          <w:rFonts w:cs="Arial"/>
          <w:sz w:val="22"/>
          <w:szCs w:val="22"/>
          <w:lang w:val="en-US"/>
        </w:rPr>
        <w:t xml:space="preserve"> </w:t>
      </w:r>
      <w:r w:rsidR="00596ADE" w:rsidRPr="00C82F13">
        <w:rPr>
          <w:rFonts w:cs="Arial"/>
          <w:sz w:val="22"/>
          <w:szCs w:val="22"/>
          <w:lang w:val="en-US"/>
        </w:rPr>
        <w:t>that</w:t>
      </w:r>
      <w:r w:rsidRPr="00C82F13">
        <w:rPr>
          <w:rFonts w:cs="Arial"/>
          <w:sz w:val="22"/>
          <w:szCs w:val="22"/>
          <w:lang w:val="en-US"/>
        </w:rPr>
        <w:t xml:space="preserve"> </w:t>
      </w:r>
      <w:r w:rsidRPr="00C82F13">
        <w:rPr>
          <w:rFonts w:cs="Arial"/>
          <w:color w:val="000000"/>
          <w:sz w:val="22"/>
          <w:szCs w:val="22"/>
          <w:lang w:eastAsia="en-NZ"/>
        </w:rPr>
        <w:t>"Reasonable accommodation</w:t>
      </w:r>
      <w:r>
        <w:rPr>
          <w:rFonts w:cs="Arial"/>
          <w:color w:val="000000"/>
          <w:sz w:val="22"/>
          <w:szCs w:val="22"/>
          <w:lang w:eastAsia="en-NZ"/>
        </w:rPr>
        <w:t xml:space="preserve">"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  The denial of reasonable accommodation is a form of discrimination, according to the Convention.  </w:t>
      </w:r>
    </w:p>
    <w:p w:rsidR="003E69E7" w:rsidRDefault="003E69E7" w:rsidP="003E69E7">
      <w:pPr>
        <w:shd w:val="clear" w:color="auto" w:fill="FFFFFF"/>
        <w:spacing w:before="100" w:beforeAutospacing="1" w:after="100" w:afterAutospacing="1"/>
        <w:jc w:val="both"/>
        <w:textAlignment w:val="top"/>
        <w:rPr>
          <w:rFonts w:ascii="Verdana" w:hAnsi="Verdana"/>
          <w:color w:val="000000"/>
          <w:sz w:val="19"/>
          <w:szCs w:val="19"/>
          <w:lang w:eastAsia="en-NZ"/>
        </w:rPr>
      </w:pPr>
      <w:r>
        <w:rPr>
          <w:sz w:val="22"/>
        </w:rPr>
        <w:t xml:space="preserve">Employers find the legal concept of reasonable accommodation in the Human Rights Act difficult, while disability advocates believe that there are myths about the employment needs of disabled people that need to be countered. Grant Cleland, Chief Executive of Workbridge has observed that most disabled people do not require additional accommodation and the most commonly sought accommodation of those people who do require it, is flexible work hours.  Another point made by disability advocates is that every employee requires accommodation of some sort or another, whether it is a desk, chair, or lighting.  </w:t>
      </w:r>
    </w:p>
    <w:p w:rsidR="003E69E7" w:rsidRDefault="003E69E7" w:rsidP="003E69E7">
      <w:pPr>
        <w:pStyle w:val="BodyText"/>
        <w:spacing w:after="0"/>
        <w:rPr>
          <w:rFonts w:ascii="Arial" w:hAnsi="Arial" w:cs="Arial"/>
          <w:sz w:val="22"/>
          <w:szCs w:val="22"/>
          <w:lang w:val="en-US"/>
        </w:rPr>
      </w:pPr>
      <w:r>
        <w:rPr>
          <w:rFonts w:ascii="Arial" w:hAnsi="Arial" w:cs="Arial"/>
          <w:sz w:val="22"/>
          <w:szCs w:val="22"/>
          <w:lang w:val="en-US"/>
        </w:rPr>
        <w:t xml:space="preserve">In the employment context reasonable accommodation applies to changes to a workplace which are made to ensure that a person who has a disability, family commitments or religious requirements can do a job. This may be as simple as swapping shifts with another employee to accommodate religious observance or installing a ramp for a person in a wheelchair. Whether an employer must make such changes is balanced against the unreasonable cost that may result. </w:t>
      </w:r>
    </w:p>
    <w:p w:rsidR="003E69E7" w:rsidRDefault="003E69E7" w:rsidP="003E69E7">
      <w:pPr>
        <w:pStyle w:val="BodyText"/>
        <w:spacing w:after="0"/>
        <w:rPr>
          <w:rFonts w:ascii="Arial" w:hAnsi="Arial" w:cs="Arial"/>
          <w:sz w:val="22"/>
          <w:szCs w:val="22"/>
          <w:lang w:val="en-US"/>
        </w:rPr>
      </w:pPr>
    </w:p>
    <w:p w:rsidR="003E69E7" w:rsidRDefault="003E69E7" w:rsidP="003E69E7">
      <w:pPr>
        <w:pStyle w:val="BodyText"/>
        <w:spacing w:after="0"/>
        <w:rPr>
          <w:rFonts w:ascii="Arial" w:hAnsi="Arial" w:cs="Arial"/>
          <w:sz w:val="22"/>
          <w:szCs w:val="22"/>
          <w:lang w:val="en-US"/>
        </w:rPr>
      </w:pPr>
      <w:r>
        <w:rPr>
          <w:rFonts w:ascii="Arial" w:hAnsi="Arial" w:cs="Arial"/>
          <w:sz w:val="22"/>
          <w:szCs w:val="22"/>
          <w:lang w:val="en-US"/>
        </w:rPr>
        <w:t xml:space="preserve">In relation to the provision of services for disabled people, the Court of Appeal has said that there is a presumption that a provider will provide the necessary accommodation unless it is unreasonable. If a person requires special services or facilities (for example, relocation of an office) that it is not reasonable to provide, then the employer or service provider is not obliged to provide them. </w:t>
      </w:r>
    </w:p>
    <w:p w:rsidR="003E69E7" w:rsidRDefault="003E69E7" w:rsidP="003E69E7">
      <w:pPr>
        <w:pStyle w:val="BodyText"/>
        <w:spacing w:after="0"/>
        <w:rPr>
          <w:rFonts w:ascii="Arial" w:hAnsi="Arial" w:cs="Arial"/>
          <w:sz w:val="22"/>
          <w:szCs w:val="22"/>
          <w:lang w:val="en-US"/>
        </w:rPr>
      </w:pPr>
    </w:p>
    <w:p w:rsidR="003E69E7" w:rsidRDefault="003E69E7" w:rsidP="003E69E7">
      <w:pPr>
        <w:pStyle w:val="BodyText"/>
        <w:spacing w:after="0"/>
        <w:rPr>
          <w:rFonts w:ascii="Arial" w:hAnsi="Arial" w:cs="Arial"/>
          <w:sz w:val="22"/>
          <w:szCs w:val="22"/>
          <w:lang w:val="en-US"/>
        </w:rPr>
      </w:pPr>
      <w:r>
        <w:rPr>
          <w:rFonts w:ascii="Arial" w:hAnsi="Arial" w:cs="Arial"/>
          <w:sz w:val="22"/>
          <w:szCs w:val="22"/>
          <w:lang w:val="en-US"/>
        </w:rPr>
        <w:t>In addition, if there is a risk of harm to the individual or others, but measures can be taken to reduce the risk without unreasonable disruption, then the provider or employer should take those measures. If it is not reasonable to take the risk, or the measures necessary to reduce the risk to a normal level are unreasonable, then an employer or provider may be justified in discriminating.</w:t>
      </w:r>
    </w:p>
    <w:p w:rsidR="003E69E7" w:rsidRDefault="003E69E7" w:rsidP="003E69E7">
      <w:pPr>
        <w:pStyle w:val="BodyText"/>
        <w:spacing w:after="0"/>
        <w:rPr>
          <w:rFonts w:ascii="Arial" w:hAnsi="Arial" w:cs="Arial"/>
          <w:sz w:val="22"/>
          <w:szCs w:val="22"/>
          <w:lang w:val="en-US"/>
        </w:rPr>
      </w:pPr>
    </w:p>
    <w:p w:rsidR="003E69E7" w:rsidRDefault="003E69E7" w:rsidP="003E69E7">
      <w:pPr>
        <w:pStyle w:val="BodyText"/>
        <w:spacing w:after="0"/>
        <w:rPr>
          <w:rFonts w:ascii="Arial" w:hAnsi="Arial" w:cs="Arial"/>
          <w:sz w:val="22"/>
          <w:szCs w:val="22"/>
          <w:lang w:val="en-US"/>
        </w:rPr>
      </w:pPr>
      <w:r>
        <w:rPr>
          <w:rFonts w:ascii="Arial" w:hAnsi="Arial" w:cs="Arial"/>
          <w:sz w:val="22"/>
          <w:szCs w:val="22"/>
          <w:lang w:val="en-US"/>
        </w:rPr>
        <w:t xml:space="preserve">Disability advocates have observed that health and safety concerns based on incorrect assumptions can become a barrier to the employment of disabled people. For example, the Commission heard that a person had been dismissed from his job collecting trolleys in a supermarket carpark because a Labour Inspector said he was unsafe around moving cars because of his learning disability. The trolley attendant had been working at the supermarket without incident for many years. A similar point was made by a group of Deaf who had sought employment that included driving. They said that a significant barrier was the  assumption that because they did not hear traffic noise they were less safe than hearing drivers. This assumption ignored their heightened awareness of the visual environment.  </w:t>
      </w:r>
    </w:p>
    <w:p w:rsidR="003E69E7" w:rsidRDefault="003E69E7" w:rsidP="003E69E7">
      <w:pPr>
        <w:jc w:val="both"/>
        <w:rPr>
          <w:b/>
          <w:color w:val="00B0F0"/>
          <w:sz w:val="40"/>
          <w:szCs w:val="40"/>
        </w:rPr>
      </w:pPr>
    </w:p>
    <w:p w:rsidR="003E69E7" w:rsidRDefault="003E69E7" w:rsidP="003E69E7">
      <w:pPr>
        <w:jc w:val="both"/>
        <w:rPr>
          <w:b/>
          <w:color w:val="00B0F0"/>
          <w:sz w:val="40"/>
          <w:szCs w:val="40"/>
        </w:rPr>
      </w:pPr>
    </w:p>
    <w:p w:rsidR="003E69E7" w:rsidRDefault="003E69E7" w:rsidP="003E69E7">
      <w:pPr>
        <w:jc w:val="both"/>
        <w:rPr>
          <w:b/>
          <w:color w:val="00B0F0"/>
          <w:sz w:val="40"/>
          <w:szCs w:val="40"/>
        </w:rPr>
      </w:pPr>
      <w:r>
        <w:rPr>
          <w:b/>
          <w:color w:val="00B0F0"/>
          <w:sz w:val="40"/>
          <w:szCs w:val="40"/>
        </w:rPr>
        <w:t xml:space="preserve">State sector </w:t>
      </w:r>
    </w:p>
    <w:p w:rsidR="003E69E7" w:rsidRDefault="003E69E7" w:rsidP="003E69E7">
      <w:pPr>
        <w:jc w:val="both"/>
        <w:rPr>
          <w:sz w:val="22"/>
          <w:u w:val="single"/>
        </w:rPr>
      </w:pPr>
    </w:p>
    <w:p w:rsidR="003E69E7" w:rsidRDefault="003E69E7" w:rsidP="003E69E7">
      <w:pPr>
        <w:jc w:val="both"/>
        <w:rPr>
          <w:b/>
          <w:color w:val="00B0F0"/>
          <w:sz w:val="28"/>
          <w:szCs w:val="28"/>
        </w:rPr>
      </w:pPr>
      <w:r>
        <w:rPr>
          <w:b/>
          <w:color w:val="00B0F0"/>
          <w:sz w:val="28"/>
          <w:szCs w:val="28"/>
        </w:rPr>
        <w:t xml:space="preserve">Legislation </w:t>
      </w:r>
    </w:p>
    <w:p w:rsidR="003E69E7" w:rsidRDefault="003E69E7" w:rsidP="003E69E7">
      <w:pPr>
        <w:jc w:val="both"/>
        <w:rPr>
          <w:rFonts w:cs="Arial"/>
          <w:color w:val="000000"/>
          <w:sz w:val="22"/>
          <w:lang w:eastAsia="en-NZ"/>
        </w:rPr>
      </w:pPr>
      <w:r>
        <w:rPr>
          <w:rFonts w:cs="Arial"/>
          <w:color w:val="000000"/>
          <w:sz w:val="22"/>
          <w:lang w:eastAsia="en-NZ"/>
        </w:rPr>
        <w:t>The State Sector Act “covers human resource management and general management practice, including requiring State services employers to be 'good employers', to promote equal employment opportunities and efficiency in the organisations that make up the service, and to ensure that employees are imbued with the spirit of service to the community. The CRPD also requires State parties to “employ persons with disabilities in the public sector.”</w:t>
      </w:r>
      <w:r>
        <w:rPr>
          <w:rStyle w:val="FootnoteReference"/>
          <w:rFonts w:cs="Arial"/>
          <w:color w:val="000000"/>
          <w:sz w:val="22"/>
          <w:lang w:eastAsia="en-NZ"/>
        </w:rPr>
        <w:footnoteReference w:id="2"/>
      </w:r>
    </w:p>
    <w:p w:rsidR="003E69E7" w:rsidRDefault="003E69E7" w:rsidP="003E69E7">
      <w:pPr>
        <w:jc w:val="both"/>
        <w:rPr>
          <w:rFonts w:cs="Arial"/>
          <w:color w:val="000000"/>
          <w:sz w:val="22"/>
          <w:lang w:eastAsia="en-NZ"/>
        </w:rPr>
      </w:pPr>
      <w:bookmarkStart w:id="1" w:name="P222_33854"/>
      <w:bookmarkEnd w:id="1"/>
    </w:p>
    <w:p w:rsidR="003E69E7" w:rsidRPr="00651381" w:rsidRDefault="003E69E7" w:rsidP="003E69E7">
      <w:pPr>
        <w:outlineLvl w:val="0"/>
        <w:rPr>
          <w:rFonts w:cs="Arial"/>
          <w:sz w:val="22"/>
          <w:szCs w:val="22"/>
        </w:rPr>
      </w:pPr>
      <w:r>
        <w:rPr>
          <w:rFonts w:cs="Arial"/>
          <w:color w:val="000000"/>
          <w:sz w:val="22"/>
          <w:lang w:eastAsia="en-NZ"/>
        </w:rPr>
        <w:t>The wider state sector such as Crown entities and local government are also required to be good employers, have equal opportunities programmes and recognise the employment requirements of disabled people.</w:t>
      </w:r>
      <w:r>
        <w:rPr>
          <w:rFonts w:cs="Arial"/>
          <w:color w:val="000000"/>
          <w:sz w:val="22"/>
          <w:lang w:eastAsia="en-NZ"/>
        </w:rPr>
        <w:br/>
      </w:r>
      <w:r>
        <w:rPr>
          <w:rFonts w:cs="Arial"/>
          <w:color w:val="000000"/>
          <w:sz w:val="22"/>
          <w:lang w:eastAsia="en-NZ"/>
        </w:rPr>
        <w:br/>
      </w:r>
      <w:r w:rsidRPr="00C82F13">
        <w:rPr>
          <w:rFonts w:cs="Arial"/>
          <w:sz w:val="22"/>
          <w:szCs w:val="22"/>
        </w:rPr>
        <w:t>The public service was seen as not fulfilling its leadership role as an employer by some disabled people</w:t>
      </w:r>
      <w:r w:rsidR="00596ADE" w:rsidRPr="00C82F13">
        <w:rPr>
          <w:rFonts w:cs="Arial"/>
          <w:sz w:val="22"/>
          <w:szCs w:val="22"/>
        </w:rPr>
        <w:t xml:space="preserve"> in the </w:t>
      </w:r>
      <w:r w:rsidR="00596ADE" w:rsidRPr="00C82F13">
        <w:rPr>
          <w:rFonts w:cs="Arial"/>
          <w:i/>
          <w:sz w:val="22"/>
          <w:szCs w:val="22"/>
        </w:rPr>
        <w:t>National Conversation about Work</w:t>
      </w:r>
      <w:r w:rsidR="00596ADE" w:rsidRPr="00C82F13">
        <w:rPr>
          <w:rFonts w:cs="Arial"/>
          <w:sz w:val="22"/>
          <w:szCs w:val="22"/>
        </w:rPr>
        <w:t xml:space="preserve"> report</w:t>
      </w:r>
      <w:r w:rsidRPr="00C82F13">
        <w:rPr>
          <w:rFonts w:cs="Arial"/>
          <w:sz w:val="22"/>
          <w:szCs w:val="22"/>
        </w:rPr>
        <w:t>. The Commission heard that the public service was “going backwards as a model employer” for disabled people and that the situation was even more difficult in the current environment of public service cuts.</w:t>
      </w:r>
      <w:r w:rsidRPr="00651381">
        <w:rPr>
          <w:rFonts w:cs="Arial"/>
          <w:sz w:val="22"/>
          <w:szCs w:val="22"/>
        </w:rPr>
        <w:t xml:space="preserve"> </w:t>
      </w:r>
    </w:p>
    <w:p w:rsidR="003E69E7" w:rsidRDefault="003E69E7" w:rsidP="003E69E7">
      <w:pPr>
        <w:rPr>
          <w:rFonts w:cs="Arial"/>
          <w:color w:val="000000"/>
          <w:sz w:val="22"/>
          <w:lang w:eastAsia="en-NZ"/>
        </w:rPr>
      </w:pPr>
    </w:p>
    <w:p w:rsidR="003E69E7" w:rsidRDefault="003E69E7" w:rsidP="003E69E7">
      <w:pPr>
        <w:jc w:val="both"/>
        <w:rPr>
          <w:b/>
          <w:color w:val="00B0F0"/>
          <w:sz w:val="28"/>
          <w:szCs w:val="28"/>
        </w:rPr>
      </w:pPr>
      <w:r>
        <w:rPr>
          <w:b/>
          <w:color w:val="00B0F0"/>
          <w:sz w:val="28"/>
          <w:szCs w:val="28"/>
        </w:rPr>
        <w:t xml:space="preserve">Data </w:t>
      </w:r>
    </w:p>
    <w:p w:rsidR="003E69E7" w:rsidRDefault="003E69E7" w:rsidP="003E69E7">
      <w:pPr>
        <w:autoSpaceDE w:val="0"/>
        <w:autoSpaceDN w:val="0"/>
        <w:adjustRightInd w:val="0"/>
        <w:jc w:val="both"/>
        <w:rPr>
          <w:rFonts w:cs="Arial"/>
          <w:color w:val="000000"/>
          <w:sz w:val="22"/>
        </w:rPr>
      </w:pPr>
      <w:r>
        <w:rPr>
          <w:sz w:val="22"/>
        </w:rPr>
        <w:t xml:space="preserve">The State Services Commission (SSC) no longer collects disability data in the annual Human Resource Capability Survey (HRCS). In the 2005 report the SSC stated, </w:t>
      </w:r>
      <w:r>
        <w:rPr>
          <w:rFonts w:cs="Arial"/>
          <w:color w:val="000000"/>
          <w:sz w:val="22"/>
        </w:rPr>
        <w:t xml:space="preserve">“The collection of disability data in the Public Service is currently under review and disability statistics collected by the survey have not been published since 2002 because of concerns about data quality.” </w:t>
      </w:r>
    </w:p>
    <w:p w:rsidR="003E69E7" w:rsidRDefault="003E69E7" w:rsidP="003E69E7">
      <w:pPr>
        <w:autoSpaceDE w:val="0"/>
        <w:autoSpaceDN w:val="0"/>
        <w:adjustRightInd w:val="0"/>
        <w:jc w:val="both"/>
        <w:rPr>
          <w:rFonts w:cs="Arial"/>
          <w:color w:val="000000"/>
          <w:sz w:val="22"/>
        </w:rPr>
      </w:pPr>
    </w:p>
    <w:p w:rsidR="003E69E7" w:rsidRDefault="003E69E7" w:rsidP="003E69E7">
      <w:pPr>
        <w:autoSpaceDE w:val="0"/>
        <w:autoSpaceDN w:val="0"/>
        <w:adjustRightInd w:val="0"/>
        <w:jc w:val="both"/>
        <w:rPr>
          <w:rFonts w:cs="Arial"/>
          <w:sz w:val="22"/>
        </w:rPr>
      </w:pPr>
      <w:r>
        <w:rPr>
          <w:sz w:val="22"/>
        </w:rPr>
        <w:t xml:space="preserve">The HRCS reports on the employment of other equal employment opportunities (EEO) target groups, such as Māori, other ethnic and minority groups and women, and includes representation at senior management levels.  Information about the employment of disabled people in the public service comes from the 2006 </w:t>
      </w:r>
      <w:r>
        <w:rPr>
          <w:rFonts w:cs="Arial"/>
          <w:sz w:val="22"/>
        </w:rPr>
        <w:t xml:space="preserve">Household Disability Survey (Statistics New Zealand) and the 2005 Career Progression and Development Survey. </w:t>
      </w:r>
      <w:r>
        <w:rPr>
          <w:rFonts w:cs="Arial"/>
          <w:i/>
          <w:sz w:val="22"/>
        </w:rPr>
        <w:t>Enabling Ability</w:t>
      </w:r>
      <w:r>
        <w:rPr>
          <w:rFonts w:cs="Arial"/>
          <w:sz w:val="22"/>
        </w:rPr>
        <w:t>,</w:t>
      </w:r>
      <w:r>
        <w:rPr>
          <w:rStyle w:val="FootnoteReference"/>
          <w:rFonts w:cs="Arial"/>
          <w:sz w:val="22"/>
        </w:rPr>
        <w:footnoteReference w:id="3"/>
      </w:r>
      <w:r>
        <w:rPr>
          <w:rFonts w:cs="Arial"/>
          <w:sz w:val="22"/>
        </w:rPr>
        <w:t xml:space="preserve"> a 2008 report from the SSC on disabled people in the public service reported:</w:t>
      </w:r>
    </w:p>
    <w:p w:rsidR="003E69E7" w:rsidRDefault="003E69E7" w:rsidP="003E69E7">
      <w:pPr>
        <w:autoSpaceDE w:val="0"/>
        <w:autoSpaceDN w:val="0"/>
        <w:adjustRightInd w:val="0"/>
        <w:ind w:left="720"/>
        <w:jc w:val="both"/>
        <w:rPr>
          <w:rFonts w:cs="Arial"/>
          <w:sz w:val="22"/>
        </w:rPr>
      </w:pPr>
      <w:r>
        <w:rPr>
          <w:rFonts w:cs="Arial"/>
          <w:sz w:val="22"/>
        </w:rPr>
        <w:br/>
        <w:t xml:space="preserve">“The Statistics NZ 2006 Disability Survey indicates that 10.4% of the Public Service proxy group workforce has a disability, compared with 11.2% of the total employed labour force.”  </w:t>
      </w:r>
    </w:p>
    <w:p w:rsidR="003E69E7" w:rsidRDefault="003E69E7" w:rsidP="003E69E7">
      <w:pPr>
        <w:jc w:val="both"/>
        <w:rPr>
          <w:sz w:val="22"/>
          <w:u w:val="single"/>
        </w:rPr>
      </w:pPr>
      <w:r>
        <w:rPr>
          <w:sz w:val="22"/>
        </w:rPr>
        <w:t xml:space="preserve"> </w:t>
      </w:r>
    </w:p>
    <w:p w:rsidR="003E69E7" w:rsidRDefault="003E69E7" w:rsidP="003E69E7">
      <w:pPr>
        <w:jc w:val="both"/>
        <w:rPr>
          <w:b/>
          <w:color w:val="00B0F0"/>
          <w:sz w:val="28"/>
          <w:szCs w:val="28"/>
        </w:rPr>
      </w:pPr>
      <w:r>
        <w:rPr>
          <w:b/>
          <w:color w:val="00B0F0"/>
          <w:sz w:val="28"/>
          <w:szCs w:val="28"/>
        </w:rPr>
        <w:t>Mainstream Programme</w:t>
      </w:r>
    </w:p>
    <w:p w:rsidR="003E69E7" w:rsidRDefault="003E69E7" w:rsidP="003E69E7">
      <w:pPr>
        <w:jc w:val="both"/>
        <w:rPr>
          <w:rFonts w:cs="Arial"/>
          <w:sz w:val="22"/>
          <w:lang w:eastAsia="en-NZ"/>
        </w:rPr>
      </w:pPr>
      <w:r>
        <w:rPr>
          <w:sz w:val="22"/>
        </w:rPr>
        <w:t xml:space="preserve">The Mainstream Programme provides a package of subsidies, training, and other support to help people with significant disabilities gain work experience in the State sector.  The programme offers </w:t>
      </w:r>
      <w:r>
        <w:rPr>
          <w:rFonts w:cs="Arial"/>
          <w:sz w:val="22"/>
        </w:rPr>
        <w:t>a</w:t>
      </w:r>
      <w:r>
        <w:rPr>
          <w:rFonts w:cs="Arial"/>
          <w:sz w:val="22"/>
          <w:lang w:eastAsia="en-NZ"/>
        </w:rPr>
        <w:t xml:space="preserve"> 100% salary subsidy for the first year of employment, and 50% of the salary for the second year as well as funding to meet participants’ adaptive technology or specialised assistance costs, training for participants and their supervisors and follow up support. </w:t>
      </w:r>
    </w:p>
    <w:p w:rsidR="003E69E7" w:rsidRDefault="003E69E7" w:rsidP="003E69E7">
      <w:pPr>
        <w:jc w:val="both"/>
        <w:rPr>
          <w:sz w:val="22"/>
        </w:rPr>
      </w:pPr>
    </w:p>
    <w:p w:rsidR="003E69E7" w:rsidRDefault="003E69E7" w:rsidP="003E69E7">
      <w:pPr>
        <w:jc w:val="both"/>
        <w:rPr>
          <w:sz w:val="22"/>
        </w:rPr>
      </w:pPr>
      <w:r>
        <w:rPr>
          <w:sz w:val="22"/>
        </w:rPr>
        <w:t xml:space="preserve">Currently 221 participants are in the programme, which places over a hundred a year. Mainstream workers are employed in schools and in the public service. The programme leads to permanent work for 41% of participants on average, although not all of the jobs are full-time. Mainstream participants placed in a school are more likely to get permanent work, </w:t>
      </w:r>
      <w:r>
        <w:rPr>
          <w:sz w:val="22"/>
        </w:rPr>
        <w:lastRenderedPageBreak/>
        <w:t>but that work is more likely to be part-time. Public sector jobs tend to be better paid and for more hours, either fullt</w:t>
      </w:r>
      <w:r w:rsidR="00DA2BBB">
        <w:rPr>
          <w:sz w:val="22"/>
        </w:rPr>
        <w:t>ime or 30 hours or more a week.</w:t>
      </w:r>
    </w:p>
    <w:p w:rsidR="003C1995" w:rsidRDefault="003C1995" w:rsidP="00C82F13">
      <w:pPr>
        <w:jc w:val="both"/>
        <w:outlineLvl w:val="0"/>
        <w:rPr>
          <w:rFonts w:cs="Arial"/>
          <w:sz w:val="22"/>
          <w:szCs w:val="22"/>
        </w:rPr>
      </w:pPr>
    </w:p>
    <w:p w:rsidR="003E69E7" w:rsidRPr="00A73396" w:rsidRDefault="003E69E7" w:rsidP="00C82F13">
      <w:pPr>
        <w:jc w:val="both"/>
        <w:outlineLvl w:val="0"/>
        <w:rPr>
          <w:rFonts w:cs="Arial"/>
          <w:sz w:val="22"/>
          <w:szCs w:val="22"/>
        </w:rPr>
      </w:pPr>
      <w:r w:rsidRPr="00C82F13">
        <w:rPr>
          <w:rFonts w:cs="Arial"/>
          <w:sz w:val="22"/>
          <w:szCs w:val="22"/>
        </w:rPr>
        <w:t>Mixed views were expressed about Mainstream.   The Commission heard about a blind person with a law degree who was employed as a judge’s clerk through the Mainstream programme. One view is that it is a good programme and “almost the only mechanism for disabled people to get employment”. Another is that Mainstream signals, incorrectly, that people are not being employed on merit.</w:t>
      </w:r>
      <w:r w:rsidRPr="00A73396">
        <w:rPr>
          <w:rFonts w:cs="Arial"/>
          <w:sz w:val="22"/>
          <w:szCs w:val="22"/>
        </w:rPr>
        <w:t xml:space="preserve"> </w:t>
      </w:r>
    </w:p>
    <w:p w:rsidR="003E69E7" w:rsidRDefault="003E69E7" w:rsidP="003E69E7">
      <w:pPr>
        <w:jc w:val="both"/>
        <w:rPr>
          <w:b/>
          <w:color w:val="00B0F0"/>
          <w:sz w:val="40"/>
          <w:szCs w:val="40"/>
        </w:rPr>
      </w:pPr>
    </w:p>
    <w:p w:rsidR="003E69E7" w:rsidRDefault="003E69E7" w:rsidP="003E69E7">
      <w:pPr>
        <w:jc w:val="both"/>
        <w:rPr>
          <w:b/>
          <w:color w:val="00B0F0"/>
          <w:sz w:val="40"/>
          <w:szCs w:val="40"/>
        </w:rPr>
      </w:pPr>
      <w:r>
        <w:rPr>
          <w:b/>
          <w:color w:val="00B0F0"/>
          <w:sz w:val="40"/>
          <w:szCs w:val="40"/>
        </w:rPr>
        <w:t xml:space="preserve">Private Sector </w:t>
      </w:r>
    </w:p>
    <w:p w:rsidR="003E69E7" w:rsidRDefault="003E69E7" w:rsidP="003E69E7">
      <w:pPr>
        <w:jc w:val="both"/>
        <w:rPr>
          <w:sz w:val="22"/>
          <w:u w:val="single"/>
        </w:rPr>
      </w:pPr>
    </w:p>
    <w:p w:rsidR="003E69E7" w:rsidRDefault="003E69E7" w:rsidP="003E69E7">
      <w:pPr>
        <w:jc w:val="both"/>
        <w:rPr>
          <w:b/>
          <w:color w:val="00B0F0"/>
          <w:sz w:val="28"/>
          <w:szCs w:val="28"/>
        </w:rPr>
      </w:pPr>
      <w:r>
        <w:rPr>
          <w:b/>
          <w:color w:val="00B0F0"/>
          <w:sz w:val="28"/>
          <w:szCs w:val="28"/>
        </w:rPr>
        <w:t>Legislation</w:t>
      </w:r>
    </w:p>
    <w:p w:rsidR="003E69E7" w:rsidRDefault="003E69E7" w:rsidP="003E69E7">
      <w:pPr>
        <w:jc w:val="both"/>
        <w:rPr>
          <w:sz w:val="22"/>
        </w:rPr>
      </w:pPr>
      <w:r>
        <w:rPr>
          <w:sz w:val="22"/>
        </w:rPr>
        <w:t>The private sector is required to comply with the Human Rights Act and not discriminate on the grounds of disability. There is no positive duty toward disadvantaged groups to be ‘good employers’ including having an equal</w:t>
      </w:r>
      <w:r w:rsidR="003C1995">
        <w:rPr>
          <w:sz w:val="22"/>
        </w:rPr>
        <w:t xml:space="preserve"> </w:t>
      </w:r>
      <w:r>
        <w:rPr>
          <w:sz w:val="22"/>
        </w:rPr>
        <w:t>employment opportunities programme</w:t>
      </w:r>
      <w:r w:rsidR="00DA2BBB">
        <w:rPr>
          <w:sz w:val="22"/>
        </w:rPr>
        <w:t xml:space="preserve"> </w:t>
      </w:r>
      <w:r w:rsidR="00DA2BBB" w:rsidRPr="00C82F13">
        <w:rPr>
          <w:sz w:val="22"/>
        </w:rPr>
        <w:t>like there is in the public sector</w:t>
      </w:r>
      <w:r w:rsidRPr="00C82F13">
        <w:rPr>
          <w:sz w:val="22"/>
        </w:rPr>
        <w:t>. It is the Commission’s view that mechanisms to address systemic</w:t>
      </w:r>
      <w:r>
        <w:rPr>
          <w:sz w:val="22"/>
        </w:rPr>
        <w:t xml:space="preserve"> discrimination and disadvantage should be strengthened in both the public and private sectors. Extending the “good employer legislation” to the private sector is one such mechanism. </w:t>
      </w:r>
    </w:p>
    <w:p w:rsidR="003E69E7" w:rsidRDefault="003E69E7" w:rsidP="003E69E7">
      <w:pPr>
        <w:jc w:val="both"/>
        <w:rPr>
          <w:sz w:val="22"/>
        </w:rPr>
      </w:pPr>
    </w:p>
    <w:p w:rsidR="003E69E7" w:rsidRDefault="003E69E7" w:rsidP="003E69E7">
      <w:pPr>
        <w:jc w:val="both"/>
        <w:rPr>
          <w:sz w:val="22"/>
        </w:rPr>
      </w:pPr>
      <w:r>
        <w:rPr>
          <w:sz w:val="22"/>
        </w:rPr>
        <w:t>The CRPD also refers to the private sector specifically in Article 27 (1) (h) which states:</w:t>
      </w:r>
    </w:p>
    <w:p w:rsidR="00947147" w:rsidRDefault="003E69E7" w:rsidP="00947147">
      <w:pPr>
        <w:ind w:left="720"/>
        <w:jc w:val="both"/>
        <w:rPr>
          <w:sz w:val="22"/>
        </w:rPr>
      </w:pPr>
      <w:r>
        <w:rPr>
          <w:sz w:val="22"/>
        </w:rPr>
        <w:t xml:space="preserve"> </w:t>
      </w:r>
    </w:p>
    <w:p w:rsidR="003E69E7" w:rsidRDefault="003E69E7" w:rsidP="00947147">
      <w:pPr>
        <w:ind w:left="720"/>
        <w:jc w:val="both"/>
        <w:rPr>
          <w:rFonts w:cs="Arial"/>
          <w:sz w:val="22"/>
          <w:szCs w:val="22"/>
        </w:rPr>
      </w:pPr>
      <w:r>
        <w:rPr>
          <w:rFonts w:cs="Arial"/>
          <w:i/>
          <w:color w:val="000000"/>
          <w:sz w:val="22"/>
          <w:szCs w:val="22"/>
          <w:lang w:eastAsia="en-NZ"/>
        </w:rPr>
        <w:t xml:space="preserve">Promote the employment of persons with disabilities in the private sector through appropriate policies and measures, which may include affirmative action </w:t>
      </w:r>
      <w:r w:rsidRPr="00C82F13">
        <w:rPr>
          <w:rFonts w:cs="Arial"/>
          <w:i/>
          <w:color w:val="000000"/>
          <w:sz w:val="22"/>
          <w:szCs w:val="22"/>
          <w:lang w:eastAsia="en-NZ"/>
        </w:rPr>
        <w:t>program</w:t>
      </w:r>
      <w:r w:rsidR="005E207C" w:rsidRPr="00C82F13">
        <w:rPr>
          <w:rFonts w:cs="Arial"/>
          <w:i/>
          <w:color w:val="000000"/>
          <w:sz w:val="22"/>
          <w:szCs w:val="22"/>
          <w:lang w:eastAsia="en-NZ"/>
        </w:rPr>
        <w:t>me</w:t>
      </w:r>
      <w:r w:rsidRPr="00C82F13">
        <w:rPr>
          <w:rFonts w:cs="Arial"/>
          <w:i/>
          <w:color w:val="000000"/>
          <w:sz w:val="22"/>
          <w:szCs w:val="22"/>
          <w:lang w:eastAsia="en-NZ"/>
        </w:rPr>
        <w:t>s, ince</w:t>
      </w:r>
      <w:r>
        <w:rPr>
          <w:rFonts w:cs="Arial"/>
          <w:i/>
          <w:color w:val="000000"/>
          <w:sz w:val="22"/>
          <w:szCs w:val="22"/>
          <w:lang w:eastAsia="en-NZ"/>
        </w:rPr>
        <w:t>ntives and other measures</w:t>
      </w:r>
      <w:r>
        <w:rPr>
          <w:rFonts w:cs="Arial"/>
          <w:color w:val="000000"/>
          <w:sz w:val="22"/>
          <w:szCs w:val="22"/>
          <w:lang w:eastAsia="en-NZ"/>
        </w:rPr>
        <w:t xml:space="preserve">. </w:t>
      </w:r>
    </w:p>
    <w:p w:rsidR="003E69E7" w:rsidRDefault="003E69E7" w:rsidP="003E69E7">
      <w:pPr>
        <w:jc w:val="both"/>
        <w:rPr>
          <w:sz w:val="22"/>
        </w:rPr>
      </w:pPr>
    </w:p>
    <w:p w:rsidR="005E207C" w:rsidRDefault="00DA2BBB" w:rsidP="003E69E7">
      <w:pPr>
        <w:jc w:val="both"/>
        <w:rPr>
          <w:sz w:val="22"/>
        </w:rPr>
      </w:pPr>
      <w:r w:rsidRPr="00C82F13">
        <w:rPr>
          <w:sz w:val="22"/>
        </w:rPr>
        <w:t>There are other general sections in the Convention that apply equally to the private and public sectors including career advancement as well as assistance in finding and returning to work, self employment and starting a business, ensuring reasonable accommodation, promoting work experience in the open labour market and promoting vocational and professional rehabilitation and return-to-work programmes.</w:t>
      </w:r>
    </w:p>
    <w:p w:rsidR="005E207C" w:rsidRDefault="005E207C" w:rsidP="003E69E7">
      <w:pPr>
        <w:jc w:val="both"/>
        <w:rPr>
          <w:sz w:val="22"/>
        </w:rPr>
      </w:pPr>
    </w:p>
    <w:p w:rsidR="005E207C" w:rsidRDefault="005E207C" w:rsidP="003E69E7">
      <w:pPr>
        <w:jc w:val="both"/>
        <w:rPr>
          <w:sz w:val="22"/>
        </w:rPr>
      </w:pPr>
    </w:p>
    <w:p w:rsidR="003E69E7" w:rsidRDefault="003E69E7" w:rsidP="003E69E7">
      <w:pPr>
        <w:jc w:val="both"/>
        <w:rPr>
          <w:b/>
          <w:color w:val="00B0F0"/>
          <w:sz w:val="28"/>
          <w:szCs w:val="28"/>
        </w:rPr>
      </w:pPr>
      <w:r>
        <w:rPr>
          <w:b/>
          <w:color w:val="00B0F0"/>
          <w:sz w:val="28"/>
          <w:szCs w:val="28"/>
        </w:rPr>
        <w:t xml:space="preserve">Employers’ Networks </w:t>
      </w:r>
    </w:p>
    <w:p w:rsidR="003E69E7" w:rsidRDefault="003E69E7" w:rsidP="003E69E7">
      <w:pPr>
        <w:pStyle w:val="NormalWeb"/>
        <w:spacing w:before="0" w:beforeAutospacing="0" w:after="0" w:afterAutospacing="0"/>
        <w:jc w:val="both"/>
        <w:rPr>
          <w:rFonts w:ascii="Arial" w:hAnsi="Arial" w:cs="Arial"/>
          <w:sz w:val="22"/>
          <w:szCs w:val="22"/>
        </w:rPr>
      </w:pPr>
      <w:r>
        <w:rPr>
          <w:rFonts w:ascii="Arial" w:hAnsi="Arial" w:cs="Arial"/>
          <w:sz w:val="22"/>
          <w:szCs w:val="22"/>
        </w:rPr>
        <w:t>The EEO Trust promotes equal employment opportunities in the private sector for all target groups and the Employers Disability Network (EDN) provides leadership and specifically encourages and supports disabled people.  The network emphasises both the business case for employing disabled people and a rights-based approach. EDN is based on the UK Employers’ Forum on Disability and the Australian Network on Disability and is a not-for-profit network of organisations sharing best practice on working with disability in all areas of business. Patron Dr Roderick Deane writes:</w:t>
      </w:r>
      <w:r>
        <w:rPr>
          <w:rStyle w:val="FootnoteReference"/>
          <w:rFonts w:cs="Arial"/>
          <w:sz w:val="22"/>
          <w:szCs w:val="22"/>
        </w:rPr>
        <w:footnoteReference w:id="4"/>
      </w:r>
    </w:p>
    <w:p w:rsidR="00DA2BBB" w:rsidRDefault="00DA2BBB" w:rsidP="003E69E7">
      <w:pPr>
        <w:pStyle w:val="NormalWeb"/>
        <w:spacing w:before="0" w:beforeAutospacing="0" w:after="0" w:afterAutospacing="0"/>
        <w:jc w:val="both"/>
        <w:rPr>
          <w:rFonts w:ascii="Arial" w:hAnsi="Arial" w:cs="Arial"/>
          <w:sz w:val="22"/>
          <w:szCs w:val="22"/>
        </w:rPr>
      </w:pPr>
    </w:p>
    <w:p w:rsidR="003E69E7" w:rsidRDefault="003E69E7" w:rsidP="00DA2BBB">
      <w:pPr>
        <w:pStyle w:val="NormalWeb"/>
        <w:spacing w:before="0" w:beforeAutospacing="0" w:afterAutospacing="0"/>
        <w:jc w:val="both"/>
        <w:rPr>
          <w:rFonts w:ascii="Arial" w:hAnsi="Arial" w:cs="Arial"/>
          <w:sz w:val="22"/>
          <w:szCs w:val="22"/>
        </w:rPr>
      </w:pPr>
      <w:r>
        <w:rPr>
          <w:rFonts w:ascii="Arial" w:hAnsi="Arial" w:cs="Arial"/>
          <w:sz w:val="22"/>
          <w:szCs w:val="22"/>
        </w:rPr>
        <w:t>“The EDN is a group of employers dedicated to ensuring that disabled people get the same opportunities in life as the rest of us and, in particular, have access to jobs and work.</w:t>
      </w:r>
      <w:r w:rsidR="00DA2BBB">
        <w:rPr>
          <w:rFonts w:ascii="Arial" w:hAnsi="Arial" w:cs="Arial"/>
          <w:sz w:val="22"/>
          <w:szCs w:val="22"/>
        </w:rPr>
        <w:t xml:space="preserve">  </w:t>
      </w:r>
      <w:r>
        <w:rPr>
          <w:rFonts w:ascii="Arial" w:hAnsi="Arial" w:cs="Arial"/>
          <w:sz w:val="22"/>
          <w:szCs w:val="22"/>
        </w:rPr>
        <w:t>The EDN aims to help employers understand ways in which jobs can be created for disabled people and to encourage welcoming and accepting attit</w:t>
      </w:r>
      <w:r w:rsidR="00DA2BBB">
        <w:rPr>
          <w:rFonts w:ascii="Arial" w:hAnsi="Arial" w:cs="Arial"/>
          <w:sz w:val="22"/>
          <w:szCs w:val="22"/>
        </w:rPr>
        <w:t xml:space="preserve">udes to those with disabilities, it </w:t>
      </w:r>
      <w:r>
        <w:rPr>
          <w:rFonts w:ascii="Arial" w:hAnsi="Arial" w:cs="Arial"/>
          <w:sz w:val="22"/>
          <w:szCs w:val="22"/>
        </w:rPr>
        <w:t>believes that disability is simply part of the diversity of our society and that disabled people should not be disadvantaged in seeking work but rather be positively encouraged to do so. For this to happen, employers must have a welcoming and inclusive culture.</w:t>
      </w:r>
    </w:p>
    <w:p w:rsidR="003E69E7" w:rsidRDefault="003E69E7" w:rsidP="00DA2BBB">
      <w:pPr>
        <w:pStyle w:val="NormalWeb"/>
        <w:spacing w:before="0" w:beforeAutospacing="0" w:after="0" w:afterAutospacing="0"/>
        <w:jc w:val="both"/>
        <w:rPr>
          <w:rFonts w:ascii="Arial" w:hAnsi="Arial" w:cs="Arial"/>
          <w:sz w:val="22"/>
          <w:szCs w:val="22"/>
        </w:rPr>
      </w:pPr>
      <w:r>
        <w:rPr>
          <w:rFonts w:ascii="Arial" w:hAnsi="Arial" w:cs="Arial"/>
          <w:sz w:val="22"/>
          <w:szCs w:val="22"/>
        </w:rPr>
        <w:lastRenderedPageBreak/>
        <w:t>The EDN aims to encourage and foster this sort of positive attitude and make it work in practice throughout New Zealand.”</w:t>
      </w:r>
    </w:p>
    <w:p w:rsidR="003E69E7" w:rsidRDefault="003E69E7" w:rsidP="003E69E7">
      <w:pPr>
        <w:pStyle w:val="NormalWeb"/>
        <w:spacing w:before="0" w:beforeAutospacing="0" w:after="0" w:afterAutospacing="0"/>
        <w:jc w:val="both"/>
        <w:rPr>
          <w:rFonts w:ascii="Arial" w:hAnsi="Arial" w:cs="Arial"/>
          <w:sz w:val="22"/>
          <w:szCs w:val="22"/>
        </w:rPr>
      </w:pPr>
    </w:p>
    <w:p w:rsidR="003E69E7" w:rsidRDefault="003E69E7" w:rsidP="003E69E7">
      <w:pPr>
        <w:pStyle w:val="NormalWeb"/>
        <w:spacing w:before="0" w:beforeAutospacing="0" w:after="0" w:afterAutospacing="0"/>
        <w:jc w:val="both"/>
        <w:rPr>
          <w:sz w:val="22"/>
          <w:szCs w:val="22"/>
          <w:u w:val="single"/>
        </w:rPr>
      </w:pPr>
      <w:r>
        <w:rPr>
          <w:rFonts w:ascii="Arial" w:hAnsi="Arial" w:cs="Arial"/>
          <w:sz w:val="22"/>
          <w:szCs w:val="22"/>
        </w:rPr>
        <w:t xml:space="preserve">The Ministry of Social Development provides secretariat support. To date EDN has set up a website, offering support and advice to employers. </w:t>
      </w:r>
    </w:p>
    <w:p w:rsidR="003E69E7" w:rsidRDefault="003E69E7" w:rsidP="003E69E7">
      <w:pPr>
        <w:jc w:val="both"/>
        <w:rPr>
          <w:b/>
          <w:color w:val="00B0F0"/>
          <w:sz w:val="28"/>
          <w:szCs w:val="28"/>
        </w:rPr>
      </w:pPr>
    </w:p>
    <w:p w:rsidR="003E69E7" w:rsidRDefault="003E69E7" w:rsidP="003E69E7">
      <w:pPr>
        <w:jc w:val="both"/>
        <w:rPr>
          <w:b/>
          <w:color w:val="00B0F0"/>
          <w:sz w:val="40"/>
          <w:szCs w:val="40"/>
        </w:rPr>
      </w:pPr>
      <w:r>
        <w:rPr>
          <w:b/>
          <w:color w:val="00B0F0"/>
          <w:sz w:val="40"/>
          <w:szCs w:val="40"/>
        </w:rPr>
        <w:t>Minimum Wage Exemptions</w:t>
      </w:r>
    </w:p>
    <w:p w:rsidR="003E69E7" w:rsidRDefault="003E69E7" w:rsidP="003E69E7">
      <w:pPr>
        <w:jc w:val="both"/>
        <w:rPr>
          <w:b/>
          <w:sz w:val="22"/>
        </w:rPr>
      </w:pPr>
    </w:p>
    <w:p w:rsidR="003E69E7" w:rsidRDefault="003E69E7" w:rsidP="003E69E7">
      <w:pPr>
        <w:jc w:val="both"/>
        <w:rPr>
          <w:b/>
          <w:color w:val="00B0F0"/>
          <w:sz w:val="28"/>
          <w:szCs w:val="28"/>
        </w:rPr>
      </w:pPr>
      <w:r>
        <w:rPr>
          <w:b/>
          <w:color w:val="00B0F0"/>
          <w:sz w:val="28"/>
          <w:szCs w:val="28"/>
        </w:rPr>
        <w:t>Legislative background</w:t>
      </w:r>
    </w:p>
    <w:p w:rsidR="003E69E7" w:rsidRDefault="003E69E7" w:rsidP="003E69E7">
      <w:pPr>
        <w:rPr>
          <w:sz w:val="22"/>
        </w:rPr>
      </w:pPr>
      <w:r>
        <w:rPr>
          <w:sz w:val="22"/>
        </w:rPr>
        <w:t xml:space="preserve">The Minimum Wage Amendment Act 2007 was enacted after the repeal of the Disabled Persons Employment Promotion Act (DPEP). The DPEP had been regarded by many disabled people as “utterly improper and an abuse of human rights”, according to a submission by the Disabled Persons Assembly (DPA). At the time, it was argued that the changes in the legislation would see disabled people’s employment brought into line with New Zealand and international human rights norms. </w:t>
      </w:r>
      <w:r>
        <w:rPr>
          <w:sz w:val="22"/>
        </w:rPr>
        <w:br/>
      </w:r>
      <w:r>
        <w:rPr>
          <w:sz w:val="22"/>
        </w:rPr>
        <w:br/>
        <w:t>The then Minister of Disability Issues, Ruth Dyson said: “The repeal will mean that all sheltered workshops will have to pay everyone they employ at least the minimum wage, unless an individual worker has an exemption.  It will also mean that all people who work in sheltered workshops will have access to holiday and sick leave entitlements. To counter concerns about the continuing financial viability of sheltered workshops, the ministry has put in place a system of individual minimum wage exemption permits for workers who are   ‘significantly and demonstrably limited’ in their work.”</w:t>
      </w:r>
      <w:r>
        <w:rPr>
          <w:sz w:val="22"/>
        </w:rPr>
        <w:br/>
      </w:r>
      <w:r>
        <w:rPr>
          <w:sz w:val="22"/>
        </w:rPr>
        <w:br/>
        <w:t xml:space="preserve">DPA said that this means disabled workers can be subject to minimum wage payment provisions on the basis of productivity. “In this context, productivity is about comparing a disabled employee’s output with another employee doing the same job and, if it is considered that the disabled employee’s productivity is lower, paying them at a lower rate. It is not a concept used elsewhere in the employment sector.” </w:t>
      </w:r>
      <w:r>
        <w:rPr>
          <w:sz w:val="22"/>
        </w:rPr>
        <w:br/>
      </w:r>
      <w:r>
        <w:rPr>
          <w:sz w:val="22"/>
        </w:rPr>
        <w:br/>
        <w:t xml:space="preserve">The DPEP Act along with the 1983 Minimum Wage Act had allowed for blanket minimum wage exemptions to be given to workplaces that employed disabled people. These workplaces were commonly known as ‘sheltered workshops.’  The law change meant that the individual employee, following an assessment, had to be issued with a permit from the Department of Labour that entitled their employer to pay them a particular amount less than the minimum wage. </w:t>
      </w:r>
    </w:p>
    <w:p w:rsidR="003E69E7" w:rsidRDefault="003E69E7" w:rsidP="003E69E7">
      <w:pPr>
        <w:jc w:val="both"/>
        <w:rPr>
          <w:sz w:val="22"/>
        </w:rPr>
      </w:pPr>
    </w:p>
    <w:p w:rsidR="003E69E7" w:rsidRDefault="003E69E7" w:rsidP="003E69E7">
      <w:pPr>
        <w:jc w:val="both"/>
        <w:rPr>
          <w:sz w:val="22"/>
        </w:rPr>
      </w:pPr>
      <w:r>
        <w:rPr>
          <w:sz w:val="22"/>
        </w:rPr>
        <w:t>The Minimum Wage Exemption Act enables a Labour Inspector to issue a minimum wage exemption permit to a worker if the Inspector is satisfied that -</w:t>
      </w:r>
    </w:p>
    <w:p w:rsidR="003E69E7" w:rsidRDefault="003E69E7" w:rsidP="003E69E7">
      <w:pPr>
        <w:pStyle w:val="ListParagraph"/>
        <w:numPr>
          <w:ilvl w:val="0"/>
          <w:numId w:val="47"/>
        </w:numPr>
        <w:jc w:val="both"/>
        <w:rPr>
          <w:sz w:val="22"/>
        </w:rPr>
      </w:pPr>
      <w:r>
        <w:rPr>
          <w:sz w:val="22"/>
        </w:rPr>
        <w:t>the worker is significantly and demonstrably limited by a disability in carrying out the requirements of his or her work; and</w:t>
      </w:r>
    </w:p>
    <w:p w:rsidR="003E69E7" w:rsidRDefault="003E69E7" w:rsidP="003E69E7">
      <w:pPr>
        <w:pStyle w:val="ListParagraph"/>
        <w:numPr>
          <w:ilvl w:val="0"/>
          <w:numId w:val="47"/>
        </w:numPr>
        <w:jc w:val="both"/>
        <w:rPr>
          <w:sz w:val="22"/>
        </w:rPr>
      </w:pPr>
      <w:r>
        <w:rPr>
          <w:sz w:val="22"/>
        </w:rPr>
        <w:t>any reasonable accommodations that could have been made to facilitate carrying out the requirements of the work have been considered by the employer and the worker; and</w:t>
      </w:r>
    </w:p>
    <w:p w:rsidR="003E69E7" w:rsidRDefault="003E69E7" w:rsidP="003E69E7">
      <w:pPr>
        <w:pStyle w:val="ListParagraph"/>
        <w:numPr>
          <w:ilvl w:val="0"/>
          <w:numId w:val="47"/>
        </w:numPr>
        <w:jc w:val="both"/>
        <w:rPr>
          <w:sz w:val="22"/>
        </w:rPr>
      </w:pPr>
      <w:r>
        <w:rPr>
          <w:sz w:val="22"/>
        </w:rPr>
        <w:t xml:space="preserve">it is reasonable and appropriate to grant the permit.  </w:t>
      </w:r>
    </w:p>
    <w:p w:rsidR="003E69E7" w:rsidRDefault="003E69E7" w:rsidP="003E69E7">
      <w:pPr>
        <w:jc w:val="both"/>
        <w:rPr>
          <w:sz w:val="22"/>
        </w:rPr>
      </w:pPr>
    </w:p>
    <w:p w:rsidR="003E69E7" w:rsidRDefault="003E69E7" w:rsidP="003E69E7">
      <w:pPr>
        <w:jc w:val="both"/>
        <w:rPr>
          <w:b/>
          <w:color w:val="00B0F0"/>
          <w:sz w:val="28"/>
          <w:szCs w:val="28"/>
        </w:rPr>
      </w:pPr>
      <w:r>
        <w:rPr>
          <w:sz w:val="22"/>
        </w:rPr>
        <w:t xml:space="preserve">Various wage assessment tools are accepted for the purpose of exemptions. Before accepting a Minimum Wage assessment tool, Labour Inspectors have to consider it against set criteria. For example a tool should be balanced and look at both productivity and individual competencies. The tool should be transparent and clearly show how the assessment is linked to wage rates and how the wage rate is calculated. Disability advocates have advised the Commission that the tools used do not appear to be consistent.   </w:t>
      </w:r>
    </w:p>
    <w:p w:rsidR="002127F2" w:rsidRDefault="002127F2" w:rsidP="003E69E7">
      <w:pPr>
        <w:jc w:val="both"/>
        <w:rPr>
          <w:b/>
          <w:color w:val="00B0F0"/>
          <w:sz w:val="28"/>
          <w:szCs w:val="28"/>
        </w:rPr>
      </w:pPr>
    </w:p>
    <w:p w:rsidR="00BC1116" w:rsidRDefault="00BC1116">
      <w:pPr>
        <w:spacing w:after="200" w:line="276" w:lineRule="auto"/>
        <w:rPr>
          <w:b/>
          <w:color w:val="00B0F0"/>
          <w:sz w:val="28"/>
          <w:szCs w:val="28"/>
        </w:rPr>
      </w:pPr>
      <w:r>
        <w:rPr>
          <w:b/>
          <w:color w:val="00B0F0"/>
          <w:sz w:val="28"/>
          <w:szCs w:val="28"/>
        </w:rPr>
        <w:br w:type="page"/>
      </w:r>
    </w:p>
    <w:p w:rsidR="003E69E7" w:rsidRDefault="003E69E7" w:rsidP="003E69E7">
      <w:pPr>
        <w:jc w:val="both"/>
        <w:rPr>
          <w:b/>
          <w:color w:val="00B0F0"/>
          <w:sz w:val="28"/>
          <w:szCs w:val="28"/>
        </w:rPr>
      </w:pPr>
      <w:r>
        <w:rPr>
          <w:b/>
          <w:color w:val="00B0F0"/>
          <w:sz w:val="28"/>
          <w:szCs w:val="28"/>
        </w:rPr>
        <w:lastRenderedPageBreak/>
        <w:t>National Conversation about Work</w:t>
      </w:r>
    </w:p>
    <w:p w:rsidR="003E69E7" w:rsidRDefault="00DA2BBB" w:rsidP="003E69E7">
      <w:pPr>
        <w:jc w:val="both"/>
        <w:rPr>
          <w:sz w:val="22"/>
        </w:rPr>
      </w:pPr>
      <w:r>
        <w:rPr>
          <w:rFonts w:cs="Arial"/>
          <w:sz w:val="22"/>
        </w:rPr>
        <w:t>In its largest workplace project, t</w:t>
      </w:r>
      <w:r w:rsidR="003E69E7">
        <w:rPr>
          <w:rFonts w:cs="Arial"/>
          <w:sz w:val="22"/>
        </w:rPr>
        <w:t xml:space="preserve">he Commission visited ‘business enterprises’ in Invercargill, Dunedin and Christchurch which provide employment for disabled people who would be unable to compete for work in the open labour market. The Commission also heard from disability advocacy groups about the very low rate of pay received by some disabled workers (as low as 15c an hour).   They believe that while business enterprises which operate like sheltered workshops remained an option, supported work opportunities in the open labour market were not being fully implemented.  </w:t>
      </w:r>
      <w:r w:rsidR="003E69E7">
        <w:rPr>
          <w:sz w:val="22"/>
        </w:rPr>
        <w:t xml:space="preserve">Forms of assistance include supported employment (such as job coaches). Supported employment is usually provided on the assumption that the person will increase their skill levels and competence and that support can be gradually phased out.  </w:t>
      </w:r>
    </w:p>
    <w:p w:rsidR="003E69E7" w:rsidRDefault="003E69E7" w:rsidP="003E69E7">
      <w:pPr>
        <w:jc w:val="both"/>
        <w:rPr>
          <w:rFonts w:cs="Arial"/>
          <w:sz w:val="22"/>
        </w:rPr>
      </w:pPr>
    </w:p>
    <w:p w:rsidR="003E69E7" w:rsidRDefault="003E69E7" w:rsidP="003E69E7">
      <w:pPr>
        <w:jc w:val="both"/>
        <w:rPr>
          <w:rFonts w:cs="Arial"/>
          <w:sz w:val="22"/>
        </w:rPr>
      </w:pPr>
      <w:r>
        <w:rPr>
          <w:rFonts w:cs="Arial"/>
          <w:sz w:val="22"/>
        </w:rPr>
        <w:t xml:space="preserve">Other employment options include micro-financing small business ventures, a mixture of education/training and work and narrowing job descriptions to a range of tasks that the disabled person can manage.  </w:t>
      </w:r>
    </w:p>
    <w:p w:rsidR="003E69E7" w:rsidRDefault="003E69E7" w:rsidP="003E69E7">
      <w:pPr>
        <w:jc w:val="both"/>
        <w:rPr>
          <w:rFonts w:cs="Arial"/>
          <w:sz w:val="22"/>
        </w:rPr>
      </w:pPr>
    </w:p>
    <w:p w:rsidR="003E69E7" w:rsidRDefault="003E69E7" w:rsidP="003E69E7">
      <w:pPr>
        <w:jc w:val="both"/>
        <w:rPr>
          <w:rFonts w:cs="Arial"/>
          <w:sz w:val="22"/>
        </w:rPr>
      </w:pPr>
      <w:r>
        <w:rPr>
          <w:rFonts w:cs="Arial"/>
          <w:sz w:val="22"/>
        </w:rPr>
        <w:t xml:space="preserve">Business enterprises came into being after the repeal of the DPEP Act, which resulted in the closure of sheltered workshops. In reality, people receiving a wage below the minimum have their income supplemented by a social welfare benefit.  </w:t>
      </w:r>
    </w:p>
    <w:p w:rsidR="003E69E7" w:rsidRDefault="003E69E7" w:rsidP="003E69E7">
      <w:pPr>
        <w:jc w:val="both"/>
        <w:rPr>
          <w:rFonts w:cs="Arial"/>
          <w:sz w:val="22"/>
        </w:rPr>
      </w:pPr>
    </w:p>
    <w:p w:rsidR="003E69E7" w:rsidRDefault="003E69E7" w:rsidP="003E69E7">
      <w:pPr>
        <w:jc w:val="both"/>
        <w:rPr>
          <w:rFonts w:cs="Arial"/>
          <w:sz w:val="22"/>
        </w:rPr>
      </w:pPr>
      <w:r>
        <w:rPr>
          <w:rFonts w:cs="Arial"/>
          <w:sz w:val="22"/>
        </w:rPr>
        <w:t xml:space="preserve">The employment of disabled people at rates below the minimum wage is controversial. The Commission heard all sides of the argument – from employers and employees, from business enterprises, from disability advocacy groups and from family members. Opponents of the exemption system say that it is discriminatory and alternate processes that support disabled people to work in the open labour market are necessary. Proponents argue that workers in business enterprises would not otherwise be employed and that working supports social inclusion and promotes well-being. </w:t>
      </w:r>
    </w:p>
    <w:p w:rsidR="003E69E7" w:rsidRDefault="003E69E7" w:rsidP="003E69E7">
      <w:pPr>
        <w:jc w:val="both"/>
        <w:rPr>
          <w:sz w:val="22"/>
        </w:rPr>
      </w:pPr>
    </w:p>
    <w:p w:rsidR="003E69E7" w:rsidRDefault="003E69E7" w:rsidP="003E69E7">
      <w:pPr>
        <w:jc w:val="both"/>
        <w:rPr>
          <w:b/>
          <w:color w:val="00B0F0"/>
          <w:sz w:val="28"/>
          <w:szCs w:val="28"/>
        </w:rPr>
      </w:pPr>
      <w:r>
        <w:rPr>
          <w:b/>
          <w:color w:val="00B0F0"/>
          <w:sz w:val="28"/>
          <w:szCs w:val="28"/>
        </w:rPr>
        <w:t>Facts and figures</w:t>
      </w:r>
    </w:p>
    <w:p w:rsidR="003E69E7" w:rsidRDefault="003E69E7" w:rsidP="003E69E7">
      <w:pPr>
        <w:jc w:val="both"/>
        <w:rPr>
          <w:sz w:val="22"/>
          <w:u w:val="single"/>
        </w:rPr>
      </w:pPr>
      <w:r>
        <w:rPr>
          <w:sz w:val="22"/>
        </w:rPr>
        <w:t xml:space="preserve">Greater transparency around the process of determining minimum wage exemptions has been called for by the disability community. Disability advocates reported difficulty in accessing information from the Department of Labour. The Human Rights Commission wrote to the department asking for information about the number of people receiving exemption permits, rates of pay and about whether or not there was a standardised method of assessing payment rates. </w:t>
      </w:r>
      <w:r>
        <w:rPr>
          <w:sz w:val="22"/>
          <w:u w:val="single"/>
        </w:rPr>
        <w:t xml:space="preserve"> </w:t>
      </w:r>
    </w:p>
    <w:p w:rsidR="003E69E7" w:rsidRDefault="003E69E7" w:rsidP="003E69E7">
      <w:pPr>
        <w:jc w:val="both"/>
        <w:rPr>
          <w:sz w:val="22"/>
        </w:rPr>
      </w:pPr>
    </w:p>
    <w:p w:rsidR="003E69E7" w:rsidRDefault="003E69E7" w:rsidP="003E69E7">
      <w:pPr>
        <w:jc w:val="both"/>
        <w:rPr>
          <w:sz w:val="22"/>
        </w:rPr>
      </w:pPr>
      <w:r>
        <w:rPr>
          <w:sz w:val="22"/>
        </w:rPr>
        <w:t>Currently 1076 people receive a minimum wage exemption permit under s8 of the Minimum Wage Exemption Act</w:t>
      </w:r>
      <w:r>
        <w:rPr>
          <w:rStyle w:val="FootnoteReference"/>
          <w:sz w:val="22"/>
        </w:rPr>
        <w:footnoteReference w:id="5"/>
      </w:r>
      <w:r>
        <w:rPr>
          <w:sz w:val="22"/>
        </w:rPr>
        <w:t xml:space="preserve">. In 2001, under the DPEP Act, approximately 5400 people were employed in sheltered workshops. There are 136 employers across New Zealand who employ people who have a minimum wage exemption. Some but not all, are business enterprises.    </w:t>
      </w:r>
    </w:p>
    <w:p w:rsidR="003E69E7" w:rsidRDefault="003E69E7" w:rsidP="003E69E7">
      <w:pPr>
        <w:jc w:val="both"/>
        <w:rPr>
          <w:sz w:val="22"/>
        </w:rPr>
      </w:pPr>
    </w:p>
    <w:p w:rsidR="003E69E7" w:rsidRDefault="003E69E7" w:rsidP="003E69E7">
      <w:pPr>
        <w:jc w:val="both"/>
        <w:rPr>
          <w:sz w:val="22"/>
        </w:rPr>
      </w:pPr>
      <w:r>
        <w:rPr>
          <w:sz w:val="22"/>
        </w:rPr>
        <w:t>Rates of pay vary from just under the minimum wage to less than a $1.00 an hour.</w:t>
      </w:r>
      <w:r>
        <w:rPr>
          <w:rStyle w:val="FootnoteReference"/>
          <w:sz w:val="22"/>
        </w:rPr>
        <w:footnoteReference w:id="6"/>
      </w:r>
      <w:r>
        <w:rPr>
          <w:sz w:val="22"/>
        </w:rPr>
        <w:t xml:space="preserve"> </w:t>
      </w:r>
    </w:p>
    <w:p w:rsidR="003E69E7" w:rsidRDefault="003E69E7" w:rsidP="003E69E7">
      <w:pPr>
        <w:jc w:val="both"/>
        <w:rPr>
          <w:sz w:val="22"/>
        </w:rPr>
      </w:pPr>
    </w:p>
    <w:p w:rsidR="00947147" w:rsidRDefault="00947147" w:rsidP="003E69E7">
      <w:pPr>
        <w:jc w:val="both"/>
        <w:rPr>
          <w:sz w:val="22"/>
        </w:rPr>
      </w:pPr>
    </w:p>
    <w:p w:rsidR="00947147" w:rsidRDefault="00947147" w:rsidP="003E69E7">
      <w:pPr>
        <w:jc w:val="both"/>
        <w:rPr>
          <w:sz w:val="22"/>
        </w:rPr>
      </w:pPr>
    </w:p>
    <w:p w:rsidR="00947147" w:rsidRDefault="00947147" w:rsidP="003E69E7">
      <w:pPr>
        <w:jc w:val="both"/>
        <w:rPr>
          <w:sz w:val="22"/>
        </w:rPr>
      </w:pPr>
    </w:p>
    <w:p w:rsidR="00947147" w:rsidRDefault="00947147" w:rsidP="003E69E7">
      <w:pPr>
        <w:jc w:val="both"/>
        <w:rPr>
          <w:sz w:val="22"/>
        </w:rPr>
      </w:pPr>
    </w:p>
    <w:p w:rsidR="00947147" w:rsidRDefault="00947147" w:rsidP="003E69E7">
      <w:pPr>
        <w:jc w:val="both"/>
        <w:rPr>
          <w:sz w:val="22"/>
        </w:rPr>
      </w:pPr>
    </w:p>
    <w:p w:rsidR="00947147" w:rsidRDefault="00947147" w:rsidP="003E69E7">
      <w:pPr>
        <w:jc w:val="both"/>
        <w:rPr>
          <w:sz w:val="22"/>
        </w:rPr>
      </w:pPr>
    </w:p>
    <w:p w:rsidR="00947147" w:rsidRDefault="00947147" w:rsidP="003E69E7">
      <w:pPr>
        <w:jc w:val="both"/>
        <w:rPr>
          <w:sz w:val="22"/>
        </w:rPr>
      </w:pPr>
    </w:p>
    <w:p w:rsidR="003E69E7" w:rsidRDefault="00997B54" w:rsidP="003E69E7">
      <w:pPr>
        <w:jc w:val="both"/>
        <w:rPr>
          <w:b/>
          <w:sz w:val="28"/>
          <w:szCs w:val="28"/>
        </w:rPr>
      </w:pPr>
      <w:r w:rsidRPr="00C82F13">
        <w:rPr>
          <w:b/>
          <w:sz w:val="28"/>
          <w:szCs w:val="28"/>
        </w:rPr>
        <w:lastRenderedPageBreak/>
        <w:t>Table 1</w:t>
      </w:r>
      <w:r w:rsidR="003E69E7" w:rsidRPr="00C82F13">
        <w:rPr>
          <w:b/>
          <w:sz w:val="28"/>
          <w:szCs w:val="28"/>
        </w:rPr>
        <w:t xml:space="preserve">:  </w:t>
      </w:r>
      <w:r w:rsidR="00C82F13" w:rsidRPr="00C82F13">
        <w:rPr>
          <w:b/>
          <w:sz w:val="28"/>
          <w:szCs w:val="28"/>
        </w:rPr>
        <w:t>M</w:t>
      </w:r>
      <w:r w:rsidR="003E69E7" w:rsidRPr="00C82F13">
        <w:rPr>
          <w:b/>
          <w:sz w:val="28"/>
          <w:szCs w:val="28"/>
        </w:rPr>
        <w:t>inimum wage exemptions</w:t>
      </w:r>
    </w:p>
    <w:p w:rsidR="003E69E7" w:rsidRDefault="003E69E7" w:rsidP="003E69E7">
      <w:pPr>
        <w:jc w:val="both"/>
        <w:rPr>
          <w:b/>
          <w:sz w:val="28"/>
          <w:szCs w:val="28"/>
        </w:rPr>
      </w:pPr>
    </w:p>
    <w:tbl>
      <w:tblPr>
        <w:tblStyle w:val="MediumGrid1-Accent2"/>
        <w:tblW w:w="9120" w:type="dxa"/>
        <w:tblLook w:val="04A0" w:firstRow="1" w:lastRow="0" w:firstColumn="1" w:lastColumn="0" w:noHBand="0" w:noVBand="1"/>
      </w:tblPr>
      <w:tblGrid>
        <w:gridCol w:w="4557"/>
        <w:gridCol w:w="4563"/>
      </w:tblGrid>
      <w:tr w:rsidR="003E69E7" w:rsidTr="003E69E7">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557"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rPr>
                <w:b w:val="0"/>
              </w:rPr>
            </w:pPr>
            <w:r>
              <w:t>Pay range</w:t>
            </w:r>
          </w:p>
        </w:tc>
        <w:tc>
          <w:tcPr>
            <w:tcW w:w="4563"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cnfStyle w:val="100000000000" w:firstRow="1" w:lastRow="0" w:firstColumn="0" w:lastColumn="0" w:oddVBand="0" w:evenVBand="0" w:oddHBand="0" w:evenHBand="0" w:firstRowFirstColumn="0" w:firstRowLastColumn="0" w:lastRowFirstColumn="0" w:lastRowLastColumn="0"/>
              <w:rPr>
                <w:b w:val="0"/>
              </w:rPr>
            </w:pPr>
            <w:r>
              <w:t xml:space="preserve">Number of permits </w:t>
            </w:r>
          </w:p>
        </w:tc>
      </w:tr>
      <w:tr w:rsidR="003E69E7" w:rsidTr="003E69E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557"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pPr>
            <w:r>
              <w:t>More than $10.00</w:t>
            </w:r>
          </w:p>
        </w:tc>
        <w:tc>
          <w:tcPr>
            <w:tcW w:w="4563"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cnfStyle w:val="000000100000" w:firstRow="0" w:lastRow="0" w:firstColumn="0" w:lastColumn="0" w:oddVBand="0" w:evenVBand="0" w:oddHBand="1" w:evenHBand="0" w:firstRowFirstColumn="0" w:firstRowLastColumn="0" w:lastRowFirstColumn="0" w:lastRowLastColumn="0"/>
            </w:pPr>
            <w:r>
              <w:t>37</w:t>
            </w:r>
          </w:p>
        </w:tc>
      </w:tr>
      <w:tr w:rsidR="003E69E7" w:rsidTr="003E69E7">
        <w:trPr>
          <w:trHeight w:val="305"/>
        </w:trPr>
        <w:tc>
          <w:tcPr>
            <w:cnfStyle w:val="001000000000" w:firstRow="0" w:lastRow="0" w:firstColumn="1" w:lastColumn="0" w:oddVBand="0" w:evenVBand="0" w:oddHBand="0" w:evenHBand="0" w:firstRowFirstColumn="0" w:firstRowLastColumn="0" w:lastRowFirstColumn="0" w:lastRowLastColumn="0"/>
            <w:tcW w:w="4557"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pPr>
            <w:r>
              <w:t>$5 - $9.99</w:t>
            </w:r>
          </w:p>
        </w:tc>
        <w:tc>
          <w:tcPr>
            <w:tcW w:w="4563"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cnfStyle w:val="000000000000" w:firstRow="0" w:lastRow="0" w:firstColumn="0" w:lastColumn="0" w:oddVBand="0" w:evenVBand="0" w:oddHBand="0" w:evenHBand="0" w:firstRowFirstColumn="0" w:firstRowLastColumn="0" w:lastRowFirstColumn="0" w:lastRowLastColumn="0"/>
            </w:pPr>
            <w:r>
              <w:t>260</w:t>
            </w:r>
          </w:p>
        </w:tc>
      </w:tr>
      <w:tr w:rsidR="003E69E7" w:rsidTr="003E69E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557"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pPr>
            <w:r>
              <w:t>$3.00 - $4.99</w:t>
            </w:r>
          </w:p>
        </w:tc>
        <w:tc>
          <w:tcPr>
            <w:tcW w:w="4563"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cnfStyle w:val="000000100000" w:firstRow="0" w:lastRow="0" w:firstColumn="0" w:lastColumn="0" w:oddVBand="0" w:evenVBand="0" w:oddHBand="1" w:evenHBand="0" w:firstRowFirstColumn="0" w:firstRowLastColumn="0" w:lastRowFirstColumn="0" w:lastRowLastColumn="0"/>
            </w:pPr>
            <w:r>
              <w:t>213</w:t>
            </w:r>
          </w:p>
        </w:tc>
      </w:tr>
      <w:tr w:rsidR="003E69E7" w:rsidTr="003E69E7">
        <w:trPr>
          <w:trHeight w:val="305"/>
        </w:trPr>
        <w:tc>
          <w:tcPr>
            <w:cnfStyle w:val="001000000000" w:firstRow="0" w:lastRow="0" w:firstColumn="1" w:lastColumn="0" w:oddVBand="0" w:evenVBand="0" w:oddHBand="0" w:evenHBand="0" w:firstRowFirstColumn="0" w:firstRowLastColumn="0" w:lastRowFirstColumn="0" w:lastRowLastColumn="0"/>
            <w:tcW w:w="4557"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pPr>
            <w:r>
              <w:t>$2.00 - $2.99</w:t>
            </w:r>
          </w:p>
        </w:tc>
        <w:tc>
          <w:tcPr>
            <w:tcW w:w="4563"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cnfStyle w:val="000000000000" w:firstRow="0" w:lastRow="0" w:firstColumn="0" w:lastColumn="0" w:oddVBand="0" w:evenVBand="0" w:oddHBand="0" w:evenHBand="0" w:firstRowFirstColumn="0" w:firstRowLastColumn="0" w:lastRowFirstColumn="0" w:lastRowLastColumn="0"/>
            </w:pPr>
            <w:r>
              <w:t>179</w:t>
            </w:r>
          </w:p>
        </w:tc>
      </w:tr>
      <w:tr w:rsidR="003E69E7" w:rsidTr="003E69E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4557"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pPr>
            <w:r>
              <w:t>$1.00 - $1.99</w:t>
            </w:r>
          </w:p>
        </w:tc>
        <w:tc>
          <w:tcPr>
            <w:tcW w:w="4563"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cnfStyle w:val="000000100000" w:firstRow="0" w:lastRow="0" w:firstColumn="0" w:lastColumn="0" w:oddVBand="0" w:evenVBand="0" w:oddHBand="1" w:evenHBand="0" w:firstRowFirstColumn="0" w:firstRowLastColumn="0" w:lastRowFirstColumn="0" w:lastRowLastColumn="0"/>
            </w:pPr>
            <w:r>
              <w:t>364</w:t>
            </w:r>
          </w:p>
        </w:tc>
      </w:tr>
      <w:tr w:rsidR="003E69E7" w:rsidTr="003E69E7">
        <w:trPr>
          <w:trHeight w:val="281"/>
        </w:trPr>
        <w:tc>
          <w:tcPr>
            <w:cnfStyle w:val="001000000000" w:firstRow="0" w:lastRow="0" w:firstColumn="1" w:lastColumn="0" w:oddVBand="0" w:evenVBand="0" w:oddHBand="0" w:evenHBand="0" w:firstRowFirstColumn="0" w:firstRowLastColumn="0" w:lastRowFirstColumn="0" w:lastRowLastColumn="0"/>
            <w:tcW w:w="4557"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pPr>
            <w:r>
              <w:t>Less than $1.00</w:t>
            </w:r>
          </w:p>
        </w:tc>
        <w:tc>
          <w:tcPr>
            <w:tcW w:w="4563"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cnfStyle w:val="000000000000" w:firstRow="0" w:lastRow="0" w:firstColumn="0" w:lastColumn="0" w:oddVBand="0" w:evenVBand="0" w:oddHBand="0" w:evenHBand="0" w:firstRowFirstColumn="0" w:firstRowLastColumn="0" w:lastRowFirstColumn="0" w:lastRowLastColumn="0"/>
            </w:pPr>
            <w:r>
              <w:t>53</w:t>
            </w:r>
          </w:p>
        </w:tc>
      </w:tr>
      <w:tr w:rsidR="003E69E7" w:rsidTr="003E69E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4557"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rPr>
                <w:b w:val="0"/>
              </w:rPr>
            </w:pPr>
            <w:r>
              <w:t xml:space="preserve">Total </w:t>
            </w:r>
          </w:p>
        </w:tc>
        <w:tc>
          <w:tcPr>
            <w:tcW w:w="4563" w:type="dxa"/>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tcBorders>
            <w:hideMark/>
          </w:tcPr>
          <w:p w:rsidR="003E69E7" w:rsidRDefault="003E69E7" w:rsidP="003E69E7">
            <w:pPr>
              <w:jc w:val="both"/>
              <w:cnfStyle w:val="000000100000" w:firstRow="0" w:lastRow="0" w:firstColumn="0" w:lastColumn="0" w:oddVBand="0" w:evenVBand="0" w:oddHBand="1" w:evenHBand="0" w:firstRowFirstColumn="0" w:firstRowLastColumn="0" w:lastRowFirstColumn="0" w:lastRowLastColumn="0"/>
            </w:pPr>
            <w:r>
              <w:t>1106</w:t>
            </w:r>
            <w:r>
              <w:rPr>
                <w:rStyle w:val="FootnoteReference"/>
              </w:rPr>
              <w:footnoteReference w:id="7"/>
            </w:r>
          </w:p>
        </w:tc>
      </w:tr>
    </w:tbl>
    <w:p w:rsidR="003E69E7" w:rsidRDefault="003E69E7" w:rsidP="003E69E7">
      <w:pPr>
        <w:jc w:val="both"/>
        <w:rPr>
          <w:sz w:val="22"/>
        </w:rPr>
      </w:pPr>
    </w:p>
    <w:p w:rsidR="003E69E7" w:rsidRDefault="003E69E7" w:rsidP="003E69E7">
      <w:pPr>
        <w:jc w:val="both"/>
        <w:rPr>
          <w:sz w:val="22"/>
        </w:rPr>
      </w:pPr>
      <w:r>
        <w:rPr>
          <w:sz w:val="22"/>
        </w:rPr>
        <w:t xml:space="preserve">The majority (54%) of people with minimum wage exemption permits earn less than $3.00 an hour. </w:t>
      </w:r>
    </w:p>
    <w:p w:rsidR="003E69E7" w:rsidRPr="00651381" w:rsidRDefault="003E69E7" w:rsidP="00C82F13">
      <w:pPr>
        <w:jc w:val="both"/>
        <w:rPr>
          <w:b/>
          <w:color w:val="00B0F0"/>
          <w:sz w:val="22"/>
          <w:szCs w:val="22"/>
        </w:rPr>
      </w:pPr>
    </w:p>
    <w:p w:rsidR="003E69E7" w:rsidRPr="00C82F13" w:rsidRDefault="003E69E7" w:rsidP="00C82F13">
      <w:pPr>
        <w:pStyle w:val="ListParagraph"/>
        <w:ind w:left="0"/>
        <w:jc w:val="both"/>
        <w:rPr>
          <w:sz w:val="22"/>
          <w:szCs w:val="22"/>
          <w:lang w:val="en-NZ"/>
        </w:rPr>
      </w:pPr>
      <w:r w:rsidRPr="00C82F13">
        <w:rPr>
          <w:sz w:val="22"/>
          <w:szCs w:val="22"/>
          <w:lang w:val="en-NZ"/>
        </w:rPr>
        <w:t>All disabled employees on one site the Commission visited had minimum wage exemption permits and this helped “to keep the p</w:t>
      </w:r>
      <w:r w:rsidR="003C1995">
        <w:rPr>
          <w:sz w:val="22"/>
          <w:szCs w:val="22"/>
          <w:lang w:val="en-NZ"/>
        </w:rPr>
        <w:t>lace going”, management said.  “</w:t>
      </w:r>
      <w:r w:rsidRPr="00C82F13">
        <w:rPr>
          <w:sz w:val="22"/>
          <w:szCs w:val="22"/>
          <w:lang w:val="en-NZ"/>
        </w:rPr>
        <w:t xml:space="preserve">Raising wages to the minimum wage would have a huge effect on staff numbers. We would have to let a lot of people go, we’d only end up employing about 20 or 30 if that happened”. </w:t>
      </w:r>
    </w:p>
    <w:p w:rsidR="003E69E7" w:rsidRPr="00C82F13" w:rsidRDefault="003E69E7" w:rsidP="00C82F13">
      <w:pPr>
        <w:pStyle w:val="ListParagraph"/>
        <w:ind w:left="0"/>
        <w:jc w:val="both"/>
        <w:rPr>
          <w:sz w:val="22"/>
          <w:szCs w:val="22"/>
          <w:lang w:val="en-NZ"/>
        </w:rPr>
      </w:pPr>
    </w:p>
    <w:p w:rsidR="003E69E7" w:rsidRPr="00A73396" w:rsidRDefault="003E69E7" w:rsidP="00C82F13">
      <w:pPr>
        <w:jc w:val="both"/>
        <w:outlineLvl w:val="0"/>
        <w:rPr>
          <w:rFonts w:cs="Arial"/>
          <w:sz w:val="22"/>
          <w:szCs w:val="22"/>
        </w:rPr>
      </w:pPr>
      <w:r w:rsidRPr="00C82F13">
        <w:rPr>
          <w:rFonts w:cs="Arial"/>
          <w:sz w:val="22"/>
          <w:szCs w:val="22"/>
        </w:rPr>
        <w:t>Another business the Commission met supports a small specialist work team at a large industrial plant in the area. This collaboration has been successful for eleven years and workers in this team earn above the minimum wage and are an integral part of the plant’s workforce.</w:t>
      </w:r>
      <w:r w:rsidRPr="00A73396">
        <w:rPr>
          <w:rFonts w:cs="Arial"/>
          <w:sz w:val="22"/>
          <w:szCs w:val="22"/>
        </w:rPr>
        <w:t xml:space="preserve">     </w:t>
      </w:r>
    </w:p>
    <w:p w:rsidR="003E69E7" w:rsidRPr="00651381" w:rsidRDefault="003E69E7" w:rsidP="003E69E7">
      <w:pPr>
        <w:jc w:val="both"/>
        <w:rPr>
          <w:b/>
          <w:color w:val="00B0F0"/>
          <w:sz w:val="22"/>
          <w:szCs w:val="22"/>
        </w:rPr>
      </w:pPr>
    </w:p>
    <w:p w:rsidR="003E69E7" w:rsidRDefault="003E69E7" w:rsidP="003E69E7">
      <w:pPr>
        <w:jc w:val="both"/>
        <w:rPr>
          <w:b/>
          <w:color w:val="00B0F0"/>
          <w:sz w:val="40"/>
          <w:szCs w:val="40"/>
        </w:rPr>
      </w:pPr>
      <w:r>
        <w:rPr>
          <w:b/>
          <w:color w:val="00B0F0"/>
          <w:sz w:val="40"/>
          <w:szCs w:val="40"/>
        </w:rPr>
        <w:t xml:space="preserve">Disclosure of mental health </w:t>
      </w:r>
    </w:p>
    <w:p w:rsidR="003E69E7" w:rsidRDefault="003E69E7" w:rsidP="003E69E7">
      <w:pPr>
        <w:pStyle w:val="ListParagraph"/>
        <w:ind w:left="0"/>
        <w:jc w:val="both"/>
        <w:rPr>
          <w:rFonts w:cs="Arial"/>
          <w:sz w:val="22"/>
          <w:u w:val="single"/>
        </w:rPr>
      </w:pPr>
    </w:p>
    <w:p w:rsidR="003E69E7" w:rsidRDefault="003E69E7" w:rsidP="003E69E7">
      <w:pPr>
        <w:pStyle w:val="ListParagraph"/>
        <w:ind w:left="0"/>
        <w:jc w:val="both"/>
        <w:rPr>
          <w:rFonts w:cs="Arial"/>
          <w:b/>
          <w:color w:val="00B0F0"/>
          <w:sz w:val="28"/>
          <w:szCs w:val="28"/>
        </w:rPr>
      </w:pPr>
      <w:r>
        <w:rPr>
          <w:rFonts w:cs="Arial"/>
          <w:b/>
          <w:color w:val="00B0F0"/>
          <w:sz w:val="28"/>
          <w:szCs w:val="28"/>
        </w:rPr>
        <w:t>From the National Conversation about Work</w:t>
      </w:r>
    </w:p>
    <w:p w:rsidR="003E69E7" w:rsidRPr="00A73396" w:rsidRDefault="003E69E7" w:rsidP="00C82F13">
      <w:pPr>
        <w:jc w:val="both"/>
        <w:rPr>
          <w:rFonts w:cs="Arial"/>
          <w:sz w:val="22"/>
          <w:szCs w:val="22"/>
        </w:rPr>
      </w:pPr>
      <w:r w:rsidRPr="00A73396">
        <w:rPr>
          <w:rFonts w:cs="Arial"/>
          <w:sz w:val="22"/>
          <w:szCs w:val="22"/>
        </w:rPr>
        <w:t xml:space="preserve">Staff working with people with mental disabilities told the Commission there were many perceived and significant barriers for people finding work.  These included past bad experiences with </w:t>
      </w:r>
      <w:r>
        <w:rPr>
          <w:rFonts w:cs="Arial"/>
          <w:sz w:val="22"/>
          <w:szCs w:val="22"/>
        </w:rPr>
        <w:t xml:space="preserve">disabled </w:t>
      </w:r>
      <w:r w:rsidRPr="00A73396">
        <w:rPr>
          <w:rFonts w:cs="Arial"/>
          <w:sz w:val="22"/>
          <w:szCs w:val="22"/>
        </w:rPr>
        <w:t>people</w:t>
      </w:r>
      <w:r>
        <w:rPr>
          <w:rFonts w:cs="Arial"/>
          <w:sz w:val="22"/>
          <w:szCs w:val="22"/>
        </w:rPr>
        <w:t>, l</w:t>
      </w:r>
      <w:r w:rsidRPr="00A73396">
        <w:rPr>
          <w:rFonts w:cs="Arial"/>
          <w:sz w:val="22"/>
          <w:szCs w:val="22"/>
        </w:rPr>
        <w:t>ack of knowledge and understanding, prejudice, and an unwillingness to make accommodations.</w:t>
      </w:r>
    </w:p>
    <w:p w:rsidR="003E69E7" w:rsidRPr="00A73396" w:rsidRDefault="003E69E7" w:rsidP="00C82F13">
      <w:pPr>
        <w:jc w:val="both"/>
        <w:rPr>
          <w:rFonts w:cs="Arial"/>
          <w:sz w:val="22"/>
          <w:szCs w:val="22"/>
        </w:rPr>
      </w:pPr>
    </w:p>
    <w:p w:rsidR="003E69E7" w:rsidRPr="00A73396" w:rsidRDefault="003E69E7" w:rsidP="00C82F13">
      <w:pPr>
        <w:jc w:val="both"/>
        <w:rPr>
          <w:sz w:val="22"/>
          <w:szCs w:val="22"/>
        </w:rPr>
      </w:pPr>
      <w:r w:rsidRPr="00A73396">
        <w:rPr>
          <w:rFonts w:cs="Arial"/>
          <w:sz w:val="22"/>
          <w:szCs w:val="22"/>
        </w:rPr>
        <w:t xml:space="preserve">There was support for a social marketing campaign similar to </w:t>
      </w:r>
      <w:r w:rsidRPr="00651381">
        <w:rPr>
          <w:rFonts w:cs="Arial"/>
          <w:i/>
          <w:sz w:val="22"/>
          <w:szCs w:val="22"/>
        </w:rPr>
        <w:t>Like Minds Like Mine</w:t>
      </w:r>
      <w:r w:rsidRPr="00A73396">
        <w:rPr>
          <w:rFonts w:cs="Arial"/>
          <w:sz w:val="22"/>
          <w:szCs w:val="22"/>
        </w:rPr>
        <w:t xml:space="preserve"> to promote the employment of </w:t>
      </w:r>
      <w:r>
        <w:rPr>
          <w:rFonts w:cs="Arial"/>
          <w:sz w:val="22"/>
          <w:szCs w:val="22"/>
        </w:rPr>
        <w:t xml:space="preserve">disabled </w:t>
      </w:r>
      <w:r w:rsidRPr="00A73396">
        <w:rPr>
          <w:rFonts w:cs="Arial"/>
          <w:sz w:val="22"/>
          <w:szCs w:val="22"/>
        </w:rPr>
        <w:t xml:space="preserve">people. The group said that the attitude of employers to mental illness such as depression had changed as a result of </w:t>
      </w:r>
      <w:r w:rsidRPr="00651381">
        <w:rPr>
          <w:rFonts w:cs="Arial"/>
          <w:i/>
          <w:sz w:val="22"/>
          <w:szCs w:val="22"/>
        </w:rPr>
        <w:t>Like Minds</w:t>
      </w:r>
      <w:r w:rsidRPr="00A73396">
        <w:rPr>
          <w:rFonts w:cs="Arial"/>
          <w:sz w:val="22"/>
          <w:szCs w:val="22"/>
        </w:rPr>
        <w:t xml:space="preserve"> and that a focus on the workplace and other disabilities would be helpful.</w:t>
      </w:r>
    </w:p>
    <w:p w:rsidR="003E69E7" w:rsidRDefault="003E69E7" w:rsidP="00C82F13">
      <w:pPr>
        <w:pStyle w:val="ListParagraph"/>
        <w:ind w:left="0"/>
        <w:jc w:val="both"/>
        <w:rPr>
          <w:rFonts w:cs="Arial"/>
          <w:sz w:val="22"/>
        </w:rPr>
      </w:pPr>
    </w:p>
    <w:p w:rsidR="003E69E7" w:rsidRDefault="003E69E7" w:rsidP="003E69E7">
      <w:pPr>
        <w:pStyle w:val="ListParagraph"/>
        <w:ind w:left="0"/>
        <w:jc w:val="both"/>
        <w:rPr>
          <w:rFonts w:cs="Arial"/>
          <w:sz w:val="22"/>
        </w:rPr>
      </w:pPr>
      <w:r>
        <w:rPr>
          <w:rFonts w:cs="Arial"/>
          <w:sz w:val="22"/>
        </w:rPr>
        <w:t xml:space="preserve">A particularly vexed issue is whether or not to disclose experience of mental illness. People with experience of mental health issues told the Commission that disclosure on application forms or unexplained gaps in CVs meant they were unlikely to be offered a job interview. </w:t>
      </w:r>
    </w:p>
    <w:p w:rsidR="003E69E7" w:rsidRDefault="003E69E7" w:rsidP="003E69E7">
      <w:pPr>
        <w:pStyle w:val="ListParagraph"/>
        <w:ind w:left="0"/>
        <w:jc w:val="both"/>
        <w:rPr>
          <w:rFonts w:cs="Arial"/>
          <w:sz w:val="22"/>
        </w:rPr>
      </w:pPr>
    </w:p>
    <w:p w:rsidR="003E69E7" w:rsidRDefault="003E69E7" w:rsidP="003E69E7">
      <w:pPr>
        <w:pStyle w:val="ListParagraph"/>
        <w:ind w:left="0"/>
        <w:jc w:val="both"/>
        <w:rPr>
          <w:rFonts w:cs="Arial"/>
          <w:sz w:val="22"/>
        </w:rPr>
      </w:pPr>
      <w:r>
        <w:rPr>
          <w:rFonts w:cs="Arial"/>
          <w:sz w:val="22"/>
        </w:rPr>
        <w:t>However, non-disclosure carried the risk that their needs will not be accommodated should they become unwell, and in extreme cases be dismissed for dishonesty.</w:t>
      </w:r>
    </w:p>
    <w:p w:rsidR="003E69E7" w:rsidRDefault="003E69E7" w:rsidP="003E69E7">
      <w:pPr>
        <w:pStyle w:val="ListParagraph"/>
        <w:ind w:left="0"/>
        <w:jc w:val="both"/>
        <w:rPr>
          <w:rFonts w:cs="Arial"/>
          <w:sz w:val="22"/>
        </w:rPr>
      </w:pPr>
    </w:p>
    <w:p w:rsidR="003E69E7" w:rsidRDefault="003E69E7" w:rsidP="003E69E7">
      <w:pPr>
        <w:pStyle w:val="ListParagraph"/>
        <w:ind w:left="0"/>
        <w:jc w:val="both"/>
        <w:rPr>
          <w:sz w:val="22"/>
        </w:rPr>
      </w:pPr>
      <w:r>
        <w:rPr>
          <w:rFonts w:cs="Arial"/>
          <w:sz w:val="22"/>
        </w:rPr>
        <w:t>Legal considerations include the appropriateness of questions in the application form and the steps taken to avoid discriminatory practices. One participant with experience of mental illness said, “</w:t>
      </w:r>
      <w:r>
        <w:rPr>
          <w:sz w:val="22"/>
        </w:rPr>
        <w:t xml:space="preserve">The crux of the argument around disclosure is that there is still a lot of stigma around employability - there’s the myth that if you’ve got a mental illness you’re actually not </w:t>
      </w:r>
      <w:r>
        <w:rPr>
          <w:sz w:val="22"/>
        </w:rPr>
        <w:lastRenderedPageBreak/>
        <w:t>employable. You can’t handle stress, you’re potentially dangerous to yourself and to others, you are a lot of extra work, you’re unreliable, you will take lots of time off.”</w:t>
      </w:r>
    </w:p>
    <w:p w:rsidR="003E69E7" w:rsidRDefault="003E69E7" w:rsidP="003E69E7">
      <w:pPr>
        <w:pStyle w:val="ListParagraph"/>
        <w:ind w:left="0"/>
        <w:jc w:val="both"/>
        <w:rPr>
          <w:sz w:val="22"/>
        </w:rPr>
      </w:pPr>
    </w:p>
    <w:p w:rsidR="003E69E7" w:rsidRDefault="003E69E7" w:rsidP="003E69E7">
      <w:pPr>
        <w:pStyle w:val="ListParagraph"/>
        <w:ind w:left="0"/>
        <w:jc w:val="both"/>
        <w:rPr>
          <w:sz w:val="22"/>
        </w:rPr>
      </w:pPr>
      <w:r>
        <w:rPr>
          <w:sz w:val="22"/>
        </w:rPr>
        <w:t xml:space="preserve">There were risks either way, disclose and risk not being considered for the job, not disclose and risk being unsupported or being dismissed should you become unwell. </w:t>
      </w:r>
    </w:p>
    <w:p w:rsidR="003E69E7" w:rsidRDefault="003E69E7" w:rsidP="003E69E7">
      <w:pPr>
        <w:pStyle w:val="ListParagraph"/>
        <w:ind w:left="0"/>
        <w:jc w:val="both"/>
        <w:rPr>
          <w:sz w:val="22"/>
        </w:rPr>
      </w:pPr>
    </w:p>
    <w:p w:rsidR="003E69E7" w:rsidRDefault="003E69E7" w:rsidP="003E69E7">
      <w:pPr>
        <w:pStyle w:val="ListParagraph"/>
        <w:ind w:left="0"/>
        <w:jc w:val="both"/>
        <w:rPr>
          <w:sz w:val="22"/>
        </w:rPr>
      </w:pPr>
      <w:r w:rsidRPr="00C82F13">
        <w:rPr>
          <w:sz w:val="22"/>
        </w:rPr>
        <w:t xml:space="preserve">A further meeting </w:t>
      </w:r>
      <w:r w:rsidR="00C24221" w:rsidRPr="00C82F13">
        <w:rPr>
          <w:sz w:val="22"/>
        </w:rPr>
        <w:t xml:space="preserve">with mental health advocates </w:t>
      </w:r>
      <w:r w:rsidRPr="00C82F13">
        <w:rPr>
          <w:sz w:val="22"/>
        </w:rPr>
        <w:t>attempted to tease out what advice the</w:t>
      </w:r>
      <w:r>
        <w:rPr>
          <w:sz w:val="22"/>
        </w:rPr>
        <w:t xml:space="preserve"> Commission could usefully provide to prospective employers and employees. </w:t>
      </w:r>
    </w:p>
    <w:p w:rsidR="003E69E7" w:rsidRDefault="003E69E7" w:rsidP="003E69E7">
      <w:pPr>
        <w:pStyle w:val="ListParagraph"/>
        <w:ind w:left="0"/>
        <w:jc w:val="both"/>
        <w:rPr>
          <w:sz w:val="22"/>
        </w:rPr>
      </w:pPr>
    </w:p>
    <w:p w:rsidR="003E69E7" w:rsidRDefault="003E69E7" w:rsidP="003E69E7">
      <w:pPr>
        <w:pStyle w:val="ListParagraph"/>
        <w:ind w:left="0"/>
        <w:jc w:val="both"/>
        <w:rPr>
          <w:sz w:val="22"/>
        </w:rPr>
      </w:pPr>
      <w:r>
        <w:rPr>
          <w:sz w:val="22"/>
        </w:rPr>
        <w:t>The group suggested that the focus should come off disclosing experience of mental health and onto equality for any worker and their employer. Their advice was to not make it about mental health but ensuring the best person for the job by:</w:t>
      </w:r>
    </w:p>
    <w:p w:rsidR="003E69E7" w:rsidRDefault="003E69E7" w:rsidP="003E69E7">
      <w:pPr>
        <w:pStyle w:val="ListParagraph"/>
        <w:numPr>
          <w:ilvl w:val="0"/>
          <w:numId w:val="48"/>
        </w:numPr>
        <w:jc w:val="both"/>
        <w:rPr>
          <w:sz w:val="22"/>
        </w:rPr>
      </w:pPr>
      <w:r>
        <w:rPr>
          <w:sz w:val="22"/>
        </w:rPr>
        <w:t xml:space="preserve">Focussing on what an individual can do, not do but could learn, and what is outside their capability. </w:t>
      </w:r>
    </w:p>
    <w:p w:rsidR="003E69E7" w:rsidRDefault="003E69E7" w:rsidP="003E69E7">
      <w:pPr>
        <w:pStyle w:val="ListParagraph"/>
        <w:numPr>
          <w:ilvl w:val="0"/>
          <w:numId w:val="48"/>
        </w:numPr>
        <w:jc w:val="both"/>
        <w:rPr>
          <w:sz w:val="22"/>
        </w:rPr>
      </w:pPr>
      <w:r>
        <w:rPr>
          <w:sz w:val="22"/>
        </w:rPr>
        <w:t>Challenging discriminatory assumptions about ability based on diagnostic labels.</w:t>
      </w:r>
    </w:p>
    <w:p w:rsidR="003E69E7" w:rsidRDefault="003E69E7" w:rsidP="003E69E7">
      <w:pPr>
        <w:pStyle w:val="ListParagraph"/>
        <w:numPr>
          <w:ilvl w:val="0"/>
          <w:numId w:val="48"/>
        </w:numPr>
        <w:jc w:val="both"/>
        <w:rPr>
          <w:sz w:val="22"/>
        </w:rPr>
      </w:pPr>
      <w:r>
        <w:rPr>
          <w:sz w:val="22"/>
        </w:rPr>
        <w:t xml:space="preserve">Having conversations throughout any person’s employment about their needs and support required to do a job well, regardless of labels and assumptions.  </w:t>
      </w:r>
    </w:p>
    <w:p w:rsidR="003E69E7" w:rsidRDefault="003E69E7" w:rsidP="003E69E7">
      <w:pPr>
        <w:pStyle w:val="ListParagraph"/>
        <w:ind w:left="0"/>
        <w:jc w:val="both"/>
        <w:rPr>
          <w:sz w:val="22"/>
        </w:rPr>
      </w:pPr>
    </w:p>
    <w:p w:rsidR="003E69E7" w:rsidRDefault="003E69E7" w:rsidP="003E69E7">
      <w:pPr>
        <w:pStyle w:val="ListParagraph"/>
        <w:ind w:left="0"/>
        <w:jc w:val="both"/>
        <w:rPr>
          <w:sz w:val="22"/>
        </w:rPr>
      </w:pPr>
      <w:r>
        <w:rPr>
          <w:sz w:val="22"/>
        </w:rPr>
        <w:t xml:space="preserve">Ensuring best fit requires detailed job descriptions and person specifications that are inclusionary.  </w:t>
      </w:r>
    </w:p>
    <w:p w:rsidR="003E69E7" w:rsidRDefault="003E69E7" w:rsidP="003E69E7">
      <w:pPr>
        <w:pStyle w:val="ListParagraph"/>
        <w:ind w:left="0"/>
        <w:jc w:val="both"/>
        <w:rPr>
          <w:sz w:val="22"/>
        </w:rPr>
      </w:pPr>
    </w:p>
    <w:p w:rsidR="003E69E7" w:rsidRDefault="003E69E7" w:rsidP="003E69E7">
      <w:pPr>
        <w:pStyle w:val="ListParagraph"/>
        <w:ind w:left="0"/>
        <w:jc w:val="both"/>
        <w:rPr>
          <w:sz w:val="22"/>
        </w:rPr>
      </w:pPr>
      <w:r>
        <w:rPr>
          <w:sz w:val="22"/>
        </w:rPr>
        <w:t>The Employers’ Disability Network suggests that employers concentrate on what needs to be done rather than how the work should be done, for example it is better to ask, “this job involves working under pressure to tight deadlines. Tell us about situations where you’ve been under pressure and how you ensured you met deadlines” rather than “how will the pressure of tight deadlines affect your disability?”</w:t>
      </w:r>
      <w:r>
        <w:rPr>
          <w:rStyle w:val="FootnoteReference"/>
          <w:sz w:val="22"/>
        </w:rPr>
        <w:footnoteReference w:id="8"/>
      </w:r>
      <w:r>
        <w:rPr>
          <w:sz w:val="22"/>
        </w:rPr>
        <w:t xml:space="preserve">  </w:t>
      </w:r>
    </w:p>
    <w:p w:rsidR="003E69E7" w:rsidRDefault="003E69E7" w:rsidP="003E69E7">
      <w:pPr>
        <w:pStyle w:val="ListParagraph"/>
        <w:ind w:left="0"/>
        <w:jc w:val="both"/>
        <w:rPr>
          <w:sz w:val="22"/>
        </w:rPr>
      </w:pPr>
    </w:p>
    <w:p w:rsidR="003E69E7" w:rsidRDefault="003E69E7" w:rsidP="003E69E7">
      <w:pPr>
        <w:pStyle w:val="ListParagraph"/>
        <w:ind w:left="0"/>
        <w:jc w:val="both"/>
        <w:rPr>
          <w:sz w:val="22"/>
        </w:rPr>
      </w:pPr>
      <w:r>
        <w:rPr>
          <w:sz w:val="22"/>
        </w:rPr>
        <w:t xml:space="preserve">Conversations about how to meet people’s needs or to support them to develop their performance at work is good practice for all employees. However, honest engagement requires a safe and supportive work environment. This conversation could include meeting out-of-work needs such as childcare and in-work needs like professional development needs as well as being responsive to individual needs related to health. The group discussed the mutual obligations inherent in acting in “good faith.” The employee should be able to say, “this is what I’ll do to keep well at work” and the employer needs to be able to say “this is what I can do if concerns arise.” This does not mean the employer takes on a social work role, rather that there is a plan such as someone to contact. The group commented that these discussions should be held after a 90 day trial period to ensure both employer and employee are confident in their ability to do the job and disclosure can be made without fear of prejudice or discrimination.   </w:t>
      </w:r>
    </w:p>
    <w:p w:rsidR="003E69E7" w:rsidRDefault="003E69E7" w:rsidP="003E69E7">
      <w:pPr>
        <w:pStyle w:val="ListParagraph"/>
        <w:ind w:left="0"/>
        <w:jc w:val="both"/>
        <w:rPr>
          <w:sz w:val="22"/>
        </w:rPr>
      </w:pPr>
      <w:r>
        <w:rPr>
          <w:sz w:val="22"/>
        </w:rPr>
        <w:t xml:space="preserve"> </w:t>
      </w:r>
    </w:p>
    <w:p w:rsidR="003E69E7" w:rsidRDefault="003E69E7" w:rsidP="003E69E7">
      <w:pPr>
        <w:pStyle w:val="ListParagraph"/>
        <w:ind w:left="0"/>
        <w:jc w:val="both"/>
        <w:rPr>
          <w:sz w:val="22"/>
        </w:rPr>
      </w:pPr>
      <w:r>
        <w:rPr>
          <w:sz w:val="22"/>
        </w:rPr>
        <w:t>There is a cost to employers if employees are afraid to disclose. For example, if medication has been identified by the individual as a useful part of their recovery planning, the employee</w:t>
      </w:r>
    </w:p>
    <w:p w:rsidR="003E69E7" w:rsidRDefault="003E69E7" w:rsidP="003E69E7">
      <w:pPr>
        <w:pStyle w:val="ListParagraph"/>
        <w:ind w:left="0"/>
        <w:jc w:val="both"/>
        <w:rPr>
          <w:sz w:val="22"/>
        </w:rPr>
      </w:pPr>
      <w:r>
        <w:rPr>
          <w:sz w:val="22"/>
        </w:rPr>
        <w:t xml:space="preserve">may stop taking this medication if drug screening might reveal a condition that they have not disclosed and which is not accepted by the organisation. Presenteeism and absenteeism may occur if a person does not feel confident to request sick leave to become well. The Commission heard that having experience of mental health issues could not be an excuse for lack of productivity “If you can’t do the job, you can’t do the job. Both parties need to be fair and reasonable”. </w:t>
      </w:r>
    </w:p>
    <w:p w:rsidR="003E69E7" w:rsidRDefault="003E69E7" w:rsidP="003E69E7">
      <w:pPr>
        <w:pStyle w:val="ListParagraph"/>
        <w:ind w:left="0"/>
        <w:jc w:val="both"/>
        <w:rPr>
          <w:sz w:val="22"/>
        </w:rPr>
      </w:pPr>
    </w:p>
    <w:p w:rsidR="003E69E7" w:rsidRDefault="003E69E7" w:rsidP="003E69E7">
      <w:pPr>
        <w:pStyle w:val="ListParagraph"/>
        <w:ind w:left="0"/>
        <w:jc w:val="both"/>
        <w:rPr>
          <w:rFonts w:cs="Arial"/>
          <w:sz w:val="22"/>
          <w:szCs w:val="22"/>
        </w:rPr>
      </w:pPr>
      <w:r>
        <w:rPr>
          <w:rFonts w:cs="Arial"/>
          <w:sz w:val="22"/>
          <w:szCs w:val="22"/>
        </w:rPr>
        <w:lastRenderedPageBreak/>
        <w:t xml:space="preserve">Experience of mental health issues is </w:t>
      </w:r>
      <w:r>
        <w:rPr>
          <w:rFonts w:cs="Arial"/>
          <w:sz w:val="22"/>
          <w:szCs w:val="22"/>
          <w:lang w:eastAsia="en-NZ"/>
        </w:rPr>
        <w:t>common in New Zealand</w:t>
      </w:r>
      <w:r w:rsidR="003C1995">
        <w:rPr>
          <w:rFonts w:cs="Arial"/>
          <w:sz w:val="22"/>
          <w:szCs w:val="22"/>
          <w:lang w:eastAsia="en-NZ"/>
        </w:rPr>
        <w:t xml:space="preserve">.  </w:t>
      </w:r>
      <w:r>
        <w:rPr>
          <w:rStyle w:val="FootnoteReference"/>
          <w:rFonts w:cs="Arial"/>
          <w:sz w:val="22"/>
          <w:szCs w:val="22"/>
          <w:lang w:eastAsia="en-NZ"/>
        </w:rPr>
        <w:footnoteReference w:id="9"/>
      </w:r>
      <w:r>
        <w:rPr>
          <w:rFonts w:cs="Arial"/>
          <w:sz w:val="22"/>
          <w:szCs w:val="22"/>
          <w:lang w:eastAsia="en-NZ"/>
        </w:rPr>
        <w:t xml:space="preserve"> Almost  half (46.6%) of the population are “predicted to meet criteria for a disorder at some time in their lives, with 39.5% having already done so and 20.7% having a disorder in the past 12 months.”</w:t>
      </w:r>
      <w:r>
        <w:rPr>
          <w:rStyle w:val="FootnoteReference"/>
          <w:rFonts w:cs="Arial"/>
          <w:sz w:val="22"/>
          <w:szCs w:val="22"/>
          <w:lang w:eastAsia="en-NZ"/>
        </w:rPr>
        <w:footnoteReference w:id="10"/>
      </w:r>
    </w:p>
    <w:p w:rsidR="003E69E7" w:rsidRDefault="003E69E7" w:rsidP="003E69E7">
      <w:pPr>
        <w:pStyle w:val="ListParagraph"/>
        <w:ind w:left="0"/>
        <w:jc w:val="both"/>
        <w:rPr>
          <w:b/>
          <w:color w:val="00B0F0"/>
          <w:sz w:val="28"/>
          <w:szCs w:val="28"/>
        </w:rPr>
      </w:pPr>
    </w:p>
    <w:p w:rsidR="003E69E7" w:rsidRDefault="003E69E7" w:rsidP="003E69E7">
      <w:pPr>
        <w:pStyle w:val="ListParagraph"/>
        <w:ind w:left="0"/>
        <w:jc w:val="both"/>
        <w:rPr>
          <w:b/>
          <w:color w:val="00B0F0"/>
          <w:sz w:val="28"/>
          <w:szCs w:val="28"/>
        </w:rPr>
      </w:pPr>
      <w:r>
        <w:rPr>
          <w:b/>
          <w:color w:val="00B0F0"/>
          <w:sz w:val="28"/>
          <w:szCs w:val="28"/>
        </w:rPr>
        <w:t>Legislation</w:t>
      </w:r>
    </w:p>
    <w:p w:rsidR="003E69E7" w:rsidRDefault="003E69E7" w:rsidP="003E69E7">
      <w:pPr>
        <w:pStyle w:val="ListParagraph"/>
        <w:ind w:left="0"/>
        <w:jc w:val="both"/>
        <w:rPr>
          <w:i/>
          <w:sz w:val="22"/>
        </w:rPr>
      </w:pPr>
    </w:p>
    <w:p w:rsidR="003E69E7" w:rsidRDefault="003E69E7" w:rsidP="003E69E7">
      <w:pPr>
        <w:pStyle w:val="ListParagraph"/>
        <w:ind w:left="0"/>
        <w:jc w:val="both"/>
        <w:rPr>
          <w:b/>
          <w:i/>
        </w:rPr>
      </w:pPr>
      <w:r>
        <w:rPr>
          <w:b/>
          <w:i/>
        </w:rPr>
        <w:t xml:space="preserve">Discrimination </w:t>
      </w:r>
    </w:p>
    <w:p w:rsidR="003E69E7" w:rsidRDefault="003E69E7" w:rsidP="003E69E7">
      <w:pPr>
        <w:pStyle w:val="ListParagraph"/>
        <w:ind w:left="0"/>
        <w:jc w:val="both"/>
        <w:rPr>
          <w:sz w:val="22"/>
        </w:rPr>
      </w:pPr>
      <w:r>
        <w:rPr>
          <w:sz w:val="22"/>
        </w:rPr>
        <w:t xml:space="preserve">Because disability, which includes “mental illness”, is a prohibited ground under the Human Rights Act 1993 an employer should not seek general information about a job applicant’s medical or ACC history. Employers can ask whether or not a job applicant has the abilities needed for the job. This includes establishing whether or not an applicant has any medical conditions or disabilities that might mean the work could not be satisfactorily carried out. A job applicant should first be made aware of the job’s requirements and then asked about any medical conditions or disabilities that might prevent them from carrying out the work satisfactorily. </w:t>
      </w:r>
    </w:p>
    <w:p w:rsidR="003E69E7" w:rsidRDefault="003E69E7" w:rsidP="003E69E7">
      <w:pPr>
        <w:pStyle w:val="ListParagraph"/>
        <w:ind w:left="0"/>
        <w:jc w:val="both"/>
        <w:rPr>
          <w:sz w:val="22"/>
        </w:rPr>
      </w:pPr>
    </w:p>
    <w:p w:rsidR="003E69E7" w:rsidRDefault="003E69E7" w:rsidP="003E69E7">
      <w:pPr>
        <w:jc w:val="both"/>
        <w:rPr>
          <w:sz w:val="22"/>
        </w:rPr>
      </w:pPr>
      <w:r>
        <w:rPr>
          <w:sz w:val="22"/>
        </w:rPr>
        <w:t>Without the context of a full job description the following question could be construed as an intention to discriminate:</w:t>
      </w:r>
    </w:p>
    <w:p w:rsidR="003E69E7" w:rsidRDefault="003E69E7" w:rsidP="003E69E7">
      <w:pPr>
        <w:jc w:val="both"/>
        <w:rPr>
          <w:sz w:val="22"/>
        </w:rPr>
      </w:pPr>
    </w:p>
    <w:p w:rsidR="003E69E7" w:rsidRDefault="003E69E7" w:rsidP="003E69E7">
      <w:pPr>
        <w:jc w:val="both"/>
        <w:rPr>
          <w:i/>
          <w:sz w:val="22"/>
        </w:rPr>
      </w:pPr>
      <w:r>
        <w:rPr>
          <w:rFonts w:ascii="Arial Mäori" w:hAnsi="Arial Mäori" w:cs="Arial"/>
          <w:i/>
          <w:sz w:val="22"/>
        </w:rPr>
        <w:t xml:space="preserve">Do you have, or have you ever had, a medical condition caused by an injury, illness, disability or gradual process that the tasks of the position may aggravate or contribute to, or that may affect your ability to carry out the work of the position applied for? </w:t>
      </w:r>
    </w:p>
    <w:p w:rsidR="003E69E7" w:rsidRDefault="003E69E7" w:rsidP="003E69E7">
      <w:pPr>
        <w:jc w:val="both"/>
        <w:rPr>
          <w:color w:val="1F497D"/>
          <w:sz w:val="22"/>
        </w:rPr>
      </w:pPr>
    </w:p>
    <w:p w:rsidR="003E69E7" w:rsidRDefault="003E69E7" w:rsidP="003E69E7">
      <w:pPr>
        <w:jc w:val="both"/>
        <w:rPr>
          <w:sz w:val="22"/>
        </w:rPr>
      </w:pPr>
      <w:r>
        <w:rPr>
          <w:sz w:val="22"/>
        </w:rPr>
        <w:t xml:space="preserve">If confronted with such a question the applicant could answer “No”, if they believe that any medical condition will not affect their work. Alternatively the applicant could say, “On the limited information available to me my answer is ‘No’”. If the answer is “Yes” the applicant could then describe what they will do to keep well at work and what the employer could do. </w:t>
      </w:r>
    </w:p>
    <w:p w:rsidR="003E69E7" w:rsidRDefault="003E69E7" w:rsidP="003E69E7">
      <w:pPr>
        <w:jc w:val="both"/>
        <w:rPr>
          <w:sz w:val="22"/>
        </w:rPr>
      </w:pPr>
    </w:p>
    <w:p w:rsidR="003E69E7" w:rsidRDefault="003E69E7" w:rsidP="003E69E7">
      <w:pPr>
        <w:pStyle w:val="ListParagraph"/>
        <w:ind w:left="0"/>
        <w:jc w:val="both"/>
        <w:rPr>
          <w:sz w:val="22"/>
        </w:rPr>
      </w:pPr>
      <w:r>
        <w:rPr>
          <w:sz w:val="22"/>
        </w:rPr>
        <w:t xml:space="preserve">However, once a full job description is given, questions about a person’s ability to meet specific job requirements are legitimate. In some instances, where a medical condition makes performance of the job unsafe (for example, a driving job when medication causes drowsiness) then the applicant has a responsibility to declare the medical condition. </w:t>
      </w:r>
    </w:p>
    <w:p w:rsidR="003E69E7" w:rsidRDefault="003E69E7" w:rsidP="003E69E7">
      <w:pPr>
        <w:pStyle w:val="ListParagraph"/>
        <w:ind w:left="0"/>
        <w:jc w:val="both"/>
        <w:rPr>
          <w:sz w:val="22"/>
        </w:rPr>
      </w:pPr>
    </w:p>
    <w:p w:rsidR="003E69E7" w:rsidRDefault="003E69E7" w:rsidP="003E69E7">
      <w:pPr>
        <w:pStyle w:val="ListParagraph"/>
        <w:ind w:left="0"/>
        <w:jc w:val="both"/>
        <w:rPr>
          <w:sz w:val="22"/>
        </w:rPr>
      </w:pPr>
      <w:r>
        <w:rPr>
          <w:sz w:val="22"/>
        </w:rPr>
        <w:t>A guidebook for job seekers</w:t>
      </w:r>
      <w:r>
        <w:rPr>
          <w:rStyle w:val="FootnoteReference"/>
          <w:sz w:val="22"/>
        </w:rPr>
        <w:footnoteReference w:id="11"/>
      </w:r>
      <w:r>
        <w:rPr>
          <w:sz w:val="22"/>
        </w:rPr>
        <w:t xml:space="preserve"> with experience of mental health issues advised that there are two situations in which a job seeker </w:t>
      </w:r>
      <w:r>
        <w:rPr>
          <w:sz w:val="22"/>
          <w:u w:val="single"/>
        </w:rPr>
        <w:t>must</w:t>
      </w:r>
      <w:r>
        <w:rPr>
          <w:sz w:val="22"/>
        </w:rPr>
        <w:t xml:space="preserve"> disclose:</w:t>
      </w:r>
    </w:p>
    <w:p w:rsidR="003E69E7" w:rsidRDefault="003E69E7" w:rsidP="003E69E7">
      <w:pPr>
        <w:pStyle w:val="ListParagraph"/>
        <w:numPr>
          <w:ilvl w:val="0"/>
          <w:numId w:val="49"/>
        </w:numPr>
        <w:jc w:val="both"/>
        <w:rPr>
          <w:sz w:val="22"/>
        </w:rPr>
      </w:pPr>
      <w:r>
        <w:rPr>
          <w:sz w:val="22"/>
        </w:rPr>
        <w:t>If your disability or health condition would pose a risk to yourself or others in the workplace. (e.g. if you were applying for a job as a truck driver but you were on medication that made you very drowsy making it unsafe for you to drive).</w:t>
      </w:r>
    </w:p>
    <w:p w:rsidR="003E69E7" w:rsidRDefault="003E69E7" w:rsidP="003E69E7">
      <w:pPr>
        <w:pStyle w:val="ListParagraph"/>
        <w:numPr>
          <w:ilvl w:val="0"/>
          <w:numId w:val="49"/>
        </w:numPr>
        <w:jc w:val="both"/>
        <w:rPr>
          <w:sz w:val="22"/>
          <w:u w:val="single"/>
        </w:rPr>
      </w:pPr>
      <w:r>
        <w:rPr>
          <w:sz w:val="22"/>
        </w:rPr>
        <w:t xml:space="preserve">If your disability or health condition meant you would not be able to satisfactorily perform the tasks required in the job AND would be unreasonable to accommodate (e.g. if you were applying for a job in sales with lots of customer contact, but you had a social phobia and couldn’t talk to strangers.” </w:t>
      </w:r>
    </w:p>
    <w:p w:rsidR="003E69E7" w:rsidRDefault="003E69E7" w:rsidP="003E69E7">
      <w:pPr>
        <w:jc w:val="both"/>
        <w:rPr>
          <w:sz w:val="22"/>
        </w:rPr>
      </w:pPr>
    </w:p>
    <w:p w:rsidR="003E69E7" w:rsidRDefault="003E69E7" w:rsidP="003E69E7">
      <w:pPr>
        <w:jc w:val="both"/>
        <w:rPr>
          <w:sz w:val="22"/>
        </w:rPr>
      </w:pPr>
      <w:r>
        <w:rPr>
          <w:sz w:val="22"/>
        </w:rPr>
        <w:t>The guidebook goes on to say, “if either of these applies, you need to ask yourself: “Is this the right job for me?”</w:t>
      </w:r>
    </w:p>
    <w:p w:rsidR="003E69E7" w:rsidRDefault="003E69E7" w:rsidP="003E69E7">
      <w:pPr>
        <w:pStyle w:val="ListParagraph"/>
        <w:ind w:left="0"/>
        <w:jc w:val="both"/>
        <w:rPr>
          <w:sz w:val="22"/>
        </w:rPr>
      </w:pPr>
    </w:p>
    <w:p w:rsidR="00947147" w:rsidRDefault="00947147" w:rsidP="003E69E7">
      <w:pPr>
        <w:pStyle w:val="ListParagraph"/>
        <w:ind w:left="0"/>
        <w:jc w:val="both"/>
        <w:rPr>
          <w:sz w:val="22"/>
        </w:rPr>
      </w:pPr>
    </w:p>
    <w:p w:rsidR="00947147" w:rsidRDefault="00947147" w:rsidP="003E69E7">
      <w:pPr>
        <w:pStyle w:val="ListParagraph"/>
        <w:ind w:left="0"/>
        <w:jc w:val="both"/>
        <w:rPr>
          <w:sz w:val="22"/>
        </w:rPr>
      </w:pPr>
    </w:p>
    <w:p w:rsidR="003E69E7" w:rsidRPr="004E76D5" w:rsidRDefault="003E69E7" w:rsidP="003E69E7">
      <w:pPr>
        <w:jc w:val="both"/>
        <w:rPr>
          <w:b/>
          <w:i/>
          <w:color w:val="00B0F0"/>
        </w:rPr>
      </w:pPr>
      <w:r w:rsidRPr="004E76D5">
        <w:rPr>
          <w:b/>
          <w:i/>
          <w:color w:val="00B0F0"/>
        </w:rPr>
        <w:lastRenderedPageBreak/>
        <w:t xml:space="preserve">Good faith </w:t>
      </w:r>
    </w:p>
    <w:p w:rsidR="003E69E7" w:rsidRDefault="003E69E7" w:rsidP="003E69E7">
      <w:pPr>
        <w:shd w:val="clear" w:color="auto" w:fill="FFFFFF"/>
        <w:jc w:val="both"/>
        <w:rPr>
          <w:rFonts w:ascii="Verdana" w:hAnsi="Verdana"/>
          <w:sz w:val="22"/>
          <w:lang w:eastAsia="en-NZ"/>
        </w:rPr>
      </w:pPr>
      <w:r>
        <w:rPr>
          <w:sz w:val="22"/>
        </w:rPr>
        <w:t>Under the Employment Relations Act both employee and employer are required to act in good faith. The Department of Labour explains good faith in the following way:</w:t>
      </w:r>
      <w:r>
        <w:rPr>
          <w:rFonts w:ascii="Verdana" w:hAnsi="Verdana"/>
          <w:sz w:val="22"/>
          <w:lang w:eastAsia="en-NZ"/>
        </w:rPr>
        <w:t xml:space="preserve"> </w:t>
      </w:r>
    </w:p>
    <w:p w:rsidR="003E69E7" w:rsidRDefault="003E69E7" w:rsidP="003E69E7">
      <w:pPr>
        <w:shd w:val="clear" w:color="auto" w:fill="FFFFFF"/>
        <w:spacing w:after="240" w:line="312" w:lineRule="atLeast"/>
        <w:jc w:val="both"/>
        <w:rPr>
          <w:rFonts w:cs="Arial"/>
          <w:sz w:val="22"/>
          <w:lang w:eastAsia="en-NZ"/>
        </w:rPr>
      </w:pPr>
      <w:r>
        <w:rPr>
          <w:rFonts w:cs="Arial"/>
          <w:sz w:val="22"/>
          <w:lang w:eastAsia="en-NZ"/>
        </w:rPr>
        <w:t>“Employers and employees are obliged to deal with each other at all times fairly, reasonably and in good faith.</w:t>
      </w:r>
    </w:p>
    <w:p w:rsidR="003E69E7" w:rsidRDefault="003E69E7" w:rsidP="003E69E7">
      <w:pPr>
        <w:shd w:val="clear" w:color="auto" w:fill="FFFFFF"/>
        <w:jc w:val="both"/>
        <w:rPr>
          <w:rFonts w:cs="Arial"/>
          <w:sz w:val="22"/>
          <w:lang w:eastAsia="en-NZ"/>
        </w:rPr>
      </w:pPr>
      <w:r>
        <w:rPr>
          <w:rFonts w:cs="Arial"/>
          <w:sz w:val="22"/>
          <w:lang w:eastAsia="en-NZ"/>
        </w:rPr>
        <w:t>In broad terms, this means that both employers and employees must:</w:t>
      </w:r>
    </w:p>
    <w:p w:rsidR="003E69E7" w:rsidRDefault="003E69E7" w:rsidP="003E69E7">
      <w:pPr>
        <w:numPr>
          <w:ilvl w:val="0"/>
          <w:numId w:val="50"/>
        </w:numPr>
        <w:shd w:val="clear" w:color="auto" w:fill="FFFFFF"/>
        <w:ind w:left="360"/>
        <w:jc w:val="both"/>
        <w:rPr>
          <w:rFonts w:cs="Arial"/>
          <w:sz w:val="22"/>
          <w:lang w:eastAsia="en-NZ"/>
        </w:rPr>
      </w:pPr>
      <w:r>
        <w:rPr>
          <w:rFonts w:cs="Arial"/>
          <w:sz w:val="22"/>
          <w:lang w:eastAsia="en-NZ"/>
        </w:rPr>
        <w:t>act honestly, openly, and without hidden or ulterior motives</w:t>
      </w:r>
    </w:p>
    <w:p w:rsidR="003E69E7" w:rsidRDefault="003E69E7" w:rsidP="003E69E7">
      <w:pPr>
        <w:numPr>
          <w:ilvl w:val="0"/>
          <w:numId w:val="50"/>
        </w:numPr>
        <w:shd w:val="clear" w:color="auto" w:fill="FFFFFF"/>
        <w:ind w:left="360"/>
        <w:jc w:val="both"/>
        <w:rPr>
          <w:rFonts w:cs="Arial"/>
          <w:sz w:val="22"/>
          <w:lang w:eastAsia="en-NZ"/>
        </w:rPr>
      </w:pPr>
      <w:r>
        <w:rPr>
          <w:rFonts w:cs="Arial"/>
          <w:sz w:val="22"/>
          <w:lang w:eastAsia="en-NZ"/>
        </w:rPr>
        <w:t xml:space="preserve">raise issues in a fair and timely way </w:t>
      </w:r>
    </w:p>
    <w:p w:rsidR="003E69E7" w:rsidRDefault="003E69E7" w:rsidP="003E69E7">
      <w:pPr>
        <w:numPr>
          <w:ilvl w:val="0"/>
          <w:numId w:val="50"/>
        </w:numPr>
        <w:shd w:val="clear" w:color="auto" w:fill="FFFFFF"/>
        <w:ind w:left="360"/>
        <w:jc w:val="both"/>
        <w:rPr>
          <w:rFonts w:cs="Arial"/>
          <w:sz w:val="22"/>
          <w:lang w:eastAsia="en-NZ"/>
        </w:rPr>
      </w:pPr>
      <w:r>
        <w:rPr>
          <w:rFonts w:cs="Arial"/>
          <w:sz w:val="22"/>
          <w:lang w:eastAsia="en-NZ"/>
        </w:rPr>
        <w:t>be constructive and cooperative</w:t>
      </w:r>
    </w:p>
    <w:p w:rsidR="003E69E7" w:rsidRDefault="003E69E7" w:rsidP="003E69E7">
      <w:pPr>
        <w:numPr>
          <w:ilvl w:val="0"/>
          <w:numId w:val="50"/>
        </w:numPr>
        <w:shd w:val="clear" w:color="auto" w:fill="FFFFFF"/>
        <w:ind w:left="360"/>
        <w:jc w:val="both"/>
        <w:rPr>
          <w:rFonts w:cs="Arial"/>
          <w:sz w:val="22"/>
          <w:lang w:eastAsia="en-NZ"/>
        </w:rPr>
      </w:pPr>
      <w:r>
        <w:rPr>
          <w:rFonts w:cs="Arial"/>
          <w:sz w:val="22"/>
          <w:lang w:eastAsia="en-NZ"/>
        </w:rPr>
        <w:t>be proactive in providing each other with relevant information and consider all information provided</w:t>
      </w:r>
    </w:p>
    <w:p w:rsidR="003E69E7" w:rsidRDefault="003E69E7" w:rsidP="003E69E7">
      <w:pPr>
        <w:numPr>
          <w:ilvl w:val="0"/>
          <w:numId w:val="50"/>
        </w:numPr>
        <w:shd w:val="clear" w:color="auto" w:fill="FFFFFF"/>
        <w:ind w:left="360"/>
        <w:jc w:val="both"/>
        <w:rPr>
          <w:rFonts w:cs="Arial"/>
          <w:sz w:val="22"/>
          <w:lang w:eastAsia="en-NZ"/>
        </w:rPr>
      </w:pPr>
      <w:r>
        <w:rPr>
          <w:rFonts w:cs="Arial"/>
          <w:sz w:val="22"/>
          <w:lang w:eastAsia="en-NZ"/>
        </w:rPr>
        <w:t>respond promptly and thoroughly to reasonable requests and concerns</w:t>
      </w:r>
    </w:p>
    <w:p w:rsidR="003E69E7" w:rsidRDefault="003E69E7" w:rsidP="003E69E7">
      <w:pPr>
        <w:numPr>
          <w:ilvl w:val="0"/>
          <w:numId w:val="50"/>
        </w:numPr>
        <w:shd w:val="clear" w:color="auto" w:fill="FFFFFF"/>
        <w:ind w:left="360"/>
        <w:jc w:val="both"/>
        <w:rPr>
          <w:rFonts w:cs="Arial"/>
          <w:sz w:val="22"/>
          <w:lang w:eastAsia="en-NZ"/>
        </w:rPr>
      </w:pPr>
      <w:r>
        <w:rPr>
          <w:rFonts w:cs="Arial"/>
          <w:sz w:val="22"/>
          <w:lang w:eastAsia="en-NZ"/>
        </w:rPr>
        <w:t>keep an open mind, listen to each other and be prepared to change opinion about a particular situation or behaviour, and</w:t>
      </w:r>
    </w:p>
    <w:p w:rsidR="003E69E7" w:rsidRDefault="003E69E7" w:rsidP="003E69E7">
      <w:pPr>
        <w:numPr>
          <w:ilvl w:val="0"/>
          <w:numId w:val="50"/>
        </w:numPr>
        <w:shd w:val="clear" w:color="auto" w:fill="FFFFFF"/>
        <w:ind w:left="360"/>
        <w:jc w:val="both"/>
        <w:rPr>
          <w:rFonts w:cs="Arial"/>
          <w:sz w:val="22"/>
          <w:lang w:eastAsia="en-NZ"/>
        </w:rPr>
      </w:pPr>
      <w:r>
        <w:rPr>
          <w:rFonts w:cs="Arial"/>
          <w:sz w:val="22"/>
          <w:lang w:eastAsia="en-NZ"/>
        </w:rPr>
        <w:t>treat each other respectfully.</w:t>
      </w:r>
    </w:p>
    <w:p w:rsidR="003E69E7" w:rsidRDefault="003E69E7" w:rsidP="003E69E7">
      <w:pPr>
        <w:shd w:val="clear" w:color="auto" w:fill="FFFFFF"/>
        <w:jc w:val="both"/>
        <w:rPr>
          <w:rFonts w:cs="Arial"/>
          <w:sz w:val="22"/>
          <w:lang w:eastAsia="en-NZ"/>
        </w:rPr>
      </w:pPr>
    </w:p>
    <w:p w:rsidR="003E69E7" w:rsidRDefault="003E69E7" w:rsidP="003E69E7">
      <w:pPr>
        <w:shd w:val="clear" w:color="auto" w:fill="FFFFFF"/>
        <w:jc w:val="both"/>
        <w:rPr>
          <w:rFonts w:cs="Arial"/>
          <w:sz w:val="22"/>
          <w:lang w:eastAsia="en-NZ"/>
        </w:rPr>
      </w:pPr>
      <w:r>
        <w:rPr>
          <w:rFonts w:cs="Arial"/>
          <w:sz w:val="22"/>
          <w:lang w:eastAsia="en-NZ"/>
        </w:rPr>
        <w:t>Good faith generally involves using practical common sense. Acting in good faith reduces the risk of conflict and problems. It is also a minimum requirement of the Employment Relations Act 2000.”</w:t>
      </w:r>
      <w:r>
        <w:rPr>
          <w:rStyle w:val="FootnoteReference"/>
          <w:rFonts w:cs="Arial"/>
          <w:sz w:val="22"/>
          <w:lang w:eastAsia="en-NZ"/>
        </w:rPr>
        <w:footnoteReference w:id="12"/>
      </w:r>
      <w:r>
        <w:rPr>
          <w:rFonts w:cs="Arial"/>
          <w:sz w:val="22"/>
          <w:lang w:eastAsia="en-NZ"/>
        </w:rPr>
        <w:t xml:space="preserve"> </w:t>
      </w:r>
    </w:p>
    <w:p w:rsidR="003E69E7" w:rsidRDefault="003E69E7" w:rsidP="003E69E7">
      <w:pPr>
        <w:jc w:val="both"/>
        <w:rPr>
          <w:sz w:val="22"/>
          <w:u w:val="single"/>
        </w:rPr>
      </w:pPr>
    </w:p>
    <w:p w:rsidR="003E69E7" w:rsidRPr="004E76D5" w:rsidRDefault="003E69E7" w:rsidP="003E69E7">
      <w:pPr>
        <w:jc w:val="both"/>
        <w:rPr>
          <w:b/>
          <w:i/>
          <w:color w:val="00B0F0"/>
        </w:rPr>
      </w:pPr>
      <w:r w:rsidRPr="004E76D5">
        <w:rPr>
          <w:b/>
          <w:i/>
          <w:color w:val="00B0F0"/>
        </w:rPr>
        <w:t>Legal cases</w:t>
      </w:r>
    </w:p>
    <w:p w:rsidR="003E69E7" w:rsidRDefault="003E69E7" w:rsidP="003E69E7">
      <w:pPr>
        <w:jc w:val="both"/>
        <w:rPr>
          <w:sz w:val="22"/>
        </w:rPr>
      </w:pPr>
      <w:r>
        <w:rPr>
          <w:sz w:val="22"/>
        </w:rPr>
        <w:t xml:space="preserve">In 2002 the Employment Court ruled that a question on a pre-employment form </w:t>
      </w:r>
      <w:r>
        <w:rPr>
          <w:rFonts w:cs="Arial"/>
          <w:sz w:val="22"/>
        </w:rPr>
        <w:t>–</w:t>
      </w:r>
      <w:r>
        <w:rPr>
          <w:sz w:val="22"/>
        </w:rPr>
        <w:t xml:space="preserve"> </w:t>
      </w:r>
      <w:r>
        <w:rPr>
          <w:i/>
          <w:sz w:val="22"/>
        </w:rPr>
        <w:t xml:space="preserve">Do you have any medical problems of any kind? </w:t>
      </w:r>
      <w:r>
        <w:rPr>
          <w:sz w:val="22"/>
        </w:rPr>
        <w:t xml:space="preserve">– was unlawful in light of s. 23 of the Human Rights Act which prohibits questions that indicate or could reasonably be understood as indicating an intention to unlawfully discriminate against an applicant for employment.  The question would enable an employer to reject an applicant on the basis of a condition which would have minimal or no impact on work performance.  </w:t>
      </w:r>
    </w:p>
    <w:p w:rsidR="003E69E7" w:rsidRDefault="003E69E7" w:rsidP="003E69E7">
      <w:pPr>
        <w:jc w:val="both"/>
        <w:rPr>
          <w:sz w:val="22"/>
        </w:rPr>
      </w:pPr>
    </w:p>
    <w:p w:rsidR="003E69E7" w:rsidRDefault="003E69E7" w:rsidP="003E69E7">
      <w:pPr>
        <w:jc w:val="both"/>
        <w:rPr>
          <w:sz w:val="22"/>
        </w:rPr>
      </w:pPr>
      <w:r>
        <w:rPr>
          <w:sz w:val="22"/>
        </w:rPr>
        <w:t>In this case the employee answered “yes” to the question and gave details of one condition; but she did not mention several other medical conditions. After time off work because of illnesses the employer ascertained that she suffered from several medical conditions which she had not disclosed. The employer dismissed her because of her failure to disclose her full medical situation. The court decided that she was not obliged to disclose all her medical conditions.</w:t>
      </w:r>
      <w:r>
        <w:rPr>
          <w:rStyle w:val="FootnoteReference"/>
          <w:sz w:val="22"/>
        </w:rPr>
        <w:footnoteReference w:id="13"/>
      </w:r>
    </w:p>
    <w:p w:rsidR="00C24221" w:rsidRDefault="00C24221" w:rsidP="003E69E7">
      <w:pPr>
        <w:jc w:val="both"/>
        <w:rPr>
          <w:sz w:val="22"/>
        </w:rPr>
      </w:pPr>
    </w:p>
    <w:p w:rsidR="003E69E7" w:rsidRDefault="003E69E7" w:rsidP="003E69E7">
      <w:pPr>
        <w:jc w:val="both"/>
        <w:rPr>
          <w:sz w:val="22"/>
        </w:rPr>
      </w:pPr>
      <w:r>
        <w:rPr>
          <w:sz w:val="22"/>
        </w:rPr>
        <w:t>In 2009 the Employment Relations Authority considered a situation where an employee had not disclosed her bi-polar condition on two separate occasions when her failure to do so provided an inaccurate answer. The employer subsequently failed to accommodate her condition.   The applicant was able to establish that her condition was one that her employer needed to reasonably accommodate but had failed to do so. The Authority deducted 25% from the damages as the employee’s failure to disclose contributed to the discrimination grievance arising.</w:t>
      </w:r>
      <w:r>
        <w:rPr>
          <w:rStyle w:val="FootnoteReference"/>
          <w:sz w:val="22"/>
        </w:rPr>
        <w:footnoteReference w:id="14"/>
      </w:r>
    </w:p>
    <w:p w:rsidR="003E69E7" w:rsidRDefault="003E69E7" w:rsidP="003E69E7">
      <w:pPr>
        <w:jc w:val="both"/>
        <w:rPr>
          <w:sz w:val="22"/>
        </w:rPr>
      </w:pPr>
    </w:p>
    <w:p w:rsidR="003E69E7" w:rsidRDefault="003E69E7" w:rsidP="003E69E7">
      <w:pPr>
        <w:jc w:val="both"/>
        <w:rPr>
          <w:rFonts w:cs="Arial"/>
          <w:sz w:val="22"/>
        </w:rPr>
      </w:pPr>
      <w:r>
        <w:rPr>
          <w:sz w:val="22"/>
        </w:rPr>
        <w:t xml:space="preserve">In 2010 </w:t>
      </w:r>
      <w:r>
        <w:rPr>
          <w:rFonts w:cs="Arial"/>
          <w:sz w:val="22"/>
        </w:rPr>
        <w:t xml:space="preserve">the Authority upheld a decision by an employer to dismiss an employee who failed to disclose on a pre-employment questionnaire that he had a pre-existing mental health condition. Of critical importance to the Authority’s decision was the employer’s practice in assessing the information about physical and mental health provided by applicants. The information is considered by a different person to that who assesses work history and standard CV-type information. The employer considers in detail an applicant’s medical </w:t>
      </w:r>
      <w:r>
        <w:rPr>
          <w:rFonts w:cs="Arial"/>
          <w:sz w:val="22"/>
        </w:rPr>
        <w:lastRenderedPageBreak/>
        <w:t>history before making a decision whether to employ or arrange a suitable programme to facilitate employment.</w:t>
      </w:r>
    </w:p>
    <w:p w:rsidR="003E69E7" w:rsidRDefault="003E69E7" w:rsidP="003E69E7">
      <w:pPr>
        <w:pStyle w:val="ListParagraph"/>
        <w:ind w:left="0"/>
        <w:jc w:val="both"/>
        <w:rPr>
          <w:rFonts w:cs="Arial"/>
          <w:sz w:val="22"/>
        </w:rPr>
      </w:pPr>
    </w:p>
    <w:p w:rsidR="003E69E7" w:rsidRDefault="003E69E7" w:rsidP="003E69E7">
      <w:pPr>
        <w:pStyle w:val="ListParagraph"/>
        <w:ind w:left="0"/>
        <w:jc w:val="both"/>
        <w:rPr>
          <w:rFonts w:cs="Arial"/>
          <w:sz w:val="22"/>
        </w:rPr>
      </w:pPr>
      <w:r>
        <w:rPr>
          <w:rFonts w:cs="Arial"/>
          <w:sz w:val="22"/>
        </w:rPr>
        <w:t xml:space="preserve">The Authority concluded that the separate consideration of the detailed medical information from other aspects of the recruitment process indicated that the medical information was requested for the purposes of assessing an applicant’s physical and mental fitness to </w:t>
      </w:r>
      <w:r w:rsidRPr="00C82F13">
        <w:rPr>
          <w:rFonts w:cs="Arial"/>
          <w:sz w:val="22"/>
        </w:rPr>
        <w:t>perform the role and duties</w:t>
      </w:r>
      <w:r w:rsidR="00C24221" w:rsidRPr="00C82F13">
        <w:rPr>
          <w:rFonts w:cs="Arial"/>
          <w:sz w:val="22"/>
        </w:rPr>
        <w:t>.</w:t>
      </w:r>
      <w:r w:rsidRPr="00C82F13">
        <w:rPr>
          <w:rFonts w:cs="Arial"/>
          <w:sz w:val="22"/>
        </w:rPr>
        <w:t xml:space="preserve"> </w:t>
      </w:r>
      <w:r w:rsidR="00C24221" w:rsidRPr="00C82F13">
        <w:rPr>
          <w:rFonts w:cs="Arial"/>
          <w:sz w:val="22"/>
        </w:rPr>
        <w:t>I</w:t>
      </w:r>
      <w:r w:rsidRPr="00C82F13">
        <w:rPr>
          <w:rFonts w:cs="Arial"/>
          <w:sz w:val="22"/>
        </w:rPr>
        <w:t>t was part of assessing whether the person was qualified for the</w:t>
      </w:r>
      <w:r>
        <w:rPr>
          <w:rFonts w:cs="Arial"/>
          <w:sz w:val="22"/>
        </w:rPr>
        <w:t xml:space="preserve"> job. The Authority did not accept that the form could reasonably be taken as indicating an intention to unlawfully discriminate.</w:t>
      </w:r>
    </w:p>
    <w:p w:rsidR="003E69E7" w:rsidRDefault="003E69E7" w:rsidP="003E69E7">
      <w:pPr>
        <w:pStyle w:val="ListParagraph"/>
        <w:ind w:left="0"/>
        <w:jc w:val="both"/>
        <w:rPr>
          <w:rFonts w:cs="Arial"/>
          <w:sz w:val="22"/>
        </w:rPr>
      </w:pPr>
    </w:p>
    <w:p w:rsidR="003E69E7" w:rsidRDefault="003E69E7" w:rsidP="003E69E7">
      <w:pPr>
        <w:pStyle w:val="ListParagraph"/>
        <w:ind w:left="0"/>
        <w:jc w:val="both"/>
        <w:rPr>
          <w:rFonts w:cs="Arial"/>
          <w:sz w:val="22"/>
        </w:rPr>
      </w:pPr>
      <w:r>
        <w:rPr>
          <w:rFonts w:cs="Arial"/>
          <w:sz w:val="22"/>
        </w:rPr>
        <w:t xml:space="preserve">The employee said that such questions should only be asked after the initial assessment had determined that an applicant was otherwise suitable for employment. Otherwise there is a risk that a suitable applicant, who is entitled to reasonable accommodation, might be discriminated against. </w:t>
      </w:r>
    </w:p>
    <w:p w:rsidR="003E69E7" w:rsidRDefault="003E69E7" w:rsidP="003E69E7">
      <w:pPr>
        <w:pStyle w:val="ListParagraph"/>
        <w:ind w:left="0"/>
        <w:jc w:val="both"/>
        <w:rPr>
          <w:rFonts w:cs="Arial"/>
          <w:sz w:val="22"/>
        </w:rPr>
      </w:pPr>
    </w:p>
    <w:p w:rsidR="003E69E7" w:rsidRDefault="003E69E7" w:rsidP="003E69E7">
      <w:pPr>
        <w:pStyle w:val="ListParagraph"/>
        <w:ind w:left="0"/>
        <w:jc w:val="both"/>
        <w:rPr>
          <w:rFonts w:cs="Arial"/>
          <w:sz w:val="22"/>
        </w:rPr>
      </w:pPr>
      <w:r>
        <w:rPr>
          <w:rFonts w:cs="Arial"/>
          <w:sz w:val="22"/>
        </w:rPr>
        <w:t>The Authority said that employer was entitled to assess its legal obligations.  It can only do that by asking appropriate questions to elicit the necessary information from the applicant and, if necessary, seeking expert reports. The Authority noted that there was evidence of the employer continuing to employ people who suffer from mental illness and the employer does not discriminate against people with a mental illness. The evidence supported the employer’s claim that it needs to know about the nature of a person’s illness in order to assess whether it can reasonably and safely be accommodated so as to continue or permit the person’s employment.</w:t>
      </w:r>
    </w:p>
    <w:p w:rsidR="003E69E7" w:rsidRDefault="003E69E7" w:rsidP="003E69E7">
      <w:pPr>
        <w:ind w:left="284"/>
        <w:jc w:val="both"/>
        <w:rPr>
          <w:rFonts w:ascii="MS Reference Sans Serif" w:hAnsi="MS Reference Sans Serif"/>
          <w:color w:val="002060"/>
          <w:sz w:val="22"/>
        </w:rPr>
      </w:pPr>
    </w:p>
    <w:p w:rsidR="003E69E7" w:rsidRDefault="003E69E7" w:rsidP="003E69E7">
      <w:pPr>
        <w:jc w:val="both"/>
        <w:rPr>
          <w:rFonts w:cs="Arial"/>
          <w:sz w:val="22"/>
        </w:rPr>
      </w:pPr>
      <w:r>
        <w:rPr>
          <w:rFonts w:cs="Arial"/>
          <w:sz w:val="22"/>
        </w:rPr>
        <w:t>The Authority commented on the employee’s evidence that he had been advised by an advocate to say that his false answers resulted from miscalculation rather than a deliberate decision to withhold information because of his fear of discrimination:</w:t>
      </w:r>
    </w:p>
    <w:p w:rsidR="003E69E7" w:rsidRDefault="003E69E7" w:rsidP="003E69E7">
      <w:pPr>
        <w:ind w:left="284"/>
        <w:jc w:val="both"/>
        <w:rPr>
          <w:rFonts w:cs="Arial"/>
          <w:sz w:val="22"/>
        </w:rPr>
      </w:pPr>
    </w:p>
    <w:p w:rsidR="003E69E7" w:rsidRDefault="003E69E7" w:rsidP="003E69E7">
      <w:pPr>
        <w:ind w:left="284"/>
        <w:jc w:val="both"/>
        <w:rPr>
          <w:rFonts w:cs="Arial"/>
          <w:sz w:val="22"/>
        </w:rPr>
      </w:pPr>
      <w:r>
        <w:rPr>
          <w:rFonts w:cs="Arial"/>
          <w:sz w:val="22"/>
        </w:rPr>
        <w:t>“The statutory obligation is for those in an employment relationship to deal with one another in good faith which includes not misleading one another. Acting on advice, [the employee] breached that obligation … That leads on to a point made by counsel about the stigma attached to mental illness. It might be understandable that a young man such as … would think he should hide his mental health history to avoid any risk of discrimination. There will be differing views on that. In doing so, however, [the employee] exposed himself to the risk of adverse consequences should his employer later discover his falsehood. His other option was to properly answer the questions asked and rely on the anti-discrimination provisions in the Human Rights Act, and the remedies available for a proven breach of that Act if necessary.”</w:t>
      </w:r>
      <w:r>
        <w:rPr>
          <w:rStyle w:val="FootnoteReference"/>
          <w:rFonts w:cs="Arial"/>
          <w:sz w:val="22"/>
        </w:rPr>
        <w:footnoteReference w:id="15"/>
      </w:r>
    </w:p>
    <w:p w:rsidR="003E69E7" w:rsidRDefault="003E69E7" w:rsidP="003E69E7">
      <w:pPr>
        <w:jc w:val="both"/>
        <w:rPr>
          <w:rStyle w:val="Strong"/>
          <w:color w:val="00B0F0"/>
          <w:sz w:val="40"/>
          <w:szCs w:val="40"/>
        </w:rPr>
      </w:pPr>
    </w:p>
    <w:p w:rsidR="003E69E7" w:rsidRPr="00C82F13" w:rsidRDefault="003E69E7" w:rsidP="00C82F13">
      <w:pPr>
        <w:jc w:val="both"/>
        <w:rPr>
          <w:rStyle w:val="Strong"/>
          <w:color w:val="00B0F0"/>
          <w:sz w:val="40"/>
          <w:szCs w:val="40"/>
        </w:rPr>
      </w:pPr>
      <w:r w:rsidRPr="00C82F13">
        <w:rPr>
          <w:rStyle w:val="Strong"/>
          <w:color w:val="00B0F0"/>
          <w:sz w:val="40"/>
          <w:szCs w:val="40"/>
        </w:rPr>
        <w:t>Disabled people and employment</w:t>
      </w:r>
    </w:p>
    <w:p w:rsidR="003E69E7" w:rsidRPr="00C82F13" w:rsidRDefault="003E69E7" w:rsidP="003E69E7">
      <w:pPr>
        <w:jc w:val="both"/>
        <w:rPr>
          <w:rFonts w:cs="Arial"/>
          <w:sz w:val="22"/>
          <w:szCs w:val="22"/>
        </w:rPr>
      </w:pPr>
      <w:r w:rsidRPr="00C82F13">
        <w:rPr>
          <w:rFonts w:cs="Arial"/>
          <w:sz w:val="22"/>
          <w:szCs w:val="22"/>
        </w:rPr>
        <w:t xml:space="preserve">Disabled people the Commission spoke to as part of its </w:t>
      </w:r>
      <w:r w:rsidRPr="00C82F13">
        <w:rPr>
          <w:rFonts w:cs="Arial"/>
          <w:i/>
          <w:sz w:val="22"/>
          <w:szCs w:val="22"/>
        </w:rPr>
        <w:t>National Conversation about Work</w:t>
      </w:r>
      <w:r w:rsidRPr="00C82F13">
        <w:rPr>
          <w:rFonts w:cs="Arial"/>
          <w:sz w:val="22"/>
          <w:szCs w:val="22"/>
        </w:rPr>
        <w:t xml:space="preserve"> indicated that successfully gaining employment or indeed an interview is a major challenge.  </w:t>
      </w:r>
    </w:p>
    <w:p w:rsidR="003E69E7" w:rsidRPr="00C82F13" w:rsidRDefault="003E69E7" w:rsidP="003E69E7">
      <w:pPr>
        <w:jc w:val="both"/>
        <w:rPr>
          <w:rFonts w:cs="Arial"/>
          <w:sz w:val="22"/>
          <w:szCs w:val="22"/>
        </w:rPr>
      </w:pPr>
    </w:p>
    <w:p w:rsidR="003E69E7" w:rsidRPr="00651381" w:rsidRDefault="003E69E7" w:rsidP="003E69E7">
      <w:pPr>
        <w:jc w:val="both"/>
        <w:rPr>
          <w:sz w:val="22"/>
          <w:szCs w:val="22"/>
        </w:rPr>
      </w:pPr>
      <w:r w:rsidRPr="00C82F13">
        <w:rPr>
          <w:sz w:val="22"/>
          <w:szCs w:val="22"/>
        </w:rPr>
        <w:t>The Commission met with a New Plymouth disabilities group and disability support agencies.</w:t>
      </w:r>
      <w:r w:rsidRPr="00651381">
        <w:rPr>
          <w:sz w:val="22"/>
          <w:szCs w:val="22"/>
        </w:rPr>
        <w:t xml:space="preserve">  Mixed stories emerged of examples where some </w:t>
      </w:r>
      <w:r w:rsidR="00C82F13">
        <w:rPr>
          <w:sz w:val="22"/>
          <w:szCs w:val="22"/>
        </w:rPr>
        <w:t xml:space="preserve">disabled </w:t>
      </w:r>
      <w:r w:rsidRPr="00651381">
        <w:rPr>
          <w:sz w:val="22"/>
          <w:szCs w:val="22"/>
        </w:rPr>
        <w:t xml:space="preserve">people were well supported into and at work.  Conversely there were other stories where </w:t>
      </w:r>
      <w:r w:rsidR="00C82F13">
        <w:rPr>
          <w:sz w:val="22"/>
          <w:szCs w:val="22"/>
        </w:rPr>
        <w:t xml:space="preserve">disabled </w:t>
      </w:r>
      <w:r w:rsidRPr="00651381">
        <w:rPr>
          <w:sz w:val="22"/>
          <w:szCs w:val="22"/>
        </w:rPr>
        <w:t xml:space="preserve">people </w:t>
      </w:r>
      <w:r w:rsidR="00C82F13">
        <w:rPr>
          <w:sz w:val="22"/>
          <w:szCs w:val="22"/>
        </w:rPr>
        <w:t>f</w:t>
      </w:r>
      <w:r w:rsidRPr="00651381">
        <w:rPr>
          <w:sz w:val="22"/>
          <w:szCs w:val="22"/>
        </w:rPr>
        <w:t>elt let down and in some cases totally unsupported by agencies.</w:t>
      </w:r>
    </w:p>
    <w:p w:rsidR="003E69E7" w:rsidRPr="00651381" w:rsidRDefault="003E69E7" w:rsidP="003E69E7">
      <w:pPr>
        <w:jc w:val="both"/>
        <w:rPr>
          <w:sz w:val="22"/>
          <w:szCs w:val="22"/>
        </w:rPr>
      </w:pPr>
    </w:p>
    <w:p w:rsidR="003E69E7" w:rsidRPr="00651381" w:rsidRDefault="003E69E7" w:rsidP="003E69E7">
      <w:pPr>
        <w:jc w:val="both"/>
        <w:rPr>
          <w:sz w:val="22"/>
          <w:szCs w:val="22"/>
        </w:rPr>
      </w:pPr>
      <w:r w:rsidRPr="00651381">
        <w:rPr>
          <w:sz w:val="22"/>
          <w:szCs w:val="22"/>
        </w:rPr>
        <w:t xml:space="preserve">One participant was extremely “happy” with the level of support he received and viewed his work as essential to keeping a positive daily focus and being active. Another participant </w:t>
      </w:r>
      <w:r w:rsidRPr="00651381">
        <w:rPr>
          <w:sz w:val="22"/>
          <w:szCs w:val="22"/>
        </w:rPr>
        <w:lastRenderedPageBreak/>
        <w:t xml:space="preserve">spoke of her struggle to keep her job as a consequence of being unsupported and having to educate managers about her disability. She found this very hard to cope with. </w:t>
      </w:r>
    </w:p>
    <w:p w:rsidR="003E69E7" w:rsidRPr="00651381" w:rsidRDefault="003E69E7" w:rsidP="003E69E7">
      <w:pPr>
        <w:jc w:val="both"/>
        <w:rPr>
          <w:rFonts w:cs="Arial"/>
          <w:sz w:val="22"/>
          <w:szCs w:val="22"/>
        </w:rPr>
      </w:pPr>
    </w:p>
    <w:p w:rsidR="003E69E7" w:rsidRPr="00651381" w:rsidRDefault="003E69E7" w:rsidP="003E69E7">
      <w:pPr>
        <w:jc w:val="both"/>
        <w:rPr>
          <w:rFonts w:cs="Arial"/>
          <w:sz w:val="22"/>
          <w:szCs w:val="22"/>
        </w:rPr>
      </w:pPr>
      <w:r w:rsidRPr="00651381">
        <w:rPr>
          <w:rFonts w:cs="Arial"/>
          <w:sz w:val="22"/>
          <w:szCs w:val="22"/>
        </w:rPr>
        <w:t>Employers appeared to be unwilling to give disabled people a go and were apprehensive about what employing a</w:t>
      </w:r>
      <w:r w:rsidR="00732414">
        <w:rPr>
          <w:rFonts w:cs="Arial"/>
          <w:sz w:val="22"/>
          <w:szCs w:val="22"/>
        </w:rPr>
        <w:t xml:space="preserve"> disabled</w:t>
      </w:r>
      <w:r w:rsidRPr="00651381">
        <w:rPr>
          <w:rFonts w:cs="Arial"/>
          <w:sz w:val="22"/>
          <w:szCs w:val="22"/>
        </w:rPr>
        <w:t xml:space="preserve"> person might entail. A Christchurch group told us that a critical task is to “reduce the fear about what disability might mean for employers.  Accommodating special needs doesn’t have to be a big deal, everyone has special needs.”</w:t>
      </w:r>
    </w:p>
    <w:p w:rsidR="003E69E7" w:rsidRPr="00651381" w:rsidRDefault="003E69E7" w:rsidP="003E69E7">
      <w:pPr>
        <w:jc w:val="both"/>
        <w:rPr>
          <w:rFonts w:cs="Arial"/>
          <w:sz w:val="22"/>
          <w:szCs w:val="22"/>
        </w:rPr>
      </w:pPr>
    </w:p>
    <w:p w:rsidR="003E69E7" w:rsidRPr="00C82F13" w:rsidRDefault="003E69E7" w:rsidP="003E69E7">
      <w:pPr>
        <w:jc w:val="both"/>
        <w:rPr>
          <w:rFonts w:cs="Arial"/>
          <w:sz w:val="22"/>
          <w:szCs w:val="22"/>
        </w:rPr>
      </w:pPr>
      <w:r w:rsidRPr="00C82F13">
        <w:rPr>
          <w:rFonts w:cs="Arial"/>
          <w:sz w:val="22"/>
          <w:szCs w:val="22"/>
        </w:rPr>
        <w:t>A group of Deaf in Hawke’s Bay talked about the multiple barriers inherent in the recruitment process. They talked about a</w:t>
      </w:r>
      <w:r w:rsidR="00C24221" w:rsidRPr="00C82F13">
        <w:rPr>
          <w:rFonts w:cs="Arial"/>
          <w:sz w:val="22"/>
          <w:szCs w:val="22"/>
        </w:rPr>
        <w:t>ssistance needed for preparing c</w:t>
      </w:r>
      <w:r w:rsidRPr="00C82F13">
        <w:rPr>
          <w:rFonts w:cs="Arial"/>
          <w:sz w:val="22"/>
          <w:szCs w:val="22"/>
        </w:rPr>
        <w:t xml:space="preserve">urricula </w:t>
      </w:r>
      <w:r w:rsidR="00C24221" w:rsidRPr="00C82F13">
        <w:rPr>
          <w:rFonts w:cs="Arial"/>
          <w:sz w:val="22"/>
          <w:szCs w:val="22"/>
        </w:rPr>
        <w:t>v</w:t>
      </w:r>
      <w:r w:rsidRPr="00C82F13">
        <w:rPr>
          <w:rFonts w:cs="Arial"/>
          <w:sz w:val="22"/>
          <w:szCs w:val="22"/>
        </w:rPr>
        <w:t xml:space="preserve">itae (CVs), phoning prospective employers and organising an interpreter for the rare occasions when they got a job interview. There is no resident sign interpreter in Hawke’s Bay.  Sadly the interpreter was often perceived by prospective employers as a support person rather than as an impartial interpreter. </w:t>
      </w:r>
    </w:p>
    <w:p w:rsidR="003E69E7" w:rsidRPr="00C82F13" w:rsidRDefault="003E69E7" w:rsidP="003E69E7">
      <w:pPr>
        <w:jc w:val="both"/>
        <w:rPr>
          <w:rFonts w:cs="Arial"/>
          <w:sz w:val="22"/>
          <w:szCs w:val="22"/>
        </w:rPr>
      </w:pPr>
    </w:p>
    <w:p w:rsidR="003E69E7" w:rsidRPr="00C82F13" w:rsidRDefault="003E69E7" w:rsidP="00C82F13">
      <w:pPr>
        <w:pStyle w:val="ListParagraph"/>
        <w:ind w:left="0"/>
        <w:jc w:val="both"/>
        <w:rPr>
          <w:sz w:val="22"/>
          <w:szCs w:val="22"/>
          <w:lang w:val="en-NZ"/>
        </w:rPr>
      </w:pPr>
      <w:r w:rsidRPr="00C82F13">
        <w:rPr>
          <w:sz w:val="22"/>
          <w:szCs w:val="22"/>
          <w:lang w:val="en-NZ"/>
        </w:rPr>
        <w:t>When disabled staff were asked what they like about work, they spoke about the social aspect of being with friends and also the immense satisfaction gained from applying technical skills such as those required for sign-writing and wood turning. Everyone the Commission spoke to said work “gives you something to get up for” and “I need something to do to keep me occupied”.</w:t>
      </w:r>
    </w:p>
    <w:p w:rsidR="003E69E7" w:rsidRPr="00C82F13" w:rsidRDefault="003E69E7" w:rsidP="00C82F13">
      <w:pPr>
        <w:pStyle w:val="ListParagraph"/>
        <w:ind w:left="0"/>
        <w:jc w:val="both"/>
        <w:rPr>
          <w:sz w:val="22"/>
          <w:szCs w:val="22"/>
          <w:lang w:val="en-NZ"/>
        </w:rPr>
      </w:pPr>
    </w:p>
    <w:p w:rsidR="003E69E7" w:rsidRPr="00A73396" w:rsidRDefault="003E69E7" w:rsidP="00C82F13">
      <w:pPr>
        <w:jc w:val="both"/>
        <w:outlineLvl w:val="0"/>
        <w:rPr>
          <w:rFonts w:cs="Arial"/>
          <w:sz w:val="22"/>
          <w:szCs w:val="22"/>
        </w:rPr>
      </w:pPr>
      <w:r w:rsidRPr="00C82F13">
        <w:rPr>
          <w:sz w:val="22"/>
          <w:szCs w:val="22"/>
        </w:rPr>
        <w:t>Without work</w:t>
      </w:r>
      <w:r w:rsidR="00947147" w:rsidRPr="00C82F13">
        <w:rPr>
          <w:sz w:val="22"/>
          <w:szCs w:val="22"/>
        </w:rPr>
        <w:t>,</w:t>
      </w:r>
      <w:r w:rsidRPr="00C82F13">
        <w:rPr>
          <w:sz w:val="22"/>
          <w:szCs w:val="22"/>
        </w:rPr>
        <w:t xml:space="preserve"> disabled staff overwhelming said that they would be “bored and annoyed” and would probably “just sit there” at home.  </w:t>
      </w:r>
      <w:r w:rsidRPr="00C82F13">
        <w:rPr>
          <w:rFonts w:cs="Arial"/>
          <w:sz w:val="22"/>
          <w:szCs w:val="22"/>
        </w:rPr>
        <w:t>The Commission learned that employment was a more desirable alternative to community participation programmes or unemployment. “There is dignity in labour” the Commission was told. Income from work paid below the minimum wage was supplemented by benefits.</w:t>
      </w:r>
      <w:r w:rsidRPr="00A73396">
        <w:rPr>
          <w:rFonts w:cs="Arial"/>
          <w:sz w:val="22"/>
          <w:szCs w:val="22"/>
        </w:rPr>
        <w:t xml:space="preserve"> </w:t>
      </w:r>
    </w:p>
    <w:p w:rsidR="003E69E7" w:rsidRPr="00651381" w:rsidRDefault="003E69E7" w:rsidP="00C82F13">
      <w:pPr>
        <w:jc w:val="both"/>
        <w:rPr>
          <w:rFonts w:cs="Arial"/>
          <w:sz w:val="22"/>
          <w:szCs w:val="22"/>
        </w:rPr>
      </w:pPr>
    </w:p>
    <w:p w:rsidR="003E69E7" w:rsidRPr="00651381" w:rsidRDefault="003E69E7" w:rsidP="00C82F13">
      <w:pPr>
        <w:jc w:val="both"/>
        <w:rPr>
          <w:rFonts w:cs="Arial"/>
          <w:sz w:val="22"/>
          <w:szCs w:val="22"/>
        </w:rPr>
      </w:pPr>
      <w:r w:rsidRPr="00651381">
        <w:rPr>
          <w:rFonts w:cs="Arial"/>
          <w:sz w:val="22"/>
          <w:szCs w:val="22"/>
        </w:rPr>
        <w:t xml:space="preserve">Incorrect assumptions were made about what an individual disabled person might need to make employment work. Conversations about the practical implications of employment were avoided.  For example, a group of blind people meeting in Wellington told the Commission that interviewers did not ask about how guide dogs might behave at work and instead assumed that the dog would be as boisterous and disruptive as their family pet. </w:t>
      </w:r>
    </w:p>
    <w:p w:rsidR="003E69E7" w:rsidRPr="00651381" w:rsidRDefault="003E69E7" w:rsidP="00C82F13">
      <w:pPr>
        <w:jc w:val="both"/>
        <w:rPr>
          <w:rFonts w:cs="Arial"/>
          <w:sz w:val="22"/>
          <w:szCs w:val="22"/>
        </w:rPr>
      </w:pPr>
    </w:p>
    <w:p w:rsidR="003E69E7" w:rsidRPr="00651381" w:rsidRDefault="003E69E7" w:rsidP="00C82F13">
      <w:pPr>
        <w:jc w:val="both"/>
        <w:rPr>
          <w:rFonts w:cs="Arial"/>
          <w:sz w:val="22"/>
          <w:szCs w:val="22"/>
        </w:rPr>
      </w:pPr>
      <w:r w:rsidRPr="00651381">
        <w:rPr>
          <w:rFonts w:cs="Arial"/>
          <w:sz w:val="22"/>
          <w:szCs w:val="22"/>
        </w:rPr>
        <w:t>Many have noticed a change in employer attitudes with increased societal awareness but believed the following things still needed to happen to change attitudes:</w:t>
      </w:r>
    </w:p>
    <w:p w:rsidR="003E69E7" w:rsidRPr="00651381" w:rsidRDefault="003E69E7" w:rsidP="00C82F13">
      <w:pPr>
        <w:pStyle w:val="ListParagraph"/>
        <w:numPr>
          <w:ilvl w:val="0"/>
          <w:numId w:val="60"/>
        </w:numPr>
        <w:contextualSpacing w:val="0"/>
        <w:jc w:val="both"/>
        <w:rPr>
          <w:rFonts w:cs="Arial"/>
          <w:sz w:val="22"/>
          <w:szCs w:val="22"/>
        </w:rPr>
      </w:pPr>
      <w:r w:rsidRPr="00651381">
        <w:rPr>
          <w:rFonts w:cs="Arial"/>
          <w:sz w:val="22"/>
          <w:szCs w:val="22"/>
        </w:rPr>
        <w:t>Greater recognition of employers that employ disabled people</w:t>
      </w:r>
    </w:p>
    <w:p w:rsidR="003E69E7" w:rsidRPr="00651381" w:rsidRDefault="003E69E7" w:rsidP="003E69E7">
      <w:pPr>
        <w:pStyle w:val="ListParagraph"/>
        <w:numPr>
          <w:ilvl w:val="0"/>
          <w:numId w:val="60"/>
        </w:numPr>
        <w:contextualSpacing w:val="0"/>
        <w:jc w:val="both"/>
        <w:rPr>
          <w:rFonts w:cs="Arial"/>
          <w:sz w:val="22"/>
          <w:szCs w:val="22"/>
        </w:rPr>
      </w:pPr>
      <w:r w:rsidRPr="00651381">
        <w:rPr>
          <w:rFonts w:cs="Arial"/>
          <w:sz w:val="22"/>
          <w:szCs w:val="22"/>
        </w:rPr>
        <w:t>Testimonials from employers that have found disabled people to be great workers</w:t>
      </w:r>
    </w:p>
    <w:p w:rsidR="003E69E7" w:rsidRPr="00651381" w:rsidRDefault="003E69E7" w:rsidP="003E69E7">
      <w:pPr>
        <w:pStyle w:val="ListParagraph"/>
        <w:numPr>
          <w:ilvl w:val="0"/>
          <w:numId w:val="60"/>
        </w:numPr>
        <w:contextualSpacing w:val="0"/>
        <w:jc w:val="both"/>
        <w:rPr>
          <w:rFonts w:cs="Arial"/>
          <w:sz w:val="22"/>
          <w:szCs w:val="22"/>
        </w:rPr>
      </w:pPr>
      <w:r w:rsidRPr="00651381">
        <w:rPr>
          <w:rFonts w:cs="Arial"/>
          <w:sz w:val="22"/>
          <w:szCs w:val="22"/>
        </w:rPr>
        <w:t>Encouragement of other employers to take on disabled staff</w:t>
      </w:r>
    </w:p>
    <w:p w:rsidR="003E69E7" w:rsidRPr="000F2381" w:rsidRDefault="003E69E7" w:rsidP="003E69E7">
      <w:pPr>
        <w:pStyle w:val="ListParagraph"/>
        <w:numPr>
          <w:ilvl w:val="0"/>
          <w:numId w:val="60"/>
        </w:numPr>
        <w:contextualSpacing w:val="0"/>
        <w:jc w:val="both"/>
        <w:rPr>
          <w:rFonts w:cs="Arial"/>
          <w:sz w:val="22"/>
          <w:szCs w:val="22"/>
        </w:rPr>
      </w:pPr>
      <w:r w:rsidRPr="00651381">
        <w:rPr>
          <w:rFonts w:cs="Arial"/>
          <w:sz w:val="22"/>
          <w:szCs w:val="22"/>
        </w:rPr>
        <w:t xml:space="preserve">Greater education and awareness raising around </w:t>
      </w:r>
      <w:r w:rsidRPr="000F2381">
        <w:rPr>
          <w:rFonts w:cs="Arial"/>
          <w:sz w:val="22"/>
          <w:szCs w:val="22"/>
        </w:rPr>
        <w:t>disabilities</w:t>
      </w:r>
      <w:r w:rsidR="00C24221" w:rsidRPr="000F2381">
        <w:rPr>
          <w:rFonts w:cs="Arial"/>
          <w:sz w:val="22"/>
          <w:szCs w:val="22"/>
        </w:rPr>
        <w:t>.</w:t>
      </w:r>
    </w:p>
    <w:p w:rsidR="003E69E7" w:rsidRPr="00651381" w:rsidRDefault="003E69E7" w:rsidP="003E69E7">
      <w:pPr>
        <w:jc w:val="both"/>
        <w:rPr>
          <w:rFonts w:cs="Arial"/>
          <w:sz w:val="22"/>
          <w:szCs w:val="22"/>
        </w:rPr>
      </w:pPr>
    </w:p>
    <w:p w:rsidR="003E69E7" w:rsidRPr="00651381" w:rsidRDefault="003E69E7" w:rsidP="003E69E7">
      <w:pPr>
        <w:jc w:val="both"/>
        <w:rPr>
          <w:rFonts w:cs="Arial"/>
          <w:sz w:val="22"/>
          <w:szCs w:val="22"/>
        </w:rPr>
      </w:pPr>
      <w:r w:rsidRPr="00651381">
        <w:rPr>
          <w:rFonts w:cs="Arial"/>
          <w:sz w:val="22"/>
          <w:szCs w:val="22"/>
        </w:rPr>
        <w:t>“The focus for employers should be on education, retention of disabled staff, employment rights and the loyalty shown by people with disabilities”, we were told.</w:t>
      </w:r>
    </w:p>
    <w:p w:rsidR="003E69E7" w:rsidRDefault="003E69E7" w:rsidP="003E69E7">
      <w:pPr>
        <w:jc w:val="both"/>
        <w:rPr>
          <w:rFonts w:cs="Arial"/>
          <w:sz w:val="22"/>
          <w:szCs w:val="22"/>
        </w:rPr>
      </w:pPr>
    </w:p>
    <w:p w:rsidR="003E69E7" w:rsidRPr="00651381" w:rsidRDefault="003E69E7" w:rsidP="003E69E7">
      <w:pPr>
        <w:jc w:val="both"/>
        <w:rPr>
          <w:rFonts w:cs="Arial"/>
          <w:sz w:val="22"/>
          <w:szCs w:val="22"/>
        </w:rPr>
      </w:pPr>
      <w:r w:rsidRPr="00651381">
        <w:rPr>
          <w:rFonts w:cs="Arial"/>
          <w:sz w:val="22"/>
          <w:szCs w:val="22"/>
        </w:rPr>
        <w:t>One participant summed up the need for attitudinal change by employers when he said, “If we were to look at [disabled] people as an investment rather than look at them as a pathology or as a disability and if we were to look at people’s abilities rather than disabilities, I think we would be in a different spot”.</w:t>
      </w:r>
    </w:p>
    <w:p w:rsidR="003E69E7" w:rsidRPr="002F1709" w:rsidRDefault="003E69E7" w:rsidP="003E69E7">
      <w:pPr>
        <w:jc w:val="both"/>
        <w:rPr>
          <w:b/>
          <w:color w:val="00B0F0"/>
          <w:sz w:val="40"/>
          <w:szCs w:val="40"/>
        </w:rPr>
      </w:pPr>
    </w:p>
    <w:p w:rsidR="003E69E7" w:rsidRPr="00651381" w:rsidRDefault="003E69E7" w:rsidP="003E69E7">
      <w:pPr>
        <w:jc w:val="both"/>
        <w:rPr>
          <w:sz w:val="40"/>
          <w:szCs w:val="40"/>
        </w:rPr>
      </w:pPr>
    </w:p>
    <w:p w:rsidR="003252C6" w:rsidRDefault="003252C6" w:rsidP="003E69E7">
      <w:pPr>
        <w:jc w:val="both"/>
        <w:rPr>
          <w:b/>
          <w:color w:val="00B0F0"/>
          <w:sz w:val="40"/>
          <w:szCs w:val="40"/>
        </w:rPr>
      </w:pPr>
    </w:p>
    <w:p w:rsidR="003252C6" w:rsidRDefault="003252C6" w:rsidP="003E69E7">
      <w:pPr>
        <w:jc w:val="both"/>
        <w:rPr>
          <w:b/>
          <w:color w:val="00B0F0"/>
          <w:sz w:val="40"/>
          <w:szCs w:val="40"/>
        </w:rPr>
      </w:pPr>
    </w:p>
    <w:p w:rsidR="003E69E7" w:rsidRDefault="003E69E7" w:rsidP="003E69E7">
      <w:pPr>
        <w:jc w:val="both"/>
        <w:rPr>
          <w:b/>
          <w:color w:val="00B0F0"/>
          <w:sz w:val="40"/>
          <w:szCs w:val="40"/>
        </w:rPr>
      </w:pPr>
      <w:r w:rsidRPr="004E76D5">
        <w:rPr>
          <w:b/>
          <w:color w:val="00B0F0"/>
          <w:sz w:val="40"/>
          <w:szCs w:val="40"/>
        </w:rPr>
        <w:lastRenderedPageBreak/>
        <w:t>Future action</w:t>
      </w:r>
    </w:p>
    <w:p w:rsidR="00C24221" w:rsidRDefault="00C24221" w:rsidP="00C24221">
      <w:pPr>
        <w:pStyle w:val="ListParagraph"/>
        <w:ind w:left="0"/>
        <w:jc w:val="both"/>
        <w:rPr>
          <w:sz w:val="22"/>
        </w:rPr>
      </w:pPr>
      <w:r w:rsidRPr="00C82F13">
        <w:rPr>
          <w:sz w:val="22"/>
        </w:rPr>
        <w:t>The Commission believes that there is a number of urgent future actions that will help improve labour force participation and the employment outcomes of disabled people.  These are:</w:t>
      </w:r>
    </w:p>
    <w:p w:rsidR="00C24221" w:rsidRDefault="00C24221" w:rsidP="00C24221">
      <w:pPr>
        <w:pStyle w:val="ListParagraph"/>
        <w:ind w:left="360"/>
        <w:jc w:val="both"/>
        <w:rPr>
          <w:sz w:val="22"/>
        </w:rPr>
      </w:pPr>
    </w:p>
    <w:p w:rsidR="003E69E7" w:rsidRPr="00CD2BD9" w:rsidRDefault="003E69E7" w:rsidP="003E69E7">
      <w:pPr>
        <w:pStyle w:val="ListParagraph"/>
        <w:numPr>
          <w:ilvl w:val="0"/>
          <w:numId w:val="56"/>
        </w:numPr>
        <w:jc w:val="both"/>
        <w:rPr>
          <w:sz w:val="22"/>
        </w:rPr>
      </w:pPr>
      <w:r>
        <w:rPr>
          <w:sz w:val="22"/>
        </w:rPr>
        <w:t xml:space="preserve">Urgent action is </w:t>
      </w:r>
      <w:r w:rsidRPr="00CD2BD9">
        <w:rPr>
          <w:sz w:val="22"/>
        </w:rPr>
        <w:t>required in t</w:t>
      </w:r>
      <w:r>
        <w:rPr>
          <w:sz w:val="22"/>
        </w:rPr>
        <w:t>he state sector</w:t>
      </w:r>
      <w:r w:rsidR="00C24221">
        <w:rPr>
          <w:sz w:val="22"/>
        </w:rPr>
        <w:t xml:space="preserve">, led by </w:t>
      </w:r>
      <w:r w:rsidR="003C1995">
        <w:rPr>
          <w:sz w:val="22"/>
        </w:rPr>
        <w:t xml:space="preserve">the </w:t>
      </w:r>
      <w:r w:rsidR="00C24221">
        <w:rPr>
          <w:sz w:val="22"/>
        </w:rPr>
        <w:t>State Services Commission</w:t>
      </w:r>
      <w:r>
        <w:rPr>
          <w:sz w:val="22"/>
        </w:rPr>
        <w:t xml:space="preserve"> which includes:</w:t>
      </w:r>
    </w:p>
    <w:p w:rsidR="003E69E7" w:rsidRDefault="003E69E7" w:rsidP="003E69E7">
      <w:pPr>
        <w:pStyle w:val="ListParagraph"/>
        <w:numPr>
          <w:ilvl w:val="1"/>
          <w:numId w:val="51"/>
        </w:numPr>
        <w:ind w:left="720"/>
        <w:jc w:val="both"/>
        <w:rPr>
          <w:sz w:val="22"/>
        </w:rPr>
      </w:pPr>
      <w:r>
        <w:rPr>
          <w:sz w:val="22"/>
        </w:rPr>
        <w:t>Adequate data capture so that progress can be monitored and is transparent</w:t>
      </w:r>
    </w:p>
    <w:p w:rsidR="003E69E7" w:rsidRDefault="003E69E7" w:rsidP="003E69E7">
      <w:pPr>
        <w:pStyle w:val="ListParagraph"/>
        <w:numPr>
          <w:ilvl w:val="1"/>
          <w:numId w:val="51"/>
        </w:numPr>
        <w:ind w:left="720"/>
        <w:jc w:val="both"/>
        <w:rPr>
          <w:sz w:val="22"/>
        </w:rPr>
      </w:pPr>
      <w:r>
        <w:rPr>
          <w:sz w:val="22"/>
        </w:rPr>
        <w:t>Special measures (affirmative action programmes) with targets to increase the numbers of disabled people into decent employment in the public service.</w:t>
      </w:r>
    </w:p>
    <w:p w:rsidR="003E69E7" w:rsidRDefault="003E69E7" w:rsidP="003E69E7">
      <w:pPr>
        <w:pStyle w:val="ListParagraph"/>
        <w:numPr>
          <w:ilvl w:val="1"/>
          <w:numId w:val="51"/>
        </w:numPr>
        <w:ind w:left="720"/>
        <w:jc w:val="both"/>
        <w:rPr>
          <w:sz w:val="22"/>
        </w:rPr>
      </w:pPr>
      <w:r>
        <w:rPr>
          <w:sz w:val="22"/>
        </w:rPr>
        <w:t xml:space="preserve">Target setting for major public service departments to improve the employment of disabled people.  This is required by Article 27 (1) (g) by the CRPD that New Zealand has ratified which reads, </w:t>
      </w:r>
      <w:r>
        <w:rPr>
          <w:i/>
          <w:sz w:val="22"/>
        </w:rPr>
        <w:t>Employ persons with disabilities in the public sector.</w:t>
      </w:r>
    </w:p>
    <w:p w:rsidR="003E69E7" w:rsidRDefault="003E69E7" w:rsidP="003E69E7">
      <w:pPr>
        <w:jc w:val="both"/>
        <w:rPr>
          <w:sz w:val="22"/>
          <w:u w:val="single"/>
        </w:rPr>
      </w:pPr>
    </w:p>
    <w:p w:rsidR="003E69E7" w:rsidRDefault="003E69E7" w:rsidP="003E69E7">
      <w:pPr>
        <w:pStyle w:val="ListParagraph"/>
        <w:numPr>
          <w:ilvl w:val="0"/>
          <w:numId w:val="51"/>
        </w:numPr>
        <w:jc w:val="both"/>
        <w:rPr>
          <w:sz w:val="22"/>
        </w:rPr>
      </w:pPr>
      <w:r>
        <w:rPr>
          <w:sz w:val="22"/>
        </w:rPr>
        <w:t xml:space="preserve">Promote inclusive employment practice in the private sector through organisations such as the newly-formed Employers’ Disability Network. </w:t>
      </w:r>
    </w:p>
    <w:p w:rsidR="003E69E7" w:rsidRDefault="003E69E7" w:rsidP="003E69E7">
      <w:pPr>
        <w:jc w:val="both"/>
        <w:rPr>
          <w:sz w:val="22"/>
        </w:rPr>
      </w:pPr>
    </w:p>
    <w:p w:rsidR="003E69E7" w:rsidRDefault="003E69E7" w:rsidP="003E69E7">
      <w:pPr>
        <w:pStyle w:val="ListParagraph"/>
        <w:numPr>
          <w:ilvl w:val="0"/>
          <w:numId w:val="51"/>
        </w:numPr>
        <w:jc w:val="both"/>
        <w:rPr>
          <w:sz w:val="22"/>
        </w:rPr>
      </w:pPr>
      <w:r>
        <w:rPr>
          <w:sz w:val="22"/>
        </w:rPr>
        <w:t xml:space="preserve">Amend the Employment Relations Act 2000 to include a positive duty to be a good employer to the private sector in addition to the public sector. </w:t>
      </w:r>
    </w:p>
    <w:p w:rsidR="003E69E7" w:rsidRDefault="003E69E7" w:rsidP="003E69E7">
      <w:pPr>
        <w:ind w:left="405"/>
        <w:jc w:val="both"/>
        <w:rPr>
          <w:sz w:val="22"/>
          <w:u w:val="single"/>
        </w:rPr>
      </w:pPr>
    </w:p>
    <w:p w:rsidR="003E69E7" w:rsidRDefault="003E69E7" w:rsidP="003E69E7">
      <w:pPr>
        <w:pStyle w:val="ListParagraph"/>
        <w:numPr>
          <w:ilvl w:val="0"/>
          <w:numId w:val="51"/>
        </w:numPr>
        <w:jc w:val="both"/>
        <w:rPr>
          <w:sz w:val="22"/>
        </w:rPr>
      </w:pPr>
      <w:r>
        <w:rPr>
          <w:sz w:val="22"/>
        </w:rPr>
        <w:t xml:space="preserve">Review the implementation of the minimum wage exemption legislation in consultation with the disability community and make transparent its current operation through annual disclosures by the Department of Labour. The review should include: assessment of eligibility and rate; numbers of exemptions; pay rates determined; Human Rights implications of the policy and its implementation; the extent to which employment in open settings is being supported and; employers issues.  </w:t>
      </w:r>
    </w:p>
    <w:p w:rsidR="003E69E7" w:rsidRDefault="003E69E7" w:rsidP="003E69E7">
      <w:pPr>
        <w:jc w:val="both"/>
        <w:rPr>
          <w:sz w:val="22"/>
          <w:u w:val="single"/>
        </w:rPr>
      </w:pPr>
    </w:p>
    <w:p w:rsidR="00C24221" w:rsidRPr="00386766" w:rsidRDefault="003E69E7" w:rsidP="00C24221">
      <w:pPr>
        <w:pStyle w:val="ListParagraph"/>
        <w:numPr>
          <w:ilvl w:val="0"/>
          <w:numId w:val="51"/>
        </w:numPr>
        <w:jc w:val="both"/>
        <w:rPr>
          <w:sz w:val="22"/>
        </w:rPr>
      </w:pPr>
      <w:r w:rsidRPr="00C24221">
        <w:rPr>
          <w:sz w:val="22"/>
        </w:rPr>
        <w:t xml:space="preserve">Provide guidance on the disclosure of mental health issues to employers, employees and job seekers through the Commission’s widely-distributed </w:t>
      </w:r>
      <w:r w:rsidRPr="00C24221">
        <w:rPr>
          <w:i/>
          <w:sz w:val="22"/>
        </w:rPr>
        <w:t>Getting a job:  An A to Z for employers and employees, Pre-employment guidelines</w:t>
      </w:r>
      <w:r w:rsidR="00386766">
        <w:rPr>
          <w:i/>
          <w:sz w:val="22"/>
        </w:rPr>
        <w:t>.</w:t>
      </w:r>
    </w:p>
    <w:p w:rsidR="00386766" w:rsidRPr="00386766" w:rsidRDefault="00386766" w:rsidP="00386766">
      <w:pPr>
        <w:pStyle w:val="ListParagraph"/>
        <w:rPr>
          <w:sz w:val="22"/>
        </w:rPr>
      </w:pPr>
    </w:p>
    <w:p w:rsidR="00386766" w:rsidRDefault="00C24221" w:rsidP="00C24221">
      <w:pPr>
        <w:jc w:val="both"/>
        <w:rPr>
          <w:sz w:val="22"/>
        </w:rPr>
      </w:pPr>
      <w:r w:rsidRPr="00C82F13">
        <w:rPr>
          <w:sz w:val="22"/>
        </w:rPr>
        <w:t xml:space="preserve">The next section of the report looks at the overall labour market in New Zealand and refers to disabled people where the data is available.  However, in important </w:t>
      </w:r>
      <w:r w:rsidR="00386766" w:rsidRPr="00C82F13">
        <w:rPr>
          <w:sz w:val="22"/>
        </w:rPr>
        <w:t>areas such as youth unemployment</w:t>
      </w:r>
      <w:r w:rsidR="00C82F13">
        <w:rPr>
          <w:sz w:val="22"/>
        </w:rPr>
        <w:t>,</w:t>
      </w:r>
      <w:r w:rsidR="00386766" w:rsidRPr="00C82F13">
        <w:rPr>
          <w:sz w:val="22"/>
        </w:rPr>
        <w:t xml:space="preserve"> ethnicity figures </w:t>
      </w:r>
      <w:r w:rsidR="00C82F13">
        <w:rPr>
          <w:sz w:val="22"/>
        </w:rPr>
        <w:t xml:space="preserve">are available but </w:t>
      </w:r>
      <w:r w:rsidR="00386766" w:rsidRPr="00C82F13">
        <w:rPr>
          <w:sz w:val="22"/>
        </w:rPr>
        <w:t xml:space="preserve">disability statistics </w:t>
      </w:r>
      <w:r w:rsidR="00C82F13">
        <w:rPr>
          <w:sz w:val="22"/>
        </w:rPr>
        <w:t xml:space="preserve">are not.   </w:t>
      </w:r>
    </w:p>
    <w:p w:rsidR="00C82F13" w:rsidRPr="00C82F13" w:rsidRDefault="00C82F13" w:rsidP="00C24221">
      <w:pPr>
        <w:jc w:val="both"/>
        <w:rPr>
          <w:sz w:val="22"/>
        </w:rPr>
      </w:pPr>
    </w:p>
    <w:p w:rsidR="00386766" w:rsidRPr="00C24221" w:rsidRDefault="00386766" w:rsidP="00C24221">
      <w:pPr>
        <w:jc w:val="both"/>
        <w:rPr>
          <w:sz w:val="22"/>
        </w:rPr>
      </w:pPr>
      <w:r w:rsidRPr="00C82F13">
        <w:rPr>
          <w:sz w:val="22"/>
        </w:rPr>
        <w:t>The collection of statistics about disabled people is very important and warrants action by government agencies.  Article 31 of the CRPD states that the government must collect statistical and research data to develop and implement policies.  It should provide for confidentiality and respect the privacy of disabled people.  The information should be disaggregated and help to identify and address the barriers to disabled people in exercising their rights.  The statistics should be made accessible to disabled people and others.</w:t>
      </w:r>
    </w:p>
    <w:p w:rsidR="003E69E7" w:rsidRDefault="003E69E7" w:rsidP="003E69E7"/>
    <w:p w:rsidR="00FD2516" w:rsidRPr="003E69E7" w:rsidRDefault="003E69E7" w:rsidP="003E69E7">
      <w:pPr>
        <w:spacing w:after="200" w:line="276" w:lineRule="auto"/>
        <w:rPr>
          <w:rFonts w:asciiTheme="majorHAnsi" w:hAnsiTheme="majorHAnsi" w:cs="Arial"/>
          <w:b/>
          <w:color w:val="00B0F0"/>
          <w:sz w:val="48"/>
          <w:szCs w:val="48"/>
        </w:rPr>
      </w:pPr>
      <w:r>
        <w:rPr>
          <w:rFonts w:asciiTheme="majorHAnsi" w:hAnsiTheme="majorHAnsi" w:cs="Arial"/>
          <w:b/>
          <w:color w:val="00B0F0"/>
          <w:sz w:val="48"/>
          <w:szCs w:val="48"/>
        </w:rPr>
        <w:br w:type="page"/>
      </w:r>
    </w:p>
    <w:p w:rsidR="00554171" w:rsidRPr="00332CC0" w:rsidRDefault="00554171" w:rsidP="00554171">
      <w:pPr>
        <w:rPr>
          <w:rFonts w:asciiTheme="majorHAnsi" w:hAnsiTheme="majorHAnsi"/>
          <w:b/>
          <w:color w:val="00B0F0"/>
          <w:sz w:val="72"/>
          <w:szCs w:val="72"/>
        </w:rPr>
      </w:pPr>
      <w:r w:rsidRPr="00332CC0">
        <w:rPr>
          <w:rFonts w:asciiTheme="majorHAnsi" w:hAnsiTheme="majorHAnsi"/>
          <w:b/>
          <w:color w:val="00B0F0"/>
          <w:sz w:val="72"/>
          <w:szCs w:val="72"/>
        </w:rPr>
        <w:lastRenderedPageBreak/>
        <w:t xml:space="preserve">Where are we now? </w:t>
      </w:r>
    </w:p>
    <w:p w:rsidR="007F0B35" w:rsidRPr="003252C6" w:rsidRDefault="0090135C" w:rsidP="00554171">
      <w:pPr>
        <w:jc w:val="both"/>
        <w:rPr>
          <w:rFonts w:cs="Arial"/>
          <w:sz w:val="22"/>
          <w:szCs w:val="22"/>
        </w:rPr>
      </w:pPr>
      <w:r w:rsidRPr="003252C6">
        <w:rPr>
          <w:rFonts w:cs="Arial"/>
          <w:sz w:val="22"/>
          <w:szCs w:val="22"/>
        </w:rPr>
        <w:t>In general it is difficult to find good employment data relat</w:t>
      </w:r>
      <w:r w:rsidR="007F0B35" w:rsidRPr="003252C6">
        <w:rPr>
          <w:rFonts w:cs="Arial"/>
          <w:sz w:val="22"/>
          <w:szCs w:val="22"/>
        </w:rPr>
        <w:t>ed</w:t>
      </w:r>
      <w:r w:rsidRPr="003252C6">
        <w:rPr>
          <w:rFonts w:cs="Arial"/>
          <w:sz w:val="22"/>
          <w:szCs w:val="22"/>
        </w:rPr>
        <w:t xml:space="preserve"> to disabled people.</w:t>
      </w:r>
      <w:r w:rsidR="007F0B35" w:rsidRPr="003252C6">
        <w:rPr>
          <w:rFonts w:cs="Arial"/>
          <w:sz w:val="22"/>
          <w:szCs w:val="22"/>
        </w:rPr>
        <w:t xml:space="preserve">  Where disabled</w:t>
      </w:r>
      <w:r w:rsidR="00C82F13" w:rsidRPr="003252C6">
        <w:rPr>
          <w:rFonts w:cs="Arial"/>
          <w:sz w:val="22"/>
          <w:szCs w:val="22"/>
        </w:rPr>
        <w:t>-</w:t>
      </w:r>
      <w:r w:rsidR="007F0B35" w:rsidRPr="003252C6">
        <w:rPr>
          <w:rFonts w:cs="Arial"/>
          <w:sz w:val="22"/>
          <w:szCs w:val="22"/>
        </w:rPr>
        <w:t>specific data is unavailable</w:t>
      </w:r>
      <w:r w:rsidR="00C82F13" w:rsidRPr="003252C6">
        <w:rPr>
          <w:rFonts w:cs="Arial"/>
          <w:sz w:val="22"/>
          <w:szCs w:val="22"/>
        </w:rPr>
        <w:t xml:space="preserve">, </w:t>
      </w:r>
      <w:r w:rsidR="007F0B35" w:rsidRPr="003252C6">
        <w:rPr>
          <w:rFonts w:cs="Arial"/>
          <w:sz w:val="22"/>
          <w:szCs w:val="22"/>
        </w:rPr>
        <w:t xml:space="preserve">general data sets for example in age, ethnicity and gender are inclusive of disabled people.  </w:t>
      </w:r>
    </w:p>
    <w:p w:rsidR="007F0B35" w:rsidRDefault="007F0B35" w:rsidP="00554171">
      <w:pPr>
        <w:jc w:val="both"/>
        <w:rPr>
          <w:rFonts w:cs="Arial"/>
          <w:sz w:val="22"/>
          <w:szCs w:val="22"/>
        </w:rPr>
      </w:pPr>
    </w:p>
    <w:p w:rsidR="00554171" w:rsidRPr="00332CC0" w:rsidRDefault="00554171" w:rsidP="00554171">
      <w:pPr>
        <w:jc w:val="both"/>
        <w:rPr>
          <w:rFonts w:cs="Arial"/>
          <w:sz w:val="22"/>
          <w:szCs w:val="22"/>
        </w:rPr>
      </w:pPr>
      <w:r w:rsidRPr="00332CC0">
        <w:rPr>
          <w:rFonts w:cs="Arial"/>
          <w:sz w:val="22"/>
          <w:szCs w:val="22"/>
        </w:rPr>
        <w:t xml:space="preserve">In compiling employment information for key demographic variables: gender, ethnicity, </w:t>
      </w:r>
      <w:r w:rsidR="00C82F13" w:rsidRPr="003252C6">
        <w:rPr>
          <w:rFonts w:cs="Arial"/>
          <w:sz w:val="22"/>
          <w:szCs w:val="22"/>
        </w:rPr>
        <w:t xml:space="preserve">disabled </w:t>
      </w:r>
      <w:r w:rsidRPr="003252C6">
        <w:rPr>
          <w:rFonts w:cs="Arial"/>
          <w:sz w:val="22"/>
          <w:szCs w:val="22"/>
        </w:rPr>
        <w:t>people</w:t>
      </w:r>
      <w:r w:rsidR="00C82F13">
        <w:rPr>
          <w:rFonts w:cs="Arial"/>
          <w:sz w:val="22"/>
          <w:szCs w:val="22"/>
        </w:rPr>
        <w:t xml:space="preserve">, </w:t>
      </w:r>
      <w:r w:rsidRPr="00332CC0">
        <w:rPr>
          <w:rFonts w:cs="Arial"/>
          <w:sz w:val="22"/>
          <w:szCs w:val="22"/>
        </w:rPr>
        <w:t>young and old</w:t>
      </w:r>
      <w:r>
        <w:rPr>
          <w:rFonts w:cs="Arial"/>
          <w:sz w:val="22"/>
          <w:szCs w:val="22"/>
        </w:rPr>
        <w:t xml:space="preserve">, </w:t>
      </w:r>
      <w:r w:rsidRPr="00332CC0">
        <w:rPr>
          <w:rFonts w:cs="Arial"/>
          <w:sz w:val="22"/>
          <w:szCs w:val="22"/>
        </w:rPr>
        <w:t>the Commission was struck by a number of points.</w:t>
      </w:r>
    </w:p>
    <w:p w:rsidR="00554171" w:rsidRPr="00332CC0" w:rsidRDefault="00554171" w:rsidP="00554171">
      <w:pPr>
        <w:pStyle w:val="ListParagraph"/>
        <w:numPr>
          <w:ilvl w:val="0"/>
          <w:numId w:val="2"/>
        </w:numPr>
        <w:jc w:val="both"/>
        <w:rPr>
          <w:rFonts w:cs="Arial"/>
          <w:sz w:val="22"/>
          <w:szCs w:val="22"/>
        </w:rPr>
      </w:pPr>
      <w:r w:rsidRPr="00332CC0">
        <w:rPr>
          <w:rFonts w:cs="Arial"/>
          <w:sz w:val="22"/>
          <w:szCs w:val="22"/>
        </w:rPr>
        <w:t xml:space="preserve">The number of people out of the labour force. This number includes people who are “not actively seeking work” as defined by Statistics New Zealand, as well as parents caring for dependent children and those who have retired. </w:t>
      </w:r>
    </w:p>
    <w:p w:rsidR="00554171" w:rsidRPr="00332CC0" w:rsidRDefault="00554171" w:rsidP="00554171">
      <w:pPr>
        <w:pStyle w:val="ListParagraph"/>
        <w:numPr>
          <w:ilvl w:val="0"/>
          <w:numId w:val="2"/>
        </w:numPr>
        <w:jc w:val="both"/>
        <w:rPr>
          <w:rFonts w:cs="Arial"/>
          <w:sz w:val="22"/>
          <w:szCs w:val="22"/>
        </w:rPr>
      </w:pPr>
      <w:r w:rsidRPr="00332CC0">
        <w:rPr>
          <w:rFonts w:cs="Arial"/>
          <w:sz w:val="22"/>
          <w:szCs w:val="22"/>
        </w:rPr>
        <w:t xml:space="preserve">That employment data related to </w:t>
      </w:r>
      <w:r w:rsidR="00C82F13" w:rsidRPr="003252C6">
        <w:rPr>
          <w:rFonts w:cs="Arial"/>
          <w:sz w:val="22"/>
          <w:szCs w:val="22"/>
        </w:rPr>
        <w:t xml:space="preserve">disabled </w:t>
      </w:r>
      <w:r w:rsidRPr="003252C6">
        <w:rPr>
          <w:rFonts w:cs="Arial"/>
          <w:sz w:val="22"/>
          <w:szCs w:val="22"/>
        </w:rPr>
        <w:t>people</w:t>
      </w:r>
      <w:r w:rsidRPr="00332CC0">
        <w:rPr>
          <w:rFonts w:cs="Arial"/>
          <w:sz w:val="22"/>
          <w:szCs w:val="22"/>
        </w:rPr>
        <w:t xml:space="preserve"> is only sampled every five years after the census. </w:t>
      </w:r>
    </w:p>
    <w:p w:rsidR="00554171" w:rsidRPr="00332CC0" w:rsidRDefault="00554171" w:rsidP="00554171">
      <w:pPr>
        <w:pStyle w:val="ListParagraph"/>
        <w:numPr>
          <w:ilvl w:val="0"/>
          <w:numId w:val="2"/>
        </w:numPr>
        <w:jc w:val="both"/>
        <w:rPr>
          <w:rFonts w:cs="Arial"/>
          <w:sz w:val="22"/>
          <w:szCs w:val="22"/>
        </w:rPr>
      </w:pPr>
      <w:r w:rsidRPr="00332CC0">
        <w:rPr>
          <w:rFonts w:cs="Arial"/>
          <w:sz w:val="22"/>
          <w:szCs w:val="22"/>
        </w:rPr>
        <w:t>That there is no national statistical database regarding gay, lesbian, bi-sexual, transgender and intersex (GLBTI) people.</w:t>
      </w:r>
    </w:p>
    <w:p w:rsidR="00554171" w:rsidRPr="00332CC0" w:rsidRDefault="00554171" w:rsidP="00554171">
      <w:pPr>
        <w:pStyle w:val="ListParagraph"/>
        <w:numPr>
          <w:ilvl w:val="0"/>
          <w:numId w:val="2"/>
        </w:numPr>
        <w:jc w:val="both"/>
        <w:rPr>
          <w:rFonts w:cs="Arial"/>
          <w:sz w:val="22"/>
          <w:szCs w:val="22"/>
        </w:rPr>
      </w:pPr>
      <w:r w:rsidRPr="00332CC0">
        <w:rPr>
          <w:rFonts w:cs="Arial"/>
          <w:sz w:val="22"/>
          <w:szCs w:val="22"/>
        </w:rPr>
        <w:t>The level of unemployment of Māori and Pacific youth.</w:t>
      </w:r>
    </w:p>
    <w:p w:rsidR="00554171" w:rsidRPr="00332CC0" w:rsidRDefault="00554171" w:rsidP="00554171">
      <w:pPr>
        <w:pStyle w:val="ListParagraph"/>
        <w:numPr>
          <w:ilvl w:val="0"/>
          <w:numId w:val="2"/>
        </w:numPr>
        <w:jc w:val="both"/>
        <w:rPr>
          <w:rFonts w:cs="Arial"/>
          <w:sz w:val="22"/>
          <w:szCs w:val="22"/>
        </w:rPr>
      </w:pPr>
      <w:r w:rsidRPr="00332CC0">
        <w:rPr>
          <w:rFonts w:cs="Arial"/>
          <w:sz w:val="22"/>
          <w:szCs w:val="22"/>
        </w:rPr>
        <w:t>The level of unemployment of young Pacific women.</w:t>
      </w:r>
    </w:p>
    <w:p w:rsidR="00554171" w:rsidRPr="00332CC0" w:rsidRDefault="00554171" w:rsidP="00554171">
      <w:pPr>
        <w:pStyle w:val="ListParagraph"/>
        <w:numPr>
          <w:ilvl w:val="0"/>
          <w:numId w:val="2"/>
        </w:numPr>
        <w:jc w:val="both"/>
        <w:rPr>
          <w:rFonts w:cs="Arial"/>
          <w:sz w:val="22"/>
          <w:szCs w:val="22"/>
        </w:rPr>
      </w:pPr>
      <w:r w:rsidRPr="00332CC0">
        <w:rPr>
          <w:rFonts w:cs="Arial"/>
          <w:sz w:val="22"/>
          <w:szCs w:val="22"/>
        </w:rPr>
        <w:t xml:space="preserve">The higher level of unemployment and the lower rate of youth participation in Auckland than in other regions. </w:t>
      </w:r>
    </w:p>
    <w:p w:rsidR="00554171" w:rsidRPr="00332CC0" w:rsidRDefault="00554171" w:rsidP="00554171">
      <w:pPr>
        <w:jc w:val="both"/>
        <w:rPr>
          <w:rFonts w:cs="Arial"/>
          <w:sz w:val="22"/>
          <w:szCs w:val="22"/>
        </w:rPr>
      </w:pPr>
    </w:p>
    <w:p w:rsidR="00554171" w:rsidRPr="00332CC0" w:rsidRDefault="00554171" w:rsidP="00554171">
      <w:pPr>
        <w:jc w:val="both"/>
        <w:rPr>
          <w:rFonts w:cs="Arial"/>
          <w:sz w:val="22"/>
          <w:szCs w:val="22"/>
        </w:rPr>
      </w:pPr>
      <w:r w:rsidRPr="00332CC0">
        <w:rPr>
          <w:rFonts w:cs="Arial"/>
          <w:sz w:val="22"/>
          <w:szCs w:val="22"/>
        </w:rPr>
        <w:t>Information has been obtained from two main sources; Statistics New Zealand and complaints and enquiries data from the Human Rights Commission. Employment statistics quoted are unemployment rates and participation rates.</w:t>
      </w:r>
    </w:p>
    <w:p w:rsidR="00554171" w:rsidRPr="00332CC0" w:rsidRDefault="00554171" w:rsidP="00554171">
      <w:pPr>
        <w:jc w:val="both"/>
        <w:rPr>
          <w:rFonts w:cs="Arial"/>
          <w:sz w:val="22"/>
          <w:szCs w:val="22"/>
        </w:rPr>
      </w:pPr>
    </w:p>
    <w:p w:rsidR="00554171" w:rsidRPr="00332CC0" w:rsidRDefault="00554171" w:rsidP="00554171">
      <w:pPr>
        <w:jc w:val="both"/>
        <w:rPr>
          <w:rFonts w:cs="Arial"/>
          <w:sz w:val="22"/>
          <w:szCs w:val="22"/>
        </w:rPr>
      </w:pPr>
      <w:r w:rsidRPr="00332CC0">
        <w:rPr>
          <w:rFonts w:cs="Arial"/>
          <w:sz w:val="22"/>
          <w:szCs w:val="22"/>
        </w:rPr>
        <w:t>Statistical data was purchased from Statistics New Zealand and is broken down from the Household Labour Force Survey December 2010.</w:t>
      </w:r>
      <w:r w:rsidRPr="00332CC0">
        <w:rPr>
          <w:rStyle w:val="FootnoteReference"/>
          <w:rFonts w:cs="Arial"/>
          <w:sz w:val="22"/>
          <w:szCs w:val="22"/>
        </w:rPr>
        <w:footnoteReference w:id="16"/>
      </w:r>
      <w:r w:rsidRPr="00332CC0">
        <w:rPr>
          <w:rFonts w:cs="Arial"/>
          <w:sz w:val="22"/>
          <w:szCs w:val="22"/>
        </w:rPr>
        <w:t xml:space="preserve"> Where statistics are broken down to this extent, group samples can get quite small and may not be representative of the group as a whole. Apparent differences may be due to sampling errors rather than actual differences between the groups. Another caution is that in employment there may be several factors acting and the dominant factor may not be readily apparent. The statistics however, do point to areas of concern and at the least warrant further investigation.</w:t>
      </w:r>
    </w:p>
    <w:p w:rsidR="00554171" w:rsidRPr="00332CC0" w:rsidRDefault="00554171" w:rsidP="00554171">
      <w:pPr>
        <w:autoSpaceDE w:val="0"/>
        <w:autoSpaceDN w:val="0"/>
        <w:adjustRightInd w:val="0"/>
        <w:jc w:val="both"/>
        <w:rPr>
          <w:rFonts w:cs="Arial"/>
          <w:sz w:val="22"/>
          <w:szCs w:val="22"/>
        </w:rPr>
      </w:pPr>
    </w:p>
    <w:p w:rsidR="00554171" w:rsidRPr="00332CC0" w:rsidRDefault="00554171" w:rsidP="00554171">
      <w:pPr>
        <w:autoSpaceDE w:val="0"/>
        <w:autoSpaceDN w:val="0"/>
        <w:adjustRightInd w:val="0"/>
        <w:jc w:val="both"/>
        <w:rPr>
          <w:rFonts w:cs="Arial"/>
          <w:sz w:val="22"/>
          <w:szCs w:val="22"/>
        </w:rPr>
      </w:pPr>
      <w:r w:rsidRPr="00332CC0">
        <w:rPr>
          <w:rFonts w:cs="Arial"/>
          <w:sz w:val="22"/>
          <w:szCs w:val="22"/>
        </w:rPr>
        <w:t>Unemployment rate</w:t>
      </w:r>
      <w:r w:rsidRPr="00332CC0">
        <w:rPr>
          <w:rStyle w:val="FootnoteReference"/>
          <w:rFonts w:cs="Arial"/>
          <w:sz w:val="22"/>
          <w:szCs w:val="22"/>
        </w:rPr>
        <w:footnoteReference w:id="17"/>
      </w:r>
    </w:p>
    <w:p w:rsidR="00554171" w:rsidRPr="00332CC0" w:rsidRDefault="00554171" w:rsidP="00554171">
      <w:pPr>
        <w:autoSpaceDE w:val="0"/>
        <w:autoSpaceDN w:val="0"/>
        <w:adjustRightInd w:val="0"/>
        <w:jc w:val="both"/>
        <w:rPr>
          <w:rFonts w:cs="Arial"/>
          <w:sz w:val="22"/>
          <w:szCs w:val="22"/>
        </w:rPr>
      </w:pPr>
      <w:r w:rsidRPr="00332CC0">
        <w:rPr>
          <w:rFonts w:cs="Arial"/>
          <w:sz w:val="22"/>
          <w:szCs w:val="22"/>
        </w:rPr>
        <w:t>People are counted as unemployed if they are of working-age (over 15) who during the reference week were without a paid job, available for work, and had either actively sought work in the past four weeks, or had a new job to start within the next four weeks. Those who are without a job and have not actively sought work recently are not considered to be unemployed and are not in the labour force. The unemployment rate is the number of unemployed persons expressed as a percentage of the labour force.</w:t>
      </w:r>
    </w:p>
    <w:p w:rsidR="00554171" w:rsidRPr="00332CC0" w:rsidRDefault="00554171" w:rsidP="00554171">
      <w:pPr>
        <w:autoSpaceDE w:val="0"/>
        <w:autoSpaceDN w:val="0"/>
        <w:adjustRightInd w:val="0"/>
        <w:jc w:val="both"/>
        <w:rPr>
          <w:rFonts w:cs="Arial"/>
          <w:bCs/>
          <w:sz w:val="22"/>
          <w:szCs w:val="22"/>
        </w:rPr>
      </w:pPr>
    </w:p>
    <w:p w:rsidR="00554171" w:rsidRPr="00332CC0" w:rsidRDefault="00554171" w:rsidP="00554171">
      <w:pPr>
        <w:autoSpaceDE w:val="0"/>
        <w:autoSpaceDN w:val="0"/>
        <w:adjustRightInd w:val="0"/>
        <w:jc w:val="both"/>
        <w:rPr>
          <w:rFonts w:cs="Arial"/>
          <w:sz w:val="22"/>
          <w:szCs w:val="22"/>
        </w:rPr>
      </w:pPr>
      <w:r w:rsidRPr="00332CC0">
        <w:rPr>
          <w:rFonts w:cs="Arial"/>
          <w:bCs/>
          <w:sz w:val="22"/>
          <w:szCs w:val="22"/>
        </w:rPr>
        <w:t>Labour force participation</w:t>
      </w:r>
      <w:r w:rsidRPr="00332CC0">
        <w:rPr>
          <w:rStyle w:val="FootnoteReference"/>
          <w:rFonts w:cs="Arial"/>
          <w:bCs/>
          <w:sz w:val="22"/>
          <w:szCs w:val="22"/>
        </w:rPr>
        <w:footnoteReference w:id="18"/>
      </w:r>
      <w:r w:rsidRPr="00332CC0">
        <w:rPr>
          <w:rFonts w:cs="Arial"/>
          <w:sz w:val="22"/>
          <w:szCs w:val="22"/>
        </w:rPr>
        <w:t xml:space="preserve"> </w:t>
      </w:r>
    </w:p>
    <w:p w:rsidR="00554171" w:rsidRPr="00332CC0" w:rsidRDefault="00554171" w:rsidP="00554171">
      <w:pPr>
        <w:autoSpaceDE w:val="0"/>
        <w:autoSpaceDN w:val="0"/>
        <w:adjustRightInd w:val="0"/>
        <w:jc w:val="both"/>
        <w:rPr>
          <w:rFonts w:cs="Arial"/>
          <w:sz w:val="22"/>
          <w:szCs w:val="22"/>
        </w:rPr>
      </w:pPr>
      <w:r w:rsidRPr="00332CC0">
        <w:rPr>
          <w:rFonts w:cs="Arial"/>
          <w:sz w:val="22"/>
          <w:szCs w:val="22"/>
        </w:rPr>
        <w:t>The total labour force is expressed as a percentage of the working-age population. Because New Zealand has no compulsory retirement age and many workers stay in the labour force beyond 65, the figures include those aged 15 years and over with no upper limit. The total labour force is those people who meet the criteria for being employed or unemployed. A paid job of one hour a week or more is considered to be employed.</w:t>
      </w:r>
    </w:p>
    <w:p w:rsidR="00554171" w:rsidRPr="00332CC0" w:rsidRDefault="00554171" w:rsidP="00554171">
      <w:pPr>
        <w:jc w:val="both"/>
        <w:rPr>
          <w:rFonts w:cs="Arial"/>
          <w:sz w:val="22"/>
          <w:szCs w:val="22"/>
          <w:u w:val="single"/>
        </w:rPr>
      </w:pPr>
    </w:p>
    <w:p w:rsidR="00554171" w:rsidRPr="003252C6" w:rsidRDefault="00554171" w:rsidP="00554171">
      <w:pPr>
        <w:pStyle w:val="Default"/>
        <w:spacing w:before="240" w:after="120"/>
        <w:jc w:val="both"/>
        <w:rPr>
          <w:rFonts w:ascii="Arial" w:hAnsi="Arial" w:cs="Arial"/>
          <w:color w:val="auto"/>
          <w:sz w:val="28"/>
          <w:szCs w:val="28"/>
        </w:rPr>
      </w:pPr>
      <w:r w:rsidRPr="003252C6">
        <w:rPr>
          <w:rFonts w:ascii="Arial" w:hAnsi="Arial" w:cs="Arial"/>
          <w:b/>
          <w:bCs/>
          <w:color w:val="auto"/>
          <w:sz w:val="28"/>
          <w:szCs w:val="28"/>
        </w:rPr>
        <w:lastRenderedPageBreak/>
        <w:t xml:space="preserve">Table </w:t>
      </w:r>
      <w:r w:rsidR="00997B54" w:rsidRPr="003252C6">
        <w:rPr>
          <w:rFonts w:ascii="Arial" w:hAnsi="Arial" w:cs="Arial"/>
          <w:b/>
          <w:bCs/>
          <w:color w:val="auto"/>
          <w:sz w:val="28"/>
          <w:szCs w:val="28"/>
        </w:rPr>
        <w:t>2</w:t>
      </w:r>
      <w:r w:rsidRPr="003252C6">
        <w:rPr>
          <w:rFonts w:ascii="Arial" w:hAnsi="Arial" w:cs="Arial"/>
          <w:b/>
          <w:bCs/>
          <w:color w:val="auto"/>
          <w:sz w:val="28"/>
          <w:szCs w:val="28"/>
        </w:rPr>
        <w:t xml:space="preserve">:   Structure of the Labour Market: March 2011 quarter </w:t>
      </w:r>
    </w:p>
    <w:p w:rsidR="00554171" w:rsidRPr="00332CC0" w:rsidRDefault="00554171" w:rsidP="00947147">
      <w:pPr>
        <w:pStyle w:val="Default"/>
        <w:rPr>
          <w:rFonts w:cs="Arial"/>
          <w:sz w:val="22"/>
          <w:szCs w:val="22"/>
        </w:rPr>
      </w:pPr>
      <w:r w:rsidRPr="003252C6">
        <w:rPr>
          <w:rFonts w:ascii="Arial" w:hAnsi="Arial" w:cs="Arial"/>
          <w:b/>
          <w:bCs/>
          <w:color w:val="auto"/>
          <w:sz w:val="28"/>
          <w:szCs w:val="28"/>
        </w:rPr>
        <w:t>(seasonally adjusted)</w:t>
      </w:r>
      <w:r w:rsidRPr="003252C6">
        <w:rPr>
          <w:rStyle w:val="FootnoteReference"/>
          <w:rFonts w:ascii="Arial" w:hAnsi="Arial" w:cs="Arial"/>
          <w:b/>
          <w:bCs/>
          <w:color w:val="auto"/>
          <w:sz w:val="28"/>
          <w:szCs w:val="28"/>
        </w:rPr>
        <w:footnoteReference w:id="19"/>
      </w:r>
      <w:r w:rsidRPr="00332CC0">
        <w:rPr>
          <w:rFonts w:ascii="Arial" w:hAnsi="Arial" w:cs="Arial"/>
          <w:b/>
          <w:bCs/>
          <w:color w:val="auto"/>
          <w:sz w:val="28"/>
          <w:szCs w:val="28"/>
        </w:rPr>
        <w:t xml:space="preserve"> </w:t>
      </w:r>
      <w:r w:rsidRPr="00332CC0">
        <w:rPr>
          <w:rFonts w:cs="Arial"/>
          <w:noProof/>
          <w:sz w:val="22"/>
          <w:szCs w:val="22"/>
          <w:lang w:val="en-GB" w:eastAsia="en-GB"/>
        </w:rPr>
        <w:drawing>
          <wp:inline distT="0" distB="0" distL="0" distR="0">
            <wp:extent cx="5943600" cy="7035800"/>
            <wp:effectExtent l="0" t="0" r="19050" b="0"/>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554171" w:rsidRPr="00332CC0" w:rsidRDefault="00554171" w:rsidP="00554171">
      <w:pPr>
        <w:jc w:val="both"/>
        <w:rPr>
          <w:rFonts w:cs="Arial"/>
          <w:sz w:val="22"/>
          <w:szCs w:val="22"/>
        </w:rPr>
      </w:pPr>
      <w:r w:rsidRPr="00332CC0">
        <w:rPr>
          <w:rFonts w:cs="Arial"/>
          <w:sz w:val="22"/>
          <w:szCs w:val="22"/>
        </w:rPr>
        <w:t>*Not seasonally adjusted</w:t>
      </w:r>
    </w:p>
    <w:p w:rsidR="003252C6" w:rsidRDefault="003252C6" w:rsidP="00554171">
      <w:pPr>
        <w:jc w:val="both"/>
        <w:rPr>
          <w:rFonts w:cs="Arial"/>
          <w:b/>
          <w:color w:val="00B0F0"/>
          <w:sz w:val="28"/>
          <w:szCs w:val="28"/>
        </w:rPr>
      </w:pPr>
    </w:p>
    <w:p w:rsidR="003252C6" w:rsidRDefault="003252C6" w:rsidP="00554171">
      <w:pPr>
        <w:jc w:val="both"/>
        <w:rPr>
          <w:rFonts w:cs="Arial"/>
          <w:b/>
          <w:color w:val="00B0F0"/>
          <w:sz w:val="28"/>
          <w:szCs w:val="28"/>
        </w:rPr>
      </w:pPr>
    </w:p>
    <w:p w:rsidR="003252C6" w:rsidRDefault="003252C6" w:rsidP="00554171">
      <w:pPr>
        <w:jc w:val="both"/>
        <w:rPr>
          <w:rFonts w:cs="Arial"/>
          <w:b/>
          <w:color w:val="00B0F0"/>
          <w:sz w:val="28"/>
          <w:szCs w:val="28"/>
        </w:rPr>
      </w:pPr>
    </w:p>
    <w:p w:rsidR="00554171" w:rsidRPr="00332CC0" w:rsidRDefault="00554171" w:rsidP="00554171">
      <w:pPr>
        <w:jc w:val="both"/>
        <w:rPr>
          <w:rFonts w:cs="Arial"/>
          <w:b/>
          <w:color w:val="00B0F0"/>
          <w:sz w:val="28"/>
          <w:szCs w:val="28"/>
        </w:rPr>
      </w:pPr>
      <w:r w:rsidRPr="00332CC0">
        <w:rPr>
          <w:rFonts w:cs="Arial"/>
          <w:b/>
          <w:color w:val="00B0F0"/>
          <w:sz w:val="28"/>
          <w:szCs w:val="28"/>
        </w:rPr>
        <w:lastRenderedPageBreak/>
        <w:t>Discrimination Complaints to the Human Rights Commission</w:t>
      </w:r>
    </w:p>
    <w:p w:rsidR="00554171" w:rsidRPr="003252C6" w:rsidRDefault="00554171" w:rsidP="00554171">
      <w:pPr>
        <w:jc w:val="both"/>
        <w:rPr>
          <w:rFonts w:cs="Arial"/>
          <w:sz w:val="22"/>
          <w:szCs w:val="22"/>
        </w:rPr>
      </w:pPr>
      <w:r w:rsidRPr="00332CC0">
        <w:rPr>
          <w:rFonts w:cs="Arial"/>
          <w:sz w:val="22"/>
          <w:szCs w:val="22"/>
        </w:rPr>
        <w:t xml:space="preserve">The most commonly cited ground in employment or pre-employment complaints is disability, followed by sex, then race. The percentage of each of the grounds over the last five years is shown in Table </w:t>
      </w:r>
      <w:r w:rsidR="00C230D7" w:rsidRPr="003252C6">
        <w:rPr>
          <w:rFonts w:cs="Arial"/>
          <w:sz w:val="22"/>
          <w:szCs w:val="22"/>
        </w:rPr>
        <w:t>3</w:t>
      </w:r>
      <w:r w:rsidRPr="003252C6">
        <w:rPr>
          <w:rFonts w:cs="Arial"/>
          <w:sz w:val="22"/>
          <w:szCs w:val="22"/>
        </w:rPr>
        <w:t xml:space="preserve"> (totals do not add up to 100% because it is common for more than one ground to be cited).</w:t>
      </w:r>
    </w:p>
    <w:p w:rsidR="00554171" w:rsidRPr="003252C6" w:rsidRDefault="00554171" w:rsidP="00554171">
      <w:pPr>
        <w:jc w:val="both"/>
        <w:rPr>
          <w:rFonts w:cs="Arial"/>
          <w:sz w:val="22"/>
          <w:szCs w:val="22"/>
          <w:u w:val="single"/>
        </w:rPr>
      </w:pPr>
    </w:p>
    <w:p w:rsidR="00554171" w:rsidRPr="00332CC0" w:rsidRDefault="00997B54" w:rsidP="00554171">
      <w:pPr>
        <w:jc w:val="both"/>
        <w:rPr>
          <w:rFonts w:cs="Arial"/>
          <w:b/>
          <w:sz w:val="28"/>
          <w:szCs w:val="28"/>
        </w:rPr>
      </w:pPr>
      <w:r w:rsidRPr="003252C6">
        <w:rPr>
          <w:rFonts w:cs="Arial"/>
          <w:b/>
          <w:sz w:val="28"/>
          <w:szCs w:val="28"/>
        </w:rPr>
        <w:t>Table 3</w:t>
      </w:r>
      <w:r w:rsidR="00554171" w:rsidRPr="003252C6">
        <w:rPr>
          <w:rFonts w:cs="Arial"/>
          <w:b/>
          <w:sz w:val="28"/>
          <w:szCs w:val="28"/>
        </w:rPr>
        <w:t>:   Employment discrimination complaints 2005-2010</w:t>
      </w:r>
    </w:p>
    <w:p w:rsidR="00554171" w:rsidRPr="00332CC0" w:rsidRDefault="00554171" w:rsidP="00554171">
      <w:pPr>
        <w:jc w:val="both"/>
        <w:rPr>
          <w:rFonts w:cs="Arial"/>
          <w:sz w:val="22"/>
          <w:szCs w:val="22"/>
          <w:u w:val="single"/>
        </w:rPr>
      </w:pPr>
    </w:p>
    <w:tbl>
      <w:tblPr>
        <w:tblStyle w:val="MediumGrid1-Accent2"/>
        <w:tblW w:w="0" w:type="auto"/>
        <w:tblLook w:val="04A0" w:firstRow="1" w:lastRow="0" w:firstColumn="1" w:lastColumn="0" w:noHBand="0" w:noVBand="1"/>
      </w:tblPr>
      <w:tblGrid>
        <w:gridCol w:w="5997"/>
        <w:gridCol w:w="1649"/>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5997" w:type="dxa"/>
          </w:tcPr>
          <w:p w:rsidR="00554171" w:rsidRPr="00332CC0" w:rsidRDefault="00554171" w:rsidP="00040D3F">
            <w:pPr>
              <w:jc w:val="both"/>
              <w:rPr>
                <w:rFonts w:cs="Arial"/>
                <w:b w:val="0"/>
              </w:rPr>
            </w:pPr>
          </w:p>
        </w:tc>
        <w:tc>
          <w:tcPr>
            <w:tcW w:w="1649" w:type="dxa"/>
          </w:tcPr>
          <w:p w:rsidR="00554171" w:rsidRPr="00332CC0" w:rsidRDefault="00554171" w:rsidP="00040D3F">
            <w:pPr>
              <w:jc w:val="both"/>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Overall</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5997" w:type="dxa"/>
          </w:tcPr>
          <w:p w:rsidR="00554171" w:rsidRPr="00332CC0" w:rsidRDefault="00554171" w:rsidP="00040D3F">
            <w:pPr>
              <w:spacing w:before="240"/>
              <w:jc w:val="both"/>
              <w:rPr>
                <w:rFonts w:cs="Arial"/>
              </w:rPr>
            </w:pPr>
            <w:r w:rsidRPr="00332CC0">
              <w:rPr>
                <w:rFonts w:cs="Arial"/>
              </w:rPr>
              <w:t>Disability</w:t>
            </w:r>
          </w:p>
        </w:tc>
        <w:tc>
          <w:tcPr>
            <w:tcW w:w="1649" w:type="dxa"/>
          </w:tcPr>
          <w:p w:rsidR="00554171" w:rsidRPr="00332CC0" w:rsidRDefault="00554171" w:rsidP="00040D3F">
            <w:pPr>
              <w:spacing w:before="240"/>
              <w:jc w:val="both"/>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24.9%</w:t>
            </w:r>
          </w:p>
        </w:tc>
      </w:tr>
      <w:tr w:rsidR="00554171" w:rsidRPr="00332CC0" w:rsidTr="00040D3F">
        <w:trPr>
          <w:trHeight w:val="517"/>
        </w:trPr>
        <w:tc>
          <w:tcPr>
            <w:cnfStyle w:val="001000000000" w:firstRow="0" w:lastRow="0" w:firstColumn="1" w:lastColumn="0" w:oddVBand="0" w:evenVBand="0" w:oddHBand="0" w:evenHBand="0" w:firstRowFirstColumn="0" w:firstRowLastColumn="0" w:lastRowFirstColumn="0" w:lastRowLastColumn="0"/>
            <w:tcW w:w="5997" w:type="dxa"/>
          </w:tcPr>
          <w:p w:rsidR="00554171" w:rsidRPr="00332CC0" w:rsidRDefault="00554171" w:rsidP="00040D3F">
            <w:pPr>
              <w:spacing w:before="240"/>
              <w:jc w:val="both"/>
              <w:rPr>
                <w:rFonts w:cs="Arial"/>
              </w:rPr>
            </w:pPr>
            <w:r w:rsidRPr="00332CC0">
              <w:rPr>
                <w:rFonts w:cs="Arial"/>
              </w:rPr>
              <w:t>Sex</w:t>
            </w:r>
          </w:p>
        </w:tc>
        <w:tc>
          <w:tcPr>
            <w:tcW w:w="1649" w:type="dxa"/>
          </w:tcPr>
          <w:p w:rsidR="00554171" w:rsidRPr="00332CC0" w:rsidRDefault="00554171" w:rsidP="00040D3F">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15.8%</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5997" w:type="dxa"/>
          </w:tcPr>
          <w:p w:rsidR="00554171" w:rsidRPr="00332CC0" w:rsidRDefault="00554171" w:rsidP="00040D3F">
            <w:pPr>
              <w:spacing w:before="240"/>
              <w:jc w:val="both"/>
              <w:rPr>
                <w:rFonts w:cs="Arial"/>
              </w:rPr>
            </w:pPr>
            <w:r w:rsidRPr="00332CC0">
              <w:rPr>
                <w:rFonts w:cs="Arial"/>
              </w:rPr>
              <w:t>Race</w:t>
            </w:r>
          </w:p>
        </w:tc>
        <w:tc>
          <w:tcPr>
            <w:tcW w:w="1649" w:type="dxa"/>
          </w:tcPr>
          <w:p w:rsidR="00554171" w:rsidRPr="00332CC0" w:rsidRDefault="00554171" w:rsidP="00040D3F">
            <w:pPr>
              <w:spacing w:before="240"/>
              <w:jc w:val="both"/>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14.9%</w:t>
            </w:r>
          </w:p>
        </w:tc>
      </w:tr>
      <w:tr w:rsidR="00554171" w:rsidRPr="00332CC0" w:rsidTr="00040D3F">
        <w:trPr>
          <w:trHeight w:val="477"/>
        </w:trPr>
        <w:tc>
          <w:tcPr>
            <w:cnfStyle w:val="001000000000" w:firstRow="0" w:lastRow="0" w:firstColumn="1" w:lastColumn="0" w:oddVBand="0" w:evenVBand="0" w:oddHBand="0" w:evenHBand="0" w:firstRowFirstColumn="0" w:firstRowLastColumn="0" w:lastRowFirstColumn="0" w:lastRowLastColumn="0"/>
            <w:tcW w:w="5997" w:type="dxa"/>
          </w:tcPr>
          <w:p w:rsidR="00554171" w:rsidRPr="00332CC0" w:rsidRDefault="00554171" w:rsidP="00040D3F">
            <w:pPr>
              <w:spacing w:before="240"/>
              <w:jc w:val="both"/>
              <w:rPr>
                <w:rFonts w:cs="Arial"/>
              </w:rPr>
            </w:pPr>
            <w:r w:rsidRPr="00332CC0">
              <w:rPr>
                <w:rFonts w:cs="Arial"/>
              </w:rPr>
              <w:t>Ethnic or national origins</w:t>
            </w:r>
          </w:p>
        </w:tc>
        <w:tc>
          <w:tcPr>
            <w:tcW w:w="1649" w:type="dxa"/>
          </w:tcPr>
          <w:p w:rsidR="00554171" w:rsidRPr="00332CC0" w:rsidRDefault="00554171" w:rsidP="00040D3F">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12.6%</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5997" w:type="dxa"/>
          </w:tcPr>
          <w:p w:rsidR="00554171" w:rsidRPr="00332CC0" w:rsidRDefault="00554171" w:rsidP="00040D3F">
            <w:pPr>
              <w:spacing w:before="240"/>
              <w:jc w:val="both"/>
              <w:rPr>
                <w:rFonts w:cs="Arial"/>
              </w:rPr>
            </w:pPr>
            <w:r w:rsidRPr="00332CC0">
              <w:rPr>
                <w:rFonts w:cs="Arial"/>
              </w:rPr>
              <w:t>Sexual harassment</w:t>
            </w:r>
          </w:p>
        </w:tc>
        <w:tc>
          <w:tcPr>
            <w:tcW w:w="1649" w:type="dxa"/>
          </w:tcPr>
          <w:p w:rsidR="00554171" w:rsidRPr="00332CC0" w:rsidRDefault="00554171" w:rsidP="00040D3F">
            <w:pPr>
              <w:spacing w:before="240"/>
              <w:jc w:val="both"/>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12.4%</w:t>
            </w:r>
          </w:p>
        </w:tc>
      </w:tr>
      <w:tr w:rsidR="00554171" w:rsidRPr="00332CC0" w:rsidTr="00040D3F">
        <w:trPr>
          <w:trHeight w:val="517"/>
        </w:trPr>
        <w:tc>
          <w:tcPr>
            <w:cnfStyle w:val="001000000000" w:firstRow="0" w:lastRow="0" w:firstColumn="1" w:lastColumn="0" w:oddVBand="0" w:evenVBand="0" w:oddHBand="0" w:evenHBand="0" w:firstRowFirstColumn="0" w:firstRowLastColumn="0" w:lastRowFirstColumn="0" w:lastRowLastColumn="0"/>
            <w:tcW w:w="5997" w:type="dxa"/>
          </w:tcPr>
          <w:p w:rsidR="00554171" w:rsidRPr="00332CC0" w:rsidRDefault="00554171" w:rsidP="00040D3F">
            <w:pPr>
              <w:spacing w:before="240"/>
              <w:jc w:val="both"/>
              <w:rPr>
                <w:rFonts w:cs="Arial"/>
              </w:rPr>
            </w:pPr>
            <w:r w:rsidRPr="00332CC0">
              <w:rPr>
                <w:rFonts w:cs="Arial"/>
              </w:rPr>
              <w:t>Age</w:t>
            </w:r>
          </w:p>
        </w:tc>
        <w:tc>
          <w:tcPr>
            <w:tcW w:w="1649" w:type="dxa"/>
          </w:tcPr>
          <w:p w:rsidR="00554171" w:rsidRPr="00332CC0" w:rsidRDefault="00554171" w:rsidP="00040D3F">
            <w:pPr>
              <w:spacing w:before="240"/>
              <w:jc w:val="both"/>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10.5%</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5997" w:type="dxa"/>
          </w:tcPr>
          <w:p w:rsidR="00554171" w:rsidRPr="00332CC0" w:rsidRDefault="00554171" w:rsidP="00040D3F">
            <w:pPr>
              <w:spacing w:before="240"/>
              <w:jc w:val="both"/>
              <w:rPr>
                <w:rFonts w:cs="Arial"/>
              </w:rPr>
            </w:pPr>
            <w:r w:rsidRPr="00332CC0">
              <w:rPr>
                <w:rFonts w:cs="Arial"/>
              </w:rPr>
              <w:t>Racial harassment</w:t>
            </w:r>
          </w:p>
        </w:tc>
        <w:tc>
          <w:tcPr>
            <w:tcW w:w="1649" w:type="dxa"/>
          </w:tcPr>
          <w:p w:rsidR="00554171" w:rsidRPr="00332CC0" w:rsidRDefault="00554171" w:rsidP="00040D3F">
            <w:pPr>
              <w:spacing w:before="240"/>
              <w:ind w:left="123"/>
              <w:jc w:val="both"/>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7%</w:t>
            </w:r>
          </w:p>
        </w:tc>
      </w:tr>
      <w:tr w:rsidR="00554171" w:rsidRPr="00332CC0" w:rsidTr="00040D3F">
        <w:trPr>
          <w:trHeight w:val="517"/>
        </w:trPr>
        <w:tc>
          <w:tcPr>
            <w:cnfStyle w:val="001000000000" w:firstRow="0" w:lastRow="0" w:firstColumn="1" w:lastColumn="0" w:oddVBand="0" w:evenVBand="0" w:oddHBand="0" w:evenHBand="0" w:firstRowFirstColumn="0" w:firstRowLastColumn="0" w:lastRowFirstColumn="0" w:lastRowLastColumn="0"/>
            <w:tcW w:w="5997" w:type="dxa"/>
          </w:tcPr>
          <w:p w:rsidR="00554171" w:rsidRPr="00332CC0" w:rsidRDefault="00554171" w:rsidP="00040D3F">
            <w:pPr>
              <w:spacing w:before="240"/>
              <w:jc w:val="both"/>
              <w:rPr>
                <w:rFonts w:cs="Arial"/>
              </w:rPr>
            </w:pPr>
            <w:r w:rsidRPr="00332CC0">
              <w:rPr>
                <w:rFonts w:cs="Arial"/>
              </w:rPr>
              <w:t>Family status</w:t>
            </w:r>
          </w:p>
        </w:tc>
        <w:tc>
          <w:tcPr>
            <w:tcW w:w="1649" w:type="dxa"/>
          </w:tcPr>
          <w:p w:rsidR="00554171" w:rsidRPr="00332CC0" w:rsidRDefault="00554171" w:rsidP="00040D3F">
            <w:pPr>
              <w:spacing w:before="240"/>
              <w:ind w:left="123"/>
              <w:jc w:val="both"/>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6.1%</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5997" w:type="dxa"/>
          </w:tcPr>
          <w:p w:rsidR="00554171" w:rsidRPr="00332CC0" w:rsidRDefault="00554171" w:rsidP="00040D3F">
            <w:pPr>
              <w:spacing w:before="240"/>
              <w:jc w:val="both"/>
              <w:rPr>
                <w:rFonts w:cs="Arial"/>
              </w:rPr>
            </w:pPr>
            <w:r w:rsidRPr="00332CC0">
              <w:rPr>
                <w:rFonts w:cs="Arial"/>
              </w:rPr>
              <w:t>Religious belief</w:t>
            </w:r>
          </w:p>
        </w:tc>
        <w:tc>
          <w:tcPr>
            <w:tcW w:w="1649" w:type="dxa"/>
          </w:tcPr>
          <w:p w:rsidR="00554171" w:rsidRPr="00332CC0" w:rsidRDefault="00554171" w:rsidP="00040D3F">
            <w:pPr>
              <w:spacing w:before="240"/>
              <w:ind w:left="123"/>
              <w:jc w:val="both"/>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4%</w:t>
            </w:r>
          </w:p>
        </w:tc>
      </w:tr>
      <w:tr w:rsidR="00554171" w:rsidRPr="00332CC0" w:rsidTr="00040D3F">
        <w:trPr>
          <w:trHeight w:val="517"/>
        </w:trPr>
        <w:tc>
          <w:tcPr>
            <w:cnfStyle w:val="001000000000" w:firstRow="0" w:lastRow="0" w:firstColumn="1" w:lastColumn="0" w:oddVBand="0" w:evenVBand="0" w:oddHBand="0" w:evenHBand="0" w:firstRowFirstColumn="0" w:firstRowLastColumn="0" w:lastRowFirstColumn="0" w:lastRowLastColumn="0"/>
            <w:tcW w:w="5997" w:type="dxa"/>
          </w:tcPr>
          <w:p w:rsidR="00554171" w:rsidRPr="00332CC0" w:rsidRDefault="00554171" w:rsidP="00040D3F">
            <w:pPr>
              <w:spacing w:before="240"/>
              <w:jc w:val="both"/>
              <w:rPr>
                <w:rFonts w:cs="Arial"/>
              </w:rPr>
            </w:pPr>
            <w:r w:rsidRPr="00332CC0">
              <w:rPr>
                <w:rFonts w:cs="Arial"/>
              </w:rPr>
              <w:t>Sexual orientation</w:t>
            </w:r>
          </w:p>
        </w:tc>
        <w:tc>
          <w:tcPr>
            <w:tcW w:w="1649" w:type="dxa"/>
          </w:tcPr>
          <w:p w:rsidR="00554171" w:rsidRPr="00332CC0" w:rsidRDefault="00554171" w:rsidP="00040D3F">
            <w:pPr>
              <w:spacing w:before="240"/>
              <w:ind w:left="123"/>
              <w:jc w:val="both"/>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2.4%</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5997" w:type="dxa"/>
          </w:tcPr>
          <w:p w:rsidR="00554171" w:rsidRPr="00332CC0" w:rsidRDefault="00554171" w:rsidP="00040D3F">
            <w:pPr>
              <w:spacing w:before="240"/>
              <w:jc w:val="both"/>
              <w:rPr>
                <w:rFonts w:cs="Arial"/>
              </w:rPr>
            </w:pPr>
            <w:r w:rsidRPr="00332CC0">
              <w:rPr>
                <w:rFonts w:cs="Arial"/>
              </w:rPr>
              <w:t>Marital status</w:t>
            </w:r>
          </w:p>
        </w:tc>
        <w:tc>
          <w:tcPr>
            <w:tcW w:w="1649" w:type="dxa"/>
          </w:tcPr>
          <w:p w:rsidR="00554171" w:rsidRPr="00332CC0" w:rsidRDefault="00554171" w:rsidP="00040D3F">
            <w:pPr>
              <w:spacing w:before="240"/>
              <w:ind w:left="123"/>
              <w:jc w:val="both"/>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1.7%</w:t>
            </w:r>
          </w:p>
        </w:tc>
      </w:tr>
      <w:tr w:rsidR="00554171" w:rsidRPr="00332CC0" w:rsidTr="00040D3F">
        <w:trPr>
          <w:trHeight w:val="477"/>
        </w:trPr>
        <w:tc>
          <w:tcPr>
            <w:cnfStyle w:val="001000000000" w:firstRow="0" w:lastRow="0" w:firstColumn="1" w:lastColumn="0" w:oddVBand="0" w:evenVBand="0" w:oddHBand="0" w:evenHBand="0" w:firstRowFirstColumn="0" w:firstRowLastColumn="0" w:lastRowFirstColumn="0" w:lastRowLastColumn="0"/>
            <w:tcW w:w="5997" w:type="dxa"/>
          </w:tcPr>
          <w:p w:rsidR="00554171" w:rsidRPr="00332CC0" w:rsidRDefault="00554171" w:rsidP="00040D3F">
            <w:pPr>
              <w:spacing w:before="240"/>
              <w:jc w:val="both"/>
              <w:rPr>
                <w:rFonts w:cs="Arial"/>
              </w:rPr>
            </w:pPr>
            <w:r w:rsidRPr="00332CC0">
              <w:rPr>
                <w:rFonts w:cs="Arial"/>
              </w:rPr>
              <w:t>Victimisation</w:t>
            </w:r>
          </w:p>
        </w:tc>
        <w:tc>
          <w:tcPr>
            <w:tcW w:w="1649" w:type="dxa"/>
          </w:tcPr>
          <w:p w:rsidR="00554171" w:rsidRPr="00332CC0" w:rsidRDefault="00554171" w:rsidP="00040D3F">
            <w:pPr>
              <w:spacing w:before="240"/>
              <w:ind w:left="123"/>
              <w:jc w:val="both"/>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1.2%</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5997" w:type="dxa"/>
          </w:tcPr>
          <w:p w:rsidR="00554171" w:rsidRPr="00332CC0" w:rsidRDefault="00554171" w:rsidP="00040D3F">
            <w:pPr>
              <w:spacing w:before="240"/>
              <w:jc w:val="both"/>
              <w:rPr>
                <w:rFonts w:cs="Arial"/>
              </w:rPr>
            </w:pPr>
            <w:r w:rsidRPr="00332CC0">
              <w:rPr>
                <w:rFonts w:cs="Arial"/>
              </w:rPr>
              <w:t>Employment status</w:t>
            </w:r>
          </w:p>
        </w:tc>
        <w:tc>
          <w:tcPr>
            <w:tcW w:w="1649" w:type="dxa"/>
          </w:tcPr>
          <w:p w:rsidR="00554171" w:rsidRPr="00332CC0" w:rsidRDefault="00554171" w:rsidP="00040D3F">
            <w:pPr>
              <w:spacing w:before="240"/>
              <w:ind w:left="123"/>
              <w:jc w:val="both"/>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1.1%</w:t>
            </w:r>
          </w:p>
        </w:tc>
      </w:tr>
      <w:tr w:rsidR="00554171" w:rsidRPr="00332CC0" w:rsidTr="00040D3F">
        <w:trPr>
          <w:trHeight w:val="517"/>
        </w:trPr>
        <w:tc>
          <w:tcPr>
            <w:cnfStyle w:val="001000000000" w:firstRow="0" w:lastRow="0" w:firstColumn="1" w:lastColumn="0" w:oddVBand="0" w:evenVBand="0" w:oddHBand="0" w:evenHBand="0" w:firstRowFirstColumn="0" w:firstRowLastColumn="0" w:lastRowFirstColumn="0" w:lastRowLastColumn="0"/>
            <w:tcW w:w="5997" w:type="dxa"/>
          </w:tcPr>
          <w:p w:rsidR="00554171" w:rsidRPr="00332CC0" w:rsidRDefault="00554171" w:rsidP="00040D3F">
            <w:pPr>
              <w:spacing w:before="240"/>
              <w:jc w:val="both"/>
              <w:rPr>
                <w:rFonts w:cs="Arial"/>
              </w:rPr>
            </w:pPr>
            <w:r w:rsidRPr="00332CC0">
              <w:rPr>
                <w:rFonts w:cs="Arial"/>
              </w:rPr>
              <w:t>Colour</w:t>
            </w:r>
          </w:p>
        </w:tc>
        <w:tc>
          <w:tcPr>
            <w:tcW w:w="1649" w:type="dxa"/>
          </w:tcPr>
          <w:p w:rsidR="00554171" w:rsidRPr="00332CC0" w:rsidRDefault="00554171" w:rsidP="00040D3F">
            <w:pPr>
              <w:spacing w:before="240"/>
              <w:ind w:left="123"/>
              <w:jc w:val="both"/>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&lt;1%</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5997" w:type="dxa"/>
          </w:tcPr>
          <w:p w:rsidR="00554171" w:rsidRPr="00332CC0" w:rsidRDefault="00554171" w:rsidP="00040D3F">
            <w:pPr>
              <w:spacing w:before="240"/>
              <w:jc w:val="both"/>
              <w:rPr>
                <w:rFonts w:cs="Arial"/>
              </w:rPr>
            </w:pPr>
            <w:r w:rsidRPr="00332CC0">
              <w:rPr>
                <w:rFonts w:cs="Arial"/>
              </w:rPr>
              <w:t>Ethical belief</w:t>
            </w:r>
          </w:p>
        </w:tc>
        <w:tc>
          <w:tcPr>
            <w:tcW w:w="1649" w:type="dxa"/>
          </w:tcPr>
          <w:p w:rsidR="00554171" w:rsidRPr="00332CC0" w:rsidRDefault="00554171" w:rsidP="00040D3F">
            <w:pPr>
              <w:spacing w:before="240"/>
              <w:ind w:left="123"/>
              <w:jc w:val="both"/>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&lt;1%</w:t>
            </w:r>
          </w:p>
        </w:tc>
      </w:tr>
      <w:tr w:rsidR="00554171" w:rsidRPr="00332CC0" w:rsidTr="00040D3F">
        <w:trPr>
          <w:trHeight w:val="517"/>
        </w:trPr>
        <w:tc>
          <w:tcPr>
            <w:cnfStyle w:val="001000000000" w:firstRow="0" w:lastRow="0" w:firstColumn="1" w:lastColumn="0" w:oddVBand="0" w:evenVBand="0" w:oddHBand="0" w:evenHBand="0" w:firstRowFirstColumn="0" w:firstRowLastColumn="0" w:lastRowFirstColumn="0" w:lastRowLastColumn="0"/>
            <w:tcW w:w="5997" w:type="dxa"/>
          </w:tcPr>
          <w:p w:rsidR="00554171" w:rsidRPr="00332CC0" w:rsidRDefault="00554171" w:rsidP="00040D3F">
            <w:pPr>
              <w:spacing w:before="240"/>
              <w:jc w:val="both"/>
              <w:rPr>
                <w:rFonts w:cs="Arial"/>
              </w:rPr>
            </w:pPr>
            <w:r w:rsidRPr="00332CC0">
              <w:rPr>
                <w:rFonts w:cs="Arial"/>
              </w:rPr>
              <w:t>Political opinion</w:t>
            </w:r>
          </w:p>
        </w:tc>
        <w:tc>
          <w:tcPr>
            <w:tcW w:w="1649" w:type="dxa"/>
          </w:tcPr>
          <w:p w:rsidR="00554171" w:rsidRPr="00332CC0" w:rsidRDefault="00554171" w:rsidP="00040D3F">
            <w:pPr>
              <w:spacing w:before="240"/>
              <w:ind w:left="123"/>
              <w:jc w:val="both"/>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&lt;1%</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5997" w:type="dxa"/>
          </w:tcPr>
          <w:p w:rsidR="00554171" w:rsidRPr="00332CC0" w:rsidRDefault="00554171" w:rsidP="00040D3F">
            <w:pPr>
              <w:spacing w:before="240"/>
              <w:jc w:val="both"/>
              <w:rPr>
                <w:rFonts w:cs="Arial"/>
              </w:rPr>
            </w:pPr>
            <w:r w:rsidRPr="00332CC0">
              <w:rPr>
                <w:rFonts w:cs="Arial"/>
              </w:rPr>
              <w:t>Racial disharmony</w:t>
            </w:r>
          </w:p>
        </w:tc>
        <w:tc>
          <w:tcPr>
            <w:tcW w:w="1649" w:type="dxa"/>
          </w:tcPr>
          <w:p w:rsidR="00554171" w:rsidRPr="00332CC0" w:rsidRDefault="00554171" w:rsidP="00040D3F">
            <w:pPr>
              <w:spacing w:before="240"/>
              <w:ind w:left="123"/>
              <w:jc w:val="both"/>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&lt;1%</w:t>
            </w:r>
          </w:p>
        </w:tc>
      </w:tr>
    </w:tbl>
    <w:p w:rsidR="00554171" w:rsidRPr="00332CC0" w:rsidRDefault="00554171" w:rsidP="00554171"/>
    <w:p w:rsidR="00554171" w:rsidRPr="00332CC0" w:rsidRDefault="00554171" w:rsidP="00554171"/>
    <w:p w:rsidR="00554171" w:rsidRPr="00332CC0" w:rsidRDefault="00554171" w:rsidP="00554171">
      <w:pPr>
        <w:spacing w:after="200" w:line="276" w:lineRule="auto"/>
      </w:pPr>
      <w:r w:rsidRPr="00332CC0">
        <w:br w:type="page"/>
      </w:r>
    </w:p>
    <w:p w:rsidR="004E76D5" w:rsidRPr="003252C6" w:rsidRDefault="004E76D5" w:rsidP="003252C6">
      <w:pPr>
        <w:pStyle w:val="Heading1"/>
        <w:spacing w:before="0"/>
        <w:rPr>
          <w:rFonts w:ascii="Arial" w:hAnsi="Arial" w:cs="Arial"/>
          <w:color w:val="00B0F0"/>
          <w:sz w:val="32"/>
          <w:szCs w:val="32"/>
        </w:rPr>
      </w:pPr>
      <w:r w:rsidRPr="003252C6">
        <w:rPr>
          <w:rFonts w:ascii="Arial" w:hAnsi="Arial" w:cs="Arial"/>
          <w:color w:val="00B0F0"/>
          <w:sz w:val="32"/>
          <w:szCs w:val="32"/>
        </w:rPr>
        <w:lastRenderedPageBreak/>
        <w:t>Disabled people</w:t>
      </w:r>
    </w:p>
    <w:p w:rsidR="004E76D5" w:rsidRPr="003252C6" w:rsidRDefault="004E76D5" w:rsidP="004E76D5"/>
    <w:p w:rsidR="004E76D5" w:rsidRPr="003252C6" w:rsidRDefault="004E76D5" w:rsidP="004E76D5">
      <w:pPr>
        <w:jc w:val="both"/>
        <w:rPr>
          <w:b/>
          <w:sz w:val="28"/>
          <w:szCs w:val="28"/>
        </w:rPr>
      </w:pPr>
      <w:r w:rsidRPr="003252C6">
        <w:rPr>
          <w:b/>
          <w:sz w:val="28"/>
          <w:szCs w:val="28"/>
        </w:rPr>
        <w:t>Statistics on employment</w:t>
      </w:r>
      <w:r w:rsidRPr="003252C6">
        <w:rPr>
          <w:rStyle w:val="FootnoteReference"/>
          <w:b/>
          <w:sz w:val="28"/>
          <w:szCs w:val="28"/>
        </w:rPr>
        <w:footnoteReference w:id="20"/>
      </w:r>
      <w:r w:rsidRPr="003252C6">
        <w:rPr>
          <w:b/>
          <w:sz w:val="28"/>
          <w:szCs w:val="28"/>
        </w:rPr>
        <w:t xml:space="preserve"> </w:t>
      </w:r>
    </w:p>
    <w:p w:rsidR="004E76D5" w:rsidRPr="003252C6" w:rsidRDefault="004E76D5" w:rsidP="004E76D5">
      <w:pPr>
        <w:jc w:val="both"/>
        <w:rPr>
          <w:sz w:val="22"/>
          <w:szCs w:val="22"/>
        </w:rPr>
      </w:pPr>
      <w:r w:rsidRPr="003252C6">
        <w:rPr>
          <w:sz w:val="22"/>
          <w:szCs w:val="22"/>
        </w:rPr>
        <w:t xml:space="preserve">The only reliable national survey of outcomes for disabled people is the New Zealand Household Disability Survey conducted every five years. Although the New Zealand General Social Survey is described as a biennial survey of social and economic outcomes for all New Zealanders aged 15 and over, it does not provide disaggregated data for disabled people. Other more regular surveys, such as the Household Labour Force Survey, do not provide data on disabled people. </w:t>
      </w:r>
    </w:p>
    <w:p w:rsidR="004E76D5" w:rsidRPr="003252C6" w:rsidRDefault="004E76D5" w:rsidP="004E76D5">
      <w:pPr>
        <w:jc w:val="both"/>
        <w:rPr>
          <w:b/>
          <w:i/>
          <w:color w:val="079EC9" w:themeColor="accent1" w:themeShade="BF"/>
          <w:sz w:val="22"/>
          <w:szCs w:val="22"/>
        </w:rPr>
      </w:pPr>
    </w:p>
    <w:p w:rsidR="004E76D5" w:rsidRPr="003252C6" w:rsidRDefault="00997B54" w:rsidP="003252C6">
      <w:pPr>
        <w:jc w:val="both"/>
        <w:rPr>
          <w:b/>
          <w:sz w:val="28"/>
          <w:szCs w:val="28"/>
        </w:rPr>
      </w:pPr>
      <w:r w:rsidRPr="003252C6">
        <w:rPr>
          <w:b/>
          <w:sz w:val="28"/>
          <w:szCs w:val="28"/>
        </w:rPr>
        <w:t>Table 4</w:t>
      </w:r>
      <w:r w:rsidR="004E76D5" w:rsidRPr="003252C6">
        <w:rPr>
          <w:b/>
          <w:sz w:val="28"/>
          <w:szCs w:val="28"/>
        </w:rPr>
        <w:t>:  Unemployment rate 2006, Disability Survey</w:t>
      </w:r>
    </w:p>
    <w:p w:rsidR="004E76D5" w:rsidRPr="003252C6" w:rsidRDefault="004E76D5" w:rsidP="004E76D5">
      <w:pPr>
        <w:jc w:val="both"/>
        <w:rPr>
          <w:b/>
          <w:sz w:val="28"/>
          <w:szCs w:val="28"/>
        </w:rPr>
      </w:pPr>
    </w:p>
    <w:tbl>
      <w:tblPr>
        <w:tblStyle w:val="MediumGrid1-Accent2"/>
        <w:tblW w:w="9163" w:type="dxa"/>
        <w:tblLook w:val="04A0" w:firstRow="1" w:lastRow="0" w:firstColumn="1" w:lastColumn="0" w:noHBand="0" w:noVBand="1"/>
      </w:tblPr>
      <w:tblGrid>
        <w:gridCol w:w="3048"/>
        <w:gridCol w:w="3058"/>
        <w:gridCol w:w="3057"/>
      </w:tblGrid>
      <w:tr w:rsidR="004E76D5" w:rsidRPr="003252C6" w:rsidTr="0012092E">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048" w:type="dxa"/>
          </w:tcPr>
          <w:p w:rsidR="004E76D5" w:rsidRPr="003252C6" w:rsidRDefault="004E76D5" w:rsidP="0012092E">
            <w:pPr>
              <w:jc w:val="both"/>
            </w:pPr>
          </w:p>
        </w:tc>
        <w:tc>
          <w:tcPr>
            <w:tcW w:w="3058" w:type="dxa"/>
          </w:tcPr>
          <w:p w:rsidR="004E76D5" w:rsidRPr="003252C6" w:rsidRDefault="004E76D5" w:rsidP="0012092E">
            <w:pPr>
              <w:jc w:val="both"/>
              <w:cnfStyle w:val="100000000000" w:firstRow="1" w:lastRow="0" w:firstColumn="0" w:lastColumn="0" w:oddVBand="0" w:evenVBand="0" w:oddHBand="0" w:evenHBand="0" w:firstRowFirstColumn="0" w:firstRowLastColumn="0" w:lastRowFirstColumn="0" w:lastRowLastColumn="0"/>
              <w:rPr>
                <w:b w:val="0"/>
              </w:rPr>
            </w:pPr>
            <w:r w:rsidRPr="003252C6">
              <w:t xml:space="preserve">Disabled </w:t>
            </w:r>
          </w:p>
        </w:tc>
        <w:tc>
          <w:tcPr>
            <w:tcW w:w="3057" w:type="dxa"/>
          </w:tcPr>
          <w:p w:rsidR="004E76D5" w:rsidRPr="003252C6" w:rsidRDefault="004E76D5" w:rsidP="0012092E">
            <w:pPr>
              <w:jc w:val="both"/>
              <w:cnfStyle w:val="100000000000" w:firstRow="1" w:lastRow="0" w:firstColumn="0" w:lastColumn="0" w:oddVBand="0" w:evenVBand="0" w:oddHBand="0" w:evenHBand="0" w:firstRowFirstColumn="0" w:firstRowLastColumn="0" w:lastRowFirstColumn="0" w:lastRowLastColumn="0"/>
              <w:rPr>
                <w:b w:val="0"/>
              </w:rPr>
            </w:pPr>
            <w:r w:rsidRPr="003252C6">
              <w:t xml:space="preserve">Non-disabled </w:t>
            </w:r>
          </w:p>
        </w:tc>
      </w:tr>
      <w:tr w:rsidR="004E76D5" w:rsidRPr="003252C6" w:rsidTr="0012092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048" w:type="dxa"/>
          </w:tcPr>
          <w:p w:rsidR="004E76D5" w:rsidRPr="003252C6" w:rsidRDefault="004E76D5" w:rsidP="0012092E">
            <w:pPr>
              <w:jc w:val="both"/>
              <w:rPr>
                <w:b w:val="0"/>
              </w:rPr>
            </w:pPr>
            <w:r w:rsidRPr="003252C6">
              <w:t>Male</w:t>
            </w:r>
          </w:p>
        </w:tc>
        <w:tc>
          <w:tcPr>
            <w:tcW w:w="3058" w:type="dxa"/>
          </w:tcPr>
          <w:p w:rsidR="004E76D5" w:rsidRPr="003252C6" w:rsidRDefault="004E76D5" w:rsidP="0012092E">
            <w:pPr>
              <w:jc w:val="both"/>
              <w:cnfStyle w:val="000000100000" w:firstRow="0" w:lastRow="0" w:firstColumn="0" w:lastColumn="0" w:oddVBand="0" w:evenVBand="0" w:oddHBand="1" w:evenHBand="0" w:firstRowFirstColumn="0" w:firstRowLastColumn="0" w:lastRowFirstColumn="0" w:lastRowLastColumn="0"/>
            </w:pPr>
            <w:r w:rsidRPr="003252C6">
              <w:t>5%</w:t>
            </w:r>
          </w:p>
        </w:tc>
        <w:tc>
          <w:tcPr>
            <w:tcW w:w="3057" w:type="dxa"/>
          </w:tcPr>
          <w:p w:rsidR="004E76D5" w:rsidRPr="003252C6" w:rsidRDefault="004E76D5" w:rsidP="0012092E">
            <w:pPr>
              <w:jc w:val="both"/>
              <w:cnfStyle w:val="000000100000" w:firstRow="0" w:lastRow="0" w:firstColumn="0" w:lastColumn="0" w:oddVBand="0" w:evenVBand="0" w:oddHBand="1" w:evenHBand="0" w:firstRowFirstColumn="0" w:firstRowLastColumn="0" w:lastRowFirstColumn="0" w:lastRowLastColumn="0"/>
            </w:pPr>
            <w:r w:rsidRPr="003252C6">
              <w:t>3%</w:t>
            </w:r>
          </w:p>
        </w:tc>
      </w:tr>
      <w:tr w:rsidR="004E76D5" w:rsidRPr="003252C6" w:rsidTr="0012092E">
        <w:trPr>
          <w:trHeight w:val="298"/>
        </w:trPr>
        <w:tc>
          <w:tcPr>
            <w:cnfStyle w:val="001000000000" w:firstRow="0" w:lastRow="0" w:firstColumn="1" w:lastColumn="0" w:oddVBand="0" w:evenVBand="0" w:oddHBand="0" w:evenHBand="0" w:firstRowFirstColumn="0" w:firstRowLastColumn="0" w:lastRowFirstColumn="0" w:lastRowLastColumn="0"/>
            <w:tcW w:w="3048" w:type="dxa"/>
          </w:tcPr>
          <w:p w:rsidR="004E76D5" w:rsidRPr="003252C6" w:rsidRDefault="004E76D5" w:rsidP="0012092E">
            <w:pPr>
              <w:jc w:val="both"/>
              <w:rPr>
                <w:b w:val="0"/>
              </w:rPr>
            </w:pPr>
            <w:r w:rsidRPr="003252C6">
              <w:t xml:space="preserve">Female </w:t>
            </w:r>
          </w:p>
        </w:tc>
        <w:tc>
          <w:tcPr>
            <w:tcW w:w="3058" w:type="dxa"/>
          </w:tcPr>
          <w:p w:rsidR="004E76D5" w:rsidRPr="003252C6" w:rsidRDefault="004E76D5" w:rsidP="0012092E">
            <w:pPr>
              <w:jc w:val="both"/>
              <w:cnfStyle w:val="000000000000" w:firstRow="0" w:lastRow="0" w:firstColumn="0" w:lastColumn="0" w:oddVBand="0" w:evenVBand="0" w:oddHBand="0" w:evenHBand="0" w:firstRowFirstColumn="0" w:firstRowLastColumn="0" w:lastRowFirstColumn="0" w:lastRowLastColumn="0"/>
            </w:pPr>
            <w:r w:rsidRPr="003252C6">
              <w:t>9%</w:t>
            </w:r>
          </w:p>
        </w:tc>
        <w:tc>
          <w:tcPr>
            <w:tcW w:w="3057" w:type="dxa"/>
          </w:tcPr>
          <w:p w:rsidR="004E76D5" w:rsidRPr="003252C6" w:rsidRDefault="004E76D5" w:rsidP="0012092E">
            <w:pPr>
              <w:jc w:val="both"/>
              <w:cnfStyle w:val="000000000000" w:firstRow="0" w:lastRow="0" w:firstColumn="0" w:lastColumn="0" w:oddVBand="0" w:evenVBand="0" w:oddHBand="0" w:evenHBand="0" w:firstRowFirstColumn="0" w:firstRowLastColumn="0" w:lastRowFirstColumn="0" w:lastRowLastColumn="0"/>
            </w:pPr>
            <w:r w:rsidRPr="003252C6">
              <w:t>5%</w:t>
            </w:r>
          </w:p>
        </w:tc>
      </w:tr>
    </w:tbl>
    <w:p w:rsidR="004E76D5" w:rsidRPr="003252C6" w:rsidRDefault="004E76D5" w:rsidP="004E76D5">
      <w:pPr>
        <w:jc w:val="both"/>
        <w:rPr>
          <w:sz w:val="22"/>
          <w:szCs w:val="22"/>
        </w:rPr>
      </w:pPr>
    </w:p>
    <w:p w:rsidR="004E76D5" w:rsidRPr="003252C6" w:rsidRDefault="004E76D5" w:rsidP="004E76D5">
      <w:pPr>
        <w:jc w:val="both"/>
        <w:rPr>
          <w:sz w:val="22"/>
          <w:szCs w:val="22"/>
        </w:rPr>
      </w:pPr>
      <w:r w:rsidRPr="003252C6">
        <w:rPr>
          <w:sz w:val="22"/>
          <w:szCs w:val="22"/>
        </w:rPr>
        <w:t xml:space="preserve">As with the total population there is a positive association with educational attainment and labour force participation. At every level of qualification, however, disabled people are less likely than non-disabled people to be in the workforce. The participation rate of disabled people with post school qualifications (76%) is about the same as that of non-disabled people with no qualifications. </w:t>
      </w:r>
    </w:p>
    <w:p w:rsidR="004E76D5" w:rsidRPr="003252C6" w:rsidRDefault="004E76D5" w:rsidP="004E76D5">
      <w:pPr>
        <w:jc w:val="both"/>
        <w:rPr>
          <w:sz w:val="22"/>
          <w:szCs w:val="22"/>
        </w:rPr>
      </w:pPr>
    </w:p>
    <w:p w:rsidR="004E76D5" w:rsidRPr="003252C6" w:rsidRDefault="004E76D5" w:rsidP="004E76D5">
      <w:pPr>
        <w:jc w:val="both"/>
        <w:rPr>
          <w:sz w:val="22"/>
          <w:szCs w:val="22"/>
        </w:rPr>
      </w:pPr>
      <w:r w:rsidRPr="003252C6">
        <w:rPr>
          <w:sz w:val="22"/>
          <w:szCs w:val="22"/>
        </w:rPr>
        <w:t xml:space="preserve">The likelihood of being in the labour force is greater for some types of disability than others. People with a vision or hearing impairment are most likely to be in the labour force, while people with an intellectual impairment or experience of mental illness are the least likely.  </w:t>
      </w:r>
    </w:p>
    <w:p w:rsidR="004E76D5" w:rsidRPr="003252C6" w:rsidRDefault="004E76D5" w:rsidP="004E76D5">
      <w:pPr>
        <w:jc w:val="both"/>
        <w:rPr>
          <w:rFonts w:cs="Arial"/>
          <w:b/>
          <w:sz w:val="28"/>
          <w:szCs w:val="28"/>
        </w:rPr>
      </w:pPr>
    </w:p>
    <w:p w:rsidR="004E76D5" w:rsidRPr="003252C6" w:rsidRDefault="004E76D5" w:rsidP="004E76D5">
      <w:pPr>
        <w:jc w:val="both"/>
        <w:rPr>
          <w:rFonts w:cs="Arial"/>
          <w:b/>
          <w:sz w:val="28"/>
          <w:szCs w:val="28"/>
        </w:rPr>
      </w:pPr>
      <w:r w:rsidRPr="003252C6">
        <w:rPr>
          <w:rFonts w:cs="Arial"/>
          <w:b/>
          <w:sz w:val="28"/>
          <w:szCs w:val="28"/>
        </w:rPr>
        <w:t>Disability discrimination complaints</w:t>
      </w:r>
    </w:p>
    <w:p w:rsidR="004E76D5" w:rsidRPr="003252C6" w:rsidRDefault="004E76D5" w:rsidP="004E76D5">
      <w:pPr>
        <w:jc w:val="both"/>
        <w:rPr>
          <w:rFonts w:cs="Arial"/>
          <w:sz w:val="22"/>
          <w:szCs w:val="22"/>
        </w:rPr>
      </w:pPr>
      <w:r w:rsidRPr="003252C6">
        <w:rPr>
          <w:rFonts w:cs="Arial"/>
          <w:sz w:val="22"/>
          <w:szCs w:val="22"/>
        </w:rPr>
        <w:t>Complaints recorded under the ground of disability include permanent disabilities as well as temporary injuries or illnesses. The most commonly received type of complaint relates to the termination of employment (including the threat or perceived threat of termination) which the complainant believes is related to disability/injury/illness. Complaints relating to being declined roles were also high for people citing disability as a ground of complaint. Numbers of complaints relating to termination of employment have been steady over the last three years, while numbers of complaints relating to problems obtaining employment have dropped slightly in the last two years.</w:t>
      </w:r>
    </w:p>
    <w:p w:rsidR="004E76D5" w:rsidRPr="003252C6" w:rsidRDefault="004E76D5" w:rsidP="004E76D5">
      <w:pPr>
        <w:spacing w:line="276" w:lineRule="auto"/>
        <w:jc w:val="both"/>
        <w:rPr>
          <w:rFonts w:cs="Arial"/>
          <w:sz w:val="22"/>
          <w:szCs w:val="22"/>
        </w:rPr>
      </w:pPr>
    </w:p>
    <w:p w:rsidR="004E76D5" w:rsidRPr="003252C6" w:rsidRDefault="004E76D5" w:rsidP="003252C6">
      <w:pPr>
        <w:spacing w:line="276" w:lineRule="auto"/>
        <w:jc w:val="both"/>
        <w:rPr>
          <w:rFonts w:cs="Arial"/>
          <w:b/>
          <w:sz w:val="28"/>
          <w:szCs w:val="28"/>
        </w:rPr>
      </w:pPr>
      <w:r w:rsidRPr="003252C6">
        <w:rPr>
          <w:rFonts w:cs="Arial"/>
          <w:b/>
          <w:sz w:val="28"/>
          <w:szCs w:val="28"/>
        </w:rPr>
        <w:t xml:space="preserve">Table </w:t>
      </w:r>
      <w:r w:rsidR="00997B54" w:rsidRPr="003252C6">
        <w:rPr>
          <w:rFonts w:cs="Arial"/>
          <w:b/>
          <w:sz w:val="28"/>
          <w:szCs w:val="28"/>
        </w:rPr>
        <w:t>5</w:t>
      </w:r>
      <w:r w:rsidRPr="003252C6">
        <w:rPr>
          <w:rFonts w:cs="Arial"/>
          <w:b/>
          <w:sz w:val="28"/>
          <w:szCs w:val="28"/>
        </w:rPr>
        <w:t>:  Disability and employment complaints</w:t>
      </w:r>
    </w:p>
    <w:p w:rsidR="004E76D5" w:rsidRPr="003252C6" w:rsidRDefault="004E76D5" w:rsidP="004E76D5">
      <w:pPr>
        <w:jc w:val="both"/>
        <w:rPr>
          <w:rFonts w:cs="Arial"/>
          <w:i/>
          <w:sz w:val="22"/>
          <w:szCs w:val="22"/>
          <w:u w:val="single"/>
        </w:rPr>
      </w:pPr>
    </w:p>
    <w:tbl>
      <w:tblPr>
        <w:tblStyle w:val="MediumGrid1-Accent2"/>
        <w:tblW w:w="9070" w:type="dxa"/>
        <w:tblLook w:val="04A0" w:firstRow="1" w:lastRow="0" w:firstColumn="1" w:lastColumn="0" w:noHBand="0" w:noVBand="1"/>
      </w:tblPr>
      <w:tblGrid>
        <w:gridCol w:w="4890"/>
        <w:gridCol w:w="2090"/>
        <w:gridCol w:w="2090"/>
      </w:tblGrid>
      <w:tr w:rsidR="004E76D5" w:rsidRPr="003252C6" w:rsidTr="0012092E">
        <w:trPr>
          <w:cnfStyle w:val="100000000000" w:firstRow="1" w:lastRow="0" w:firstColumn="0" w:lastColumn="0" w:oddVBand="0" w:evenVBand="0" w:oddHBand="0"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4890" w:type="dxa"/>
          </w:tcPr>
          <w:p w:rsidR="004E76D5" w:rsidRPr="003252C6" w:rsidRDefault="004E76D5" w:rsidP="0012092E">
            <w:pPr>
              <w:jc w:val="both"/>
              <w:rPr>
                <w:rFonts w:cs="Arial"/>
              </w:rPr>
            </w:pPr>
          </w:p>
        </w:tc>
        <w:tc>
          <w:tcPr>
            <w:tcW w:w="2090" w:type="dxa"/>
          </w:tcPr>
          <w:p w:rsidR="004E76D5" w:rsidRPr="003252C6" w:rsidRDefault="004E76D5" w:rsidP="0012092E">
            <w:pPr>
              <w:jc w:val="both"/>
              <w:cnfStyle w:val="100000000000" w:firstRow="1" w:lastRow="0" w:firstColumn="0" w:lastColumn="0" w:oddVBand="0" w:evenVBand="0" w:oddHBand="0" w:evenHBand="0" w:firstRowFirstColumn="0" w:firstRowLastColumn="0" w:lastRowFirstColumn="0" w:lastRowLastColumn="0"/>
              <w:rPr>
                <w:rFonts w:cs="Arial"/>
              </w:rPr>
            </w:pPr>
          </w:p>
          <w:p w:rsidR="004E76D5" w:rsidRPr="003252C6" w:rsidRDefault="004E76D5" w:rsidP="0012092E">
            <w:pPr>
              <w:jc w:val="both"/>
              <w:cnfStyle w:val="100000000000" w:firstRow="1" w:lastRow="0" w:firstColumn="0" w:lastColumn="0" w:oddVBand="0" w:evenVBand="0" w:oddHBand="0" w:evenHBand="0" w:firstRowFirstColumn="0" w:firstRowLastColumn="0" w:lastRowFirstColumn="0" w:lastRowLastColumn="0"/>
              <w:rPr>
                <w:rFonts w:cs="Arial"/>
              </w:rPr>
            </w:pPr>
            <w:r w:rsidRPr="003252C6">
              <w:rPr>
                <w:rFonts w:cs="Arial"/>
              </w:rPr>
              <w:t>Disability complaints</w:t>
            </w:r>
          </w:p>
        </w:tc>
        <w:tc>
          <w:tcPr>
            <w:tcW w:w="2090" w:type="dxa"/>
          </w:tcPr>
          <w:p w:rsidR="004E76D5" w:rsidRPr="003252C6" w:rsidRDefault="004E76D5" w:rsidP="0012092E">
            <w:pPr>
              <w:spacing w:before="240"/>
              <w:cnfStyle w:val="100000000000" w:firstRow="1" w:lastRow="0" w:firstColumn="0" w:lastColumn="0" w:oddVBand="0" w:evenVBand="0" w:oddHBand="0" w:evenHBand="0" w:firstRowFirstColumn="0" w:firstRowLastColumn="0" w:lastRowFirstColumn="0" w:lastRowLastColumn="0"/>
              <w:rPr>
                <w:rFonts w:cs="Arial"/>
              </w:rPr>
            </w:pPr>
            <w:r w:rsidRPr="003252C6">
              <w:rPr>
                <w:rFonts w:cs="Arial"/>
              </w:rPr>
              <w:t xml:space="preserve">Proportion of  disability complaints </w:t>
            </w:r>
          </w:p>
        </w:tc>
      </w:tr>
      <w:tr w:rsidR="004E76D5" w:rsidRPr="003252C6" w:rsidTr="0012092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890" w:type="dxa"/>
          </w:tcPr>
          <w:p w:rsidR="004E76D5" w:rsidRPr="003252C6" w:rsidRDefault="004E76D5" w:rsidP="0012092E">
            <w:pPr>
              <w:jc w:val="both"/>
              <w:rPr>
                <w:rFonts w:cs="Arial"/>
              </w:rPr>
            </w:pPr>
            <w:r w:rsidRPr="003252C6">
              <w:rPr>
                <w:rFonts w:cs="Arial"/>
              </w:rPr>
              <w:t>Termination of employment</w:t>
            </w:r>
          </w:p>
        </w:tc>
        <w:tc>
          <w:tcPr>
            <w:tcW w:w="2090" w:type="dxa"/>
          </w:tcPr>
          <w:p w:rsidR="004E76D5" w:rsidRPr="003252C6" w:rsidRDefault="004E76D5" w:rsidP="0012092E">
            <w:pPr>
              <w:jc w:val="center"/>
              <w:cnfStyle w:val="000000100000" w:firstRow="0" w:lastRow="0" w:firstColumn="0" w:lastColumn="0" w:oddVBand="0" w:evenVBand="0" w:oddHBand="1" w:evenHBand="0" w:firstRowFirstColumn="0" w:firstRowLastColumn="0" w:lastRowFirstColumn="0" w:lastRowLastColumn="0"/>
              <w:rPr>
                <w:rFonts w:cs="Arial"/>
              </w:rPr>
            </w:pPr>
            <w:r w:rsidRPr="003252C6">
              <w:rPr>
                <w:rFonts w:cs="Arial"/>
              </w:rPr>
              <w:t>166</w:t>
            </w:r>
          </w:p>
        </w:tc>
        <w:tc>
          <w:tcPr>
            <w:tcW w:w="2090" w:type="dxa"/>
          </w:tcPr>
          <w:p w:rsidR="004E76D5" w:rsidRPr="003252C6" w:rsidRDefault="004E76D5" w:rsidP="0012092E">
            <w:pPr>
              <w:jc w:val="center"/>
              <w:cnfStyle w:val="000000100000" w:firstRow="0" w:lastRow="0" w:firstColumn="0" w:lastColumn="0" w:oddVBand="0" w:evenVBand="0" w:oddHBand="1" w:evenHBand="0" w:firstRowFirstColumn="0" w:firstRowLastColumn="0" w:lastRowFirstColumn="0" w:lastRowLastColumn="0"/>
              <w:rPr>
                <w:rFonts w:cs="Arial"/>
              </w:rPr>
            </w:pPr>
            <w:r w:rsidRPr="003252C6">
              <w:rPr>
                <w:rFonts w:cs="Arial"/>
              </w:rPr>
              <w:t>26%</w:t>
            </w:r>
          </w:p>
        </w:tc>
      </w:tr>
      <w:tr w:rsidR="004E76D5" w:rsidRPr="003252C6" w:rsidTr="0012092E">
        <w:trPr>
          <w:trHeight w:val="270"/>
        </w:trPr>
        <w:tc>
          <w:tcPr>
            <w:cnfStyle w:val="001000000000" w:firstRow="0" w:lastRow="0" w:firstColumn="1" w:lastColumn="0" w:oddVBand="0" w:evenVBand="0" w:oddHBand="0" w:evenHBand="0" w:firstRowFirstColumn="0" w:firstRowLastColumn="0" w:lastRowFirstColumn="0" w:lastRowLastColumn="0"/>
            <w:tcW w:w="4890" w:type="dxa"/>
          </w:tcPr>
          <w:p w:rsidR="004E76D5" w:rsidRPr="003252C6" w:rsidRDefault="004E76D5" w:rsidP="0012092E">
            <w:pPr>
              <w:rPr>
                <w:rFonts w:cs="Arial"/>
              </w:rPr>
            </w:pPr>
            <w:r w:rsidRPr="003252C6">
              <w:rPr>
                <w:rFonts w:cs="Arial"/>
              </w:rPr>
              <w:t>Declined role</w:t>
            </w:r>
          </w:p>
        </w:tc>
        <w:tc>
          <w:tcPr>
            <w:tcW w:w="2090" w:type="dxa"/>
          </w:tcPr>
          <w:p w:rsidR="004E76D5" w:rsidRPr="003252C6" w:rsidRDefault="004E76D5" w:rsidP="0012092E">
            <w:pPr>
              <w:jc w:val="center"/>
              <w:cnfStyle w:val="000000000000" w:firstRow="0" w:lastRow="0" w:firstColumn="0" w:lastColumn="0" w:oddVBand="0" w:evenVBand="0" w:oddHBand="0" w:evenHBand="0" w:firstRowFirstColumn="0" w:firstRowLastColumn="0" w:lastRowFirstColumn="0" w:lastRowLastColumn="0"/>
              <w:rPr>
                <w:rFonts w:cs="Arial"/>
              </w:rPr>
            </w:pPr>
            <w:r w:rsidRPr="003252C6">
              <w:rPr>
                <w:rFonts w:cs="Arial"/>
              </w:rPr>
              <w:t>149</w:t>
            </w:r>
          </w:p>
        </w:tc>
        <w:tc>
          <w:tcPr>
            <w:tcW w:w="2090" w:type="dxa"/>
          </w:tcPr>
          <w:p w:rsidR="004E76D5" w:rsidRPr="003252C6" w:rsidRDefault="004E76D5" w:rsidP="0012092E">
            <w:pPr>
              <w:jc w:val="center"/>
              <w:cnfStyle w:val="000000000000" w:firstRow="0" w:lastRow="0" w:firstColumn="0" w:lastColumn="0" w:oddVBand="0" w:evenVBand="0" w:oddHBand="0" w:evenHBand="0" w:firstRowFirstColumn="0" w:firstRowLastColumn="0" w:lastRowFirstColumn="0" w:lastRowLastColumn="0"/>
              <w:rPr>
                <w:rFonts w:cs="Arial"/>
              </w:rPr>
            </w:pPr>
            <w:r w:rsidRPr="003252C6">
              <w:rPr>
                <w:rFonts w:cs="Arial"/>
              </w:rPr>
              <w:t>23%</w:t>
            </w:r>
          </w:p>
        </w:tc>
      </w:tr>
      <w:tr w:rsidR="004E76D5" w:rsidRPr="003252C6" w:rsidTr="0012092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890" w:type="dxa"/>
          </w:tcPr>
          <w:p w:rsidR="004E76D5" w:rsidRPr="003252C6" w:rsidRDefault="004E76D5" w:rsidP="0012092E">
            <w:pPr>
              <w:rPr>
                <w:rFonts w:cs="Arial"/>
              </w:rPr>
            </w:pPr>
            <w:r w:rsidRPr="003252C6">
              <w:rPr>
                <w:rFonts w:cs="Arial"/>
              </w:rPr>
              <w:t xml:space="preserve">Discrimination at work </w:t>
            </w:r>
          </w:p>
        </w:tc>
        <w:tc>
          <w:tcPr>
            <w:tcW w:w="2090" w:type="dxa"/>
          </w:tcPr>
          <w:p w:rsidR="004E76D5" w:rsidRPr="003252C6" w:rsidRDefault="004E76D5" w:rsidP="0012092E">
            <w:pPr>
              <w:jc w:val="center"/>
              <w:cnfStyle w:val="000000100000" w:firstRow="0" w:lastRow="0" w:firstColumn="0" w:lastColumn="0" w:oddVBand="0" w:evenVBand="0" w:oddHBand="1" w:evenHBand="0" w:firstRowFirstColumn="0" w:firstRowLastColumn="0" w:lastRowFirstColumn="0" w:lastRowLastColumn="0"/>
              <w:rPr>
                <w:rFonts w:cs="Arial"/>
              </w:rPr>
            </w:pPr>
            <w:r w:rsidRPr="003252C6">
              <w:rPr>
                <w:rFonts w:cs="Arial"/>
              </w:rPr>
              <w:t>92</w:t>
            </w:r>
          </w:p>
        </w:tc>
        <w:tc>
          <w:tcPr>
            <w:tcW w:w="2090" w:type="dxa"/>
          </w:tcPr>
          <w:p w:rsidR="004E76D5" w:rsidRPr="003252C6" w:rsidRDefault="004E76D5" w:rsidP="0012092E">
            <w:pPr>
              <w:jc w:val="center"/>
              <w:cnfStyle w:val="000000100000" w:firstRow="0" w:lastRow="0" w:firstColumn="0" w:lastColumn="0" w:oddVBand="0" w:evenVBand="0" w:oddHBand="1" w:evenHBand="0" w:firstRowFirstColumn="0" w:firstRowLastColumn="0" w:lastRowFirstColumn="0" w:lastRowLastColumn="0"/>
              <w:rPr>
                <w:rFonts w:cs="Arial"/>
              </w:rPr>
            </w:pPr>
            <w:r w:rsidRPr="003252C6">
              <w:rPr>
                <w:rFonts w:cs="Arial"/>
              </w:rPr>
              <w:t>14%</w:t>
            </w:r>
          </w:p>
        </w:tc>
      </w:tr>
      <w:tr w:rsidR="004E76D5" w:rsidRPr="003252C6" w:rsidTr="0012092E">
        <w:trPr>
          <w:trHeight w:val="270"/>
        </w:trPr>
        <w:tc>
          <w:tcPr>
            <w:cnfStyle w:val="001000000000" w:firstRow="0" w:lastRow="0" w:firstColumn="1" w:lastColumn="0" w:oddVBand="0" w:evenVBand="0" w:oddHBand="0" w:evenHBand="0" w:firstRowFirstColumn="0" w:firstRowLastColumn="0" w:lastRowFirstColumn="0" w:lastRowLastColumn="0"/>
            <w:tcW w:w="4890" w:type="dxa"/>
          </w:tcPr>
          <w:p w:rsidR="004E76D5" w:rsidRPr="003252C6" w:rsidRDefault="004E76D5" w:rsidP="0012092E">
            <w:pPr>
              <w:rPr>
                <w:rFonts w:cs="Arial"/>
              </w:rPr>
            </w:pPr>
            <w:r w:rsidRPr="003252C6">
              <w:rPr>
                <w:rFonts w:cs="Arial"/>
              </w:rPr>
              <w:t>Accommodation at work</w:t>
            </w:r>
          </w:p>
        </w:tc>
        <w:tc>
          <w:tcPr>
            <w:tcW w:w="2090" w:type="dxa"/>
          </w:tcPr>
          <w:p w:rsidR="004E76D5" w:rsidRPr="003252C6" w:rsidRDefault="004E76D5" w:rsidP="0012092E">
            <w:pPr>
              <w:jc w:val="center"/>
              <w:cnfStyle w:val="000000000000" w:firstRow="0" w:lastRow="0" w:firstColumn="0" w:lastColumn="0" w:oddVBand="0" w:evenVBand="0" w:oddHBand="0" w:evenHBand="0" w:firstRowFirstColumn="0" w:firstRowLastColumn="0" w:lastRowFirstColumn="0" w:lastRowLastColumn="0"/>
              <w:rPr>
                <w:rFonts w:cs="Arial"/>
              </w:rPr>
            </w:pPr>
            <w:r w:rsidRPr="003252C6">
              <w:rPr>
                <w:rFonts w:cs="Arial"/>
              </w:rPr>
              <w:t>69</w:t>
            </w:r>
          </w:p>
        </w:tc>
        <w:tc>
          <w:tcPr>
            <w:tcW w:w="2090" w:type="dxa"/>
          </w:tcPr>
          <w:p w:rsidR="004E76D5" w:rsidRPr="003252C6" w:rsidRDefault="004E76D5" w:rsidP="0012092E">
            <w:pPr>
              <w:jc w:val="center"/>
              <w:cnfStyle w:val="000000000000" w:firstRow="0" w:lastRow="0" w:firstColumn="0" w:lastColumn="0" w:oddVBand="0" w:evenVBand="0" w:oddHBand="0" w:evenHBand="0" w:firstRowFirstColumn="0" w:firstRowLastColumn="0" w:lastRowFirstColumn="0" w:lastRowLastColumn="0"/>
              <w:rPr>
                <w:rFonts w:cs="Arial"/>
              </w:rPr>
            </w:pPr>
            <w:r w:rsidRPr="003252C6">
              <w:rPr>
                <w:rFonts w:cs="Arial"/>
              </w:rPr>
              <w:t>11%</w:t>
            </w:r>
          </w:p>
        </w:tc>
      </w:tr>
      <w:tr w:rsidR="004E76D5" w:rsidRPr="00332CC0" w:rsidTr="0012092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890" w:type="dxa"/>
          </w:tcPr>
          <w:p w:rsidR="004E76D5" w:rsidRPr="003252C6" w:rsidRDefault="004E76D5" w:rsidP="0012092E">
            <w:pPr>
              <w:rPr>
                <w:rFonts w:cs="Arial"/>
              </w:rPr>
            </w:pPr>
            <w:r w:rsidRPr="003252C6">
              <w:rPr>
                <w:rFonts w:cs="Arial"/>
              </w:rPr>
              <w:t>Sick leave</w:t>
            </w:r>
          </w:p>
        </w:tc>
        <w:tc>
          <w:tcPr>
            <w:tcW w:w="2090" w:type="dxa"/>
          </w:tcPr>
          <w:p w:rsidR="004E76D5" w:rsidRPr="003252C6" w:rsidRDefault="004E76D5" w:rsidP="0012092E">
            <w:pPr>
              <w:jc w:val="center"/>
              <w:cnfStyle w:val="000000100000" w:firstRow="0" w:lastRow="0" w:firstColumn="0" w:lastColumn="0" w:oddVBand="0" w:evenVBand="0" w:oddHBand="1" w:evenHBand="0" w:firstRowFirstColumn="0" w:firstRowLastColumn="0" w:lastRowFirstColumn="0" w:lastRowLastColumn="0"/>
              <w:rPr>
                <w:rFonts w:cs="Arial"/>
              </w:rPr>
            </w:pPr>
            <w:r w:rsidRPr="003252C6">
              <w:rPr>
                <w:rFonts w:cs="Arial"/>
              </w:rPr>
              <w:t>30</w:t>
            </w:r>
          </w:p>
        </w:tc>
        <w:tc>
          <w:tcPr>
            <w:tcW w:w="2090" w:type="dxa"/>
          </w:tcPr>
          <w:p w:rsidR="004E76D5" w:rsidRPr="00332CC0" w:rsidRDefault="004E76D5" w:rsidP="0012092E">
            <w:pPr>
              <w:jc w:val="center"/>
              <w:cnfStyle w:val="000000100000" w:firstRow="0" w:lastRow="0" w:firstColumn="0" w:lastColumn="0" w:oddVBand="0" w:evenVBand="0" w:oddHBand="1" w:evenHBand="0" w:firstRowFirstColumn="0" w:firstRowLastColumn="0" w:lastRowFirstColumn="0" w:lastRowLastColumn="0"/>
              <w:rPr>
                <w:rFonts w:cs="Arial"/>
              </w:rPr>
            </w:pPr>
            <w:r w:rsidRPr="003252C6">
              <w:rPr>
                <w:rFonts w:cs="Arial"/>
              </w:rPr>
              <w:t>5%</w:t>
            </w:r>
          </w:p>
        </w:tc>
      </w:tr>
    </w:tbl>
    <w:p w:rsidR="00554171" w:rsidRPr="00332CC0" w:rsidRDefault="00554171" w:rsidP="00554171">
      <w:pPr>
        <w:rPr>
          <w:b/>
          <w:color w:val="00B0F0"/>
          <w:sz w:val="32"/>
          <w:szCs w:val="32"/>
        </w:rPr>
      </w:pPr>
      <w:r w:rsidRPr="00332CC0">
        <w:rPr>
          <w:b/>
          <w:color w:val="00B0F0"/>
          <w:sz w:val="32"/>
          <w:szCs w:val="32"/>
        </w:rPr>
        <w:lastRenderedPageBreak/>
        <w:t>Regions</w:t>
      </w:r>
    </w:p>
    <w:p w:rsidR="00554171" w:rsidRPr="00332CC0" w:rsidRDefault="00554171" w:rsidP="00554171">
      <w:pPr>
        <w:jc w:val="both"/>
        <w:rPr>
          <w:rFonts w:cs="Arial"/>
          <w:sz w:val="22"/>
        </w:rPr>
      </w:pPr>
      <w:r w:rsidRPr="00332CC0">
        <w:rPr>
          <w:rFonts w:cs="Arial"/>
          <w:sz w:val="22"/>
        </w:rPr>
        <w:t>Up-to-date labour market information is critical to monitoring current and historic trends in regional economies, projecting future trends, assessing the impacts of developments on regional economies and developing regional strategies. It is also important for quantitative analysis of social conditions and living standards of particular groups and communities, research into income distribution and interactions with other aspects of social policy.</w:t>
      </w:r>
    </w:p>
    <w:p w:rsidR="00554171" w:rsidRPr="00332CC0" w:rsidRDefault="00554171" w:rsidP="00554171">
      <w:pPr>
        <w:jc w:val="both"/>
        <w:rPr>
          <w:rFonts w:cs="Arial"/>
          <w:sz w:val="22"/>
        </w:rPr>
      </w:pPr>
    </w:p>
    <w:p w:rsidR="00554171" w:rsidRPr="00332CC0" w:rsidRDefault="00554171" w:rsidP="00554171">
      <w:pPr>
        <w:jc w:val="both"/>
        <w:rPr>
          <w:rFonts w:cs="Arial"/>
          <w:sz w:val="22"/>
        </w:rPr>
      </w:pPr>
      <w:r w:rsidRPr="00332CC0">
        <w:rPr>
          <w:rFonts w:cs="Arial"/>
          <w:sz w:val="22"/>
        </w:rPr>
        <w:t xml:space="preserve">Participants the Commission met with as part of the </w:t>
      </w:r>
      <w:r w:rsidRPr="00332CC0">
        <w:rPr>
          <w:rFonts w:cs="Arial"/>
          <w:i/>
          <w:sz w:val="22"/>
        </w:rPr>
        <w:t>National Conversation about Work</w:t>
      </w:r>
      <w:r w:rsidRPr="00332CC0">
        <w:rPr>
          <w:rFonts w:cs="Arial"/>
          <w:sz w:val="22"/>
        </w:rPr>
        <w:t xml:space="preserve"> said the provision of adequate labour market information for local employment and economic planning purposes was more limited since the Department of Labour ceased providing dedicated labour information staff in the regions.  The Commission raised the issue with Economic Development Agencies New Zealand (EDANZ) who agree labour market information is an issue for some regions but not all.  </w:t>
      </w:r>
    </w:p>
    <w:p w:rsidR="00554171" w:rsidRPr="00332CC0" w:rsidRDefault="00554171" w:rsidP="00554171">
      <w:pPr>
        <w:rPr>
          <w:sz w:val="22"/>
          <w:szCs w:val="22"/>
        </w:rPr>
      </w:pPr>
    </w:p>
    <w:p w:rsidR="00554171" w:rsidRPr="00332CC0" w:rsidRDefault="00C230D7" w:rsidP="00554171">
      <w:pPr>
        <w:jc w:val="both"/>
        <w:rPr>
          <w:sz w:val="22"/>
          <w:szCs w:val="22"/>
        </w:rPr>
      </w:pPr>
      <w:r w:rsidRPr="003252C6">
        <w:rPr>
          <w:sz w:val="22"/>
          <w:szCs w:val="22"/>
        </w:rPr>
        <w:t>Tables 6 to 13</w:t>
      </w:r>
      <w:r w:rsidR="00554171" w:rsidRPr="003252C6">
        <w:rPr>
          <w:sz w:val="22"/>
          <w:szCs w:val="22"/>
        </w:rPr>
        <w:t xml:space="preserve"> compare</w:t>
      </w:r>
      <w:r w:rsidR="00554171" w:rsidRPr="00332CC0">
        <w:rPr>
          <w:sz w:val="22"/>
          <w:szCs w:val="22"/>
        </w:rPr>
        <w:t xml:space="preserve"> labour market participation rates and unemployment rates across regions.</w:t>
      </w:r>
      <w:r w:rsidR="00554171" w:rsidRPr="00332CC0">
        <w:rPr>
          <w:rStyle w:val="FootnoteReference"/>
          <w:sz w:val="22"/>
          <w:szCs w:val="22"/>
        </w:rPr>
        <w:footnoteReference w:id="21"/>
      </w:r>
      <w:r w:rsidR="00554171" w:rsidRPr="00332CC0">
        <w:rPr>
          <w:sz w:val="22"/>
          <w:szCs w:val="22"/>
        </w:rPr>
        <w:t xml:space="preserve"> There are limited regional differences in participation and unemployment rates for Europeans. There appear to be lower participation rates for Māori in Auckland and Waikato than in Wellington and Canterbury, and a lower participation rate for Pacific peoples in Auckland and Canterbury than in other regions.  Unemployment rates for Māori and Pacific peoples are higher across all regions than for Europeans. </w:t>
      </w:r>
    </w:p>
    <w:p w:rsidR="00554171" w:rsidRPr="00332CC0" w:rsidRDefault="00554171" w:rsidP="00554171">
      <w:pPr>
        <w:jc w:val="both"/>
        <w:rPr>
          <w:sz w:val="22"/>
          <w:szCs w:val="22"/>
        </w:rPr>
      </w:pPr>
    </w:p>
    <w:p w:rsidR="00554171" w:rsidRPr="00332CC0" w:rsidRDefault="00554171" w:rsidP="00554171">
      <w:pPr>
        <w:jc w:val="both"/>
        <w:rPr>
          <w:sz w:val="22"/>
          <w:szCs w:val="22"/>
        </w:rPr>
      </w:pPr>
      <w:r w:rsidRPr="00332CC0">
        <w:rPr>
          <w:sz w:val="22"/>
          <w:szCs w:val="22"/>
        </w:rPr>
        <w:t>The population in the Auckland region is considerably larger than any other region and accounts for 31% of the national working age population (15 years and older). The Auckland region is home to 71% of all working age Pacific peoples. One third of all Māori of working age live in Auckland and the only region that has a higher number of Māori is the rest of the North Island, that is, all of the North Island except Auckland, Waikato and the Wellington region.</w:t>
      </w:r>
    </w:p>
    <w:p w:rsidR="00554171" w:rsidRPr="00332CC0" w:rsidRDefault="00554171" w:rsidP="00554171">
      <w:pPr>
        <w:jc w:val="both"/>
        <w:rPr>
          <w:sz w:val="22"/>
          <w:szCs w:val="22"/>
        </w:rPr>
      </w:pPr>
    </w:p>
    <w:p w:rsidR="00554171" w:rsidRPr="00332CC0" w:rsidRDefault="00554171" w:rsidP="00554171">
      <w:pPr>
        <w:jc w:val="both"/>
        <w:rPr>
          <w:sz w:val="22"/>
          <w:szCs w:val="22"/>
        </w:rPr>
      </w:pPr>
      <w:r w:rsidRPr="00332CC0">
        <w:rPr>
          <w:sz w:val="22"/>
          <w:szCs w:val="22"/>
        </w:rPr>
        <w:t xml:space="preserve">The percentage of youth labour force participation is the lowest in Auckland of all regions and for all ethnicities, although the difference for European youth compared to other regions is slight. Auckland has the highest unemployment rate for both youth (19.4%) and across all age groups at 7.8%.   In the North Island the unemployment rate for Māori and Pacific youth is of particular concern. </w:t>
      </w:r>
    </w:p>
    <w:p w:rsidR="00554171" w:rsidRPr="00332CC0" w:rsidRDefault="00554171" w:rsidP="00554171">
      <w:pPr>
        <w:jc w:val="both"/>
        <w:rPr>
          <w:sz w:val="22"/>
          <w:szCs w:val="22"/>
        </w:rPr>
      </w:pPr>
    </w:p>
    <w:p w:rsidR="00554171" w:rsidRPr="00332CC0" w:rsidRDefault="00554171" w:rsidP="00554171">
      <w:pPr>
        <w:jc w:val="both"/>
        <w:rPr>
          <w:sz w:val="22"/>
          <w:szCs w:val="22"/>
        </w:rPr>
      </w:pPr>
      <w:r w:rsidRPr="00332CC0">
        <w:rPr>
          <w:sz w:val="22"/>
          <w:szCs w:val="22"/>
        </w:rPr>
        <w:t xml:space="preserve">The figures for 25–44 year olds across all regions show much higher participation in the labour force and much lower rates of unemployment across all regions and all ethnic groups. Differences between ethnic groups appear to be stronger than regional differences. </w:t>
      </w:r>
    </w:p>
    <w:p w:rsidR="00554171" w:rsidRPr="00332CC0" w:rsidRDefault="00554171" w:rsidP="00554171">
      <w:pPr>
        <w:jc w:val="both"/>
      </w:pPr>
    </w:p>
    <w:p w:rsidR="00554171" w:rsidRPr="00332CC0" w:rsidRDefault="00554171" w:rsidP="00554171">
      <w:pPr>
        <w:jc w:val="both"/>
        <w:rPr>
          <w:sz w:val="22"/>
          <w:szCs w:val="22"/>
        </w:rPr>
      </w:pPr>
      <w:r w:rsidRPr="00332CC0">
        <w:rPr>
          <w:sz w:val="22"/>
          <w:szCs w:val="22"/>
        </w:rPr>
        <w:t>Both participation rates and unemployment rates reduce across the country as older people exit the labour market. Numbers are too small to observe regional differences in unemployment or participation rates.</w:t>
      </w:r>
      <w:r w:rsidRPr="00332CC0">
        <w:rPr>
          <w:rStyle w:val="FootnoteReference"/>
          <w:sz w:val="22"/>
          <w:szCs w:val="22"/>
        </w:rPr>
        <w:footnoteReference w:id="22"/>
      </w:r>
      <w:r w:rsidRPr="00332CC0">
        <w:rPr>
          <w:sz w:val="22"/>
          <w:szCs w:val="22"/>
        </w:rPr>
        <w:t xml:space="preserve"> Ethnic differences in labour market participation in Auckland, Waikato and Canterbury warrant further exploration. The Canterbury labour market will have changed considerably in the next quarter.  </w:t>
      </w:r>
    </w:p>
    <w:p w:rsidR="00554171" w:rsidRPr="00332CC0" w:rsidRDefault="00554171" w:rsidP="00554171"/>
    <w:p w:rsidR="00554171" w:rsidRPr="00332CC0" w:rsidRDefault="00554171" w:rsidP="00554171"/>
    <w:p w:rsidR="00554171" w:rsidRPr="00332CC0" w:rsidRDefault="00554171" w:rsidP="00554171"/>
    <w:p w:rsidR="00554171" w:rsidRPr="00332CC0" w:rsidRDefault="00554171" w:rsidP="00554171"/>
    <w:p w:rsidR="00554171" w:rsidRPr="00332CC0" w:rsidRDefault="00554171" w:rsidP="00554171"/>
    <w:p w:rsidR="00554171" w:rsidRPr="00332CC0" w:rsidRDefault="00554171" w:rsidP="003252C6">
      <w:pPr>
        <w:rPr>
          <w:b/>
          <w:sz w:val="28"/>
          <w:szCs w:val="28"/>
        </w:rPr>
      </w:pPr>
      <w:r w:rsidRPr="00332CC0">
        <w:rPr>
          <w:b/>
          <w:sz w:val="28"/>
          <w:szCs w:val="28"/>
        </w:rPr>
        <w:lastRenderedPageBreak/>
        <w:t xml:space="preserve">Table </w:t>
      </w:r>
      <w:r w:rsidR="00997B54">
        <w:rPr>
          <w:b/>
          <w:sz w:val="28"/>
          <w:szCs w:val="28"/>
        </w:rPr>
        <w:t>6</w:t>
      </w:r>
      <w:r w:rsidRPr="00332CC0">
        <w:rPr>
          <w:b/>
          <w:sz w:val="28"/>
          <w:szCs w:val="28"/>
        </w:rPr>
        <w:t>:  Participation rate: Under 25 yrs by ethnicity</w:t>
      </w:r>
    </w:p>
    <w:p w:rsidR="00554171" w:rsidRPr="00332CC0" w:rsidRDefault="00554171" w:rsidP="00554171"/>
    <w:tbl>
      <w:tblPr>
        <w:tblStyle w:val="MediumGrid1-Accent2"/>
        <w:tblW w:w="9403" w:type="dxa"/>
        <w:tblLook w:val="04A0" w:firstRow="1" w:lastRow="0" w:firstColumn="1" w:lastColumn="0" w:noHBand="0" w:noVBand="1"/>
      </w:tblPr>
      <w:tblGrid>
        <w:gridCol w:w="1573"/>
        <w:gridCol w:w="1524"/>
        <w:gridCol w:w="1403"/>
        <w:gridCol w:w="1465"/>
        <w:gridCol w:w="2035"/>
        <w:gridCol w:w="1403"/>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1585" w:type="dxa"/>
          </w:tcPr>
          <w:p w:rsidR="00554171" w:rsidRPr="00332CC0" w:rsidRDefault="00554171" w:rsidP="00040D3F">
            <w:pPr>
              <w:rPr>
                <w:b w:val="0"/>
              </w:rPr>
            </w:pPr>
            <w:r w:rsidRPr="00332CC0">
              <w:t>Region</w:t>
            </w:r>
          </w:p>
        </w:tc>
        <w:tc>
          <w:tcPr>
            <w:tcW w:w="1554"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European </w:t>
            </w:r>
          </w:p>
        </w:tc>
        <w:tc>
          <w:tcPr>
            <w:tcW w:w="1479"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Māori</w:t>
            </w:r>
          </w:p>
        </w:tc>
        <w:tc>
          <w:tcPr>
            <w:tcW w:w="1517"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Pacific peoples</w:t>
            </w:r>
          </w:p>
        </w:tc>
        <w:tc>
          <w:tcPr>
            <w:tcW w:w="1789"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Asian/MELAA</w:t>
            </w:r>
            <w:r w:rsidRPr="00332CC0">
              <w:rPr>
                <w:rStyle w:val="FootnoteReference"/>
              </w:rPr>
              <w:footnoteReference w:id="23"/>
            </w:r>
            <w:r w:rsidRPr="00332CC0">
              <w:t>/</w:t>
            </w:r>
          </w:p>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other </w:t>
            </w:r>
          </w:p>
        </w:tc>
        <w:tc>
          <w:tcPr>
            <w:tcW w:w="1479"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Total </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585" w:type="dxa"/>
          </w:tcPr>
          <w:p w:rsidR="00554171" w:rsidRPr="00332CC0" w:rsidRDefault="00554171" w:rsidP="00040D3F">
            <w:pPr>
              <w:rPr>
                <w:b w:val="0"/>
              </w:rPr>
            </w:pPr>
            <w:r w:rsidRPr="00332CC0">
              <w:t xml:space="preserve">Auckland </w:t>
            </w:r>
          </w:p>
        </w:tc>
        <w:tc>
          <w:tcPr>
            <w:tcW w:w="155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63.6%</w:t>
            </w:r>
          </w:p>
        </w:tc>
        <w:tc>
          <w:tcPr>
            <w:tcW w:w="147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46.6%</w:t>
            </w:r>
          </w:p>
        </w:tc>
        <w:tc>
          <w:tcPr>
            <w:tcW w:w="151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43.6%</w:t>
            </w:r>
          </w:p>
        </w:tc>
        <w:tc>
          <w:tcPr>
            <w:tcW w:w="178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49.5%</w:t>
            </w:r>
          </w:p>
        </w:tc>
        <w:tc>
          <w:tcPr>
            <w:tcW w:w="147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55.2%</w:t>
            </w:r>
          </w:p>
        </w:tc>
      </w:tr>
      <w:tr w:rsidR="00554171" w:rsidRPr="00332CC0" w:rsidTr="00040D3F">
        <w:trPr>
          <w:trHeight w:val="328"/>
        </w:trPr>
        <w:tc>
          <w:tcPr>
            <w:cnfStyle w:val="001000000000" w:firstRow="0" w:lastRow="0" w:firstColumn="1" w:lastColumn="0" w:oddVBand="0" w:evenVBand="0" w:oddHBand="0" w:evenHBand="0" w:firstRowFirstColumn="0" w:firstRowLastColumn="0" w:lastRowFirstColumn="0" w:lastRowLastColumn="0"/>
            <w:tcW w:w="1585" w:type="dxa"/>
          </w:tcPr>
          <w:p w:rsidR="00554171" w:rsidRPr="00332CC0" w:rsidRDefault="00554171" w:rsidP="00040D3F">
            <w:pPr>
              <w:rPr>
                <w:b w:val="0"/>
              </w:rPr>
            </w:pPr>
            <w:r w:rsidRPr="00332CC0">
              <w:t>Waikato</w:t>
            </w:r>
          </w:p>
        </w:tc>
        <w:tc>
          <w:tcPr>
            <w:tcW w:w="155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65.0%</w:t>
            </w:r>
          </w:p>
        </w:tc>
        <w:tc>
          <w:tcPr>
            <w:tcW w:w="147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51.9%</w:t>
            </w:r>
          </w:p>
        </w:tc>
        <w:tc>
          <w:tcPr>
            <w:tcW w:w="151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70.4%</w:t>
            </w:r>
          </w:p>
        </w:tc>
        <w:tc>
          <w:tcPr>
            <w:tcW w:w="178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60.7%</w:t>
            </w:r>
          </w:p>
        </w:tc>
        <w:tc>
          <w:tcPr>
            <w:tcW w:w="147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60.4%</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585" w:type="dxa"/>
          </w:tcPr>
          <w:p w:rsidR="00554171" w:rsidRPr="00332CC0" w:rsidRDefault="00554171" w:rsidP="00040D3F">
            <w:pPr>
              <w:rPr>
                <w:b w:val="0"/>
              </w:rPr>
            </w:pPr>
            <w:r w:rsidRPr="00332CC0">
              <w:t>Wellington</w:t>
            </w:r>
          </w:p>
        </w:tc>
        <w:tc>
          <w:tcPr>
            <w:tcW w:w="155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72.9%</w:t>
            </w:r>
          </w:p>
        </w:tc>
        <w:tc>
          <w:tcPr>
            <w:tcW w:w="147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66.4%</w:t>
            </w:r>
          </w:p>
        </w:tc>
        <w:tc>
          <w:tcPr>
            <w:tcW w:w="151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59.9%</w:t>
            </w:r>
          </w:p>
        </w:tc>
        <w:tc>
          <w:tcPr>
            <w:tcW w:w="178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72.5%</w:t>
            </w:r>
          </w:p>
        </w:tc>
        <w:tc>
          <w:tcPr>
            <w:tcW w:w="147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70.2%</w:t>
            </w:r>
          </w:p>
        </w:tc>
      </w:tr>
      <w:tr w:rsidR="00554171" w:rsidRPr="00332CC0" w:rsidTr="00040D3F">
        <w:trPr>
          <w:trHeight w:val="328"/>
        </w:trPr>
        <w:tc>
          <w:tcPr>
            <w:cnfStyle w:val="001000000000" w:firstRow="0" w:lastRow="0" w:firstColumn="1" w:lastColumn="0" w:oddVBand="0" w:evenVBand="0" w:oddHBand="0" w:evenHBand="0" w:firstRowFirstColumn="0" w:firstRowLastColumn="0" w:lastRowFirstColumn="0" w:lastRowLastColumn="0"/>
            <w:tcW w:w="1585" w:type="dxa"/>
          </w:tcPr>
          <w:p w:rsidR="00554171" w:rsidRPr="00332CC0" w:rsidRDefault="00554171" w:rsidP="00040D3F">
            <w:pPr>
              <w:rPr>
                <w:b w:val="0"/>
              </w:rPr>
            </w:pPr>
            <w:r w:rsidRPr="00332CC0">
              <w:t>Canterbury</w:t>
            </w:r>
          </w:p>
        </w:tc>
        <w:tc>
          <w:tcPr>
            <w:tcW w:w="155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72.1%</w:t>
            </w:r>
          </w:p>
        </w:tc>
        <w:tc>
          <w:tcPr>
            <w:tcW w:w="147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70.6%</w:t>
            </w:r>
          </w:p>
        </w:tc>
        <w:tc>
          <w:tcPr>
            <w:tcW w:w="151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78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52.7%</w:t>
            </w:r>
          </w:p>
        </w:tc>
        <w:tc>
          <w:tcPr>
            <w:tcW w:w="147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68.9%</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585" w:type="dxa"/>
          </w:tcPr>
          <w:p w:rsidR="00554171" w:rsidRPr="00332CC0" w:rsidRDefault="00554171" w:rsidP="00040D3F">
            <w:pPr>
              <w:rPr>
                <w:b w:val="0"/>
              </w:rPr>
            </w:pPr>
            <w:r w:rsidRPr="00332CC0">
              <w:t>Rest of North Island</w:t>
            </w:r>
          </w:p>
        </w:tc>
        <w:tc>
          <w:tcPr>
            <w:tcW w:w="155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65.1%</w:t>
            </w:r>
          </w:p>
        </w:tc>
        <w:tc>
          <w:tcPr>
            <w:tcW w:w="147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59.1%</w:t>
            </w:r>
          </w:p>
        </w:tc>
        <w:tc>
          <w:tcPr>
            <w:tcW w:w="151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66.4%</w:t>
            </w:r>
          </w:p>
        </w:tc>
        <w:tc>
          <w:tcPr>
            <w:tcW w:w="178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55.9%</w:t>
            </w:r>
          </w:p>
        </w:tc>
        <w:tc>
          <w:tcPr>
            <w:tcW w:w="147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 xml:space="preserve">62.8% </w:t>
            </w:r>
          </w:p>
        </w:tc>
      </w:tr>
      <w:tr w:rsidR="00554171" w:rsidRPr="00332CC0" w:rsidTr="00040D3F">
        <w:trPr>
          <w:trHeight w:val="656"/>
        </w:trPr>
        <w:tc>
          <w:tcPr>
            <w:cnfStyle w:val="001000000000" w:firstRow="0" w:lastRow="0" w:firstColumn="1" w:lastColumn="0" w:oddVBand="0" w:evenVBand="0" w:oddHBand="0" w:evenHBand="0" w:firstRowFirstColumn="0" w:firstRowLastColumn="0" w:lastRowFirstColumn="0" w:lastRowLastColumn="0"/>
            <w:tcW w:w="1585" w:type="dxa"/>
          </w:tcPr>
          <w:p w:rsidR="00554171" w:rsidRPr="00332CC0" w:rsidRDefault="00554171" w:rsidP="00040D3F">
            <w:pPr>
              <w:rPr>
                <w:b w:val="0"/>
              </w:rPr>
            </w:pPr>
            <w:r w:rsidRPr="00332CC0">
              <w:t>Rest of South Island</w:t>
            </w:r>
          </w:p>
        </w:tc>
        <w:tc>
          <w:tcPr>
            <w:tcW w:w="155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69.5%</w:t>
            </w:r>
          </w:p>
        </w:tc>
        <w:tc>
          <w:tcPr>
            <w:tcW w:w="147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52.7%</w:t>
            </w:r>
          </w:p>
        </w:tc>
        <w:tc>
          <w:tcPr>
            <w:tcW w:w="151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78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54.5%</w:t>
            </w:r>
          </w:p>
        </w:tc>
        <w:tc>
          <w:tcPr>
            <w:tcW w:w="147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67.7%</w:t>
            </w:r>
          </w:p>
        </w:tc>
      </w:tr>
    </w:tbl>
    <w:p w:rsidR="00554171" w:rsidRPr="00332CC0" w:rsidRDefault="00554171" w:rsidP="00554171"/>
    <w:p w:rsidR="00554171" w:rsidRPr="00332CC0" w:rsidRDefault="00554171" w:rsidP="00554171">
      <w:pPr>
        <w:rPr>
          <w:b/>
          <w:sz w:val="28"/>
          <w:szCs w:val="28"/>
        </w:rPr>
      </w:pPr>
    </w:p>
    <w:p w:rsidR="00554171" w:rsidRPr="00332CC0" w:rsidRDefault="004E76D5" w:rsidP="003252C6">
      <w:pPr>
        <w:rPr>
          <w:b/>
          <w:sz w:val="28"/>
          <w:szCs w:val="28"/>
        </w:rPr>
      </w:pPr>
      <w:r>
        <w:rPr>
          <w:b/>
          <w:sz w:val="28"/>
          <w:szCs w:val="28"/>
        </w:rPr>
        <w:t xml:space="preserve">Table </w:t>
      </w:r>
      <w:r w:rsidR="00997B54">
        <w:rPr>
          <w:b/>
          <w:sz w:val="28"/>
          <w:szCs w:val="28"/>
        </w:rPr>
        <w:t>7</w:t>
      </w:r>
      <w:r w:rsidR="00554171" w:rsidRPr="00332CC0">
        <w:rPr>
          <w:b/>
          <w:sz w:val="28"/>
          <w:szCs w:val="28"/>
        </w:rPr>
        <w:t>:  Unemployment rate: Under 25 yrs by ethnicity</w:t>
      </w:r>
    </w:p>
    <w:p w:rsidR="00554171" w:rsidRPr="00332CC0" w:rsidRDefault="00554171" w:rsidP="00554171">
      <w:pPr>
        <w:tabs>
          <w:tab w:val="left" w:pos="3400"/>
        </w:tabs>
        <w:rPr>
          <w:i/>
        </w:rPr>
      </w:pPr>
      <w:r w:rsidRPr="00332CC0">
        <w:rPr>
          <w:i/>
        </w:rPr>
        <w:t xml:space="preserve"> </w:t>
      </w:r>
      <w:r w:rsidRPr="00332CC0">
        <w:rPr>
          <w:i/>
        </w:rPr>
        <w:tab/>
      </w:r>
    </w:p>
    <w:tbl>
      <w:tblPr>
        <w:tblStyle w:val="MediumGrid1-Accent2"/>
        <w:tblW w:w="9423" w:type="dxa"/>
        <w:tblLook w:val="04A0" w:firstRow="1" w:lastRow="0" w:firstColumn="1" w:lastColumn="0" w:noHBand="0" w:noVBand="1"/>
      </w:tblPr>
      <w:tblGrid>
        <w:gridCol w:w="1586"/>
        <w:gridCol w:w="1550"/>
        <w:gridCol w:w="1462"/>
        <w:gridCol w:w="1506"/>
        <w:gridCol w:w="1857"/>
        <w:gridCol w:w="1462"/>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589" w:type="dxa"/>
          </w:tcPr>
          <w:p w:rsidR="00554171" w:rsidRPr="00332CC0" w:rsidRDefault="00554171" w:rsidP="00040D3F">
            <w:pPr>
              <w:rPr>
                <w:b w:val="0"/>
              </w:rPr>
            </w:pPr>
            <w:r w:rsidRPr="00332CC0">
              <w:t>Region</w:t>
            </w:r>
          </w:p>
        </w:tc>
        <w:tc>
          <w:tcPr>
            <w:tcW w:w="1558"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European </w:t>
            </w:r>
          </w:p>
        </w:tc>
        <w:tc>
          <w:tcPr>
            <w:tcW w:w="1482"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Māori</w:t>
            </w:r>
          </w:p>
        </w:tc>
        <w:tc>
          <w:tcPr>
            <w:tcW w:w="1519"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Pacific peoples</w:t>
            </w:r>
          </w:p>
        </w:tc>
        <w:tc>
          <w:tcPr>
            <w:tcW w:w="1793"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Asian/MELAA/</w:t>
            </w:r>
          </w:p>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other </w:t>
            </w:r>
          </w:p>
        </w:tc>
        <w:tc>
          <w:tcPr>
            <w:tcW w:w="1482"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Total </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89" w:type="dxa"/>
          </w:tcPr>
          <w:p w:rsidR="00554171" w:rsidRPr="00332CC0" w:rsidRDefault="00554171" w:rsidP="00040D3F">
            <w:pPr>
              <w:rPr>
                <w:b w:val="0"/>
              </w:rPr>
            </w:pPr>
            <w:r w:rsidRPr="00332CC0">
              <w:t xml:space="preserve">Auckland </w:t>
            </w:r>
          </w:p>
        </w:tc>
        <w:tc>
          <w:tcPr>
            <w:tcW w:w="155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16.6%</w:t>
            </w:r>
          </w:p>
        </w:tc>
        <w:tc>
          <w:tcPr>
            <w:tcW w:w="148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28.2%</w:t>
            </w:r>
          </w:p>
        </w:tc>
        <w:tc>
          <w:tcPr>
            <w:tcW w:w="151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25.9%</w:t>
            </w:r>
          </w:p>
        </w:tc>
        <w:tc>
          <w:tcPr>
            <w:tcW w:w="179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19.0%</w:t>
            </w:r>
          </w:p>
        </w:tc>
        <w:tc>
          <w:tcPr>
            <w:tcW w:w="148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19.4%</w:t>
            </w:r>
          </w:p>
        </w:tc>
      </w:tr>
      <w:tr w:rsidR="00554171" w:rsidRPr="00332CC0" w:rsidTr="00040D3F">
        <w:trPr>
          <w:trHeight w:val="314"/>
        </w:trPr>
        <w:tc>
          <w:tcPr>
            <w:cnfStyle w:val="001000000000" w:firstRow="0" w:lastRow="0" w:firstColumn="1" w:lastColumn="0" w:oddVBand="0" w:evenVBand="0" w:oddHBand="0" w:evenHBand="0" w:firstRowFirstColumn="0" w:firstRowLastColumn="0" w:lastRowFirstColumn="0" w:lastRowLastColumn="0"/>
            <w:tcW w:w="1589" w:type="dxa"/>
          </w:tcPr>
          <w:p w:rsidR="00554171" w:rsidRPr="00332CC0" w:rsidRDefault="00554171" w:rsidP="00040D3F">
            <w:pPr>
              <w:rPr>
                <w:b w:val="0"/>
              </w:rPr>
            </w:pPr>
            <w:r w:rsidRPr="00332CC0">
              <w:t>Waikato</w:t>
            </w:r>
          </w:p>
        </w:tc>
        <w:tc>
          <w:tcPr>
            <w:tcW w:w="1558"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14.2%</w:t>
            </w:r>
          </w:p>
        </w:tc>
        <w:tc>
          <w:tcPr>
            <w:tcW w:w="148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29.5%</w:t>
            </w:r>
          </w:p>
        </w:tc>
        <w:tc>
          <w:tcPr>
            <w:tcW w:w="151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79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48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17.9%</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89" w:type="dxa"/>
          </w:tcPr>
          <w:p w:rsidR="00554171" w:rsidRPr="00332CC0" w:rsidRDefault="00554171" w:rsidP="00040D3F">
            <w:pPr>
              <w:rPr>
                <w:b w:val="0"/>
              </w:rPr>
            </w:pPr>
            <w:r w:rsidRPr="00332CC0">
              <w:t>Wellington</w:t>
            </w:r>
          </w:p>
        </w:tc>
        <w:tc>
          <w:tcPr>
            <w:tcW w:w="155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12.3%</w:t>
            </w:r>
          </w:p>
        </w:tc>
        <w:tc>
          <w:tcPr>
            <w:tcW w:w="148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23.6%</w:t>
            </w:r>
          </w:p>
        </w:tc>
        <w:tc>
          <w:tcPr>
            <w:tcW w:w="151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..S</w:t>
            </w:r>
          </w:p>
        </w:tc>
        <w:tc>
          <w:tcPr>
            <w:tcW w:w="179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..S</w:t>
            </w:r>
          </w:p>
        </w:tc>
        <w:tc>
          <w:tcPr>
            <w:tcW w:w="148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14.1%</w:t>
            </w:r>
          </w:p>
        </w:tc>
      </w:tr>
      <w:tr w:rsidR="00554171" w:rsidRPr="00332CC0" w:rsidTr="00040D3F">
        <w:trPr>
          <w:trHeight w:val="314"/>
        </w:trPr>
        <w:tc>
          <w:tcPr>
            <w:cnfStyle w:val="001000000000" w:firstRow="0" w:lastRow="0" w:firstColumn="1" w:lastColumn="0" w:oddVBand="0" w:evenVBand="0" w:oddHBand="0" w:evenHBand="0" w:firstRowFirstColumn="0" w:firstRowLastColumn="0" w:lastRowFirstColumn="0" w:lastRowLastColumn="0"/>
            <w:tcW w:w="1589" w:type="dxa"/>
          </w:tcPr>
          <w:p w:rsidR="00554171" w:rsidRPr="00332CC0" w:rsidRDefault="00554171" w:rsidP="00040D3F">
            <w:pPr>
              <w:rPr>
                <w:b w:val="0"/>
              </w:rPr>
            </w:pPr>
            <w:r w:rsidRPr="00332CC0">
              <w:t>Canterbury</w:t>
            </w:r>
          </w:p>
        </w:tc>
        <w:tc>
          <w:tcPr>
            <w:tcW w:w="1558"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10.5%</w:t>
            </w:r>
          </w:p>
        </w:tc>
        <w:tc>
          <w:tcPr>
            <w:tcW w:w="148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16.5%</w:t>
            </w:r>
          </w:p>
        </w:tc>
        <w:tc>
          <w:tcPr>
            <w:tcW w:w="151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79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26.2%</w:t>
            </w:r>
          </w:p>
        </w:tc>
        <w:tc>
          <w:tcPr>
            <w:tcW w:w="148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12.4%</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1589" w:type="dxa"/>
          </w:tcPr>
          <w:p w:rsidR="00554171" w:rsidRPr="00332CC0" w:rsidRDefault="00554171" w:rsidP="00040D3F">
            <w:pPr>
              <w:rPr>
                <w:b w:val="0"/>
              </w:rPr>
            </w:pPr>
            <w:r w:rsidRPr="00332CC0">
              <w:t>Rest of North Island</w:t>
            </w:r>
          </w:p>
        </w:tc>
        <w:tc>
          <w:tcPr>
            <w:tcW w:w="155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15.0%</w:t>
            </w:r>
          </w:p>
        </w:tc>
        <w:tc>
          <w:tcPr>
            <w:tcW w:w="148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31.2%</w:t>
            </w:r>
          </w:p>
        </w:tc>
        <w:tc>
          <w:tcPr>
            <w:tcW w:w="151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41.6%</w:t>
            </w:r>
          </w:p>
        </w:tc>
        <w:tc>
          <w:tcPr>
            <w:tcW w:w="179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..S</w:t>
            </w:r>
          </w:p>
        </w:tc>
        <w:tc>
          <w:tcPr>
            <w:tcW w:w="148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19.3%</w:t>
            </w:r>
          </w:p>
        </w:tc>
      </w:tr>
      <w:tr w:rsidR="00554171" w:rsidRPr="00332CC0" w:rsidTr="00040D3F">
        <w:trPr>
          <w:trHeight w:val="628"/>
        </w:trPr>
        <w:tc>
          <w:tcPr>
            <w:cnfStyle w:val="001000000000" w:firstRow="0" w:lastRow="0" w:firstColumn="1" w:lastColumn="0" w:oddVBand="0" w:evenVBand="0" w:oddHBand="0" w:evenHBand="0" w:firstRowFirstColumn="0" w:firstRowLastColumn="0" w:lastRowFirstColumn="0" w:lastRowLastColumn="0"/>
            <w:tcW w:w="1589" w:type="dxa"/>
          </w:tcPr>
          <w:p w:rsidR="00554171" w:rsidRPr="00332CC0" w:rsidRDefault="00554171" w:rsidP="00040D3F">
            <w:pPr>
              <w:rPr>
                <w:b w:val="0"/>
              </w:rPr>
            </w:pPr>
            <w:r w:rsidRPr="00332CC0">
              <w:t>Rest of South Island</w:t>
            </w:r>
          </w:p>
        </w:tc>
        <w:tc>
          <w:tcPr>
            <w:tcW w:w="1558"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12.8%</w:t>
            </w:r>
          </w:p>
        </w:tc>
        <w:tc>
          <w:tcPr>
            <w:tcW w:w="148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51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79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48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13.6%</w:t>
            </w:r>
          </w:p>
        </w:tc>
      </w:tr>
    </w:tbl>
    <w:p w:rsidR="00554171" w:rsidRPr="00332CC0" w:rsidRDefault="00554171" w:rsidP="00554171"/>
    <w:p w:rsidR="00554171" w:rsidRPr="00332CC0" w:rsidRDefault="00554171" w:rsidP="00554171">
      <w:pPr>
        <w:rPr>
          <w:b/>
          <w:sz w:val="28"/>
          <w:szCs w:val="28"/>
        </w:rPr>
      </w:pPr>
    </w:p>
    <w:p w:rsidR="00554171" w:rsidRPr="00332CC0" w:rsidRDefault="00554171" w:rsidP="003252C6">
      <w:pPr>
        <w:rPr>
          <w:b/>
          <w:sz w:val="28"/>
          <w:szCs w:val="28"/>
        </w:rPr>
      </w:pPr>
      <w:r w:rsidRPr="00332CC0">
        <w:rPr>
          <w:b/>
          <w:sz w:val="28"/>
          <w:szCs w:val="28"/>
        </w:rPr>
        <w:t xml:space="preserve">Table </w:t>
      </w:r>
      <w:r w:rsidR="00997B54">
        <w:rPr>
          <w:b/>
          <w:sz w:val="28"/>
          <w:szCs w:val="28"/>
        </w:rPr>
        <w:t>8</w:t>
      </w:r>
      <w:r w:rsidRPr="00332CC0">
        <w:rPr>
          <w:b/>
          <w:sz w:val="28"/>
          <w:szCs w:val="28"/>
        </w:rPr>
        <w:t xml:space="preserve">:  Participation rate:  25–44 year olds by region and ethnicity </w:t>
      </w:r>
    </w:p>
    <w:p w:rsidR="00554171" w:rsidRPr="00332CC0" w:rsidRDefault="00554171" w:rsidP="00554171"/>
    <w:tbl>
      <w:tblPr>
        <w:tblStyle w:val="MediumGrid1-Accent2"/>
        <w:tblW w:w="9524" w:type="dxa"/>
        <w:tblLook w:val="04A0" w:firstRow="1" w:lastRow="0" w:firstColumn="1" w:lastColumn="0" w:noHBand="0" w:noVBand="1"/>
      </w:tblPr>
      <w:tblGrid>
        <w:gridCol w:w="1603"/>
        <w:gridCol w:w="1569"/>
        <w:gridCol w:w="1484"/>
        <w:gridCol w:w="1527"/>
        <w:gridCol w:w="1857"/>
        <w:gridCol w:w="1484"/>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606" w:type="dxa"/>
          </w:tcPr>
          <w:p w:rsidR="00554171" w:rsidRPr="00332CC0" w:rsidRDefault="00554171" w:rsidP="00040D3F">
            <w:pPr>
              <w:rPr>
                <w:b w:val="0"/>
              </w:rPr>
            </w:pPr>
            <w:r w:rsidRPr="00332CC0">
              <w:t>Region</w:t>
            </w:r>
          </w:p>
        </w:tc>
        <w:tc>
          <w:tcPr>
            <w:tcW w:w="1575"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European </w:t>
            </w:r>
          </w:p>
        </w:tc>
        <w:tc>
          <w:tcPr>
            <w:tcW w:w="1497"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Māori</w:t>
            </w:r>
          </w:p>
        </w:tc>
        <w:tc>
          <w:tcPr>
            <w:tcW w:w="1536"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Pacific peoples</w:t>
            </w:r>
          </w:p>
        </w:tc>
        <w:tc>
          <w:tcPr>
            <w:tcW w:w="1813"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Asian/MELAA/</w:t>
            </w:r>
          </w:p>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other </w:t>
            </w:r>
          </w:p>
        </w:tc>
        <w:tc>
          <w:tcPr>
            <w:tcW w:w="1497"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Total </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1606" w:type="dxa"/>
          </w:tcPr>
          <w:p w:rsidR="00554171" w:rsidRPr="00332CC0" w:rsidRDefault="00554171" w:rsidP="00040D3F">
            <w:pPr>
              <w:rPr>
                <w:b w:val="0"/>
              </w:rPr>
            </w:pPr>
            <w:r w:rsidRPr="00332CC0">
              <w:t xml:space="preserve">Auckland </w:t>
            </w:r>
          </w:p>
        </w:tc>
        <w:tc>
          <w:tcPr>
            <w:tcW w:w="157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85.7%</w:t>
            </w:r>
          </w:p>
        </w:tc>
        <w:tc>
          <w:tcPr>
            <w:tcW w:w="149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75.0%</w:t>
            </w:r>
          </w:p>
        </w:tc>
        <w:tc>
          <w:tcPr>
            <w:tcW w:w="153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73.3%</w:t>
            </w:r>
          </w:p>
        </w:tc>
        <w:tc>
          <w:tcPr>
            <w:tcW w:w="181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78.6%</w:t>
            </w:r>
          </w:p>
        </w:tc>
        <w:tc>
          <w:tcPr>
            <w:tcW w:w="149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81.1%</w:t>
            </w:r>
          </w:p>
        </w:tc>
      </w:tr>
      <w:tr w:rsidR="00554171" w:rsidRPr="00332CC0" w:rsidTr="00040D3F">
        <w:trPr>
          <w:trHeight w:val="92"/>
        </w:trPr>
        <w:tc>
          <w:tcPr>
            <w:cnfStyle w:val="001000000000" w:firstRow="0" w:lastRow="0" w:firstColumn="1" w:lastColumn="0" w:oddVBand="0" w:evenVBand="0" w:oddHBand="0" w:evenHBand="0" w:firstRowFirstColumn="0" w:firstRowLastColumn="0" w:lastRowFirstColumn="0" w:lastRowLastColumn="0"/>
            <w:tcW w:w="1606" w:type="dxa"/>
          </w:tcPr>
          <w:p w:rsidR="00554171" w:rsidRPr="00332CC0" w:rsidRDefault="00554171" w:rsidP="00040D3F">
            <w:pPr>
              <w:rPr>
                <w:b w:val="0"/>
              </w:rPr>
            </w:pPr>
            <w:r w:rsidRPr="00332CC0">
              <w:t>Waikato</w:t>
            </w:r>
          </w:p>
        </w:tc>
        <w:tc>
          <w:tcPr>
            <w:tcW w:w="1575"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83.8%</w:t>
            </w:r>
          </w:p>
        </w:tc>
        <w:tc>
          <w:tcPr>
            <w:tcW w:w="149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77.4%</w:t>
            </w:r>
          </w:p>
        </w:tc>
        <w:tc>
          <w:tcPr>
            <w:tcW w:w="153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78.6%</w:t>
            </w:r>
          </w:p>
        </w:tc>
        <w:tc>
          <w:tcPr>
            <w:tcW w:w="181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86.5%</w:t>
            </w:r>
          </w:p>
        </w:tc>
        <w:tc>
          <w:tcPr>
            <w:tcW w:w="149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83.1%</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606" w:type="dxa"/>
          </w:tcPr>
          <w:p w:rsidR="00554171" w:rsidRPr="00332CC0" w:rsidRDefault="00554171" w:rsidP="00040D3F">
            <w:pPr>
              <w:rPr>
                <w:b w:val="0"/>
              </w:rPr>
            </w:pPr>
            <w:r w:rsidRPr="00332CC0">
              <w:t>Wellington</w:t>
            </w:r>
          </w:p>
        </w:tc>
        <w:tc>
          <w:tcPr>
            <w:tcW w:w="157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88.0%</w:t>
            </w:r>
          </w:p>
        </w:tc>
        <w:tc>
          <w:tcPr>
            <w:tcW w:w="149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85.0%</w:t>
            </w:r>
          </w:p>
        </w:tc>
        <w:tc>
          <w:tcPr>
            <w:tcW w:w="153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81.9%</w:t>
            </w:r>
          </w:p>
        </w:tc>
        <w:tc>
          <w:tcPr>
            <w:tcW w:w="181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85.0%</w:t>
            </w:r>
          </w:p>
        </w:tc>
        <w:tc>
          <w:tcPr>
            <w:tcW w:w="149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87.1%</w:t>
            </w:r>
          </w:p>
        </w:tc>
      </w:tr>
      <w:tr w:rsidR="00554171" w:rsidRPr="00332CC0" w:rsidTr="00040D3F">
        <w:trPr>
          <w:trHeight w:val="92"/>
        </w:trPr>
        <w:tc>
          <w:tcPr>
            <w:cnfStyle w:val="001000000000" w:firstRow="0" w:lastRow="0" w:firstColumn="1" w:lastColumn="0" w:oddVBand="0" w:evenVBand="0" w:oddHBand="0" w:evenHBand="0" w:firstRowFirstColumn="0" w:firstRowLastColumn="0" w:lastRowFirstColumn="0" w:lastRowLastColumn="0"/>
            <w:tcW w:w="1606" w:type="dxa"/>
          </w:tcPr>
          <w:p w:rsidR="00554171" w:rsidRPr="00332CC0" w:rsidRDefault="00554171" w:rsidP="00040D3F">
            <w:pPr>
              <w:rPr>
                <w:b w:val="0"/>
              </w:rPr>
            </w:pPr>
            <w:r w:rsidRPr="00332CC0">
              <w:t>Canterbury</w:t>
            </w:r>
          </w:p>
        </w:tc>
        <w:tc>
          <w:tcPr>
            <w:tcW w:w="1575"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85.9%</w:t>
            </w:r>
          </w:p>
        </w:tc>
        <w:tc>
          <w:tcPr>
            <w:tcW w:w="149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76.9%</w:t>
            </w:r>
          </w:p>
        </w:tc>
        <w:tc>
          <w:tcPr>
            <w:tcW w:w="153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82.8%</w:t>
            </w:r>
          </w:p>
        </w:tc>
        <w:tc>
          <w:tcPr>
            <w:tcW w:w="181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80.3%</w:t>
            </w:r>
          </w:p>
        </w:tc>
        <w:tc>
          <w:tcPr>
            <w:tcW w:w="149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84.6%</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1606" w:type="dxa"/>
          </w:tcPr>
          <w:p w:rsidR="00554171" w:rsidRPr="00332CC0" w:rsidRDefault="00554171" w:rsidP="00040D3F">
            <w:pPr>
              <w:rPr>
                <w:b w:val="0"/>
              </w:rPr>
            </w:pPr>
            <w:r w:rsidRPr="00332CC0">
              <w:t>Rest of North Island</w:t>
            </w:r>
          </w:p>
        </w:tc>
        <w:tc>
          <w:tcPr>
            <w:tcW w:w="157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83.1%</w:t>
            </w:r>
          </w:p>
        </w:tc>
        <w:tc>
          <w:tcPr>
            <w:tcW w:w="149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73.2%</w:t>
            </w:r>
          </w:p>
        </w:tc>
        <w:tc>
          <w:tcPr>
            <w:tcW w:w="153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77.5%</w:t>
            </w:r>
          </w:p>
        </w:tc>
        <w:tc>
          <w:tcPr>
            <w:tcW w:w="181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85.7%</w:t>
            </w:r>
          </w:p>
        </w:tc>
        <w:tc>
          <w:tcPr>
            <w:tcW w:w="149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81.3%</w:t>
            </w:r>
          </w:p>
        </w:tc>
      </w:tr>
      <w:tr w:rsidR="00554171" w:rsidRPr="00332CC0" w:rsidTr="00040D3F">
        <w:trPr>
          <w:trHeight w:val="179"/>
        </w:trPr>
        <w:tc>
          <w:tcPr>
            <w:cnfStyle w:val="001000000000" w:firstRow="0" w:lastRow="0" w:firstColumn="1" w:lastColumn="0" w:oddVBand="0" w:evenVBand="0" w:oddHBand="0" w:evenHBand="0" w:firstRowFirstColumn="0" w:firstRowLastColumn="0" w:lastRowFirstColumn="0" w:lastRowLastColumn="0"/>
            <w:tcW w:w="1606" w:type="dxa"/>
          </w:tcPr>
          <w:p w:rsidR="00554171" w:rsidRPr="00332CC0" w:rsidRDefault="00554171" w:rsidP="00040D3F">
            <w:pPr>
              <w:rPr>
                <w:b w:val="0"/>
              </w:rPr>
            </w:pPr>
            <w:r w:rsidRPr="00332CC0">
              <w:t>Rest of South Island</w:t>
            </w:r>
          </w:p>
        </w:tc>
        <w:tc>
          <w:tcPr>
            <w:tcW w:w="1575"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84.8%</w:t>
            </w:r>
          </w:p>
        </w:tc>
        <w:tc>
          <w:tcPr>
            <w:tcW w:w="149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76.0%</w:t>
            </w:r>
          </w:p>
        </w:tc>
        <w:tc>
          <w:tcPr>
            <w:tcW w:w="153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86.9%</w:t>
            </w:r>
          </w:p>
        </w:tc>
        <w:tc>
          <w:tcPr>
            <w:tcW w:w="181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86.1%</w:t>
            </w:r>
          </w:p>
        </w:tc>
        <w:tc>
          <w:tcPr>
            <w:tcW w:w="149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84.9%</w:t>
            </w:r>
          </w:p>
        </w:tc>
      </w:tr>
    </w:tbl>
    <w:p w:rsidR="00554171" w:rsidRPr="00332CC0" w:rsidRDefault="00554171" w:rsidP="00554171"/>
    <w:p w:rsidR="00554171" w:rsidRPr="00332CC0" w:rsidRDefault="00554171" w:rsidP="00554171"/>
    <w:p w:rsidR="00554171" w:rsidRPr="00332CC0" w:rsidRDefault="00554171" w:rsidP="00554171"/>
    <w:p w:rsidR="00554171" w:rsidRPr="00332CC0" w:rsidRDefault="004E76D5" w:rsidP="003252C6">
      <w:pPr>
        <w:rPr>
          <w:b/>
          <w:sz w:val="28"/>
          <w:szCs w:val="28"/>
        </w:rPr>
      </w:pPr>
      <w:r>
        <w:rPr>
          <w:b/>
          <w:sz w:val="28"/>
          <w:szCs w:val="28"/>
        </w:rPr>
        <w:t xml:space="preserve">Table </w:t>
      </w:r>
      <w:r w:rsidR="00997B54">
        <w:rPr>
          <w:b/>
          <w:sz w:val="28"/>
          <w:szCs w:val="28"/>
        </w:rPr>
        <w:t>9</w:t>
      </w:r>
      <w:r w:rsidR="00554171" w:rsidRPr="00332CC0">
        <w:rPr>
          <w:b/>
          <w:sz w:val="28"/>
          <w:szCs w:val="28"/>
        </w:rPr>
        <w:t xml:space="preserve">:  Unemployment rate: 25–44 year olds by region and ethnicity </w:t>
      </w:r>
    </w:p>
    <w:p w:rsidR="00554171" w:rsidRPr="00332CC0" w:rsidRDefault="00554171" w:rsidP="00554171"/>
    <w:tbl>
      <w:tblPr>
        <w:tblStyle w:val="MediumGrid1-Accent2"/>
        <w:tblW w:w="9362" w:type="dxa"/>
        <w:tblLook w:val="04A0" w:firstRow="1" w:lastRow="0" w:firstColumn="1" w:lastColumn="0" w:noHBand="0" w:noVBand="1"/>
      </w:tblPr>
      <w:tblGrid>
        <w:gridCol w:w="1577"/>
        <w:gridCol w:w="1540"/>
        <w:gridCol w:w="1453"/>
        <w:gridCol w:w="1497"/>
        <w:gridCol w:w="1857"/>
        <w:gridCol w:w="1438"/>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580" w:type="dxa"/>
          </w:tcPr>
          <w:p w:rsidR="00554171" w:rsidRPr="00332CC0" w:rsidRDefault="00554171" w:rsidP="00040D3F">
            <w:pPr>
              <w:rPr>
                <w:b w:val="0"/>
              </w:rPr>
            </w:pPr>
            <w:r w:rsidRPr="00332CC0">
              <w:t>Region</w:t>
            </w:r>
          </w:p>
        </w:tc>
        <w:tc>
          <w:tcPr>
            <w:tcW w:w="1549"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European </w:t>
            </w:r>
          </w:p>
        </w:tc>
        <w:tc>
          <w:tcPr>
            <w:tcW w:w="1476"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Māori</w:t>
            </w:r>
          </w:p>
        </w:tc>
        <w:tc>
          <w:tcPr>
            <w:tcW w:w="1512"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Pacific peoples</w:t>
            </w:r>
          </w:p>
        </w:tc>
        <w:tc>
          <w:tcPr>
            <w:tcW w:w="1781"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Asian/MELAA/</w:t>
            </w:r>
          </w:p>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other </w:t>
            </w:r>
          </w:p>
        </w:tc>
        <w:tc>
          <w:tcPr>
            <w:tcW w:w="1464"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Total </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80" w:type="dxa"/>
          </w:tcPr>
          <w:p w:rsidR="00554171" w:rsidRPr="00332CC0" w:rsidRDefault="00554171" w:rsidP="00040D3F">
            <w:pPr>
              <w:rPr>
                <w:b w:val="0"/>
              </w:rPr>
            </w:pPr>
            <w:r w:rsidRPr="00332CC0">
              <w:t xml:space="preserve">Auckland </w:t>
            </w:r>
          </w:p>
        </w:tc>
        <w:tc>
          <w:tcPr>
            <w:tcW w:w="154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4.2%</w:t>
            </w:r>
          </w:p>
        </w:tc>
        <w:tc>
          <w:tcPr>
            <w:tcW w:w="147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8.0%</w:t>
            </w:r>
          </w:p>
        </w:tc>
        <w:tc>
          <w:tcPr>
            <w:tcW w:w="151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8.6%</w:t>
            </w:r>
          </w:p>
        </w:tc>
        <w:tc>
          <w:tcPr>
            <w:tcW w:w="178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9.2%</w:t>
            </w:r>
          </w:p>
        </w:tc>
        <w:tc>
          <w:tcPr>
            <w:tcW w:w="146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6.4%</w:t>
            </w:r>
          </w:p>
        </w:tc>
      </w:tr>
      <w:tr w:rsidR="00554171" w:rsidRPr="00332CC0" w:rsidTr="00040D3F">
        <w:trPr>
          <w:trHeight w:val="292"/>
        </w:trPr>
        <w:tc>
          <w:tcPr>
            <w:cnfStyle w:val="001000000000" w:firstRow="0" w:lastRow="0" w:firstColumn="1" w:lastColumn="0" w:oddVBand="0" w:evenVBand="0" w:oddHBand="0" w:evenHBand="0" w:firstRowFirstColumn="0" w:firstRowLastColumn="0" w:lastRowFirstColumn="0" w:lastRowLastColumn="0"/>
            <w:tcW w:w="1580" w:type="dxa"/>
          </w:tcPr>
          <w:p w:rsidR="00554171" w:rsidRPr="00332CC0" w:rsidRDefault="00554171" w:rsidP="00040D3F">
            <w:pPr>
              <w:rPr>
                <w:b w:val="0"/>
              </w:rPr>
            </w:pPr>
            <w:r w:rsidRPr="00332CC0">
              <w:t>Waikato</w:t>
            </w:r>
          </w:p>
        </w:tc>
        <w:tc>
          <w:tcPr>
            <w:tcW w:w="154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3.5%</w:t>
            </w:r>
          </w:p>
        </w:tc>
        <w:tc>
          <w:tcPr>
            <w:tcW w:w="147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11.9%</w:t>
            </w:r>
          </w:p>
        </w:tc>
        <w:tc>
          <w:tcPr>
            <w:tcW w:w="151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78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46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5.2%</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580" w:type="dxa"/>
          </w:tcPr>
          <w:p w:rsidR="00554171" w:rsidRPr="00332CC0" w:rsidRDefault="00554171" w:rsidP="00040D3F">
            <w:pPr>
              <w:rPr>
                <w:b w:val="0"/>
              </w:rPr>
            </w:pPr>
            <w:r w:rsidRPr="00332CC0">
              <w:t>Wellington</w:t>
            </w:r>
          </w:p>
        </w:tc>
        <w:tc>
          <w:tcPr>
            <w:tcW w:w="154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2.3%</w:t>
            </w:r>
          </w:p>
        </w:tc>
        <w:tc>
          <w:tcPr>
            <w:tcW w:w="147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9.5%</w:t>
            </w:r>
          </w:p>
        </w:tc>
        <w:tc>
          <w:tcPr>
            <w:tcW w:w="151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16.3%</w:t>
            </w:r>
          </w:p>
        </w:tc>
        <w:tc>
          <w:tcPr>
            <w:tcW w:w="178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..S</w:t>
            </w:r>
          </w:p>
        </w:tc>
        <w:tc>
          <w:tcPr>
            <w:tcW w:w="146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3.9%</w:t>
            </w:r>
          </w:p>
        </w:tc>
      </w:tr>
      <w:tr w:rsidR="00554171" w:rsidRPr="00332CC0" w:rsidTr="00040D3F">
        <w:trPr>
          <w:trHeight w:val="316"/>
        </w:trPr>
        <w:tc>
          <w:tcPr>
            <w:cnfStyle w:val="001000000000" w:firstRow="0" w:lastRow="0" w:firstColumn="1" w:lastColumn="0" w:oddVBand="0" w:evenVBand="0" w:oddHBand="0" w:evenHBand="0" w:firstRowFirstColumn="0" w:firstRowLastColumn="0" w:lastRowFirstColumn="0" w:lastRowLastColumn="0"/>
            <w:tcW w:w="1580" w:type="dxa"/>
          </w:tcPr>
          <w:p w:rsidR="00554171" w:rsidRPr="00332CC0" w:rsidRDefault="00554171" w:rsidP="00040D3F">
            <w:pPr>
              <w:rPr>
                <w:b w:val="0"/>
              </w:rPr>
            </w:pPr>
            <w:r w:rsidRPr="00332CC0">
              <w:t>Canterbury</w:t>
            </w:r>
          </w:p>
        </w:tc>
        <w:tc>
          <w:tcPr>
            <w:tcW w:w="154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5.7%</w:t>
            </w:r>
          </w:p>
        </w:tc>
        <w:tc>
          <w:tcPr>
            <w:tcW w:w="147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51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78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9.5%</w:t>
            </w:r>
          </w:p>
        </w:tc>
        <w:tc>
          <w:tcPr>
            <w:tcW w:w="146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6.0%</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1580" w:type="dxa"/>
          </w:tcPr>
          <w:p w:rsidR="00554171" w:rsidRPr="00332CC0" w:rsidRDefault="00554171" w:rsidP="00040D3F">
            <w:pPr>
              <w:rPr>
                <w:b w:val="0"/>
              </w:rPr>
            </w:pPr>
            <w:r w:rsidRPr="00332CC0">
              <w:t>Rest of North Island</w:t>
            </w:r>
          </w:p>
        </w:tc>
        <w:tc>
          <w:tcPr>
            <w:tcW w:w="154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4.1%</w:t>
            </w:r>
          </w:p>
        </w:tc>
        <w:tc>
          <w:tcPr>
            <w:tcW w:w="147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11.4%</w:t>
            </w:r>
          </w:p>
        </w:tc>
        <w:tc>
          <w:tcPr>
            <w:tcW w:w="151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..S</w:t>
            </w:r>
          </w:p>
        </w:tc>
        <w:tc>
          <w:tcPr>
            <w:tcW w:w="178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..S</w:t>
            </w:r>
          </w:p>
        </w:tc>
        <w:tc>
          <w:tcPr>
            <w:tcW w:w="146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5.6%</w:t>
            </w:r>
          </w:p>
        </w:tc>
      </w:tr>
      <w:tr w:rsidR="00554171" w:rsidRPr="00332CC0" w:rsidTr="00040D3F">
        <w:trPr>
          <w:trHeight w:val="632"/>
        </w:trPr>
        <w:tc>
          <w:tcPr>
            <w:cnfStyle w:val="001000000000" w:firstRow="0" w:lastRow="0" w:firstColumn="1" w:lastColumn="0" w:oddVBand="0" w:evenVBand="0" w:oddHBand="0" w:evenHBand="0" w:firstRowFirstColumn="0" w:firstRowLastColumn="0" w:lastRowFirstColumn="0" w:lastRowLastColumn="0"/>
            <w:tcW w:w="1580" w:type="dxa"/>
          </w:tcPr>
          <w:p w:rsidR="00554171" w:rsidRPr="00332CC0" w:rsidRDefault="00554171" w:rsidP="00040D3F">
            <w:pPr>
              <w:rPr>
                <w:b w:val="0"/>
              </w:rPr>
            </w:pPr>
            <w:r w:rsidRPr="00332CC0">
              <w:t>Rest of South Island</w:t>
            </w:r>
          </w:p>
        </w:tc>
        <w:tc>
          <w:tcPr>
            <w:tcW w:w="154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3.9%</w:t>
            </w:r>
          </w:p>
        </w:tc>
        <w:tc>
          <w:tcPr>
            <w:tcW w:w="147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51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78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46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3.9%</w:t>
            </w:r>
          </w:p>
        </w:tc>
      </w:tr>
    </w:tbl>
    <w:p w:rsidR="00554171" w:rsidRPr="00332CC0" w:rsidRDefault="00554171" w:rsidP="00554171"/>
    <w:p w:rsidR="00554171" w:rsidRPr="00332CC0" w:rsidRDefault="00554171" w:rsidP="00554171">
      <w:pPr>
        <w:rPr>
          <w:b/>
          <w:sz w:val="28"/>
          <w:szCs w:val="28"/>
        </w:rPr>
      </w:pPr>
    </w:p>
    <w:p w:rsidR="00554171" w:rsidRPr="00332CC0" w:rsidRDefault="004E76D5" w:rsidP="003252C6">
      <w:pPr>
        <w:rPr>
          <w:b/>
          <w:sz w:val="28"/>
          <w:szCs w:val="28"/>
        </w:rPr>
      </w:pPr>
      <w:r>
        <w:rPr>
          <w:b/>
          <w:sz w:val="28"/>
          <w:szCs w:val="28"/>
        </w:rPr>
        <w:t xml:space="preserve">Table </w:t>
      </w:r>
      <w:r w:rsidR="00997B54">
        <w:rPr>
          <w:b/>
          <w:sz w:val="28"/>
          <w:szCs w:val="28"/>
        </w:rPr>
        <w:t>10</w:t>
      </w:r>
      <w:r w:rsidR="00554171" w:rsidRPr="00332CC0">
        <w:rPr>
          <w:b/>
          <w:sz w:val="28"/>
          <w:szCs w:val="28"/>
        </w:rPr>
        <w:t xml:space="preserve">:  Participation rate:  45 and over by region and ethnicity </w:t>
      </w:r>
    </w:p>
    <w:p w:rsidR="00554171" w:rsidRPr="00332CC0" w:rsidRDefault="00554171" w:rsidP="00554171">
      <w:pPr>
        <w:rPr>
          <w:u w:val="single"/>
        </w:rPr>
      </w:pPr>
      <w:r w:rsidRPr="00332CC0">
        <w:rPr>
          <w:u w:val="single"/>
        </w:rPr>
        <w:t xml:space="preserve"> </w:t>
      </w:r>
    </w:p>
    <w:tbl>
      <w:tblPr>
        <w:tblStyle w:val="MediumGrid1-Accent2"/>
        <w:tblW w:w="9301" w:type="dxa"/>
        <w:tblLook w:val="04A0" w:firstRow="1" w:lastRow="0" w:firstColumn="1" w:lastColumn="0" w:noHBand="0" w:noVBand="1"/>
      </w:tblPr>
      <w:tblGrid>
        <w:gridCol w:w="1565"/>
        <w:gridCol w:w="1527"/>
        <w:gridCol w:w="1435"/>
        <w:gridCol w:w="1482"/>
        <w:gridCol w:w="1857"/>
        <w:gridCol w:w="1435"/>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568" w:type="dxa"/>
          </w:tcPr>
          <w:p w:rsidR="00554171" w:rsidRPr="00332CC0" w:rsidRDefault="00554171" w:rsidP="00040D3F">
            <w:pPr>
              <w:rPr>
                <w:b w:val="0"/>
              </w:rPr>
            </w:pPr>
            <w:r w:rsidRPr="00332CC0">
              <w:t>Region</w:t>
            </w:r>
          </w:p>
        </w:tc>
        <w:tc>
          <w:tcPr>
            <w:tcW w:w="1537"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European </w:t>
            </w:r>
          </w:p>
        </w:tc>
        <w:tc>
          <w:tcPr>
            <w:tcW w:w="1463"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Māori</w:t>
            </w:r>
          </w:p>
        </w:tc>
        <w:tc>
          <w:tcPr>
            <w:tcW w:w="1501"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Pacific peoples</w:t>
            </w:r>
          </w:p>
        </w:tc>
        <w:tc>
          <w:tcPr>
            <w:tcW w:w="1769"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Asian/MELAA/</w:t>
            </w:r>
          </w:p>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other </w:t>
            </w:r>
          </w:p>
        </w:tc>
        <w:tc>
          <w:tcPr>
            <w:tcW w:w="1463"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Total </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68" w:type="dxa"/>
          </w:tcPr>
          <w:p w:rsidR="00554171" w:rsidRPr="00332CC0" w:rsidRDefault="00554171" w:rsidP="00040D3F">
            <w:pPr>
              <w:rPr>
                <w:b w:val="0"/>
              </w:rPr>
            </w:pPr>
            <w:r w:rsidRPr="00332CC0">
              <w:t xml:space="preserve">Auckland </w:t>
            </w:r>
          </w:p>
        </w:tc>
        <w:tc>
          <w:tcPr>
            <w:tcW w:w="153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63.2%</w:t>
            </w:r>
          </w:p>
        </w:tc>
        <w:tc>
          <w:tcPr>
            <w:tcW w:w="146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70.3%</w:t>
            </w:r>
          </w:p>
        </w:tc>
        <w:tc>
          <w:tcPr>
            <w:tcW w:w="150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54.0%</w:t>
            </w:r>
          </w:p>
        </w:tc>
        <w:tc>
          <w:tcPr>
            <w:tcW w:w="176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55.9%</w:t>
            </w:r>
          </w:p>
        </w:tc>
        <w:tc>
          <w:tcPr>
            <w:tcW w:w="146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61.0%</w:t>
            </w:r>
          </w:p>
        </w:tc>
      </w:tr>
      <w:tr w:rsidR="00554171" w:rsidRPr="00332CC0" w:rsidTr="00040D3F">
        <w:trPr>
          <w:trHeight w:val="279"/>
        </w:trPr>
        <w:tc>
          <w:tcPr>
            <w:cnfStyle w:val="001000000000" w:firstRow="0" w:lastRow="0" w:firstColumn="1" w:lastColumn="0" w:oddVBand="0" w:evenVBand="0" w:oddHBand="0" w:evenHBand="0" w:firstRowFirstColumn="0" w:firstRowLastColumn="0" w:lastRowFirstColumn="0" w:lastRowLastColumn="0"/>
            <w:tcW w:w="1568" w:type="dxa"/>
          </w:tcPr>
          <w:p w:rsidR="00554171" w:rsidRPr="00332CC0" w:rsidRDefault="00554171" w:rsidP="00040D3F">
            <w:pPr>
              <w:rPr>
                <w:b w:val="0"/>
              </w:rPr>
            </w:pPr>
            <w:r w:rsidRPr="00332CC0">
              <w:t>Waikato</w:t>
            </w:r>
          </w:p>
        </w:tc>
        <w:tc>
          <w:tcPr>
            <w:tcW w:w="153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62.8%</w:t>
            </w:r>
          </w:p>
        </w:tc>
        <w:tc>
          <w:tcPr>
            <w:tcW w:w="146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57.7%</w:t>
            </w:r>
          </w:p>
        </w:tc>
        <w:tc>
          <w:tcPr>
            <w:tcW w:w="150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70.3%</w:t>
            </w:r>
          </w:p>
        </w:tc>
        <w:tc>
          <w:tcPr>
            <w:tcW w:w="176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64.0%</w:t>
            </w:r>
          </w:p>
        </w:tc>
        <w:tc>
          <w:tcPr>
            <w:tcW w:w="146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61.8%</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68" w:type="dxa"/>
          </w:tcPr>
          <w:p w:rsidR="00554171" w:rsidRPr="00332CC0" w:rsidRDefault="00554171" w:rsidP="00040D3F">
            <w:pPr>
              <w:rPr>
                <w:b w:val="0"/>
              </w:rPr>
            </w:pPr>
            <w:r w:rsidRPr="00332CC0">
              <w:t>Wellington</w:t>
            </w:r>
          </w:p>
        </w:tc>
        <w:tc>
          <w:tcPr>
            <w:tcW w:w="153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62.8%</w:t>
            </w:r>
          </w:p>
        </w:tc>
        <w:tc>
          <w:tcPr>
            <w:tcW w:w="146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62.5%</w:t>
            </w:r>
          </w:p>
        </w:tc>
        <w:tc>
          <w:tcPr>
            <w:tcW w:w="150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67.2%</w:t>
            </w:r>
          </w:p>
        </w:tc>
        <w:tc>
          <w:tcPr>
            <w:tcW w:w="176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60.1%</w:t>
            </w:r>
          </w:p>
        </w:tc>
        <w:tc>
          <w:tcPr>
            <w:tcW w:w="146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62.8%</w:t>
            </w:r>
          </w:p>
        </w:tc>
      </w:tr>
      <w:tr w:rsidR="00554171" w:rsidRPr="00332CC0" w:rsidTr="00040D3F">
        <w:trPr>
          <w:trHeight w:val="279"/>
        </w:trPr>
        <w:tc>
          <w:tcPr>
            <w:cnfStyle w:val="001000000000" w:firstRow="0" w:lastRow="0" w:firstColumn="1" w:lastColumn="0" w:oddVBand="0" w:evenVBand="0" w:oddHBand="0" w:evenHBand="0" w:firstRowFirstColumn="0" w:firstRowLastColumn="0" w:lastRowFirstColumn="0" w:lastRowLastColumn="0"/>
            <w:tcW w:w="1568" w:type="dxa"/>
          </w:tcPr>
          <w:p w:rsidR="00554171" w:rsidRPr="00332CC0" w:rsidRDefault="00554171" w:rsidP="00040D3F">
            <w:pPr>
              <w:rPr>
                <w:b w:val="0"/>
              </w:rPr>
            </w:pPr>
            <w:r w:rsidRPr="00332CC0">
              <w:t>Canterbury</w:t>
            </w:r>
          </w:p>
        </w:tc>
        <w:tc>
          <w:tcPr>
            <w:tcW w:w="153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62.9%</w:t>
            </w:r>
          </w:p>
        </w:tc>
        <w:tc>
          <w:tcPr>
            <w:tcW w:w="146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73.5%</w:t>
            </w:r>
          </w:p>
        </w:tc>
        <w:tc>
          <w:tcPr>
            <w:tcW w:w="150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52.3%</w:t>
            </w:r>
          </w:p>
        </w:tc>
        <w:tc>
          <w:tcPr>
            <w:tcW w:w="176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53.8%</w:t>
            </w:r>
          </w:p>
        </w:tc>
        <w:tc>
          <w:tcPr>
            <w:tcW w:w="146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62.1%</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568" w:type="dxa"/>
          </w:tcPr>
          <w:p w:rsidR="00554171" w:rsidRPr="00332CC0" w:rsidRDefault="00554171" w:rsidP="00040D3F">
            <w:pPr>
              <w:rPr>
                <w:b w:val="0"/>
              </w:rPr>
            </w:pPr>
            <w:r w:rsidRPr="00332CC0">
              <w:t>Rest of North Island</w:t>
            </w:r>
          </w:p>
        </w:tc>
        <w:tc>
          <w:tcPr>
            <w:tcW w:w="153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57.1%</w:t>
            </w:r>
          </w:p>
        </w:tc>
        <w:tc>
          <w:tcPr>
            <w:tcW w:w="146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61.9%</w:t>
            </w:r>
          </w:p>
        </w:tc>
        <w:tc>
          <w:tcPr>
            <w:tcW w:w="150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72.2%</w:t>
            </w:r>
          </w:p>
        </w:tc>
        <w:tc>
          <w:tcPr>
            <w:tcW w:w="176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65.6%</w:t>
            </w:r>
          </w:p>
        </w:tc>
        <w:tc>
          <w:tcPr>
            <w:tcW w:w="146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57.9%</w:t>
            </w:r>
          </w:p>
        </w:tc>
      </w:tr>
      <w:tr w:rsidR="00554171" w:rsidRPr="00332CC0" w:rsidTr="00040D3F">
        <w:trPr>
          <w:trHeight w:val="582"/>
        </w:trPr>
        <w:tc>
          <w:tcPr>
            <w:cnfStyle w:val="001000000000" w:firstRow="0" w:lastRow="0" w:firstColumn="1" w:lastColumn="0" w:oddVBand="0" w:evenVBand="0" w:oddHBand="0" w:evenHBand="0" w:firstRowFirstColumn="0" w:firstRowLastColumn="0" w:lastRowFirstColumn="0" w:lastRowLastColumn="0"/>
            <w:tcW w:w="1568" w:type="dxa"/>
          </w:tcPr>
          <w:p w:rsidR="00554171" w:rsidRPr="00332CC0" w:rsidRDefault="00554171" w:rsidP="00040D3F">
            <w:pPr>
              <w:rPr>
                <w:b w:val="0"/>
              </w:rPr>
            </w:pPr>
            <w:r w:rsidRPr="00332CC0">
              <w:t>Rest of South Island</w:t>
            </w:r>
          </w:p>
        </w:tc>
        <w:tc>
          <w:tcPr>
            <w:tcW w:w="153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60.9%</w:t>
            </w:r>
          </w:p>
        </w:tc>
        <w:tc>
          <w:tcPr>
            <w:tcW w:w="146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71.1%</w:t>
            </w:r>
          </w:p>
        </w:tc>
        <w:tc>
          <w:tcPr>
            <w:tcW w:w="150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76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61.9%</w:t>
            </w:r>
          </w:p>
        </w:tc>
        <w:tc>
          <w:tcPr>
            <w:tcW w:w="146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61.2%</w:t>
            </w:r>
          </w:p>
        </w:tc>
      </w:tr>
    </w:tbl>
    <w:p w:rsidR="00554171" w:rsidRPr="00332CC0" w:rsidRDefault="00554171" w:rsidP="00554171"/>
    <w:p w:rsidR="00554171" w:rsidRPr="00332CC0" w:rsidRDefault="00554171" w:rsidP="00554171">
      <w:pPr>
        <w:rPr>
          <w:b/>
          <w:sz w:val="28"/>
          <w:szCs w:val="28"/>
        </w:rPr>
      </w:pPr>
    </w:p>
    <w:p w:rsidR="00554171" w:rsidRPr="00332CC0" w:rsidRDefault="00554171" w:rsidP="003252C6">
      <w:pPr>
        <w:rPr>
          <w:b/>
          <w:sz w:val="28"/>
          <w:szCs w:val="28"/>
        </w:rPr>
      </w:pPr>
      <w:r w:rsidRPr="00332CC0">
        <w:rPr>
          <w:b/>
          <w:sz w:val="28"/>
          <w:szCs w:val="28"/>
        </w:rPr>
        <w:t xml:space="preserve">Table </w:t>
      </w:r>
      <w:r w:rsidR="00997B54">
        <w:rPr>
          <w:b/>
          <w:sz w:val="28"/>
          <w:szCs w:val="28"/>
        </w:rPr>
        <w:t>11</w:t>
      </w:r>
      <w:r w:rsidRPr="00332CC0">
        <w:rPr>
          <w:b/>
          <w:sz w:val="28"/>
          <w:szCs w:val="28"/>
        </w:rPr>
        <w:t xml:space="preserve">:  Unemployment rate: 45 and over by region and ethnicity </w:t>
      </w:r>
    </w:p>
    <w:p w:rsidR="00554171" w:rsidRPr="00332CC0" w:rsidRDefault="00554171" w:rsidP="00554171"/>
    <w:tbl>
      <w:tblPr>
        <w:tblStyle w:val="MediumGrid1-Accent2"/>
        <w:tblW w:w="9263" w:type="dxa"/>
        <w:tblLook w:val="04A0" w:firstRow="1" w:lastRow="0" w:firstColumn="1" w:lastColumn="0" w:noHBand="0" w:noVBand="1"/>
      </w:tblPr>
      <w:tblGrid>
        <w:gridCol w:w="1561"/>
        <w:gridCol w:w="1524"/>
        <w:gridCol w:w="1427"/>
        <w:gridCol w:w="1478"/>
        <w:gridCol w:w="1857"/>
        <w:gridCol w:w="1416"/>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564" w:type="dxa"/>
          </w:tcPr>
          <w:p w:rsidR="00554171" w:rsidRPr="00332CC0" w:rsidRDefault="00554171" w:rsidP="00040D3F">
            <w:pPr>
              <w:rPr>
                <w:b w:val="0"/>
              </w:rPr>
            </w:pPr>
            <w:r w:rsidRPr="00332CC0">
              <w:t>Region</w:t>
            </w:r>
          </w:p>
        </w:tc>
        <w:tc>
          <w:tcPr>
            <w:tcW w:w="1534"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European </w:t>
            </w:r>
          </w:p>
        </w:tc>
        <w:tc>
          <w:tcPr>
            <w:tcW w:w="1457"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Māori</w:t>
            </w:r>
          </w:p>
        </w:tc>
        <w:tc>
          <w:tcPr>
            <w:tcW w:w="1497"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Pacific peoples</w:t>
            </w:r>
          </w:p>
        </w:tc>
        <w:tc>
          <w:tcPr>
            <w:tcW w:w="1762"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Asian/MELAA/</w:t>
            </w:r>
          </w:p>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other </w:t>
            </w:r>
          </w:p>
        </w:tc>
        <w:tc>
          <w:tcPr>
            <w:tcW w:w="1449"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Total </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564" w:type="dxa"/>
          </w:tcPr>
          <w:p w:rsidR="00554171" w:rsidRPr="00332CC0" w:rsidRDefault="00554171" w:rsidP="00040D3F">
            <w:pPr>
              <w:rPr>
                <w:b w:val="0"/>
              </w:rPr>
            </w:pPr>
            <w:r w:rsidRPr="00332CC0">
              <w:t xml:space="preserve">Auckland </w:t>
            </w:r>
          </w:p>
        </w:tc>
        <w:tc>
          <w:tcPr>
            <w:tcW w:w="153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3.4%</w:t>
            </w:r>
          </w:p>
        </w:tc>
        <w:tc>
          <w:tcPr>
            <w:tcW w:w="145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7.4%</w:t>
            </w:r>
          </w:p>
        </w:tc>
        <w:tc>
          <w:tcPr>
            <w:tcW w:w="149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8.0%</w:t>
            </w:r>
          </w:p>
        </w:tc>
        <w:tc>
          <w:tcPr>
            <w:tcW w:w="176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5.1%</w:t>
            </w:r>
          </w:p>
        </w:tc>
        <w:tc>
          <w:tcPr>
            <w:tcW w:w="144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4.2%</w:t>
            </w:r>
          </w:p>
        </w:tc>
      </w:tr>
      <w:tr w:rsidR="00554171" w:rsidRPr="00332CC0" w:rsidTr="00040D3F">
        <w:trPr>
          <w:trHeight w:val="266"/>
        </w:trPr>
        <w:tc>
          <w:tcPr>
            <w:cnfStyle w:val="001000000000" w:firstRow="0" w:lastRow="0" w:firstColumn="1" w:lastColumn="0" w:oddVBand="0" w:evenVBand="0" w:oddHBand="0" w:evenHBand="0" w:firstRowFirstColumn="0" w:firstRowLastColumn="0" w:lastRowFirstColumn="0" w:lastRowLastColumn="0"/>
            <w:tcW w:w="1564" w:type="dxa"/>
          </w:tcPr>
          <w:p w:rsidR="00554171" w:rsidRPr="00332CC0" w:rsidRDefault="00554171" w:rsidP="00040D3F">
            <w:pPr>
              <w:rPr>
                <w:b w:val="0"/>
              </w:rPr>
            </w:pPr>
            <w:r w:rsidRPr="00332CC0">
              <w:t>Waikato</w:t>
            </w:r>
          </w:p>
        </w:tc>
        <w:tc>
          <w:tcPr>
            <w:tcW w:w="153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2.0%</w:t>
            </w:r>
          </w:p>
        </w:tc>
        <w:tc>
          <w:tcPr>
            <w:tcW w:w="145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8.8%</w:t>
            </w:r>
          </w:p>
        </w:tc>
        <w:tc>
          <w:tcPr>
            <w:tcW w:w="149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76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44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2.8%</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564" w:type="dxa"/>
          </w:tcPr>
          <w:p w:rsidR="00554171" w:rsidRPr="00332CC0" w:rsidRDefault="00554171" w:rsidP="00040D3F">
            <w:pPr>
              <w:rPr>
                <w:b w:val="0"/>
              </w:rPr>
            </w:pPr>
            <w:r w:rsidRPr="00332CC0">
              <w:t>Wellington</w:t>
            </w:r>
          </w:p>
        </w:tc>
        <w:tc>
          <w:tcPr>
            <w:tcW w:w="153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3.1%</w:t>
            </w:r>
          </w:p>
        </w:tc>
        <w:tc>
          <w:tcPr>
            <w:tcW w:w="145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..S</w:t>
            </w:r>
          </w:p>
        </w:tc>
        <w:tc>
          <w:tcPr>
            <w:tcW w:w="149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..S</w:t>
            </w:r>
          </w:p>
        </w:tc>
        <w:tc>
          <w:tcPr>
            <w:tcW w:w="176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..S</w:t>
            </w:r>
          </w:p>
        </w:tc>
        <w:tc>
          <w:tcPr>
            <w:tcW w:w="144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3.4%</w:t>
            </w:r>
          </w:p>
        </w:tc>
      </w:tr>
      <w:tr w:rsidR="00554171" w:rsidRPr="00332CC0" w:rsidTr="00040D3F">
        <w:trPr>
          <w:trHeight w:val="266"/>
        </w:trPr>
        <w:tc>
          <w:tcPr>
            <w:cnfStyle w:val="001000000000" w:firstRow="0" w:lastRow="0" w:firstColumn="1" w:lastColumn="0" w:oddVBand="0" w:evenVBand="0" w:oddHBand="0" w:evenHBand="0" w:firstRowFirstColumn="0" w:firstRowLastColumn="0" w:lastRowFirstColumn="0" w:lastRowLastColumn="0"/>
            <w:tcW w:w="1564" w:type="dxa"/>
          </w:tcPr>
          <w:p w:rsidR="00554171" w:rsidRPr="00332CC0" w:rsidRDefault="00554171" w:rsidP="00040D3F">
            <w:pPr>
              <w:rPr>
                <w:b w:val="0"/>
              </w:rPr>
            </w:pPr>
            <w:r w:rsidRPr="00332CC0">
              <w:t>Canterbury</w:t>
            </w:r>
          </w:p>
        </w:tc>
        <w:tc>
          <w:tcPr>
            <w:tcW w:w="153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3.0%</w:t>
            </w:r>
          </w:p>
        </w:tc>
        <w:tc>
          <w:tcPr>
            <w:tcW w:w="145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49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76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44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3.4%</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564" w:type="dxa"/>
          </w:tcPr>
          <w:p w:rsidR="00554171" w:rsidRPr="00332CC0" w:rsidRDefault="00554171" w:rsidP="00040D3F">
            <w:pPr>
              <w:rPr>
                <w:b w:val="0"/>
              </w:rPr>
            </w:pPr>
            <w:r w:rsidRPr="00332CC0">
              <w:t>Rest of North Island</w:t>
            </w:r>
          </w:p>
        </w:tc>
        <w:tc>
          <w:tcPr>
            <w:tcW w:w="153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3.0%</w:t>
            </w:r>
          </w:p>
        </w:tc>
        <w:tc>
          <w:tcPr>
            <w:tcW w:w="145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8.4%</w:t>
            </w:r>
          </w:p>
        </w:tc>
        <w:tc>
          <w:tcPr>
            <w:tcW w:w="149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..S</w:t>
            </w:r>
          </w:p>
        </w:tc>
        <w:tc>
          <w:tcPr>
            <w:tcW w:w="176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..S</w:t>
            </w:r>
          </w:p>
        </w:tc>
        <w:tc>
          <w:tcPr>
            <w:tcW w:w="144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3.9%</w:t>
            </w:r>
          </w:p>
        </w:tc>
      </w:tr>
      <w:tr w:rsidR="00554171" w:rsidRPr="00332CC0" w:rsidTr="00040D3F">
        <w:trPr>
          <w:trHeight w:val="575"/>
        </w:trPr>
        <w:tc>
          <w:tcPr>
            <w:cnfStyle w:val="001000000000" w:firstRow="0" w:lastRow="0" w:firstColumn="1" w:lastColumn="0" w:oddVBand="0" w:evenVBand="0" w:oddHBand="0" w:evenHBand="0" w:firstRowFirstColumn="0" w:firstRowLastColumn="0" w:lastRowFirstColumn="0" w:lastRowLastColumn="0"/>
            <w:tcW w:w="1564" w:type="dxa"/>
          </w:tcPr>
          <w:p w:rsidR="00554171" w:rsidRPr="00332CC0" w:rsidRDefault="00554171" w:rsidP="00040D3F">
            <w:pPr>
              <w:rPr>
                <w:b w:val="0"/>
              </w:rPr>
            </w:pPr>
            <w:r w:rsidRPr="00332CC0">
              <w:t>Rest of South Island</w:t>
            </w:r>
          </w:p>
        </w:tc>
        <w:tc>
          <w:tcPr>
            <w:tcW w:w="153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2.4%</w:t>
            </w:r>
          </w:p>
        </w:tc>
        <w:tc>
          <w:tcPr>
            <w:tcW w:w="145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49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76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44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 xml:space="preserve">2.9% </w:t>
            </w:r>
          </w:p>
        </w:tc>
      </w:tr>
    </w:tbl>
    <w:p w:rsidR="00554171" w:rsidRPr="00332CC0" w:rsidRDefault="00554171" w:rsidP="00554171"/>
    <w:p w:rsidR="00554171" w:rsidRPr="00332CC0" w:rsidRDefault="00554171" w:rsidP="00554171"/>
    <w:p w:rsidR="00554171" w:rsidRPr="00332CC0" w:rsidRDefault="00554171" w:rsidP="00554171"/>
    <w:p w:rsidR="00554171" w:rsidRPr="00332CC0" w:rsidRDefault="00554171" w:rsidP="00554171"/>
    <w:p w:rsidR="00554171" w:rsidRPr="00332CC0" w:rsidRDefault="00554171" w:rsidP="003252C6">
      <w:pPr>
        <w:rPr>
          <w:b/>
          <w:sz w:val="28"/>
          <w:szCs w:val="28"/>
        </w:rPr>
      </w:pPr>
      <w:r w:rsidRPr="00332CC0">
        <w:rPr>
          <w:b/>
          <w:sz w:val="28"/>
          <w:szCs w:val="28"/>
        </w:rPr>
        <w:t xml:space="preserve">Table </w:t>
      </w:r>
      <w:r w:rsidR="00997B54">
        <w:rPr>
          <w:b/>
          <w:sz w:val="28"/>
          <w:szCs w:val="28"/>
        </w:rPr>
        <w:t>12</w:t>
      </w:r>
      <w:r w:rsidRPr="00332CC0">
        <w:rPr>
          <w:b/>
          <w:sz w:val="28"/>
          <w:szCs w:val="28"/>
        </w:rPr>
        <w:t xml:space="preserve">:  Participation rate: Total by region and ethnicity </w:t>
      </w:r>
    </w:p>
    <w:p w:rsidR="00554171" w:rsidRPr="00332CC0" w:rsidRDefault="00554171" w:rsidP="00554171"/>
    <w:tbl>
      <w:tblPr>
        <w:tblStyle w:val="MediumGrid1-Accent2"/>
        <w:tblW w:w="9108" w:type="dxa"/>
        <w:tblLook w:val="04A0" w:firstRow="1" w:lastRow="0" w:firstColumn="1" w:lastColumn="0" w:noHBand="0" w:noVBand="1"/>
      </w:tblPr>
      <w:tblGrid>
        <w:gridCol w:w="1588"/>
        <w:gridCol w:w="1551"/>
        <w:gridCol w:w="1463"/>
        <w:gridCol w:w="1508"/>
        <w:gridCol w:w="1857"/>
        <w:gridCol w:w="1141"/>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592" w:type="dxa"/>
          </w:tcPr>
          <w:p w:rsidR="00554171" w:rsidRPr="00332CC0" w:rsidRDefault="00554171" w:rsidP="00040D3F">
            <w:pPr>
              <w:rPr>
                <w:b w:val="0"/>
              </w:rPr>
            </w:pPr>
            <w:r w:rsidRPr="00332CC0">
              <w:t>Region</w:t>
            </w:r>
          </w:p>
        </w:tc>
        <w:tc>
          <w:tcPr>
            <w:tcW w:w="1560"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European </w:t>
            </w:r>
          </w:p>
        </w:tc>
        <w:tc>
          <w:tcPr>
            <w:tcW w:w="1486"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Māori</w:t>
            </w:r>
          </w:p>
        </w:tc>
        <w:tc>
          <w:tcPr>
            <w:tcW w:w="1523"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Pacific peoples</w:t>
            </w:r>
          </w:p>
        </w:tc>
        <w:tc>
          <w:tcPr>
            <w:tcW w:w="1796"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Asian/MELAA/</w:t>
            </w:r>
          </w:p>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other </w:t>
            </w:r>
          </w:p>
        </w:tc>
        <w:tc>
          <w:tcPr>
            <w:tcW w:w="1151"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Total </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592" w:type="dxa"/>
          </w:tcPr>
          <w:p w:rsidR="00554171" w:rsidRPr="00332CC0" w:rsidRDefault="00554171" w:rsidP="00040D3F">
            <w:pPr>
              <w:rPr>
                <w:b w:val="0"/>
              </w:rPr>
            </w:pPr>
            <w:r w:rsidRPr="00332CC0">
              <w:t xml:space="preserve">Auckland </w:t>
            </w:r>
          </w:p>
        </w:tc>
        <w:tc>
          <w:tcPr>
            <w:tcW w:w="1560"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70.7%</w:t>
            </w:r>
          </w:p>
        </w:tc>
        <w:tc>
          <w:tcPr>
            <w:tcW w:w="148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64.8%</w:t>
            </w:r>
          </w:p>
        </w:tc>
        <w:tc>
          <w:tcPr>
            <w:tcW w:w="152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58.7%</w:t>
            </w:r>
          </w:p>
        </w:tc>
        <w:tc>
          <w:tcPr>
            <w:tcW w:w="179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64.4%</w:t>
            </w:r>
          </w:p>
        </w:tc>
        <w:tc>
          <w:tcPr>
            <w:tcW w:w="115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67.3%</w:t>
            </w:r>
          </w:p>
        </w:tc>
      </w:tr>
      <w:tr w:rsidR="00554171" w:rsidRPr="00332CC0" w:rsidTr="00040D3F">
        <w:trPr>
          <w:trHeight w:val="303"/>
        </w:trPr>
        <w:tc>
          <w:tcPr>
            <w:cnfStyle w:val="001000000000" w:firstRow="0" w:lastRow="0" w:firstColumn="1" w:lastColumn="0" w:oddVBand="0" w:evenVBand="0" w:oddHBand="0" w:evenHBand="0" w:firstRowFirstColumn="0" w:firstRowLastColumn="0" w:lastRowFirstColumn="0" w:lastRowLastColumn="0"/>
            <w:tcW w:w="1592" w:type="dxa"/>
          </w:tcPr>
          <w:p w:rsidR="00554171" w:rsidRPr="00332CC0" w:rsidRDefault="00554171" w:rsidP="00040D3F">
            <w:pPr>
              <w:rPr>
                <w:b w:val="0"/>
              </w:rPr>
            </w:pPr>
            <w:r w:rsidRPr="00332CC0">
              <w:t>Waikato</w:t>
            </w:r>
          </w:p>
        </w:tc>
        <w:tc>
          <w:tcPr>
            <w:tcW w:w="1560"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69.9%</w:t>
            </w:r>
          </w:p>
        </w:tc>
        <w:tc>
          <w:tcPr>
            <w:tcW w:w="148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63.1%</w:t>
            </w:r>
          </w:p>
        </w:tc>
        <w:tc>
          <w:tcPr>
            <w:tcW w:w="152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73.1%</w:t>
            </w:r>
          </w:p>
        </w:tc>
        <w:tc>
          <w:tcPr>
            <w:tcW w:w="179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74.4%</w:t>
            </w:r>
          </w:p>
        </w:tc>
        <w:tc>
          <w:tcPr>
            <w:tcW w:w="115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68.7%</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592" w:type="dxa"/>
          </w:tcPr>
          <w:p w:rsidR="00554171" w:rsidRPr="00332CC0" w:rsidRDefault="00554171" w:rsidP="00040D3F">
            <w:pPr>
              <w:rPr>
                <w:b w:val="0"/>
              </w:rPr>
            </w:pPr>
            <w:r w:rsidRPr="00332CC0">
              <w:t>Wellington</w:t>
            </w:r>
          </w:p>
        </w:tc>
        <w:tc>
          <w:tcPr>
            <w:tcW w:w="1560"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72.8%</w:t>
            </w:r>
          </w:p>
        </w:tc>
        <w:tc>
          <w:tcPr>
            <w:tcW w:w="148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73.8%</w:t>
            </w:r>
          </w:p>
        </w:tc>
        <w:tc>
          <w:tcPr>
            <w:tcW w:w="152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70.7%</w:t>
            </w:r>
          </w:p>
        </w:tc>
        <w:tc>
          <w:tcPr>
            <w:tcW w:w="179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74.1%</w:t>
            </w:r>
          </w:p>
        </w:tc>
        <w:tc>
          <w:tcPr>
            <w:tcW w:w="115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72.7%</w:t>
            </w:r>
          </w:p>
        </w:tc>
      </w:tr>
      <w:tr w:rsidR="00554171" w:rsidRPr="00332CC0" w:rsidTr="00040D3F">
        <w:trPr>
          <w:trHeight w:val="328"/>
        </w:trPr>
        <w:tc>
          <w:tcPr>
            <w:cnfStyle w:val="001000000000" w:firstRow="0" w:lastRow="0" w:firstColumn="1" w:lastColumn="0" w:oddVBand="0" w:evenVBand="0" w:oddHBand="0" w:evenHBand="0" w:firstRowFirstColumn="0" w:firstRowLastColumn="0" w:lastRowFirstColumn="0" w:lastRowLastColumn="0"/>
            <w:tcW w:w="1592" w:type="dxa"/>
          </w:tcPr>
          <w:p w:rsidR="00554171" w:rsidRPr="00332CC0" w:rsidRDefault="00554171" w:rsidP="00040D3F">
            <w:pPr>
              <w:rPr>
                <w:b w:val="0"/>
              </w:rPr>
            </w:pPr>
            <w:r w:rsidRPr="00332CC0">
              <w:t>Canterbury</w:t>
            </w:r>
          </w:p>
        </w:tc>
        <w:tc>
          <w:tcPr>
            <w:tcW w:w="1560"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71.7%</w:t>
            </w:r>
          </w:p>
        </w:tc>
        <w:tc>
          <w:tcPr>
            <w:tcW w:w="148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73.8%</w:t>
            </w:r>
          </w:p>
        </w:tc>
        <w:tc>
          <w:tcPr>
            <w:tcW w:w="152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53.3%</w:t>
            </w:r>
          </w:p>
        </w:tc>
        <w:tc>
          <w:tcPr>
            <w:tcW w:w="179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65.5%</w:t>
            </w:r>
          </w:p>
        </w:tc>
        <w:tc>
          <w:tcPr>
            <w:tcW w:w="115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70.7%</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592" w:type="dxa"/>
          </w:tcPr>
          <w:p w:rsidR="00554171" w:rsidRPr="00332CC0" w:rsidRDefault="00554171" w:rsidP="00040D3F">
            <w:pPr>
              <w:rPr>
                <w:b w:val="0"/>
              </w:rPr>
            </w:pPr>
            <w:r w:rsidRPr="00332CC0">
              <w:t>Rest of North Island</w:t>
            </w:r>
          </w:p>
        </w:tc>
        <w:tc>
          <w:tcPr>
            <w:tcW w:w="1560"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65.8%</w:t>
            </w:r>
          </w:p>
        </w:tc>
        <w:tc>
          <w:tcPr>
            <w:tcW w:w="148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65.0%</w:t>
            </w:r>
          </w:p>
        </w:tc>
        <w:tc>
          <w:tcPr>
            <w:tcW w:w="152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72.7%</w:t>
            </w:r>
          </w:p>
        </w:tc>
        <w:tc>
          <w:tcPr>
            <w:tcW w:w="179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71.3%</w:t>
            </w:r>
          </w:p>
        </w:tc>
        <w:tc>
          <w:tcPr>
            <w:tcW w:w="115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65.8%</w:t>
            </w:r>
          </w:p>
        </w:tc>
      </w:tr>
      <w:tr w:rsidR="00554171" w:rsidRPr="00332CC0" w:rsidTr="00040D3F">
        <w:trPr>
          <w:trHeight w:val="656"/>
        </w:trPr>
        <w:tc>
          <w:tcPr>
            <w:cnfStyle w:val="001000000000" w:firstRow="0" w:lastRow="0" w:firstColumn="1" w:lastColumn="0" w:oddVBand="0" w:evenVBand="0" w:oddHBand="0" w:evenHBand="0" w:firstRowFirstColumn="0" w:firstRowLastColumn="0" w:lastRowFirstColumn="0" w:lastRowLastColumn="0"/>
            <w:tcW w:w="1592" w:type="dxa"/>
          </w:tcPr>
          <w:p w:rsidR="00554171" w:rsidRPr="00332CC0" w:rsidRDefault="00554171" w:rsidP="00040D3F">
            <w:pPr>
              <w:rPr>
                <w:b w:val="0"/>
              </w:rPr>
            </w:pPr>
            <w:r w:rsidRPr="00332CC0">
              <w:t>Rest of South Island</w:t>
            </w:r>
          </w:p>
        </w:tc>
        <w:tc>
          <w:tcPr>
            <w:tcW w:w="1560"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69.7%</w:t>
            </w:r>
          </w:p>
        </w:tc>
        <w:tc>
          <w:tcPr>
            <w:tcW w:w="148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67.9%</w:t>
            </w:r>
          </w:p>
        </w:tc>
        <w:tc>
          <w:tcPr>
            <w:tcW w:w="152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67.3%</w:t>
            </w:r>
          </w:p>
        </w:tc>
        <w:tc>
          <w:tcPr>
            <w:tcW w:w="179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69.8%</w:t>
            </w:r>
          </w:p>
        </w:tc>
        <w:tc>
          <w:tcPr>
            <w:tcW w:w="115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69.7%</w:t>
            </w:r>
          </w:p>
        </w:tc>
      </w:tr>
    </w:tbl>
    <w:p w:rsidR="00554171" w:rsidRPr="00332CC0" w:rsidRDefault="00554171" w:rsidP="00554171"/>
    <w:p w:rsidR="00554171" w:rsidRPr="00332CC0" w:rsidRDefault="00554171" w:rsidP="00554171">
      <w:pPr>
        <w:rPr>
          <w:b/>
          <w:sz w:val="28"/>
          <w:szCs w:val="28"/>
        </w:rPr>
      </w:pPr>
    </w:p>
    <w:p w:rsidR="00554171" w:rsidRPr="00332CC0" w:rsidRDefault="00554171" w:rsidP="002127F2">
      <w:pPr>
        <w:rPr>
          <w:b/>
          <w:sz w:val="28"/>
          <w:szCs w:val="28"/>
        </w:rPr>
      </w:pPr>
      <w:r w:rsidRPr="00332CC0">
        <w:rPr>
          <w:b/>
          <w:sz w:val="28"/>
          <w:szCs w:val="28"/>
        </w:rPr>
        <w:t>Table 1</w:t>
      </w:r>
      <w:r w:rsidR="00997B54">
        <w:rPr>
          <w:b/>
          <w:sz w:val="28"/>
          <w:szCs w:val="28"/>
        </w:rPr>
        <w:t>3</w:t>
      </w:r>
      <w:r w:rsidRPr="00332CC0">
        <w:rPr>
          <w:b/>
          <w:sz w:val="28"/>
          <w:szCs w:val="28"/>
        </w:rPr>
        <w:t xml:space="preserve">:  Unemployment rate: Total by region and ethnicity </w:t>
      </w:r>
    </w:p>
    <w:p w:rsidR="00554171" w:rsidRPr="00332CC0" w:rsidRDefault="00554171" w:rsidP="00554171"/>
    <w:tbl>
      <w:tblPr>
        <w:tblStyle w:val="MediumGrid1-Accent2"/>
        <w:tblW w:w="9108" w:type="dxa"/>
        <w:tblLook w:val="04A0" w:firstRow="1" w:lastRow="0" w:firstColumn="1" w:lastColumn="0" w:noHBand="0" w:noVBand="1"/>
      </w:tblPr>
      <w:tblGrid>
        <w:gridCol w:w="1593"/>
        <w:gridCol w:w="1558"/>
        <w:gridCol w:w="1472"/>
        <w:gridCol w:w="1515"/>
        <w:gridCol w:w="1857"/>
        <w:gridCol w:w="1113"/>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1597" w:type="dxa"/>
          </w:tcPr>
          <w:p w:rsidR="00554171" w:rsidRPr="00332CC0" w:rsidRDefault="00554171" w:rsidP="00040D3F">
            <w:pPr>
              <w:rPr>
                <w:b w:val="0"/>
              </w:rPr>
            </w:pPr>
            <w:r w:rsidRPr="00332CC0">
              <w:t>Region</w:t>
            </w:r>
          </w:p>
        </w:tc>
        <w:tc>
          <w:tcPr>
            <w:tcW w:w="1566"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European </w:t>
            </w:r>
          </w:p>
        </w:tc>
        <w:tc>
          <w:tcPr>
            <w:tcW w:w="1492"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Māori</w:t>
            </w:r>
          </w:p>
        </w:tc>
        <w:tc>
          <w:tcPr>
            <w:tcW w:w="1529"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Pacific peoples</w:t>
            </w:r>
          </w:p>
        </w:tc>
        <w:tc>
          <w:tcPr>
            <w:tcW w:w="1800"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Asian/MELAA/</w:t>
            </w:r>
          </w:p>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other </w:t>
            </w:r>
          </w:p>
        </w:tc>
        <w:tc>
          <w:tcPr>
            <w:tcW w:w="1124"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 xml:space="preserve">Total </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7" w:type="dxa"/>
          </w:tcPr>
          <w:p w:rsidR="00554171" w:rsidRPr="00332CC0" w:rsidRDefault="00554171" w:rsidP="00040D3F">
            <w:pPr>
              <w:rPr>
                <w:b w:val="0"/>
              </w:rPr>
            </w:pPr>
            <w:r w:rsidRPr="00332CC0">
              <w:t xml:space="preserve">Auckland </w:t>
            </w:r>
          </w:p>
        </w:tc>
        <w:tc>
          <w:tcPr>
            <w:tcW w:w="156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5.9%</w:t>
            </w:r>
          </w:p>
        </w:tc>
        <w:tc>
          <w:tcPr>
            <w:tcW w:w="149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12.2%</w:t>
            </w:r>
          </w:p>
        </w:tc>
        <w:tc>
          <w:tcPr>
            <w:tcW w:w="152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12.4%</w:t>
            </w:r>
          </w:p>
        </w:tc>
        <w:tc>
          <w:tcPr>
            <w:tcW w:w="1800"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9.9%</w:t>
            </w:r>
          </w:p>
        </w:tc>
        <w:tc>
          <w:tcPr>
            <w:tcW w:w="112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7.8%</w:t>
            </w:r>
          </w:p>
        </w:tc>
      </w:tr>
      <w:tr w:rsidR="00554171" w:rsidRPr="00332CC0" w:rsidTr="00040D3F">
        <w:trPr>
          <w:trHeight w:val="319"/>
        </w:trPr>
        <w:tc>
          <w:tcPr>
            <w:cnfStyle w:val="001000000000" w:firstRow="0" w:lastRow="0" w:firstColumn="1" w:lastColumn="0" w:oddVBand="0" w:evenVBand="0" w:oddHBand="0" w:evenHBand="0" w:firstRowFirstColumn="0" w:firstRowLastColumn="0" w:lastRowFirstColumn="0" w:lastRowLastColumn="0"/>
            <w:tcW w:w="1597" w:type="dxa"/>
          </w:tcPr>
          <w:p w:rsidR="00554171" w:rsidRPr="00332CC0" w:rsidRDefault="00554171" w:rsidP="00040D3F">
            <w:pPr>
              <w:rPr>
                <w:b w:val="0"/>
              </w:rPr>
            </w:pPr>
            <w:r w:rsidRPr="00332CC0">
              <w:t>Waikato</w:t>
            </w:r>
          </w:p>
        </w:tc>
        <w:tc>
          <w:tcPr>
            <w:tcW w:w="156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4.4%</w:t>
            </w:r>
          </w:p>
        </w:tc>
        <w:tc>
          <w:tcPr>
            <w:tcW w:w="149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14.7%</w:t>
            </w:r>
          </w:p>
        </w:tc>
        <w:tc>
          <w:tcPr>
            <w:tcW w:w="152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19.1%</w:t>
            </w:r>
          </w:p>
        </w:tc>
        <w:tc>
          <w:tcPr>
            <w:tcW w:w="1800"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6.5%</w:t>
            </w:r>
          </w:p>
        </w:tc>
        <w:tc>
          <w:tcPr>
            <w:tcW w:w="112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6.1%</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97" w:type="dxa"/>
          </w:tcPr>
          <w:p w:rsidR="00554171" w:rsidRPr="00332CC0" w:rsidRDefault="00554171" w:rsidP="00040D3F">
            <w:pPr>
              <w:rPr>
                <w:b w:val="0"/>
              </w:rPr>
            </w:pPr>
            <w:r w:rsidRPr="00332CC0">
              <w:t>Wellington</w:t>
            </w:r>
          </w:p>
        </w:tc>
        <w:tc>
          <w:tcPr>
            <w:tcW w:w="156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4.3%</w:t>
            </w:r>
          </w:p>
        </w:tc>
        <w:tc>
          <w:tcPr>
            <w:tcW w:w="149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12.6%</w:t>
            </w:r>
          </w:p>
        </w:tc>
        <w:tc>
          <w:tcPr>
            <w:tcW w:w="152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16.7%</w:t>
            </w:r>
          </w:p>
        </w:tc>
        <w:tc>
          <w:tcPr>
            <w:tcW w:w="1800"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4.1%</w:t>
            </w:r>
          </w:p>
        </w:tc>
        <w:tc>
          <w:tcPr>
            <w:tcW w:w="112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5.4%</w:t>
            </w:r>
          </w:p>
        </w:tc>
      </w:tr>
      <w:tr w:rsidR="00554171" w:rsidRPr="00332CC0" w:rsidTr="00040D3F">
        <w:trPr>
          <w:trHeight w:val="319"/>
        </w:trPr>
        <w:tc>
          <w:tcPr>
            <w:cnfStyle w:val="001000000000" w:firstRow="0" w:lastRow="0" w:firstColumn="1" w:lastColumn="0" w:oddVBand="0" w:evenVBand="0" w:oddHBand="0" w:evenHBand="0" w:firstRowFirstColumn="0" w:firstRowLastColumn="0" w:lastRowFirstColumn="0" w:lastRowLastColumn="0"/>
            <w:tcW w:w="1597" w:type="dxa"/>
          </w:tcPr>
          <w:p w:rsidR="00554171" w:rsidRPr="00332CC0" w:rsidRDefault="00554171" w:rsidP="00040D3F">
            <w:pPr>
              <w:rPr>
                <w:b w:val="0"/>
              </w:rPr>
            </w:pPr>
            <w:r w:rsidRPr="00332CC0">
              <w:t>Canterbury</w:t>
            </w:r>
          </w:p>
        </w:tc>
        <w:tc>
          <w:tcPr>
            <w:tcW w:w="156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5.3%</w:t>
            </w:r>
          </w:p>
        </w:tc>
        <w:tc>
          <w:tcPr>
            <w:tcW w:w="149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8.6%</w:t>
            </w:r>
          </w:p>
        </w:tc>
        <w:tc>
          <w:tcPr>
            <w:tcW w:w="152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800"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11.4%</w:t>
            </w:r>
          </w:p>
        </w:tc>
        <w:tc>
          <w:tcPr>
            <w:tcW w:w="112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6.0%</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1597" w:type="dxa"/>
          </w:tcPr>
          <w:p w:rsidR="00554171" w:rsidRPr="00332CC0" w:rsidRDefault="00554171" w:rsidP="00040D3F">
            <w:pPr>
              <w:rPr>
                <w:b w:val="0"/>
              </w:rPr>
            </w:pPr>
            <w:r w:rsidRPr="00332CC0">
              <w:t>Rest of North Island</w:t>
            </w:r>
          </w:p>
        </w:tc>
        <w:tc>
          <w:tcPr>
            <w:tcW w:w="156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5.3%</w:t>
            </w:r>
          </w:p>
        </w:tc>
        <w:tc>
          <w:tcPr>
            <w:tcW w:w="149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15.3%</w:t>
            </w:r>
          </w:p>
        </w:tc>
        <w:tc>
          <w:tcPr>
            <w:tcW w:w="152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18.7%</w:t>
            </w:r>
          </w:p>
        </w:tc>
        <w:tc>
          <w:tcPr>
            <w:tcW w:w="1800"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5.3%</w:t>
            </w:r>
          </w:p>
        </w:tc>
        <w:tc>
          <w:tcPr>
            <w:tcW w:w="112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7.1%</w:t>
            </w:r>
          </w:p>
        </w:tc>
      </w:tr>
      <w:tr w:rsidR="00554171" w:rsidRPr="00332CC0" w:rsidTr="00040D3F">
        <w:trPr>
          <w:trHeight w:val="613"/>
        </w:trPr>
        <w:tc>
          <w:tcPr>
            <w:cnfStyle w:val="001000000000" w:firstRow="0" w:lastRow="0" w:firstColumn="1" w:lastColumn="0" w:oddVBand="0" w:evenVBand="0" w:oddHBand="0" w:evenHBand="0" w:firstRowFirstColumn="0" w:firstRowLastColumn="0" w:lastRowFirstColumn="0" w:lastRowLastColumn="0"/>
            <w:tcW w:w="1597" w:type="dxa"/>
          </w:tcPr>
          <w:p w:rsidR="00554171" w:rsidRPr="00332CC0" w:rsidRDefault="00554171" w:rsidP="00040D3F">
            <w:pPr>
              <w:rPr>
                <w:b w:val="0"/>
              </w:rPr>
            </w:pPr>
            <w:r w:rsidRPr="00332CC0">
              <w:t>Rest of South Island</w:t>
            </w:r>
          </w:p>
        </w:tc>
        <w:tc>
          <w:tcPr>
            <w:tcW w:w="156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4.7%</w:t>
            </w:r>
          </w:p>
        </w:tc>
        <w:tc>
          <w:tcPr>
            <w:tcW w:w="149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10.7%</w:t>
            </w:r>
          </w:p>
        </w:tc>
        <w:tc>
          <w:tcPr>
            <w:tcW w:w="152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1800"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4.7%</w:t>
            </w:r>
          </w:p>
        </w:tc>
        <w:tc>
          <w:tcPr>
            <w:tcW w:w="112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5.0%</w:t>
            </w:r>
          </w:p>
        </w:tc>
      </w:tr>
    </w:tbl>
    <w:p w:rsidR="00554171" w:rsidRPr="00332CC0" w:rsidRDefault="00554171" w:rsidP="00554171"/>
    <w:p w:rsidR="00554171" w:rsidRPr="00332CC0" w:rsidRDefault="00554171" w:rsidP="00554171">
      <w:pPr>
        <w:pStyle w:val="Heading1"/>
        <w:spacing w:before="0"/>
        <w:rPr>
          <w:rFonts w:ascii="Arial" w:hAnsi="Arial" w:cs="Arial"/>
          <w:color w:val="00B0F0"/>
          <w:sz w:val="32"/>
          <w:szCs w:val="32"/>
        </w:rPr>
      </w:pPr>
      <w:r w:rsidRPr="00332CC0">
        <w:rPr>
          <w:rFonts w:ascii="Arial" w:hAnsi="Arial" w:cs="Arial"/>
          <w:color w:val="00B0F0"/>
          <w:sz w:val="32"/>
          <w:szCs w:val="32"/>
        </w:rPr>
        <w:t xml:space="preserve">Younger and older workers </w:t>
      </w:r>
    </w:p>
    <w:p w:rsidR="00554171" w:rsidRPr="00332CC0" w:rsidRDefault="00554171" w:rsidP="00554171">
      <w:pPr>
        <w:jc w:val="both"/>
        <w:rPr>
          <w:sz w:val="22"/>
          <w:szCs w:val="22"/>
        </w:rPr>
      </w:pPr>
      <w:r w:rsidRPr="00332CC0">
        <w:rPr>
          <w:sz w:val="22"/>
          <w:szCs w:val="22"/>
        </w:rPr>
        <w:t xml:space="preserve">In this section we refer to young workers as those under 25, and have separated those under and over 20 years old where possible. We have defined older </w:t>
      </w:r>
      <w:r>
        <w:rPr>
          <w:sz w:val="22"/>
          <w:szCs w:val="22"/>
        </w:rPr>
        <w:t>workers as those over 65</w:t>
      </w:r>
      <w:r w:rsidRPr="00332CC0">
        <w:rPr>
          <w:sz w:val="22"/>
          <w:szCs w:val="22"/>
        </w:rPr>
        <w:t xml:space="preserve">, for the purpose of this analysis.  Internationally, 55 years and over and sometimes 45 years and over constitute “older workers”.    </w:t>
      </w:r>
    </w:p>
    <w:p w:rsidR="00554171" w:rsidRPr="00332CC0" w:rsidRDefault="00554171" w:rsidP="00554171">
      <w:pPr>
        <w:jc w:val="both"/>
        <w:rPr>
          <w:sz w:val="22"/>
          <w:szCs w:val="22"/>
        </w:rPr>
      </w:pPr>
    </w:p>
    <w:p w:rsidR="00554171" w:rsidRPr="00332CC0" w:rsidRDefault="00554171" w:rsidP="00554171">
      <w:pPr>
        <w:jc w:val="both"/>
        <w:rPr>
          <w:sz w:val="22"/>
          <w:szCs w:val="22"/>
        </w:rPr>
      </w:pPr>
      <w:r w:rsidRPr="00332CC0">
        <w:rPr>
          <w:sz w:val="22"/>
          <w:szCs w:val="22"/>
        </w:rPr>
        <w:t>Unemployment rates for young people, especially for those under 20 years old, are currently very high. These unemployment rates refer to those people who do not have a job, and are actively seeking work. Pacific youth, Māori and people from other ethnic minorities are much more likely to be unemployed</w:t>
      </w:r>
      <w:r w:rsidR="00C230D7">
        <w:rPr>
          <w:sz w:val="22"/>
          <w:szCs w:val="22"/>
        </w:rPr>
        <w:t xml:space="preserve"> than young Europeans. </w:t>
      </w:r>
      <w:r w:rsidR="00C230D7" w:rsidRPr="002127F2">
        <w:rPr>
          <w:sz w:val="22"/>
          <w:szCs w:val="22"/>
        </w:rPr>
        <w:t>Tables 14 and 15</w:t>
      </w:r>
      <w:r w:rsidRPr="002127F2">
        <w:rPr>
          <w:sz w:val="22"/>
          <w:szCs w:val="22"/>
        </w:rPr>
        <w:t xml:space="preserve"> demonstrate</w:t>
      </w:r>
      <w:r w:rsidRPr="00332CC0">
        <w:rPr>
          <w:sz w:val="22"/>
          <w:szCs w:val="22"/>
        </w:rPr>
        <w:t xml:space="preserve"> the double disadvantage of age and ethnicity.</w:t>
      </w:r>
    </w:p>
    <w:p w:rsidR="00554171" w:rsidRPr="00332CC0" w:rsidRDefault="00554171" w:rsidP="00554171">
      <w:pPr>
        <w:jc w:val="both"/>
        <w:rPr>
          <w:sz w:val="22"/>
          <w:szCs w:val="22"/>
        </w:rPr>
      </w:pPr>
    </w:p>
    <w:p w:rsidR="00554171" w:rsidRPr="00332CC0" w:rsidRDefault="00554171" w:rsidP="00554171">
      <w:pPr>
        <w:jc w:val="both"/>
        <w:rPr>
          <w:sz w:val="22"/>
          <w:szCs w:val="22"/>
        </w:rPr>
      </w:pPr>
      <w:r w:rsidRPr="00332CC0">
        <w:rPr>
          <w:sz w:val="22"/>
          <w:szCs w:val="22"/>
        </w:rPr>
        <w:t>Participation rates reflect engagement in the labour force and many young people are participating in education, training or caregiving and so it is expected that the younger group (under 20 years) will have lower participation rates. The rate of young people who are disengaged from the labour market, that is, not in employment, education, training or caregiving (NEET) is of concern, and again is higher among Māori and Pacific youth. Young men have a slightly higher NEET rate than young women.</w:t>
      </w:r>
    </w:p>
    <w:p w:rsidR="00554171" w:rsidRPr="00332CC0" w:rsidRDefault="00554171" w:rsidP="00554171">
      <w:pPr>
        <w:jc w:val="both"/>
        <w:rPr>
          <w:sz w:val="22"/>
          <w:szCs w:val="22"/>
        </w:rPr>
      </w:pPr>
    </w:p>
    <w:p w:rsidR="00554171" w:rsidRPr="00332CC0" w:rsidRDefault="00554171" w:rsidP="00554171">
      <w:pPr>
        <w:jc w:val="both"/>
        <w:rPr>
          <w:sz w:val="22"/>
          <w:szCs w:val="22"/>
        </w:rPr>
      </w:pPr>
      <w:r w:rsidRPr="00332CC0">
        <w:rPr>
          <w:sz w:val="22"/>
          <w:szCs w:val="22"/>
        </w:rPr>
        <w:t xml:space="preserve">Workers over 65 years have a much lower participation rate than younger cohorts but the rate in New Zealand is high compared to other OECD countries and is increasing. Interestingly, Māori have the highest proportion of over 65 years in the workforce by ethnicity. Participation rates of younger “older” workers (i.e. 45 -55 years) are very high and unemployment low.  </w:t>
      </w:r>
    </w:p>
    <w:p w:rsidR="00554171" w:rsidRPr="00332CC0" w:rsidRDefault="00554171" w:rsidP="00554171">
      <w:pPr>
        <w:rPr>
          <w:rStyle w:val="IntenseEmphasis"/>
        </w:rPr>
      </w:pPr>
    </w:p>
    <w:p w:rsidR="00554171" w:rsidRPr="00332CC0" w:rsidRDefault="00554171" w:rsidP="00554171">
      <w:pPr>
        <w:rPr>
          <w:rStyle w:val="IntenseEmphasis"/>
          <w:i w:val="0"/>
          <w:color w:val="auto"/>
          <w:sz w:val="28"/>
          <w:szCs w:val="28"/>
        </w:rPr>
      </w:pPr>
      <w:r w:rsidRPr="00332CC0">
        <w:rPr>
          <w:rStyle w:val="IntenseEmphasis"/>
          <w:i w:val="0"/>
          <w:color w:val="auto"/>
          <w:sz w:val="28"/>
          <w:szCs w:val="28"/>
        </w:rPr>
        <w:t xml:space="preserve">Employment statistics </w:t>
      </w:r>
    </w:p>
    <w:p w:rsidR="00554171" w:rsidRPr="00332CC0" w:rsidRDefault="00554171" w:rsidP="00554171">
      <w:r w:rsidRPr="00332CC0">
        <w:t xml:space="preserve"> </w:t>
      </w:r>
    </w:p>
    <w:p w:rsidR="00554171" w:rsidRPr="00332CC0" w:rsidRDefault="00554171" w:rsidP="002127F2">
      <w:pPr>
        <w:rPr>
          <w:b/>
          <w:sz w:val="28"/>
          <w:szCs w:val="28"/>
        </w:rPr>
      </w:pPr>
      <w:r w:rsidRPr="002127F2">
        <w:rPr>
          <w:b/>
          <w:sz w:val="28"/>
          <w:szCs w:val="28"/>
        </w:rPr>
        <w:t>Table 1</w:t>
      </w:r>
      <w:r w:rsidR="00997B54" w:rsidRPr="002127F2">
        <w:rPr>
          <w:b/>
          <w:sz w:val="28"/>
          <w:szCs w:val="28"/>
        </w:rPr>
        <w:t>4</w:t>
      </w:r>
      <w:r w:rsidRPr="002127F2">
        <w:rPr>
          <w:b/>
          <w:sz w:val="28"/>
          <w:szCs w:val="28"/>
        </w:rPr>
        <w:t>:   Participation rate by age and ethnicity</w:t>
      </w:r>
    </w:p>
    <w:p w:rsidR="00554171" w:rsidRPr="00332CC0" w:rsidRDefault="00554171" w:rsidP="00554171"/>
    <w:tbl>
      <w:tblPr>
        <w:tblStyle w:val="MediumGrid1-Accent2"/>
        <w:tblW w:w="0" w:type="auto"/>
        <w:tblLook w:val="04A0" w:firstRow="1" w:lastRow="0" w:firstColumn="1" w:lastColumn="0" w:noHBand="0" w:noVBand="1"/>
      </w:tblPr>
      <w:tblGrid>
        <w:gridCol w:w="1857"/>
        <w:gridCol w:w="1621"/>
        <w:gridCol w:w="1621"/>
        <w:gridCol w:w="1872"/>
        <w:gridCol w:w="1986"/>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27" w:type="dxa"/>
          </w:tcPr>
          <w:p w:rsidR="00554171" w:rsidRPr="00332CC0" w:rsidRDefault="00554171" w:rsidP="00040D3F">
            <w:pPr>
              <w:rPr>
                <w:b w:val="0"/>
              </w:rPr>
            </w:pPr>
            <w:r w:rsidRPr="00332CC0">
              <w:t xml:space="preserve">Ethnicity </w:t>
            </w:r>
          </w:p>
        </w:tc>
        <w:tc>
          <w:tcPr>
            <w:tcW w:w="1621"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15-19</w:t>
            </w:r>
          </w:p>
        </w:tc>
        <w:tc>
          <w:tcPr>
            <w:tcW w:w="1621"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20-24</w:t>
            </w:r>
          </w:p>
        </w:tc>
        <w:tc>
          <w:tcPr>
            <w:tcW w:w="1872"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65 and over</w:t>
            </w:r>
          </w:p>
        </w:tc>
        <w:tc>
          <w:tcPr>
            <w:tcW w:w="1986"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Total 15 and over</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27" w:type="dxa"/>
          </w:tcPr>
          <w:p w:rsidR="00554171" w:rsidRPr="00332CC0" w:rsidRDefault="00554171" w:rsidP="00040D3F">
            <w:pPr>
              <w:rPr>
                <w:b w:val="0"/>
              </w:rPr>
            </w:pPr>
            <w:r w:rsidRPr="00332CC0">
              <w:t xml:space="preserve">European </w:t>
            </w:r>
          </w:p>
        </w:tc>
        <w:tc>
          <w:tcPr>
            <w:tcW w:w="162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54.6%</w:t>
            </w:r>
          </w:p>
        </w:tc>
        <w:tc>
          <w:tcPr>
            <w:tcW w:w="162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80.7%</w:t>
            </w:r>
          </w:p>
        </w:tc>
        <w:tc>
          <w:tcPr>
            <w:tcW w:w="187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18.1%</w:t>
            </w:r>
          </w:p>
        </w:tc>
        <w:tc>
          <w:tcPr>
            <w:tcW w:w="198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69.8%</w:t>
            </w:r>
          </w:p>
        </w:tc>
      </w:tr>
      <w:tr w:rsidR="00554171" w:rsidRPr="00332CC0" w:rsidTr="00040D3F">
        <w:trPr>
          <w:trHeight w:val="340"/>
        </w:trPr>
        <w:tc>
          <w:tcPr>
            <w:cnfStyle w:val="001000000000" w:firstRow="0" w:lastRow="0" w:firstColumn="1" w:lastColumn="0" w:oddVBand="0" w:evenVBand="0" w:oddHBand="0" w:evenHBand="0" w:firstRowFirstColumn="0" w:firstRowLastColumn="0" w:lastRowFirstColumn="0" w:lastRowLastColumn="0"/>
            <w:tcW w:w="1827" w:type="dxa"/>
          </w:tcPr>
          <w:p w:rsidR="00554171" w:rsidRPr="00332CC0" w:rsidRDefault="00554171" w:rsidP="00040D3F">
            <w:pPr>
              <w:rPr>
                <w:b w:val="0"/>
              </w:rPr>
            </w:pPr>
            <w:r w:rsidRPr="00332CC0">
              <w:t>Māori</w:t>
            </w:r>
          </w:p>
        </w:tc>
        <w:tc>
          <w:tcPr>
            <w:tcW w:w="162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45.4%</w:t>
            </w:r>
          </w:p>
        </w:tc>
        <w:tc>
          <w:tcPr>
            <w:tcW w:w="162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69.7%</w:t>
            </w:r>
          </w:p>
        </w:tc>
        <w:tc>
          <w:tcPr>
            <w:tcW w:w="187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20.2%</w:t>
            </w:r>
          </w:p>
        </w:tc>
        <w:tc>
          <w:tcPr>
            <w:tcW w:w="198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66.4%</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27" w:type="dxa"/>
          </w:tcPr>
          <w:p w:rsidR="00554171" w:rsidRPr="00332CC0" w:rsidRDefault="00554171" w:rsidP="00040D3F">
            <w:pPr>
              <w:rPr>
                <w:b w:val="0"/>
              </w:rPr>
            </w:pPr>
            <w:r w:rsidRPr="00332CC0">
              <w:t>Pacific peoples</w:t>
            </w:r>
          </w:p>
        </w:tc>
        <w:tc>
          <w:tcPr>
            <w:tcW w:w="162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33.8%</w:t>
            </w:r>
          </w:p>
        </w:tc>
        <w:tc>
          <w:tcPr>
            <w:tcW w:w="162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68.8%</w:t>
            </w:r>
          </w:p>
        </w:tc>
        <w:tc>
          <w:tcPr>
            <w:tcW w:w="187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13.1%</w:t>
            </w:r>
          </w:p>
        </w:tc>
        <w:tc>
          <w:tcPr>
            <w:tcW w:w="198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61.6%</w:t>
            </w:r>
          </w:p>
        </w:tc>
      </w:tr>
      <w:tr w:rsidR="00554171" w:rsidRPr="00332CC0" w:rsidTr="00040D3F">
        <w:trPr>
          <w:trHeight w:val="680"/>
        </w:trPr>
        <w:tc>
          <w:tcPr>
            <w:cnfStyle w:val="001000000000" w:firstRow="0" w:lastRow="0" w:firstColumn="1" w:lastColumn="0" w:oddVBand="0" w:evenVBand="0" w:oddHBand="0" w:evenHBand="0" w:firstRowFirstColumn="0" w:firstRowLastColumn="0" w:lastRowFirstColumn="0" w:lastRowLastColumn="0"/>
            <w:tcW w:w="1827" w:type="dxa"/>
          </w:tcPr>
          <w:p w:rsidR="00554171" w:rsidRPr="00332CC0" w:rsidRDefault="00554171" w:rsidP="00040D3F">
            <w:pPr>
              <w:rPr>
                <w:b w:val="0"/>
              </w:rPr>
            </w:pPr>
            <w:r w:rsidRPr="00332CC0">
              <w:t>Asian/MELAA/</w:t>
            </w:r>
          </w:p>
          <w:p w:rsidR="00554171" w:rsidRPr="00332CC0" w:rsidRDefault="00554171" w:rsidP="00040D3F">
            <w:pPr>
              <w:rPr>
                <w:b w:val="0"/>
              </w:rPr>
            </w:pPr>
            <w:r w:rsidRPr="00332CC0">
              <w:t xml:space="preserve">Other </w:t>
            </w:r>
          </w:p>
        </w:tc>
        <w:tc>
          <w:tcPr>
            <w:tcW w:w="162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34.5%</w:t>
            </w:r>
          </w:p>
        </w:tc>
        <w:tc>
          <w:tcPr>
            <w:tcW w:w="162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66.0%</w:t>
            </w:r>
          </w:p>
        </w:tc>
        <w:tc>
          <w:tcPr>
            <w:tcW w:w="187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15.3%</w:t>
            </w:r>
          </w:p>
        </w:tc>
        <w:tc>
          <w:tcPr>
            <w:tcW w:w="198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66.9%</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27" w:type="dxa"/>
          </w:tcPr>
          <w:p w:rsidR="00554171" w:rsidRPr="00332CC0" w:rsidRDefault="00554171" w:rsidP="00040D3F">
            <w:pPr>
              <w:rPr>
                <w:b w:val="0"/>
              </w:rPr>
            </w:pPr>
            <w:r w:rsidRPr="00332CC0">
              <w:t xml:space="preserve">Total </w:t>
            </w:r>
          </w:p>
        </w:tc>
        <w:tc>
          <w:tcPr>
            <w:tcW w:w="162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48.5%</w:t>
            </w:r>
          </w:p>
        </w:tc>
        <w:tc>
          <w:tcPr>
            <w:tcW w:w="162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75.9%</w:t>
            </w:r>
          </w:p>
        </w:tc>
        <w:tc>
          <w:tcPr>
            <w:tcW w:w="187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17.8%</w:t>
            </w:r>
          </w:p>
        </w:tc>
        <w:tc>
          <w:tcPr>
            <w:tcW w:w="198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68.5%</w:t>
            </w:r>
          </w:p>
        </w:tc>
      </w:tr>
    </w:tbl>
    <w:p w:rsidR="00554171" w:rsidRPr="00332CC0" w:rsidRDefault="00554171" w:rsidP="00554171"/>
    <w:p w:rsidR="00554171" w:rsidRPr="00332CC0" w:rsidRDefault="00554171" w:rsidP="00554171">
      <w:pPr>
        <w:rPr>
          <w:b/>
          <w:sz w:val="28"/>
          <w:szCs w:val="28"/>
        </w:rPr>
      </w:pPr>
    </w:p>
    <w:p w:rsidR="00554171" w:rsidRPr="00332CC0" w:rsidRDefault="00554171" w:rsidP="002127F2">
      <w:pPr>
        <w:rPr>
          <w:b/>
          <w:sz w:val="28"/>
          <w:szCs w:val="28"/>
        </w:rPr>
      </w:pPr>
      <w:r w:rsidRPr="00332CC0">
        <w:rPr>
          <w:b/>
          <w:sz w:val="28"/>
          <w:szCs w:val="28"/>
        </w:rPr>
        <w:t>Table 1</w:t>
      </w:r>
      <w:r w:rsidR="00997B54">
        <w:rPr>
          <w:b/>
          <w:sz w:val="28"/>
          <w:szCs w:val="28"/>
        </w:rPr>
        <w:t>5</w:t>
      </w:r>
      <w:r w:rsidRPr="00332CC0">
        <w:rPr>
          <w:b/>
          <w:sz w:val="28"/>
          <w:szCs w:val="28"/>
        </w:rPr>
        <w:t xml:space="preserve">:  Unemployment rate by age and ethnicity </w:t>
      </w:r>
    </w:p>
    <w:p w:rsidR="00554171" w:rsidRPr="00332CC0" w:rsidRDefault="00554171" w:rsidP="00554171"/>
    <w:tbl>
      <w:tblPr>
        <w:tblStyle w:val="MediumGrid1-Accent2"/>
        <w:tblW w:w="0" w:type="auto"/>
        <w:tblLook w:val="04A0" w:firstRow="1" w:lastRow="0" w:firstColumn="1" w:lastColumn="0" w:noHBand="0" w:noVBand="1"/>
      </w:tblPr>
      <w:tblGrid>
        <w:gridCol w:w="1857"/>
        <w:gridCol w:w="1633"/>
        <w:gridCol w:w="1633"/>
        <w:gridCol w:w="1885"/>
        <w:gridCol w:w="2000"/>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1760" w:type="dxa"/>
          </w:tcPr>
          <w:p w:rsidR="00554171" w:rsidRPr="00332CC0" w:rsidRDefault="00554171" w:rsidP="00040D3F">
            <w:pPr>
              <w:rPr>
                <w:b w:val="0"/>
              </w:rPr>
            </w:pPr>
            <w:r w:rsidRPr="00332CC0">
              <w:t xml:space="preserve">Ethnicity </w:t>
            </w:r>
          </w:p>
        </w:tc>
        <w:tc>
          <w:tcPr>
            <w:tcW w:w="1633"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15-19</w:t>
            </w:r>
          </w:p>
        </w:tc>
        <w:tc>
          <w:tcPr>
            <w:tcW w:w="1633"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20-24</w:t>
            </w:r>
          </w:p>
        </w:tc>
        <w:tc>
          <w:tcPr>
            <w:tcW w:w="1885"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65 and over</w:t>
            </w:r>
          </w:p>
        </w:tc>
        <w:tc>
          <w:tcPr>
            <w:tcW w:w="2000"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Total 15 and over</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760" w:type="dxa"/>
          </w:tcPr>
          <w:p w:rsidR="00554171" w:rsidRPr="00332CC0" w:rsidRDefault="00554171" w:rsidP="00040D3F">
            <w:pPr>
              <w:rPr>
                <w:b w:val="0"/>
              </w:rPr>
            </w:pPr>
            <w:r w:rsidRPr="00332CC0">
              <w:t xml:space="preserve">European </w:t>
            </w:r>
          </w:p>
        </w:tc>
        <w:tc>
          <w:tcPr>
            <w:tcW w:w="163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20.4%</w:t>
            </w:r>
          </w:p>
        </w:tc>
        <w:tc>
          <w:tcPr>
            <w:tcW w:w="163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9.3%</w:t>
            </w:r>
          </w:p>
        </w:tc>
        <w:tc>
          <w:tcPr>
            <w:tcW w:w="188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2.2%</w:t>
            </w:r>
          </w:p>
        </w:tc>
        <w:tc>
          <w:tcPr>
            <w:tcW w:w="2000"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5.1%</w:t>
            </w:r>
          </w:p>
        </w:tc>
      </w:tr>
      <w:tr w:rsidR="00554171" w:rsidRPr="00332CC0" w:rsidTr="00040D3F">
        <w:trPr>
          <w:trHeight w:val="323"/>
        </w:trPr>
        <w:tc>
          <w:tcPr>
            <w:cnfStyle w:val="001000000000" w:firstRow="0" w:lastRow="0" w:firstColumn="1" w:lastColumn="0" w:oddVBand="0" w:evenVBand="0" w:oddHBand="0" w:evenHBand="0" w:firstRowFirstColumn="0" w:firstRowLastColumn="0" w:lastRowFirstColumn="0" w:lastRowLastColumn="0"/>
            <w:tcW w:w="1760" w:type="dxa"/>
          </w:tcPr>
          <w:p w:rsidR="00554171" w:rsidRPr="00332CC0" w:rsidRDefault="00554171" w:rsidP="00040D3F">
            <w:pPr>
              <w:rPr>
                <w:b w:val="0"/>
              </w:rPr>
            </w:pPr>
            <w:r w:rsidRPr="00332CC0">
              <w:t>Māori</w:t>
            </w:r>
          </w:p>
        </w:tc>
        <w:tc>
          <w:tcPr>
            <w:tcW w:w="163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38.2%</w:t>
            </w:r>
          </w:p>
        </w:tc>
        <w:tc>
          <w:tcPr>
            <w:tcW w:w="163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18.8%</w:t>
            </w:r>
          </w:p>
        </w:tc>
        <w:tc>
          <w:tcPr>
            <w:tcW w:w="1885"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2000"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13.4%</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760" w:type="dxa"/>
          </w:tcPr>
          <w:p w:rsidR="00554171" w:rsidRPr="00332CC0" w:rsidRDefault="00554171" w:rsidP="00040D3F">
            <w:pPr>
              <w:rPr>
                <w:b w:val="0"/>
              </w:rPr>
            </w:pPr>
            <w:r w:rsidRPr="00332CC0">
              <w:t>Pacific peoples</w:t>
            </w:r>
          </w:p>
        </w:tc>
        <w:tc>
          <w:tcPr>
            <w:tcW w:w="163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40.9%</w:t>
            </w:r>
          </w:p>
        </w:tc>
        <w:tc>
          <w:tcPr>
            <w:tcW w:w="163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17.2%</w:t>
            </w:r>
          </w:p>
        </w:tc>
        <w:tc>
          <w:tcPr>
            <w:tcW w:w="188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..S</w:t>
            </w:r>
          </w:p>
        </w:tc>
        <w:tc>
          <w:tcPr>
            <w:tcW w:w="2000"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13.6%</w:t>
            </w:r>
          </w:p>
        </w:tc>
      </w:tr>
      <w:tr w:rsidR="00554171" w:rsidRPr="00332CC0" w:rsidTr="00040D3F">
        <w:trPr>
          <w:trHeight w:val="621"/>
        </w:trPr>
        <w:tc>
          <w:tcPr>
            <w:cnfStyle w:val="001000000000" w:firstRow="0" w:lastRow="0" w:firstColumn="1" w:lastColumn="0" w:oddVBand="0" w:evenVBand="0" w:oddHBand="0" w:evenHBand="0" w:firstRowFirstColumn="0" w:firstRowLastColumn="0" w:lastRowFirstColumn="0" w:lastRowLastColumn="0"/>
            <w:tcW w:w="1760" w:type="dxa"/>
          </w:tcPr>
          <w:p w:rsidR="00554171" w:rsidRPr="00332CC0" w:rsidRDefault="00554171" w:rsidP="00040D3F">
            <w:pPr>
              <w:rPr>
                <w:b w:val="0"/>
              </w:rPr>
            </w:pPr>
            <w:r w:rsidRPr="00332CC0">
              <w:t>Asian/MELAA/</w:t>
            </w:r>
          </w:p>
          <w:p w:rsidR="00554171" w:rsidRPr="00332CC0" w:rsidRDefault="00554171" w:rsidP="00040D3F">
            <w:pPr>
              <w:rPr>
                <w:b w:val="0"/>
              </w:rPr>
            </w:pPr>
            <w:r w:rsidRPr="00332CC0">
              <w:t xml:space="preserve">Other </w:t>
            </w:r>
          </w:p>
        </w:tc>
        <w:tc>
          <w:tcPr>
            <w:tcW w:w="163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33.5%</w:t>
            </w:r>
          </w:p>
        </w:tc>
        <w:tc>
          <w:tcPr>
            <w:tcW w:w="163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12.2%</w:t>
            </w:r>
          </w:p>
        </w:tc>
        <w:tc>
          <w:tcPr>
            <w:tcW w:w="1885"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2000"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8.5%</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760" w:type="dxa"/>
          </w:tcPr>
          <w:p w:rsidR="00554171" w:rsidRPr="00332CC0" w:rsidRDefault="00554171" w:rsidP="00040D3F">
            <w:pPr>
              <w:rPr>
                <w:b w:val="0"/>
              </w:rPr>
            </w:pPr>
            <w:r w:rsidRPr="00332CC0">
              <w:t xml:space="preserve">Total </w:t>
            </w:r>
          </w:p>
        </w:tc>
        <w:tc>
          <w:tcPr>
            <w:tcW w:w="163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25.5%</w:t>
            </w:r>
          </w:p>
        </w:tc>
        <w:tc>
          <w:tcPr>
            <w:tcW w:w="163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11.2%</w:t>
            </w:r>
          </w:p>
        </w:tc>
        <w:tc>
          <w:tcPr>
            <w:tcW w:w="188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2.2%</w:t>
            </w:r>
          </w:p>
        </w:tc>
        <w:tc>
          <w:tcPr>
            <w:tcW w:w="2000"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6.6%</w:t>
            </w:r>
          </w:p>
        </w:tc>
      </w:tr>
    </w:tbl>
    <w:p w:rsidR="00554171" w:rsidRPr="00332CC0" w:rsidRDefault="00554171" w:rsidP="00554171">
      <w:r w:rsidRPr="00332CC0">
        <w:t xml:space="preserve"> </w:t>
      </w:r>
    </w:p>
    <w:p w:rsidR="00554171" w:rsidRPr="00332CC0" w:rsidRDefault="00554171" w:rsidP="00554171">
      <w:pPr>
        <w:rPr>
          <w:b/>
          <w:sz w:val="28"/>
          <w:szCs w:val="28"/>
        </w:rPr>
      </w:pPr>
    </w:p>
    <w:p w:rsidR="00554171" w:rsidRPr="00332CC0" w:rsidRDefault="00997B54" w:rsidP="002127F2">
      <w:pPr>
        <w:rPr>
          <w:b/>
          <w:sz w:val="28"/>
          <w:szCs w:val="28"/>
        </w:rPr>
      </w:pPr>
      <w:r w:rsidRPr="002127F2">
        <w:rPr>
          <w:b/>
          <w:sz w:val="28"/>
          <w:szCs w:val="28"/>
        </w:rPr>
        <w:t>Table 16</w:t>
      </w:r>
      <w:r w:rsidR="00554171" w:rsidRPr="002127F2">
        <w:rPr>
          <w:b/>
          <w:sz w:val="28"/>
          <w:szCs w:val="28"/>
        </w:rPr>
        <w:t>:  Gender participation rate by age</w:t>
      </w:r>
    </w:p>
    <w:p w:rsidR="00554171" w:rsidRPr="00332CC0" w:rsidRDefault="00554171" w:rsidP="00554171">
      <w:pPr>
        <w:rPr>
          <w:b/>
        </w:rPr>
      </w:pPr>
    </w:p>
    <w:tbl>
      <w:tblPr>
        <w:tblStyle w:val="MediumGrid1-Accent2"/>
        <w:tblW w:w="0" w:type="auto"/>
        <w:tblLook w:val="04A0" w:firstRow="1" w:lastRow="0" w:firstColumn="1" w:lastColumn="0" w:noHBand="0" w:noVBand="1"/>
      </w:tblPr>
      <w:tblGrid>
        <w:gridCol w:w="1652"/>
        <w:gridCol w:w="1652"/>
        <w:gridCol w:w="1652"/>
        <w:gridCol w:w="1908"/>
        <w:gridCol w:w="2024"/>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1652" w:type="dxa"/>
          </w:tcPr>
          <w:p w:rsidR="00554171" w:rsidRPr="00332CC0" w:rsidRDefault="00554171" w:rsidP="00040D3F">
            <w:pPr>
              <w:rPr>
                <w:b w:val="0"/>
              </w:rPr>
            </w:pPr>
            <w:r w:rsidRPr="00332CC0">
              <w:t>Gender</w:t>
            </w:r>
          </w:p>
        </w:tc>
        <w:tc>
          <w:tcPr>
            <w:tcW w:w="1652"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15-19</w:t>
            </w:r>
          </w:p>
        </w:tc>
        <w:tc>
          <w:tcPr>
            <w:tcW w:w="1652"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20-24</w:t>
            </w:r>
          </w:p>
        </w:tc>
        <w:tc>
          <w:tcPr>
            <w:tcW w:w="1908"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65 and over</w:t>
            </w:r>
          </w:p>
        </w:tc>
        <w:tc>
          <w:tcPr>
            <w:tcW w:w="2024"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Total 15 and over</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652" w:type="dxa"/>
          </w:tcPr>
          <w:p w:rsidR="00554171" w:rsidRPr="00332CC0" w:rsidRDefault="00554171" w:rsidP="00040D3F">
            <w:pPr>
              <w:rPr>
                <w:b w:val="0"/>
              </w:rPr>
            </w:pPr>
            <w:r w:rsidRPr="00332CC0">
              <w:t>Male</w:t>
            </w:r>
          </w:p>
        </w:tc>
        <w:tc>
          <w:tcPr>
            <w:tcW w:w="165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48.6%</w:t>
            </w:r>
          </w:p>
        </w:tc>
        <w:tc>
          <w:tcPr>
            <w:tcW w:w="165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80.2%</w:t>
            </w:r>
          </w:p>
        </w:tc>
        <w:tc>
          <w:tcPr>
            <w:tcW w:w="190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23.5%</w:t>
            </w:r>
          </w:p>
        </w:tc>
        <w:tc>
          <w:tcPr>
            <w:tcW w:w="202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74.9%</w:t>
            </w:r>
          </w:p>
        </w:tc>
      </w:tr>
      <w:tr w:rsidR="00554171" w:rsidRPr="00332CC0" w:rsidTr="00040D3F">
        <w:trPr>
          <w:trHeight w:val="334"/>
        </w:trPr>
        <w:tc>
          <w:tcPr>
            <w:cnfStyle w:val="001000000000" w:firstRow="0" w:lastRow="0" w:firstColumn="1" w:lastColumn="0" w:oddVBand="0" w:evenVBand="0" w:oddHBand="0" w:evenHBand="0" w:firstRowFirstColumn="0" w:firstRowLastColumn="0" w:lastRowFirstColumn="0" w:lastRowLastColumn="0"/>
            <w:tcW w:w="1652" w:type="dxa"/>
          </w:tcPr>
          <w:p w:rsidR="00554171" w:rsidRPr="00332CC0" w:rsidRDefault="00554171" w:rsidP="00040D3F">
            <w:pPr>
              <w:rPr>
                <w:b w:val="0"/>
              </w:rPr>
            </w:pPr>
            <w:r w:rsidRPr="00332CC0">
              <w:t>Female</w:t>
            </w:r>
          </w:p>
        </w:tc>
        <w:tc>
          <w:tcPr>
            <w:tcW w:w="165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48.4%</w:t>
            </w:r>
          </w:p>
        </w:tc>
        <w:tc>
          <w:tcPr>
            <w:tcW w:w="165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71.3%</w:t>
            </w:r>
          </w:p>
        </w:tc>
        <w:tc>
          <w:tcPr>
            <w:tcW w:w="1908"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12.9%</w:t>
            </w:r>
          </w:p>
        </w:tc>
        <w:tc>
          <w:tcPr>
            <w:tcW w:w="202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62.5%</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652" w:type="dxa"/>
          </w:tcPr>
          <w:p w:rsidR="00554171" w:rsidRPr="00332CC0" w:rsidRDefault="00554171" w:rsidP="00040D3F">
            <w:pPr>
              <w:rPr>
                <w:b w:val="0"/>
              </w:rPr>
            </w:pPr>
            <w:r w:rsidRPr="00332CC0">
              <w:t xml:space="preserve">Total </w:t>
            </w:r>
          </w:p>
        </w:tc>
        <w:tc>
          <w:tcPr>
            <w:tcW w:w="165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48.5%</w:t>
            </w:r>
          </w:p>
        </w:tc>
        <w:tc>
          <w:tcPr>
            <w:tcW w:w="165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75.9%</w:t>
            </w:r>
          </w:p>
        </w:tc>
        <w:tc>
          <w:tcPr>
            <w:tcW w:w="190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17.8%</w:t>
            </w:r>
          </w:p>
        </w:tc>
        <w:tc>
          <w:tcPr>
            <w:tcW w:w="202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68.5%</w:t>
            </w:r>
          </w:p>
        </w:tc>
      </w:tr>
    </w:tbl>
    <w:p w:rsidR="00554171" w:rsidRPr="00332CC0" w:rsidRDefault="00554171" w:rsidP="00554171"/>
    <w:p w:rsidR="00554171" w:rsidRPr="00332CC0" w:rsidRDefault="00554171" w:rsidP="00554171">
      <w:pPr>
        <w:rPr>
          <w:b/>
          <w:sz w:val="28"/>
          <w:szCs w:val="28"/>
        </w:rPr>
      </w:pPr>
    </w:p>
    <w:p w:rsidR="00554171" w:rsidRPr="00332CC0" w:rsidRDefault="00554171" w:rsidP="00554171">
      <w:pPr>
        <w:rPr>
          <w:b/>
          <w:sz w:val="28"/>
          <w:szCs w:val="28"/>
        </w:rPr>
      </w:pPr>
    </w:p>
    <w:p w:rsidR="00554171" w:rsidRPr="00332CC0" w:rsidRDefault="00997B54" w:rsidP="002127F2">
      <w:pPr>
        <w:rPr>
          <w:b/>
          <w:sz w:val="28"/>
          <w:szCs w:val="28"/>
        </w:rPr>
      </w:pPr>
      <w:r>
        <w:rPr>
          <w:b/>
          <w:sz w:val="28"/>
          <w:szCs w:val="28"/>
        </w:rPr>
        <w:t>Table 17</w:t>
      </w:r>
      <w:r w:rsidR="00554171" w:rsidRPr="00332CC0">
        <w:rPr>
          <w:b/>
          <w:sz w:val="28"/>
          <w:szCs w:val="28"/>
        </w:rPr>
        <w:t>:  Gender unemployment rate by age</w:t>
      </w:r>
    </w:p>
    <w:p w:rsidR="00554171" w:rsidRPr="00332CC0" w:rsidRDefault="00554171" w:rsidP="00554171"/>
    <w:tbl>
      <w:tblPr>
        <w:tblStyle w:val="MediumGrid1-Accent2"/>
        <w:tblW w:w="0" w:type="auto"/>
        <w:tblLook w:val="04A0" w:firstRow="1" w:lastRow="0" w:firstColumn="1" w:lastColumn="0" w:noHBand="0" w:noVBand="1"/>
      </w:tblPr>
      <w:tblGrid>
        <w:gridCol w:w="1644"/>
        <w:gridCol w:w="1644"/>
        <w:gridCol w:w="1644"/>
        <w:gridCol w:w="1899"/>
        <w:gridCol w:w="2014"/>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644" w:type="dxa"/>
          </w:tcPr>
          <w:p w:rsidR="00554171" w:rsidRPr="00332CC0" w:rsidRDefault="00554171" w:rsidP="00040D3F">
            <w:pPr>
              <w:rPr>
                <w:b w:val="0"/>
              </w:rPr>
            </w:pPr>
            <w:r w:rsidRPr="00332CC0">
              <w:t xml:space="preserve">Gender </w:t>
            </w:r>
          </w:p>
        </w:tc>
        <w:tc>
          <w:tcPr>
            <w:tcW w:w="1644"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15-19</w:t>
            </w:r>
          </w:p>
        </w:tc>
        <w:tc>
          <w:tcPr>
            <w:tcW w:w="1644"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20-24</w:t>
            </w:r>
          </w:p>
        </w:tc>
        <w:tc>
          <w:tcPr>
            <w:tcW w:w="1899"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65 and over</w:t>
            </w:r>
          </w:p>
        </w:tc>
        <w:tc>
          <w:tcPr>
            <w:tcW w:w="2014" w:type="dxa"/>
          </w:tcPr>
          <w:p w:rsidR="00554171" w:rsidRPr="00332CC0" w:rsidRDefault="00554171" w:rsidP="00040D3F">
            <w:pPr>
              <w:ind w:right="-101"/>
              <w:cnfStyle w:val="100000000000" w:firstRow="1" w:lastRow="0" w:firstColumn="0" w:lastColumn="0" w:oddVBand="0" w:evenVBand="0" w:oddHBand="0" w:evenHBand="0" w:firstRowFirstColumn="0" w:firstRowLastColumn="0" w:lastRowFirstColumn="0" w:lastRowLastColumn="0"/>
              <w:rPr>
                <w:b w:val="0"/>
              </w:rPr>
            </w:pPr>
            <w:r w:rsidRPr="00332CC0">
              <w:t>Total 15 and over</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44" w:type="dxa"/>
          </w:tcPr>
          <w:p w:rsidR="00554171" w:rsidRPr="00332CC0" w:rsidRDefault="00554171" w:rsidP="00040D3F">
            <w:pPr>
              <w:rPr>
                <w:b w:val="0"/>
              </w:rPr>
            </w:pPr>
            <w:r w:rsidRPr="00332CC0">
              <w:t>Male</w:t>
            </w:r>
          </w:p>
        </w:tc>
        <w:tc>
          <w:tcPr>
            <w:tcW w:w="164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24.8%</w:t>
            </w:r>
          </w:p>
        </w:tc>
        <w:tc>
          <w:tcPr>
            <w:tcW w:w="164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11.6%</w:t>
            </w:r>
          </w:p>
        </w:tc>
        <w:tc>
          <w:tcPr>
            <w:tcW w:w="189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2.5%</w:t>
            </w:r>
          </w:p>
        </w:tc>
        <w:tc>
          <w:tcPr>
            <w:tcW w:w="201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6.4%</w:t>
            </w:r>
          </w:p>
        </w:tc>
      </w:tr>
      <w:tr w:rsidR="00554171" w:rsidRPr="00332CC0" w:rsidTr="00040D3F">
        <w:trPr>
          <w:trHeight w:val="369"/>
        </w:trPr>
        <w:tc>
          <w:tcPr>
            <w:cnfStyle w:val="001000000000" w:firstRow="0" w:lastRow="0" w:firstColumn="1" w:lastColumn="0" w:oddVBand="0" w:evenVBand="0" w:oddHBand="0" w:evenHBand="0" w:firstRowFirstColumn="0" w:firstRowLastColumn="0" w:lastRowFirstColumn="0" w:lastRowLastColumn="0"/>
            <w:tcW w:w="1644" w:type="dxa"/>
          </w:tcPr>
          <w:p w:rsidR="00554171" w:rsidRPr="00332CC0" w:rsidRDefault="00554171" w:rsidP="00040D3F">
            <w:pPr>
              <w:rPr>
                <w:b w:val="0"/>
              </w:rPr>
            </w:pPr>
            <w:r w:rsidRPr="00332CC0">
              <w:t>Female</w:t>
            </w:r>
          </w:p>
        </w:tc>
        <w:tc>
          <w:tcPr>
            <w:tcW w:w="164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26.3%</w:t>
            </w:r>
          </w:p>
        </w:tc>
        <w:tc>
          <w:tcPr>
            <w:tcW w:w="164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10.8%</w:t>
            </w:r>
          </w:p>
        </w:tc>
        <w:tc>
          <w:tcPr>
            <w:tcW w:w="189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..S</w:t>
            </w:r>
          </w:p>
        </w:tc>
        <w:tc>
          <w:tcPr>
            <w:tcW w:w="201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6.8%</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644" w:type="dxa"/>
          </w:tcPr>
          <w:p w:rsidR="00554171" w:rsidRPr="00332CC0" w:rsidRDefault="00554171" w:rsidP="00040D3F">
            <w:pPr>
              <w:rPr>
                <w:b w:val="0"/>
              </w:rPr>
            </w:pPr>
            <w:r w:rsidRPr="00332CC0">
              <w:t xml:space="preserve">Total </w:t>
            </w:r>
          </w:p>
        </w:tc>
        <w:tc>
          <w:tcPr>
            <w:tcW w:w="164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25.5%</w:t>
            </w:r>
          </w:p>
        </w:tc>
        <w:tc>
          <w:tcPr>
            <w:tcW w:w="164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11.2%</w:t>
            </w:r>
          </w:p>
        </w:tc>
        <w:tc>
          <w:tcPr>
            <w:tcW w:w="189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2.2%</w:t>
            </w:r>
          </w:p>
        </w:tc>
        <w:tc>
          <w:tcPr>
            <w:tcW w:w="201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6.6%</w:t>
            </w:r>
          </w:p>
        </w:tc>
      </w:tr>
    </w:tbl>
    <w:p w:rsidR="00554171" w:rsidRPr="00332CC0" w:rsidRDefault="00554171" w:rsidP="00554171">
      <w:pPr>
        <w:rPr>
          <w:sz w:val="22"/>
        </w:rPr>
      </w:pPr>
    </w:p>
    <w:p w:rsidR="00554171" w:rsidRPr="00332CC0" w:rsidRDefault="00554171" w:rsidP="00554171">
      <w:pPr>
        <w:rPr>
          <w:sz w:val="22"/>
        </w:rPr>
      </w:pPr>
    </w:p>
    <w:p w:rsidR="00554171" w:rsidRPr="00332CC0" w:rsidRDefault="00554171" w:rsidP="00554171">
      <w:pPr>
        <w:jc w:val="both"/>
        <w:rPr>
          <w:sz w:val="22"/>
        </w:rPr>
      </w:pPr>
      <w:r w:rsidRPr="002127F2">
        <w:rPr>
          <w:sz w:val="22"/>
        </w:rPr>
        <w:t xml:space="preserve">Older workers are sometimes categorised as those over 45. Table </w:t>
      </w:r>
      <w:r w:rsidR="00C230D7" w:rsidRPr="002127F2">
        <w:rPr>
          <w:sz w:val="22"/>
        </w:rPr>
        <w:t>18</w:t>
      </w:r>
      <w:r w:rsidRPr="002127F2">
        <w:rPr>
          <w:sz w:val="22"/>
        </w:rPr>
        <w:t xml:space="preserve"> shows participation rates start to reduce in the late fifties and early sixties but reduce sharply at 65 ye</w:t>
      </w:r>
      <w:r w:rsidRPr="00332CC0">
        <w:rPr>
          <w:sz w:val="22"/>
        </w:rPr>
        <w:t xml:space="preserve">ars. </w:t>
      </w:r>
    </w:p>
    <w:p w:rsidR="00554171" w:rsidRPr="00332CC0" w:rsidRDefault="00554171" w:rsidP="00554171">
      <w:pPr>
        <w:rPr>
          <w:b/>
          <w:sz w:val="28"/>
          <w:szCs w:val="28"/>
        </w:rPr>
      </w:pPr>
    </w:p>
    <w:p w:rsidR="00554171" w:rsidRPr="00332CC0" w:rsidRDefault="00554171" w:rsidP="002127F2">
      <w:pPr>
        <w:rPr>
          <w:b/>
          <w:sz w:val="28"/>
          <w:szCs w:val="28"/>
        </w:rPr>
      </w:pPr>
      <w:r w:rsidRPr="00332CC0">
        <w:rPr>
          <w:b/>
          <w:sz w:val="28"/>
          <w:szCs w:val="28"/>
        </w:rPr>
        <w:t>Table 1</w:t>
      </w:r>
      <w:r w:rsidR="00997B54">
        <w:rPr>
          <w:b/>
          <w:sz w:val="28"/>
          <w:szCs w:val="28"/>
        </w:rPr>
        <w:t>8</w:t>
      </w:r>
      <w:r w:rsidRPr="00332CC0">
        <w:rPr>
          <w:b/>
          <w:sz w:val="28"/>
          <w:szCs w:val="28"/>
        </w:rPr>
        <w:t>:  Participation and unemployment of older workers</w:t>
      </w:r>
    </w:p>
    <w:p w:rsidR="00554171" w:rsidRPr="00332CC0" w:rsidRDefault="00554171" w:rsidP="00554171">
      <w:pPr>
        <w:rPr>
          <w:b/>
          <w:sz w:val="28"/>
          <w:szCs w:val="28"/>
        </w:rPr>
      </w:pPr>
    </w:p>
    <w:tbl>
      <w:tblPr>
        <w:tblStyle w:val="MediumGrid1-Accent2"/>
        <w:tblW w:w="8819" w:type="dxa"/>
        <w:tblLook w:val="04A0" w:firstRow="1" w:lastRow="0" w:firstColumn="1" w:lastColumn="0" w:noHBand="0" w:noVBand="1"/>
      </w:tblPr>
      <w:tblGrid>
        <w:gridCol w:w="2939"/>
        <w:gridCol w:w="2940"/>
        <w:gridCol w:w="2940"/>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939" w:type="dxa"/>
          </w:tcPr>
          <w:p w:rsidR="00554171" w:rsidRPr="00332CC0" w:rsidRDefault="00554171" w:rsidP="00040D3F">
            <w:pPr>
              <w:autoSpaceDE w:val="0"/>
              <w:autoSpaceDN w:val="0"/>
              <w:adjustRightInd w:val="0"/>
              <w:spacing w:before="240" w:line="360" w:lineRule="auto"/>
              <w:rPr>
                <w:rFonts w:cs="Arial"/>
              </w:rPr>
            </w:pPr>
            <w:r w:rsidRPr="00332CC0">
              <w:rPr>
                <w:rFonts w:cs="Arial"/>
              </w:rPr>
              <w:t>Older workers</w:t>
            </w:r>
          </w:p>
        </w:tc>
        <w:tc>
          <w:tcPr>
            <w:tcW w:w="2940" w:type="dxa"/>
            <w:hideMark/>
          </w:tcPr>
          <w:p w:rsidR="00554171" w:rsidRPr="00332CC0" w:rsidRDefault="00554171" w:rsidP="00040D3F">
            <w:pPr>
              <w:autoSpaceDE w:val="0"/>
              <w:autoSpaceDN w:val="0"/>
              <w:adjustRightInd w:val="0"/>
              <w:spacing w:before="240" w:line="360" w:lineRule="auto"/>
              <w:ind w:left="250"/>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Participation</w:t>
            </w:r>
          </w:p>
        </w:tc>
        <w:tc>
          <w:tcPr>
            <w:tcW w:w="2940" w:type="dxa"/>
            <w:hideMark/>
          </w:tcPr>
          <w:p w:rsidR="00554171" w:rsidRPr="00332CC0" w:rsidRDefault="00554171" w:rsidP="00040D3F">
            <w:pPr>
              <w:autoSpaceDE w:val="0"/>
              <w:autoSpaceDN w:val="0"/>
              <w:adjustRightInd w:val="0"/>
              <w:spacing w:before="240" w:line="360" w:lineRule="auto"/>
              <w:cnfStyle w:val="100000000000" w:firstRow="1" w:lastRow="0" w:firstColumn="0" w:lastColumn="0" w:oddVBand="0" w:evenVBand="0" w:oddHBand="0" w:evenHBand="0" w:firstRowFirstColumn="0" w:firstRowLastColumn="0" w:lastRowFirstColumn="0" w:lastRowLastColumn="0"/>
              <w:rPr>
                <w:rFonts w:cs="Arial"/>
              </w:rPr>
            </w:pPr>
            <w:r w:rsidRPr="00332CC0">
              <w:rPr>
                <w:rFonts w:cs="Arial"/>
              </w:rPr>
              <w:t>Unemployment</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939" w:type="dxa"/>
            <w:hideMark/>
          </w:tcPr>
          <w:p w:rsidR="00554171" w:rsidRPr="00332CC0" w:rsidRDefault="00554171" w:rsidP="00040D3F">
            <w:pPr>
              <w:autoSpaceDE w:val="0"/>
              <w:autoSpaceDN w:val="0"/>
              <w:adjustRightInd w:val="0"/>
              <w:spacing w:line="360" w:lineRule="auto"/>
              <w:rPr>
                <w:rFonts w:cs="Arial"/>
              </w:rPr>
            </w:pPr>
            <w:r w:rsidRPr="00332CC0">
              <w:rPr>
                <w:rFonts w:cs="Arial"/>
              </w:rPr>
              <w:t>45–49</w:t>
            </w:r>
          </w:p>
        </w:tc>
        <w:tc>
          <w:tcPr>
            <w:tcW w:w="2940" w:type="dxa"/>
            <w:hideMark/>
          </w:tcPr>
          <w:p w:rsidR="00554171" w:rsidRPr="00332CC0" w:rsidRDefault="00554171" w:rsidP="00040D3F">
            <w:pPr>
              <w:autoSpaceDE w:val="0"/>
              <w:autoSpaceDN w:val="0"/>
              <w:adjustRightInd w:val="0"/>
              <w:spacing w:line="360" w:lineRule="auto"/>
              <w:ind w:left="340"/>
              <w:cnfStyle w:val="000000100000" w:firstRow="0" w:lastRow="0" w:firstColumn="0" w:lastColumn="0" w:oddVBand="0" w:evenVBand="0" w:oddHBand="1" w:evenHBand="0" w:firstRowFirstColumn="0" w:firstRowLastColumn="0" w:lastRowFirstColumn="0" w:lastRowLastColumn="0"/>
              <w:rPr>
                <w:rFonts w:cs="Arial"/>
                <w:color w:val="000000"/>
              </w:rPr>
            </w:pPr>
            <w:r w:rsidRPr="00332CC0">
              <w:rPr>
                <w:rFonts w:cs="Arial"/>
                <w:color w:val="000000"/>
              </w:rPr>
              <w:t>87%</w:t>
            </w:r>
          </w:p>
        </w:tc>
        <w:tc>
          <w:tcPr>
            <w:tcW w:w="2940" w:type="dxa"/>
            <w:hideMark/>
          </w:tcPr>
          <w:p w:rsidR="00554171" w:rsidRPr="00332CC0" w:rsidRDefault="00554171" w:rsidP="00040D3F">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cs="Arial"/>
                <w:color w:val="000000"/>
              </w:rPr>
            </w:pPr>
            <w:r w:rsidRPr="00332CC0">
              <w:rPr>
                <w:rFonts w:cs="Arial"/>
                <w:color w:val="000000"/>
              </w:rPr>
              <w:t>4.0%</w:t>
            </w:r>
          </w:p>
        </w:tc>
      </w:tr>
      <w:tr w:rsidR="00554171" w:rsidRPr="00332CC0" w:rsidTr="00040D3F">
        <w:trPr>
          <w:trHeight w:val="314"/>
        </w:trPr>
        <w:tc>
          <w:tcPr>
            <w:cnfStyle w:val="001000000000" w:firstRow="0" w:lastRow="0" w:firstColumn="1" w:lastColumn="0" w:oddVBand="0" w:evenVBand="0" w:oddHBand="0" w:evenHBand="0" w:firstRowFirstColumn="0" w:firstRowLastColumn="0" w:lastRowFirstColumn="0" w:lastRowLastColumn="0"/>
            <w:tcW w:w="2939" w:type="dxa"/>
            <w:hideMark/>
          </w:tcPr>
          <w:p w:rsidR="00554171" w:rsidRPr="00332CC0" w:rsidRDefault="00554171" w:rsidP="00040D3F">
            <w:pPr>
              <w:autoSpaceDE w:val="0"/>
              <w:autoSpaceDN w:val="0"/>
              <w:adjustRightInd w:val="0"/>
              <w:spacing w:line="360" w:lineRule="auto"/>
              <w:rPr>
                <w:rFonts w:cs="Arial"/>
              </w:rPr>
            </w:pPr>
            <w:r w:rsidRPr="00332CC0">
              <w:rPr>
                <w:rFonts w:cs="Arial"/>
              </w:rPr>
              <w:t>50–54</w:t>
            </w:r>
          </w:p>
        </w:tc>
        <w:tc>
          <w:tcPr>
            <w:tcW w:w="2940" w:type="dxa"/>
            <w:hideMark/>
          </w:tcPr>
          <w:p w:rsidR="00554171" w:rsidRPr="00332CC0" w:rsidRDefault="00554171" w:rsidP="00040D3F">
            <w:pPr>
              <w:autoSpaceDE w:val="0"/>
              <w:autoSpaceDN w:val="0"/>
              <w:adjustRightInd w:val="0"/>
              <w:spacing w:line="360" w:lineRule="auto"/>
              <w:ind w:left="340"/>
              <w:cnfStyle w:val="000000000000" w:firstRow="0" w:lastRow="0" w:firstColumn="0" w:lastColumn="0" w:oddVBand="0" w:evenVBand="0" w:oddHBand="0" w:evenHBand="0" w:firstRowFirstColumn="0" w:firstRowLastColumn="0" w:lastRowFirstColumn="0" w:lastRowLastColumn="0"/>
              <w:rPr>
                <w:rFonts w:cs="Arial"/>
                <w:color w:val="000000"/>
              </w:rPr>
            </w:pPr>
            <w:r w:rsidRPr="00332CC0">
              <w:rPr>
                <w:rFonts w:cs="Arial"/>
                <w:color w:val="000000"/>
              </w:rPr>
              <w:t>86.3%</w:t>
            </w:r>
          </w:p>
        </w:tc>
        <w:tc>
          <w:tcPr>
            <w:tcW w:w="2940" w:type="dxa"/>
            <w:hideMark/>
          </w:tcPr>
          <w:p w:rsidR="00554171" w:rsidRPr="00332CC0" w:rsidRDefault="00554171" w:rsidP="00040D3F">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cs="Arial"/>
                <w:color w:val="000000"/>
              </w:rPr>
            </w:pPr>
            <w:r w:rsidRPr="00332CC0">
              <w:rPr>
                <w:rFonts w:cs="Arial"/>
                <w:color w:val="000000"/>
              </w:rPr>
              <w:t>3.8%</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939" w:type="dxa"/>
            <w:hideMark/>
          </w:tcPr>
          <w:p w:rsidR="00554171" w:rsidRPr="00332CC0" w:rsidRDefault="00554171" w:rsidP="00040D3F">
            <w:pPr>
              <w:autoSpaceDE w:val="0"/>
              <w:autoSpaceDN w:val="0"/>
              <w:adjustRightInd w:val="0"/>
              <w:spacing w:line="360" w:lineRule="auto"/>
              <w:rPr>
                <w:rFonts w:cs="Arial"/>
              </w:rPr>
            </w:pPr>
            <w:r w:rsidRPr="00332CC0">
              <w:rPr>
                <w:rFonts w:cs="Arial"/>
              </w:rPr>
              <w:t>55–59</w:t>
            </w:r>
          </w:p>
        </w:tc>
        <w:tc>
          <w:tcPr>
            <w:tcW w:w="2940" w:type="dxa"/>
            <w:hideMark/>
          </w:tcPr>
          <w:p w:rsidR="00554171" w:rsidRPr="00332CC0" w:rsidRDefault="00554171" w:rsidP="00040D3F">
            <w:pPr>
              <w:autoSpaceDE w:val="0"/>
              <w:autoSpaceDN w:val="0"/>
              <w:adjustRightInd w:val="0"/>
              <w:spacing w:line="360" w:lineRule="auto"/>
              <w:ind w:left="340"/>
              <w:cnfStyle w:val="000000100000" w:firstRow="0" w:lastRow="0" w:firstColumn="0" w:lastColumn="0" w:oddVBand="0" w:evenVBand="0" w:oddHBand="1" w:evenHBand="0" w:firstRowFirstColumn="0" w:firstRowLastColumn="0" w:lastRowFirstColumn="0" w:lastRowLastColumn="0"/>
              <w:rPr>
                <w:rFonts w:cs="Arial"/>
                <w:color w:val="000000"/>
              </w:rPr>
            </w:pPr>
            <w:r w:rsidRPr="00332CC0">
              <w:rPr>
                <w:rFonts w:cs="Arial"/>
                <w:color w:val="000000"/>
              </w:rPr>
              <w:t>81.4%</w:t>
            </w:r>
          </w:p>
        </w:tc>
        <w:tc>
          <w:tcPr>
            <w:tcW w:w="2940" w:type="dxa"/>
            <w:hideMark/>
          </w:tcPr>
          <w:p w:rsidR="00554171" w:rsidRPr="00332CC0" w:rsidRDefault="00554171" w:rsidP="00040D3F">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cs="Arial"/>
                <w:color w:val="000000"/>
              </w:rPr>
            </w:pPr>
            <w:r w:rsidRPr="00332CC0">
              <w:rPr>
                <w:rFonts w:cs="Arial"/>
                <w:color w:val="000000"/>
              </w:rPr>
              <w:t>3.7%</w:t>
            </w:r>
          </w:p>
        </w:tc>
      </w:tr>
      <w:tr w:rsidR="00554171" w:rsidRPr="00332CC0" w:rsidTr="00040D3F">
        <w:trPr>
          <w:trHeight w:val="314"/>
        </w:trPr>
        <w:tc>
          <w:tcPr>
            <w:cnfStyle w:val="001000000000" w:firstRow="0" w:lastRow="0" w:firstColumn="1" w:lastColumn="0" w:oddVBand="0" w:evenVBand="0" w:oddHBand="0" w:evenHBand="0" w:firstRowFirstColumn="0" w:firstRowLastColumn="0" w:lastRowFirstColumn="0" w:lastRowLastColumn="0"/>
            <w:tcW w:w="2939" w:type="dxa"/>
            <w:hideMark/>
          </w:tcPr>
          <w:p w:rsidR="00554171" w:rsidRPr="00332CC0" w:rsidRDefault="00554171" w:rsidP="00040D3F">
            <w:pPr>
              <w:autoSpaceDE w:val="0"/>
              <w:autoSpaceDN w:val="0"/>
              <w:adjustRightInd w:val="0"/>
              <w:spacing w:line="360" w:lineRule="auto"/>
              <w:rPr>
                <w:rFonts w:cs="Arial"/>
              </w:rPr>
            </w:pPr>
            <w:r w:rsidRPr="00332CC0">
              <w:rPr>
                <w:rFonts w:cs="Arial"/>
              </w:rPr>
              <w:t>60–64</w:t>
            </w:r>
          </w:p>
        </w:tc>
        <w:tc>
          <w:tcPr>
            <w:tcW w:w="2940" w:type="dxa"/>
            <w:hideMark/>
          </w:tcPr>
          <w:p w:rsidR="00554171" w:rsidRPr="00332CC0" w:rsidRDefault="00554171" w:rsidP="00040D3F">
            <w:pPr>
              <w:autoSpaceDE w:val="0"/>
              <w:autoSpaceDN w:val="0"/>
              <w:adjustRightInd w:val="0"/>
              <w:spacing w:line="360" w:lineRule="auto"/>
              <w:ind w:left="340"/>
              <w:cnfStyle w:val="000000000000" w:firstRow="0" w:lastRow="0" w:firstColumn="0" w:lastColumn="0" w:oddVBand="0" w:evenVBand="0" w:oddHBand="0" w:evenHBand="0" w:firstRowFirstColumn="0" w:firstRowLastColumn="0" w:lastRowFirstColumn="0" w:lastRowLastColumn="0"/>
              <w:rPr>
                <w:rFonts w:cs="Arial"/>
                <w:color w:val="000000"/>
              </w:rPr>
            </w:pPr>
            <w:r w:rsidRPr="00332CC0">
              <w:rPr>
                <w:rFonts w:cs="Arial"/>
                <w:color w:val="000000"/>
              </w:rPr>
              <w:t>70%</w:t>
            </w:r>
          </w:p>
        </w:tc>
        <w:tc>
          <w:tcPr>
            <w:tcW w:w="2940" w:type="dxa"/>
            <w:hideMark/>
          </w:tcPr>
          <w:p w:rsidR="00554171" w:rsidRPr="00332CC0" w:rsidRDefault="00554171" w:rsidP="00040D3F">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cs="Arial"/>
                <w:color w:val="000000"/>
              </w:rPr>
            </w:pPr>
            <w:r w:rsidRPr="00332CC0">
              <w:rPr>
                <w:rFonts w:cs="Arial"/>
                <w:color w:val="000000"/>
              </w:rPr>
              <w:t>3.3%</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939" w:type="dxa"/>
            <w:hideMark/>
          </w:tcPr>
          <w:p w:rsidR="00554171" w:rsidRPr="00332CC0" w:rsidRDefault="00554171" w:rsidP="00040D3F">
            <w:pPr>
              <w:autoSpaceDE w:val="0"/>
              <w:autoSpaceDN w:val="0"/>
              <w:adjustRightInd w:val="0"/>
              <w:spacing w:line="360" w:lineRule="auto"/>
              <w:rPr>
                <w:rFonts w:cs="Arial"/>
              </w:rPr>
            </w:pPr>
            <w:r w:rsidRPr="00332CC0">
              <w:rPr>
                <w:rFonts w:cs="Arial"/>
              </w:rPr>
              <w:t>65</w:t>
            </w:r>
          </w:p>
        </w:tc>
        <w:tc>
          <w:tcPr>
            <w:tcW w:w="2940" w:type="dxa"/>
            <w:hideMark/>
          </w:tcPr>
          <w:p w:rsidR="00554171" w:rsidRPr="00332CC0" w:rsidRDefault="00554171" w:rsidP="00040D3F">
            <w:pPr>
              <w:autoSpaceDE w:val="0"/>
              <w:autoSpaceDN w:val="0"/>
              <w:adjustRightInd w:val="0"/>
              <w:spacing w:line="360" w:lineRule="auto"/>
              <w:ind w:left="340"/>
              <w:cnfStyle w:val="000000100000" w:firstRow="0" w:lastRow="0" w:firstColumn="0" w:lastColumn="0" w:oddVBand="0" w:evenVBand="0" w:oddHBand="1" w:evenHBand="0" w:firstRowFirstColumn="0" w:firstRowLastColumn="0" w:lastRowFirstColumn="0" w:lastRowLastColumn="0"/>
              <w:rPr>
                <w:rFonts w:cs="Arial"/>
                <w:color w:val="000000"/>
              </w:rPr>
            </w:pPr>
            <w:r w:rsidRPr="00332CC0">
              <w:rPr>
                <w:rFonts w:cs="Arial"/>
                <w:color w:val="000000"/>
              </w:rPr>
              <w:t>17.8%</w:t>
            </w:r>
          </w:p>
        </w:tc>
        <w:tc>
          <w:tcPr>
            <w:tcW w:w="2940" w:type="dxa"/>
            <w:hideMark/>
          </w:tcPr>
          <w:p w:rsidR="00554171" w:rsidRPr="00332CC0" w:rsidRDefault="00554171" w:rsidP="00040D3F">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cs="Arial"/>
                <w:color w:val="000000"/>
              </w:rPr>
            </w:pPr>
            <w:r w:rsidRPr="00332CC0">
              <w:rPr>
                <w:rFonts w:cs="Arial"/>
                <w:color w:val="000000"/>
              </w:rPr>
              <w:t>2.2%</w:t>
            </w:r>
          </w:p>
        </w:tc>
      </w:tr>
    </w:tbl>
    <w:p w:rsidR="00554171" w:rsidRPr="00332CC0" w:rsidRDefault="00554171" w:rsidP="00554171">
      <w:pPr>
        <w:rPr>
          <w:b/>
          <w:color w:val="00B0F0"/>
          <w:sz w:val="28"/>
          <w:szCs w:val="28"/>
        </w:rPr>
      </w:pPr>
    </w:p>
    <w:p w:rsidR="00554171" w:rsidRPr="00332CC0" w:rsidRDefault="00554171" w:rsidP="00554171">
      <w:pPr>
        <w:rPr>
          <w:b/>
          <w:color w:val="00B0F0"/>
          <w:sz w:val="32"/>
          <w:szCs w:val="32"/>
        </w:rPr>
      </w:pPr>
      <w:r w:rsidRPr="00332CC0">
        <w:rPr>
          <w:b/>
          <w:color w:val="00B0F0"/>
          <w:sz w:val="32"/>
          <w:szCs w:val="32"/>
        </w:rPr>
        <w:t>Not in Education, Employment or Training (NEET)</w:t>
      </w:r>
    </w:p>
    <w:p w:rsidR="00554171" w:rsidRPr="00332CC0" w:rsidRDefault="00554171" w:rsidP="00554171">
      <w:pPr>
        <w:pStyle w:val="NormalWeb"/>
        <w:shd w:val="clear" w:color="auto" w:fill="FFFFFF"/>
        <w:spacing w:before="0" w:beforeAutospacing="0" w:after="0" w:afterAutospacing="0"/>
        <w:jc w:val="both"/>
        <w:rPr>
          <w:rFonts w:ascii="Arial" w:hAnsi="Arial" w:cs="Arial"/>
          <w:sz w:val="22"/>
          <w:szCs w:val="22"/>
        </w:rPr>
      </w:pPr>
      <w:r w:rsidRPr="00332CC0">
        <w:rPr>
          <w:rFonts w:ascii="Arial" w:hAnsi="Arial" w:cs="Arial"/>
          <w:sz w:val="22"/>
          <w:szCs w:val="22"/>
        </w:rPr>
        <w:t xml:space="preserve">“Over recent years, the proportion of young people in New Zealand who are not engaged in employment, education, training or caregiving (NEET) has been monitored as an indicator of youth engagement in training and employment. It serves as a good alternative to the traditional labour force participation rate, which is less relevant for youth given the high numbers of youth out of the labour force because they are at school or in tertiary study.  Those youth who are categorised as NEET are disengaged from both formal learning and work, and as such, are considered to be missing the opportunity to develop their potential at an age that heavily influences future outcomes. While the NEET measure does not count young people involved in other activities that could contribute to their well-being, or are 'in between' activities for a short period of time (for example, just returned from or about to leave for overseas, or on holiday from work or study), it is still a particularly useful indicator of youth disengagement.” </w:t>
      </w:r>
      <w:r w:rsidRPr="00332CC0">
        <w:rPr>
          <w:rStyle w:val="FootnoteReference"/>
          <w:rFonts w:ascii="Arial" w:hAnsi="Arial" w:cs="Arial"/>
          <w:sz w:val="22"/>
          <w:szCs w:val="22"/>
        </w:rPr>
        <w:footnoteReference w:id="24"/>
      </w:r>
    </w:p>
    <w:p w:rsidR="00554171" w:rsidRPr="00332CC0" w:rsidRDefault="00554171" w:rsidP="00554171">
      <w:pPr>
        <w:jc w:val="both"/>
        <w:rPr>
          <w:sz w:val="22"/>
          <w:szCs w:val="22"/>
        </w:rPr>
      </w:pPr>
    </w:p>
    <w:p w:rsidR="00554171" w:rsidRPr="00332CC0" w:rsidRDefault="00554171" w:rsidP="00554171">
      <w:pPr>
        <w:jc w:val="both"/>
        <w:rPr>
          <w:sz w:val="22"/>
          <w:szCs w:val="22"/>
        </w:rPr>
      </w:pPr>
      <w:r w:rsidRPr="00332CC0">
        <w:rPr>
          <w:sz w:val="22"/>
          <w:szCs w:val="22"/>
        </w:rPr>
        <w:t>As at March 2011, in the 15-19 years age group, just under one in ten (9.3%) of males were NEET, compared with 7.6% of females.  The school leaving age is now 16.  Among those aged 20–24, 12.3% of men and 10.4% of young women were NEET. Young M</w:t>
      </w:r>
      <w:r w:rsidRPr="00332CC0">
        <w:rPr>
          <w:rFonts w:cs="Arial"/>
          <w:sz w:val="22"/>
          <w:szCs w:val="22"/>
        </w:rPr>
        <w:t>ā</w:t>
      </w:r>
      <w:r w:rsidRPr="00332CC0">
        <w:rPr>
          <w:sz w:val="22"/>
          <w:szCs w:val="22"/>
        </w:rPr>
        <w:t>ori aged 15–24 have the highest NEET rates, at 17%, followed by Pacific youth at 14.5% and European youth at 8.2%.</w:t>
      </w:r>
    </w:p>
    <w:p w:rsidR="00554171" w:rsidRPr="00332CC0" w:rsidRDefault="00554171" w:rsidP="00554171">
      <w:pPr>
        <w:jc w:val="both"/>
        <w:rPr>
          <w:rStyle w:val="IntenseEmphasis"/>
          <w:sz w:val="22"/>
          <w:szCs w:val="22"/>
        </w:rPr>
      </w:pPr>
    </w:p>
    <w:p w:rsidR="00554171" w:rsidRPr="00332CC0" w:rsidRDefault="00554171" w:rsidP="00554171">
      <w:pPr>
        <w:jc w:val="both"/>
        <w:rPr>
          <w:rStyle w:val="IntenseEmphasis"/>
          <w:sz w:val="22"/>
          <w:szCs w:val="22"/>
        </w:rPr>
      </w:pPr>
    </w:p>
    <w:p w:rsidR="00554171" w:rsidRPr="00332CC0" w:rsidRDefault="00554171" w:rsidP="00554171">
      <w:pPr>
        <w:jc w:val="both"/>
        <w:rPr>
          <w:rStyle w:val="IntenseEmphasis"/>
          <w:sz w:val="22"/>
          <w:szCs w:val="22"/>
        </w:rPr>
      </w:pPr>
    </w:p>
    <w:p w:rsidR="00554171" w:rsidRPr="00332CC0" w:rsidRDefault="00554171" w:rsidP="00554171">
      <w:pPr>
        <w:jc w:val="both"/>
        <w:rPr>
          <w:rStyle w:val="IntenseEmphasis"/>
          <w:sz w:val="22"/>
          <w:szCs w:val="22"/>
        </w:rPr>
      </w:pPr>
    </w:p>
    <w:p w:rsidR="00554171" w:rsidRPr="00332CC0" w:rsidRDefault="00554171" w:rsidP="00554171">
      <w:pPr>
        <w:jc w:val="both"/>
        <w:rPr>
          <w:rStyle w:val="IntenseEmphasis"/>
          <w:i w:val="0"/>
          <w:color w:val="auto"/>
          <w:sz w:val="28"/>
          <w:szCs w:val="28"/>
        </w:rPr>
      </w:pPr>
      <w:r w:rsidRPr="00332CC0">
        <w:rPr>
          <w:rStyle w:val="IntenseEmphasis"/>
          <w:i w:val="0"/>
          <w:color w:val="auto"/>
          <w:sz w:val="28"/>
          <w:szCs w:val="28"/>
        </w:rPr>
        <w:t xml:space="preserve">Employment-related age complaints </w:t>
      </w:r>
    </w:p>
    <w:p w:rsidR="00554171" w:rsidRPr="00332CC0" w:rsidRDefault="00554171" w:rsidP="00554171">
      <w:pPr>
        <w:jc w:val="both"/>
        <w:rPr>
          <w:sz w:val="22"/>
        </w:rPr>
      </w:pPr>
      <w:r w:rsidRPr="00332CC0">
        <w:rPr>
          <w:rFonts w:cs="Arial"/>
          <w:sz w:val="22"/>
          <w:szCs w:val="22"/>
        </w:rPr>
        <w:t xml:space="preserve">The following section summarises complaints received by the Human Rights Commission in relation to employment and age issues. The most common theme of age discrimination complaints in the last five years involves explicit or perceived age preferences in pre-employment. This includes complaints from people who have been told that they are either too old or too young for jobs, as well as people who believe that age is the reason for being declined employment. Of those who stated that they were told they were ‘too old’ or ‘too young’ for a role, most had been told they were too old for a role. Being considered ‘too old’ affected people in all age groups, including a complainant aged under 20 who was considered too old for a role in which the employer wanted to pay youth rates.  </w:t>
      </w:r>
      <w:r w:rsidRPr="00332CC0">
        <w:rPr>
          <w:rFonts w:cs="Arial"/>
          <w:sz w:val="22"/>
        </w:rPr>
        <w:t>Retirement complaints largely involve older workers claiming pressure to retire by their employers.</w:t>
      </w:r>
    </w:p>
    <w:p w:rsidR="00554171" w:rsidRPr="00332CC0" w:rsidRDefault="00554171" w:rsidP="00554171">
      <w:pPr>
        <w:rPr>
          <w:rFonts w:cs="Arial"/>
          <w:i/>
          <w:sz w:val="22"/>
          <w:u w:val="single"/>
        </w:rPr>
      </w:pPr>
    </w:p>
    <w:p w:rsidR="00554171" w:rsidRPr="00332CC0" w:rsidRDefault="004E76D5" w:rsidP="002127F2">
      <w:pPr>
        <w:rPr>
          <w:rFonts w:cs="Arial"/>
          <w:b/>
          <w:sz w:val="28"/>
          <w:szCs w:val="28"/>
        </w:rPr>
      </w:pPr>
      <w:r w:rsidRPr="002127F2">
        <w:rPr>
          <w:rFonts w:cs="Arial"/>
          <w:b/>
          <w:sz w:val="28"/>
          <w:szCs w:val="28"/>
        </w:rPr>
        <w:t>Table 1</w:t>
      </w:r>
      <w:r w:rsidR="00997B54" w:rsidRPr="002127F2">
        <w:rPr>
          <w:rFonts w:cs="Arial"/>
          <w:b/>
          <w:sz w:val="28"/>
          <w:szCs w:val="28"/>
        </w:rPr>
        <w:t>9</w:t>
      </w:r>
      <w:r w:rsidR="00554171" w:rsidRPr="002127F2">
        <w:rPr>
          <w:rFonts w:cs="Arial"/>
          <w:b/>
          <w:sz w:val="28"/>
          <w:szCs w:val="28"/>
        </w:rPr>
        <w:t>:  Age employment complaints</w:t>
      </w:r>
      <w:r w:rsidR="00554171" w:rsidRPr="00332CC0">
        <w:rPr>
          <w:rFonts w:cs="Arial"/>
          <w:b/>
          <w:sz w:val="28"/>
          <w:szCs w:val="28"/>
        </w:rPr>
        <w:t xml:space="preserve"> </w:t>
      </w:r>
    </w:p>
    <w:p w:rsidR="00554171" w:rsidRPr="00332CC0" w:rsidRDefault="00554171" w:rsidP="00554171">
      <w:pPr>
        <w:rPr>
          <w:rFonts w:cs="Arial"/>
          <w:i/>
          <w:sz w:val="22"/>
          <w:u w:val="single"/>
        </w:rPr>
      </w:pPr>
    </w:p>
    <w:tbl>
      <w:tblPr>
        <w:tblStyle w:val="MediumGrid1-Accent2"/>
        <w:tblW w:w="0" w:type="auto"/>
        <w:tblLook w:val="04A0" w:firstRow="1" w:lastRow="0" w:firstColumn="1" w:lastColumn="0" w:noHBand="0" w:noVBand="1"/>
      </w:tblPr>
      <w:tblGrid>
        <w:gridCol w:w="5355"/>
        <w:gridCol w:w="1740"/>
        <w:gridCol w:w="2013"/>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1332"/>
        </w:trPr>
        <w:tc>
          <w:tcPr>
            <w:cnfStyle w:val="001000000000" w:firstRow="0" w:lastRow="0" w:firstColumn="1" w:lastColumn="0" w:oddVBand="0" w:evenVBand="0" w:oddHBand="0" w:evenHBand="0" w:firstRowFirstColumn="0" w:firstRowLastColumn="0" w:lastRowFirstColumn="0" w:lastRowLastColumn="0"/>
            <w:tcW w:w="5355" w:type="dxa"/>
          </w:tcPr>
          <w:p w:rsidR="00554171" w:rsidRPr="00332CC0" w:rsidRDefault="00554171" w:rsidP="00040D3F">
            <w:pPr>
              <w:rPr>
                <w:rFonts w:cs="Arial"/>
              </w:rPr>
            </w:pPr>
          </w:p>
        </w:tc>
        <w:tc>
          <w:tcPr>
            <w:tcW w:w="1740"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rPr>
            </w:pPr>
            <w:r w:rsidRPr="00332CC0">
              <w:rPr>
                <w:rFonts w:cs="Arial"/>
              </w:rPr>
              <w:t>Number of age complaints</w:t>
            </w:r>
          </w:p>
        </w:tc>
        <w:tc>
          <w:tcPr>
            <w:tcW w:w="2013"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rPr>
            </w:pPr>
            <w:r w:rsidRPr="00332CC0">
              <w:rPr>
                <w:rFonts w:cs="Arial"/>
              </w:rPr>
              <w:t>Proportion of age complaints</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5355" w:type="dxa"/>
          </w:tcPr>
          <w:p w:rsidR="00554171" w:rsidRPr="00332CC0" w:rsidRDefault="00554171" w:rsidP="00040D3F">
            <w:pPr>
              <w:rPr>
                <w:rFonts w:cs="Arial"/>
              </w:rPr>
            </w:pPr>
            <w:r w:rsidRPr="00332CC0">
              <w:rPr>
                <w:rFonts w:cs="Arial"/>
              </w:rPr>
              <w:t>Age preference in pre-employment</w:t>
            </w:r>
          </w:p>
        </w:tc>
        <w:tc>
          <w:tcPr>
            <w:tcW w:w="1740" w:type="dxa"/>
          </w:tcPr>
          <w:p w:rsidR="00554171" w:rsidRPr="00332CC0" w:rsidRDefault="00554171" w:rsidP="00040D3F">
            <w:pPr>
              <w:jc w:val="cente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109</w:t>
            </w:r>
          </w:p>
        </w:tc>
        <w:tc>
          <w:tcPr>
            <w:tcW w:w="2013" w:type="dxa"/>
          </w:tcPr>
          <w:p w:rsidR="00554171" w:rsidRPr="00332CC0" w:rsidRDefault="00554171" w:rsidP="00040D3F">
            <w:pPr>
              <w:jc w:val="cente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40%</w:t>
            </w:r>
          </w:p>
        </w:tc>
      </w:tr>
      <w:tr w:rsidR="00554171" w:rsidRPr="00332CC0" w:rsidTr="00040D3F">
        <w:trPr>
          <w:trHeight w:val="444"/>
        </w:trPr>
        <w:tc>
          <w:tcPr>
            <w:cnfStyle w:val="001000000000" w:firstRow="0" w:lastRow="0" w:firstColumn="1" w:lastColumn="0" w:oddVBand="0" w:evenVBand="0" w:oddHBand="0" w:evenHBand="0" w:firstRowFirstColumn="0" w:firstRowLastColumn="0" w:lastRowFirstColumn="0" w:lastRowLastColumn="0"/>
            <w:tcW w:w="5355" w:type="dxa"/>
          </w:tcPr>
          <w:p w:rsidR="00554171" w:rsidRPr="00332CC0" w:rsidRDefault="00554171" w:rsidP="00040D3F">
            <w:pPr>
              <w:rPr>
                <w:rFonts w:cs="Arial"/>
              </w:rPr>
            </w:pPr>
            <w:r w:rsidRPr="00332CC0">
              <w:rPr>
                <w:rFonts w:cs="Arial"/>
              </w:rPr>
              <w:t>Pre-employment questions</w:t>
            </w:r>
          </w:p>
        </w:tc>
        <w:tc>
          <w:tcPr>
            <w:tcW w:w="1740" w:type="dxa"/>
          </w:tcPr>
          <w:p w:rsidR="00554171" w:rsidRPr="00332CC0" w:rsidRDefault="00554171" w:rsidP="00040D3F">
            <w:pPr>
              <w:jc w:val="cente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32</w:t>
            </w:r>
          </w:p>
        </w:tc>
        <w:tc>
          <w:tcPr>
            <w:tcW w:w="2013" w:type="dxa"/>
          </w:tcPr>
          <w:p w:rsidR="00554171" w:rsidRPr="00332CC0" w:rsidRDefault="00554171" w:rsidP="00040D3F">
            <w:pPr>
              <w:jc w:val="cente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12%</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5355" w:type="dxa"/>
          </w:tcPr>
          <w:p w:rsidR="00554171" w:rsidRPr="00332CC0" w:rsidRDefault="00554171" w:rsidP="00040D3F">
            <w:pPr>
              <w:rPr>
                <w:rFonts w:cs="Arial"/>
              </w:rPr>
            </w:pPr>
            <w:r w:rsidRPr="00332CC0">
              <w:rPr>
                <w:rFonts w:cs="Arial"/>
              </w:rPr>
              <w:t>Retirement</w:t>
            </w:r>
          </w:p>
        </w:tc>
        <w:tc>
          <w:tcPr>
            <w:tcW w:w="1740" w:type="dxa"/>
          </w:tcPr>
          <w:p w:rsidR="00554171" w:rsidRPr="00332CC0" w:rsidRDefault="00554171" w:rsidP="00040D3F">
            <w:pPr>
              <w:jc w:val="cente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29</w:t>
            </w:r>
          </w:p>
        </w:tc>
        <w:tc>
          <w:tcPr>
            <w:tcW w:w="2013" w:type="dxa"/>
          </w:tcPr>
          <w:p w:rsidR="00554171" w:rsidRPr="00332CC0" w:rsidRDefault="00554171" w:rsidP="00040D3F">
            <w:pPr>
              <w:jc w:val="cente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11%</w:t>
            </w:r>
          </w:p>
        </w:tc>
      </w:tr>
      <w:tr w:rsidR="00554171" w:rsidRPr="00332CC0" w:rsidTr="00040D3F">
        <w:trPr>
          <w:trHeight w:val="470"/>
        </w:trPr>
        <w:tc>
          <w:tcPr>
            <w:cnfStyle w:val="001000000000" w:firstRow="0" w:lastRow="0" w:firstColumn="1" w:lastColumn="0" w:oddVBand="0" w:evenVBand="0" w:oddHBand="0" w:evenHBand="0" w:firstRowFirstColumn="0" w:firstRowLastColumn="0" w:lastRowFirstColumn="0" w:lastRowLastColumn="0"/>
            <w:tcW w:w="5355" w:type="dxa"/>
          </w:tcPr>
          <w:p w:rsidR="00554171" w:rsidRPr="00332CC0" w:rsidRDefault="00554171" w:rsidP="00040D3F">
            <w:pPr>
              <w:rPr>
                <w:rFonts w:cs="Arial"/>
              </w:rPr>
            </w:pPr>
            <w:r w:rsidRPr="00332CC0">
              <w:rPr>
                <w:rFonts w:cs="Arial"/>
              </w:rPr>
              <w:t>Different entitlements based on age</w:t>
            </w:r>
          </w:p>
        </w:tc>
        <w:tc>
          <w:tcPr>
            <w:tcW w:w="1740" w:type="dxa"/>
          </w:tcPr>
          <w:p w:rsidR="00554171" w:rsidRPr="00332CC0" w:rsidRDefault="00554171" w:rsidP="00040D3F">
            <w:pPr>
              <w:jc w:val="cente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13</w:t>
            </w:r>
          </w:p>
        </w:tc>
        <w:tc>
          <w:tcPr>
            <w:tcW w:w="2013" w:type="dxa"/>
          </w:tcPr>
          <w:p w:rsidR="00554171" w:rsidRPr="00332CC0" w:rsidRDefault="00554171" w:rsidP="00040D3F">
            <w:pPr>
              <w:jc w:val="cente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4%</w:t>
            </w:r>
          </w:p>
        </w:tc>
      </w:tr>
    </w:tbl>
    <w:p w:rsidR="00554171" w:rsidRPr="00332CC0" w:rsidRDefault="00554171" w:rsidP="00554171">
      <w:pPr>
        <w:rPr>
          <w:rFonts w:cs="Arial"/>
          <w:i/>
          <w:u w:val="single"/>
        </w:rPr>
      </w:pPr>
    </w:p>
    <w:p w:rsidR="00554171" w:rsidRPr="00332CC0" w:rsidRDefault="00554171" w:rsidP="00554171">
      <w:pPr>
        <w:pStyle w:val="Heading1"/>
        <w:spacing w:before="0"/>
        <w:rPr>
          <w:rFonts w:ascii="Arial" w:hAnsi="Arial" w:cs="Arial"/>
          <w:color w:val="00B0F0"/>
          <w:sz w:val="32"/>
          <w:szCs w:val="32"/>
        </w:rPr>
      </w:pPr>
      <w:r w:rsidRPr="00332CC0">
        <w:rPr>
          <w:rFonts w:ascii="Arial" w:hAnsi="Arial" w:cs="Arial"/>
          <w:color w:val="00B0F0"/>
          <w:sz w:val="32"/>
          <w:szCs w:val="32"/>
        </w:rPr>
        <w:t xml:space="preserve">Gender  </w:t>
      </w:r>
    </w:p>
    <w:p w:rsidR="00554171" w:rsidRPr="00332CC0" w:rsidRDefault="00554171" w:rsidP="00554171"/>
    <w:p w:rsidR="00554171" w:rsidRPr="00332CC0" w:rsidRDefault="00554171" w:rsidP="00554171">
      <w:pPr>
        <w:rPr>
          <w:rStyle w:val="IntenseEmphasis"/>
        </w:rPr>
      </w:pPr>
      <w:r w:rsidRPr="00332CC0">
        <w:rPr>
          <w:rStyle w:val="IntenseEmphasis"/>
          <w:i w:val="0"/>
          <w:color w:val="auto"/>
          <w:sz w:val="28"/>
          <w:szCs w:val="28"/>
        </w:rPr>
        <w:t>Employment Statistics</w:t>
      </w:r>
      <w:r w:rsidRPr="00332CC0">
        <w:rPr>
          <w:rStyle w:val="IntenseEmphasis"/>
        </w:rPr>
        <w:t xml:space="preserve"> </w:t>
      </w:r>
    </w:p>
    <w:p w:rsidR="00554171" w:rsidRPr="00332CC0" w:rsidRDefault="00C230D7" w:rsidP="00554171">
      <w:pPr>
        <w:jc w:val="both"/>
        <w:rPr>
          <w:sz w:val="22"/>
          <w:szCs w:val="22"/>
        </w:rPr>
      </w:pPr>
      <w:r w:rsidRPr="002127F2">
        <w:rPr>
          <w:sz w:val="22"/>
          <w:szCs w:val="22"/>
        </w:rPr>
        <w:t>Tables 20 to 23</w:t>
      </w:r>
      <w:r w:rsidR="00554171" w:rsidRPr="002127F2">
        <w:rPr>
          <w:sz w:val="22"/>
          <w:szCs w:val="22"/>
        </w:rPr>
        <w:t xml:space="preserve"> show gender differences by age and ethnicity which warrant further</w:t>
      </w:r>
      <w:r w:rsidR="00554171" w:rsidRPr="00332CC0">
        <w:rPr>
          <w:sz w:val="22"/>
          <w:szCs w:val="22"/>
        </w:rPr>
        <w:t xml:space="preserve"> investigation. While there is little difference in the participation rates of young European men and women, there is a substantial difference in the participation rates between young Māori men and women and between young Pacific men and women. In the 25–44 age range, the participation rates of men is greater than</w:t>
      </w:r>
      <w:r w:rsidR="00554171">
        <w:rPr>
          <w:sz w:val="22"/>
          <w:szCs w:val="22"/>
        </w:rPr>
        <w:t xml:space="preserve"> women across all ethnic groups.  T</w:t>
      </w:r>
      <w:r w:rsidR="00554171" w:rsidRPr="00332CC0">
        <w:rPr>
          <w:sz w:val="22"/>
          <w:szCs w:val="22"/>
        </w:rPr>
        <w:t xml:space="preserve">his is also true of those 45 and over, but not so markedly. There is also a substantial difference in unemployment rates between young Pacific men and women.   </w:t>
      </w:r>
    </w:p>
    <w:p w:rsidR="00554171" w:rsidRPr="00332CC0" w:rsidRDefault="00554171" w:rsidP="00554171">
      <w:pPr>
        <w:jc w:val="both"/>
        <w:rPr>
          <w:sz w:val="22"/>
          <w:szCs w:val="22"/>
        </w:rPr>
      </w:pPr>
    </w:p>
    <w:p w:rsidR="00554171" w:rsidRPr="00332CC0" w:rsidRDefault="00C230D7" w:rsidP="00554171">
      <w:pPr>
        <w:jc w:val="both"/>
        <w:rPr>
          <w:sz w:val="22"/>
          <w:szCs w:val="22"/>
        </w:rPr>
      </w:pPr>
      <w:r w:rsidRPr="002127F2">
        <w:rPr>
          <w:sz w:val="22"/>
          <w:szCs w:val="22"/>
        </w:rPr>
        <w:t>Tables 24 and 25</w:t>
      </w:r>
      <w:r w:rsidR="00554171" w:rsidRPr="002127F2">
        <w:rPr>
          <w:sz w:val="22"/>
          <w:szCs w:val="22"/>
        </w:rPr>
        <w:t xml:space="preserve"> demonstrate the double disadvantage of gender and ethnicity. The gender</w:t>
      </w:r>
      <w:r w:rsidR="00554171" w:rsidRPr="00332CC0">
        <w:rPr>
          <w:sz w:val="22"/>
          <w:szCs w:val="22"/>
        </w:rPr>
        <w:t xml:space="preserve"> pay gap between the highest hourly rate (European men) and the lowest (Pacific women) is 24.4%. </w:t>
      </w:r>
    </w:p>
    <w:p w:rsidR="00554171" w:rsidRPr="00332CC0" w:rsidRDefault="00554171" w:rsidP="00554171">
      <w:r w:rsidRPr="00332CC0">
        <w:t xml:space="preserve"> </w:t>
      </w:r>
    </w:p>
    <w:p w:rsidR="00554171" w:rsidRPr="00332CC0" w:rsidRDefault="00554171" w:rsidP="00554171"/>
    <w:p w:rsidR="00554171" w:rsidRPr="00332CC0" w:rsidRDefault="00554171" w:rsidP="00554171"/>
    <w:p w:rsidR="00554171" w:rsidRPr="00332CC0" w:rsidRDefault="00554171" w:rsidP="00554171"/>
    <w:p w:rsidR="00554171" w:rsidRPr="00332CC0" w:rsidRDefault="00554171" w:rsidP="00554171"/>
    <w:p w:rsidR="00554171" w:rsidRPr="00332CC0" w:rsidRDefault="00554171" w:rsidP="00554171"/>
    <w:p w:rsidR="00554171" w:rsidRPr="00332CC0" w:rsidRDefault="00554171" w:rsidP="00554171"/>
    <w:p w:rsidR="00554171" w:rsidRPr="00332CC0" w:rsidRDefault="00554171" w:rsidP="00554171"/>
    <w:p w:rsidR="00554171" w:rsidRPr="00332CC0" w:rsidRDefault="00554171" w:rsidP="00554171"/>
    <w:p w:rsidR="00554171" w:rsidRPr="00332CC0" w:rsidRDefault="00554171" w:rsidP="00554171"/>
    <w:p w:rsidR="00554171" w:rsidRPr="00332CC0" w:rsidRDefault="00997B54" w:rsidP="002127F2">
      <w:pPr>
        <w:rPr>
          <w:b/>
          <w:sz w:val="28"/>
          <w:szCs w:val="28"/>
        </w:rPr>
      </w:pPr>
      <w:r w:rsidRPr="002127F2">
        <w:rPr>
          <w:b/>
          <w:sz w:val="28"/>
          <w:szCs w:val="28"/>
        </w:rPr>
        <w:t>Table 20</w:t>
      </w:r>
      <w:r w:rsidR="00554171" w:rsidRPr="002127F2">
        <w:rPr>
          <w:b/>
          <w:sz w:val="28"/>
          <w:szCs w:val="28"/>
        </w:rPr>
        <w:t>:   Male participation by age and ethnicity</w:t>
      </w:r>
    </w:p>
    <w:p w:rsidR="00554171" w:rsidRPr="00332CC0" w:rsidRDefault="00554171" w:rsidP="00554171"/>
    <w:tbl>
      <w:tblPr>
        <w:tblStyle w:val="MediumGrid1-Accent2"/>
        <w:tblW w:w="9423" w:type="dxa"/>
        <w:tblLook w:val="04A0" w:firstRow="1" w:lastRow="0" w:firstColumn="1" w:lastColumn="0" w:noHBand="0" w:noVBand="1"/>
      </w:tblPr>
      <w:tblGrid>
        <w:gridCol w:w="1937"/>
        <w:gridCol w:w="1872"/>
        <w:gridCol w:w="1871"/>
        <w:gridCol w:w="1871"/>
        <w:gridCol w:w="1872"/>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937" w:type="dxa"/>
          </w:tcPr>
          <w:p w:rsidR="00554171" w:rsidRPr="00332CC0" w:rsidRDefault="00554171" w:rsidP="00040D3F"/>
        </w:tc>
        <w:tc>
          <w:tcPr>
            <w:tcW w:w="1872"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Under 25 yrs</w:t>
            </w:r>
          </w:p>
        </w:tc>
        <w:tc>
          <w:tcPr>
            <w:tcW w:w="1871"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25-44 yrs</w:t>
            </w:r>
          </w:p>
        </w:tc>
        <w:tc>
          <w:tcPr>
            <w:tcW w:w="1871"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45 and over</w:t>
            </w:r>
          </w:p>
        </w:tc>
        <w:tc>
          <w:tcPr>
            <w:tcW w:w="1872"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Total</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937" w:type="dxa"/>
          </w:tcPr>
          <w:p w:rsidR="00554171" w:rsidRPr="00332CC0" w:rsidRDefault="00554171" w:rsidP="00040D3F">
            <w:pPr>
              <w:rPr>
                <w:b w:val="0"/>
              </w:rPr>
            </w:pPr>
            <w:r w:rsidRPr="00332CC0">
              <w:t>European</w:t>
            </w:r>
          </w:p>
        </w:tc>
        <w:tc>
          <w:tcPr>
            <w:tcW w:w="187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69.3%</w:t>
            </w:r>
          </w:p>
        </w:tc>
        <w:tc>
          <w:tcPr>
            <w:tcW w:w="187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93.9%</w:t>
            </w:r>
          </w:p>
        </w:tc>
        <w:tc>
          <w:tcPr>
            <w:tcW w:w="187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67.3%</w:t>
            </w:r>
          </w:p>
        </w:tc>
        <w:tc>
          <w:tcPr>
            <w:tcW w:w="187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76.0%</w:t>
            </w:r>
          </w:p>
        </w:tc>
      </w:tr>
      <w:tr w:rsidR="00554171" w:rsidRPr="00332CC0" w:rsidTr="00040D3F">
        <w:trPr>
          <w:trHeight w:val="378"/>
        </w:trPr>
        <w:tc>
          <w:tcPr>
            <w:cnfStyle w:val="001000000000" w:firstRow="0" w:lastRow="0" w:firstColumn="1" w:lastColumn="0" w:oddVBand="0" w:evenVBand="0" w:oddHBand="0" w:evenHBand="0" w:firstRowFirstColumn="0" w:firstRowLastColumn="0" w:lastRowFirstColumn="0" w:lastRowLastColumn="0"/>
            <w:tcW w:w="1937" w:type="dxa"/>
          </w:tcPr>
          <w:p w:rsidR="00554171" w:rsidRPr="00332CC0" w:rsidRDefault="00554171" w:rsidP="00040D3F">
            <w:pPr>
              <w:rPr>
                <w:b w:val="0"/>
              </w:rPr>
            </w:pPr>
            <w:r w:rsidRPr="00332CC0">
              <w:t>Māori</w:t>
            </w:r>
          </w:p>
        </w:tc>
        <w:tc>
          <w:tcPr>
            <w:tcW w:w="187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61.7%</w:t>
            </w:r>
          </w:p>
        </w:tc>
        <w:tc>
          <w:tcPr>
            <w:tcW w:w="187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84.7%</w:t>
            </w:r>
          </w:p>
        </w:tc>
        <w:tc>
          <w:tcPr>
            <w:tcW w:w="187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68.6%</w:t>
            </w:r>
          </w:p>
        </w:tc>
        <w:tc>
          <w:tcPr>
            <w:tcW w:w="187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72.3%</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937" w:type="dxa"/>
          </w:tcPr>
          <w:p w:rsidR="00554171" w:rsidRPr="00332CC0" w:rsidRDefault="00554171" w:rsidP="00040D3F">
            <w:pPr>
              <w:rPr>
                <w:b w:val="0"/>
              </w:rPr>
            </w:pPr>
            <w:r w:rsidRPr="00332CC0">
              <w:t>Pacific peoples</w:t>
            </w:r>
          </w:p>
        </w:tc>
        <w:tc>
          <w:tcPr>
            <w:tcW w:w="187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52.7%</w:t>
            </w:r>
          </w:p>
        </w:tc>
        <w:tc>
          <w:tcPr>
            <w:tcW w:w="187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87.4%</w:t>
            </w:r>
          </w:p>
        </w:tc>
        <w:tc>
          <w:tcPr>
            <w:tcW w:w="187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63.5%</w:t>
            </w:r>
          </w:p>
        </w:tc>
        <w:tc>
          <w:tcPr>
            <w:tcW w:w="187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69.3%</w:t>
            </w:r>
          </w:p>
        </w:tc>
      </w:tr>
      <w:tr w:rsidR="00554171" w:rsidRPr="00332CC0" w:rsidTr="00040D3F">
        <w:trPr>
          <w:trHeight w:val="787"/>
        </w:trPr>
        <w:tc>
          <w:tcPr>
            <w:cnfStyle w:val="001000000000" w:firstRow="0" w:lastRow="0" w:firstColumn="1" w:lastColumn="0" w:oddVBand="0" w:evenVBand="0" w:oddHBand="0" w:evenHBand="0" w:firstRowFirstColumn="0" w:firstRowLastColumn="0" w:lastRowFirstColumn="0" w:lastRowLastColumn="0"/>
            <w:tcW w:w="1937" w:type="dxa"/>
          </w:tcPr>
          <w:p w:rsidR="00554171" w:rsidRPr="00332CC0" w:rsidRDefault="00554171" w:rsidP="00040D3F">
            <w:pPr>
              <w:rPr>
                <w:b w:val="0"/>
              </w:rPr>
            </w:pPr>
            <w:r w:rsidRPr="00332CC0">
              <w:t>Asian/MELAA/ Other</w:t>
            </w:r>
          </w:p>
        </w:tc>
        <w:tc>
          <w:tcPr>
            <w:tcW w:w="187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54.6%</w:t>
            </w:r>
          </w:p>
        </w:tc>
        <w:tc>
          <w:tcPr>
            <w:tcW w:w="187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91.3%</w:t>
            </w:r>
          </w:p>
        </w:tc>
        <w:tc>
          <w:tcPr>
            <w:tcW w:w="187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65.6%</w:t>
            </w:r>
          </w:p>
        </w:tc>
        <w:tc>
          <w:tcPr>
            <w:tcW w:w="187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73.5%</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937" w:type="dxa"/>
          </w:tcPr>
          <w:p w:rsidR="00554171" w:rsidRPr="00332CC0" w:rsidRDefault="00554171" w:rsidP="00040D3F">
            <w:pPr>
              <w:rPr>
                <w:b w:val="0"/>
              </w:rPr>
            </w:pPr>
            <w:r w:rsidRPr="00332CC0">
              <w:t xml:space="preserve">Total </w:t>
            </w:r>
          </w:p>
        </w:tc>
        <w:tc>
          <w:tcPr>
            <w:tcW w:w="187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64.3%</w:t>
            </w:r>
          </w:p>
        </w:tc>
        <w:tc>
          <w:tcPr>
            <w:tcW w:w="187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92.1%</w:t>
            </w:r>
          </w:p>
        </w:tc>
        <w:tc>
          <w:tcPr>
            <w:tcW w:w="187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67.0%</w:t>
            </w:r>
          </w:p>
        </w:tc>
        <w:tc>
          <w:tcPr>
            <w:tcW w:w="187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74.9%</w:t>
            </w:r>
          </w:p>
        </w:tc>
      </w:tr>
    </w:tbl>
    <w:p w:rsidR="00554171" w:rsidRPr="00332CC0" w:rsidRDefault="00554171" w:rsidP="00554171"/>
    <w:p w:rsidR="00554171" w:rsidRPr="00332CC0" w:rsidRDefault="00554171" w:rsidP="00554171">
      <w:pPr>
        <w:rPr>
          <w:b/>
          <w:sz w:val="28"/>
          <w:szCs w:val="28"/>
        </w:rPr>
      </w:pPr>
    </w:p>
    <w:p w:rsidR="00554171" w:rsidRPr="00332CC0" w:rsidRDefault="004E76D5" w:rsidP="002127F2">
      <w:pPr>
        <w:rPr>
          <w:b/>
          <w:sz w:val="28"/>
          <w:szCs w:val="28"/>
        </w:rPr>
      </w:pPr>
      <w:r>
        <w:rPr>
          <w:b/>
          <w:sz w:val="28"/>
          <w:szCs w:val="28"/>
        </w:rPr>
        <w:t>Table 2</w:t>
      </w:r>
      <w:r w:rsidR="00997B54">
        <w:rPr>
          <w:b/>
          <w:sz w:val="28"/>
          <w:szCs w:val="28"/>
        </w:rPr>
        <w:t>1</w:t>
      </w:r>
      <w:r w:rsidR="00554171" w:rsidRPr="00332CC0">
        <w:rPr>
          <w:b/>
          <w:sz w:val="28"/>
          <w:szCs w:val="28"/>
        </w:rPr>
        <w:t>:  Female participation by age and ethnicity</w:t>
      </w:r>
    </w:p>
    <w:p w:rsidR="00554171" w:rsidRPr="00332CC0" w:rsidRDefault="00554171" w:rsidP="00554171">
      <w:r w:rsidRPr="00332CC0">
        <w:t xml:space="preserve"> </w:t>
      </w:r>
    </w:p>
    <w:tbl>
      <w:tblPr>
        <w:tblStyle w:val="MediumGrid1-Accent2"/>
        <w:tblW w:w="9403" w:type="dxa"/>
        <w:tblLook w:val="04A0" w:firstRow="1" w:lastRow="0" w:firstColumn="1" w:lastColumn="0" w:noHBand="0" w:noVBand="1"/>
      </w:tblPr>
      <w:tblGrid>
        <w:gridCol w:w="1933"/>
        <w:gridCol w:w="1868"/>
        <w:gridCol w:w="1867"/>
        <w:gridCol w:w="1867"/>
        <w:gridCol w:w="1868"/>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933" w:type="dxa"/>
          </w:tcPr>
          <w:p w:rsidR="00554171" w:rsidRPr="00332CC0" w:rsidRDefault="00554171" w:rsidP="00040D3F"/>
        </w:tc>
        <w:tc>
          <w:tcPr>
            <w:tcW w:w="1868"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Under 25 yrs</w:t>
            </w:r>
          </w:p>
        </w:tc>
        <w:tc>
          <w:tcPr>
            <w:tcW w:w="1867"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25-44 yrs</w:t>
            </w:r>
          </w:p>
        </w:tc>
        <w:tc>
          <w:tcPr>
            <w:tcW w:w="1867"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45 and over</w:t>
            </w:r>
          </w:p>
        </w:tc>
        <w:tc>
          <w:tcPr>
            <w:tcW w:w="1868"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Total</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33" w:type="dxa"/>
          </w:tcPr>
          <w:p w:rsidR="00554171" w:rsidRPr="00332CC0" w:rsidRDefault="00554171" w:rsidP="00040D3F">
            <w:pPr>
              <w:rPr>
                <w:b w:val="0"/>
              </w:rPr>
            </w:pPr>
            <w:r w:rsidRPr="00332CC0">
              <w:t>European</w:t>
            </w:r>
          </w:p>
        </w:tc>
        <w:tc>
          <w:tcPr>
            <w:tcW w:w="186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65.7%</w:t>
            </w:r>
          </w:p>
        </w:tc>
        <w:tc>
          <w:tcPr>
            <w:tcW w:w="186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76.9%</w:t>
            </w:r>
          </w:p>
        </w:tc>
        <w:tc>
          <w:tcPr>
            <w:tcW w:w="186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55.6%</w:t>
            </w:r>
          </w:p>
        </w:tc>
        <w:tc>
          <w:tcPr>
            <w:tcW w:w="186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63.9%</w:t>
            </w:r>
          </w:p>
        </w:tc>
      </w:tr>
      <w:tr w:rsidR="00554171" w:rsidRPr="00332CC0" w:rsidTr="00040D3F">
        <w:trPr>
          <w:trHeight w:val="401"/>
        </w:trPr>
        <w:tc>
          <w:tcPr>
            <w:cnfStyle w:val="001000000000" w:firstRow="0" w:lastRow="0" w:firstColumn="1" w:lastColumn="0" w:oddVBand="0" w:evenVBand="0" w:oddHBand="0" w:evenHBand="0" w:firstRowFirstColumn="0" w:firstRowLastColumn="0" w:lastRowFirstColumn="0" w:lastRowLastColumn="0"/>
            <w:tcW w:w="1933" w:type="dxa"/>
          </w:tcPr>
          <w:p w:rsidR="00554171" w:rsidRPr="00332CC0" w:rsidRDefault="00554171" w:rsidP="00040D3F">
            <w:pPr>
              <w:rPr>
                <w:b w:val="0"/>
              </w:rPr>
            </w:pPr>
            <w:r w:rsidRPr="00332CC0">
              <w:t>Māori</w:t>
            </w:r>
          </w:p>
        </w:tc>
        <w:tc>
          <w:tcPr>
            <w:tcW w:w="1868"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50.9%</w:t>
            </w:r>
          </w:p>
        </w:tc>
        <w:tc>
          <w:tcPr>
            <w:tcW w:w="186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68.5%</w:t>
            </w:r>
          </w:p>
        </w:tc>
        <w:tc>
          <w:tcPr>
            <w:tcW w:w="186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61.0%</w:t>
            </w:r>
          </w:p>
        </w:tc>
        <w:tc>
          <w:tcPr>
            <w:tcW w:w="1868"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61.1%</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933" w:type="dxa"/>
          </w:tcPr>
          <w:p w:rsidR="00554171" w:rsidRPr="00332CC0" w:rsidRDefault="00554171" w:rsidP="00040D3F">
            <w:pPr>
              <w:rPr>
                <w:b w:val="0"/>
              </w:rPr>
            </w:pPr>
            <w:r w:rsidRPr="00332CC0">
              <w:t>Pacific peoples</w:t>
            </w:r>
          </w:p>
        </w:tc>
        <w:tc>
          <w:tcPr>
            <w:tcW w:w="186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43.0%</w:t>
            </w:r>
          </w:p>
        </w:tc>
        <w:tc>
          <w:tcPr>
            <w:tcW w:w="186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64.3%</w:t>
            </w:r>
          </w:p>
        </w:tc>
        <w:tc>
          <w:tcPr>
            <w:tcW w:w="186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52.3%</w:t>
            </w:r>
          </w:p>
        </w:tc>
        <w:tc>
          <w:tcPr>
            <w:tcW w:w="186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54.5%</w:t>
            </w:r>
          </w:p>
        </w:tc>
      </w:tr>
      <w:tr w:rsidR="00554171" w:rsidRPr="00332CC0" w:rsidTr="00040D3F">
        <w:trPr>
          <w:trHeight w:val="802"/>
        </w:trPr>
        <w:tc>
          <w:tcPr>
            <w:cnfStyle w:val="001000000000" w:firstRow="0" w:lastRow="0" w:firstColumn="1" w:lastColumn="0" w:oddVBand="0" w:evenVBand="0" w:oddHBand="0" w:evenHBand="0" w:firstRowFirstColumn="0" w:firstRowLastColumn="0" w:lastRowFirstColumn="0" w:lastRowLastColumn="0"/>
            <w:tcW w:w="1933" w:type="dxa"/>
          </w:tcPr>
          <w:p w:rsidR="00554171" w:rsidRPr="00332CC0" w:rsidRDefault="00554171" w:rsidP="00040D3F">
            <w:pPr>
              <w:rPr>
                <w:b w:val="0"/>
              </w:rPr>
            </w:pPr>
            <w:r w:rsidRPr="00332CC0">
              <w:t>Asian/MELAA/ Other</w:t>
            </w:r>
          </w:p>
        </w:tc>
        <w:tc>
          <w:tcPr>
            <w:tcW w:w="1868"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51.4%</w:t>
            </w:r>
          </w:p>
        </w:tc>
        <w:tc>
          <w:tcPr>
            <w:tcW w:w="186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71.9%</w:t>
            </w:r>
          </w:p>
        </w:tc>
        <w:tc>
          <w:tcPr>
            <w:tcW w:w="186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51.6%</w:t>
            </w:r>
          </w:p>
        </w:tc>
        <w:tc>
          <w:tcPr>
            <w:tcW w:w="1868"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60.8%</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933" w:type="dxa"/>
          </w:tcPr>
          <w:p w:rsidR="00554171" w:rsidRPr="00332CC0" w:rsidRDefault="00554171" w:rsidP="00040D3F">
            <w:pPr>
              <w:rPr>
                <w:b w:val="0"/>
              </w:rPr>
            </w:pPr>
            <w:r w:rsidRPr="00332CC0">
              <w:t xml:space="preserve">Total </w:t>
            </w:r>
          </w:p>
        </w:tc>
        <w:tc>
          <w:tcPr>
            <w:tcW w:w="186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59.8%</w:t>
            </w:r>
          </w:p>
        </w:tc>
        <w:tc>
          <w:tcPr>
            <w:tcW w:w="186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74.5%</w:t>
            </w:r>
          </w:p>
        </w:tc>
        <w:tc>
          <w:tcPr>
            <w:tcW w:w="186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54.9%</w:t>
            </w:r>
          </w:p>
        </w:tc>
        <w:tc>
          <w:tcPr>
            <w:tcW w:w="186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62.5%</w:t>
            </w:r>
          </w:p>
        </w:tc>
      </w:tr>
    </w:tbl>
    <w:p w:rsidR="00554171" w:rsidRPr="00332CC0" w:rsidRDefault="00554171" w:rsidP="00554171"/>
    <w:p w:rsidR="00554171" w:rsidRPr="00332CC0" w:rsidRDefault="00554171" w:rsidP="00554171">
      <w:pPr>
        <w:rPr>
          <w:b/>
          <w:sz w:val="28"/>
          <w:szCs w:val="28"/>
        </w:rPr>
      </w:pPr>
    </w:p>
    <w:p w:rsidR="00554171" w:rsidRPr="00332CC0" w:rsidRDefault="004E76D5" w:rsidP="002127F2">
      <w:pPr>
        <w:rPr>
          <w:b/>
          <w:sz w:val="28"/>
          <w:szCs w:val="28"/>
        </w:rPr>
      </w:pPr>
      <w:r>
        <w:rPr>
          <w:b/>
          <w:sz w:val="28"/>
          <w:szCs w:val="28"/>
        </w:rPr>
        <w:t>Table 2</w:t>
      </w:r>
      <w:r w:rsidR="00997B54">
        <w:rPr>
          <w:b/>
          <w:sz w:val="28"/>
          <w:szCs w:val="28"/>
        </w:rPr>
        <w:t>2</w:t>
      </w:r>
      <w:r w:rsidR="00554171" w:rsidRPr="00332CC0">
        <w:rPr>
          <w:b/>
          <w:sz w:val="28"/>
          <w:szCs w:val="28"/>
        </w:rPr>
        <w:t>:  Male unemployment by age and ethnicity</w:t>
      </w:r>
    </w:p>
    <w:p w:rsidR="00554171" w:rsidRPr="00332CC0" w:rsidRDefault="00554171" w:rsidP="00554171">
      <w:r w:rsidRPr="00332CC0">
        <w:t xml:space="preserve"> </w:t>
      </w:r>
    </w:p>
    <w:tbl>
      <w:tblPr>
        <w:tblStyle w:val="MediumGrid1-Accent2"/>
        <w:tblW w:w="9423" w:type="dxa"/>
        <w:tblLook w:val="04A0" w:firstRow="1" w:lastRow="0" w:firstColumn="1" w:lastColumn="0" w:noHBand="0" w:noVBand="1"/>
      </w:tblPr>
      <w:tblGrid>
        <w:gridCol w:w="1938"/>
        <w:gridCol w:w="1874"/>
        <w:gridCol w:w="1864"/>
        <w:gridCol w:w="1873"/>
        <w:gridCol w:w="1874"/>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938" w:type="dxa"/>
          </w:tcPr>
          <w:p w:rsidR="00554171" w:rsidRPr="00332CC0" w:rsidRDefault="00554171" w:rsidP="00040D3F"/>
        </w:tc>
        <w:tc>
          <w:tcPr>
            <w:tcW w:w="1874"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Under 25 yrs</w:t>
            </w:r>
          </w:p>
        </w:tc>
        <w:tc>
          <w:tcPr>
            <w:tcW w:w="1864"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25-44 yrs</w:t>
            </w:r>
          </w:p>
        </w:tc>
        <w:tc>
          <w:tcPr>
            <w:tcW w:w="1873"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45 and over</w:t>
            </w:r>
          </w:p>
        </w:tc>
        <w:tc>
          <w:tcPr>
            <w:tcW w:w="1874"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Total</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938" w:type="dxa"/>
          </w:tcPr>
          <w:p w:rsidR="00554171" w:rsidRPr="00332CC0" w:rsidRDefault="00554171" w:rsidP="00040D3F">
            <w:pPr>
              <w:rPr>
                <w:b w:val="0"/>
              </w:rPr>
            </w:pPr>
            <w:r w:rsidRPr="00332CC0">
              <w:t>European</w:t>
            </w:r>
          </w:p>
        </w:tc>
        <w:tc>
          <w:tcPr>
            <w:tcW w:w="187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13.3%</w:t>
            </w:r>
          </w:p>
        </w:tc>
        <w:tc>
          <w:tcPr>
            <w:tcW w:w="186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3.8%</w:t>
            </w:r>
          </w:p>
        </w:tc>
        <w:tc>
          <w:tcPr>
            <w:tcW w:w="187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3.2%</w:t>
            </w:r>
          </w:p>
        </w:tc>
        <w:tc>
          <w:tcPr>
            <w:tcW w:w="187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5.0%</w:t>
            </w:r>
          </w:p>
        </w:tc>
      </w:tr>
      <w:tr w:rsidR="00554171" w:rsidRPr="00332CC0" w:rsidTr="00040D3F">
        <w:trPr>
          <w:trHeight w:val="385"/>
        </w:trPr>
        <w:tc>
          <w:tcPr>
            <w:cnfStyle w:val="001000000000" w:firstRow="0" w:lastRow="0" w:firstColumn="1" w:lastColumn="0" w:oddVBand="0" w:evenVBand="0" w:oddHBand="0" w:evenHBand="0" w:firstRowFirstColumn="0" w:firstRowLastColumn="0" w:lastRowFirstColumn="0" w:lastRowLastColumn="0"/>
            <w:tcW w:w="1938" w:type="dxa"/>
          </w:tcPr>
          <w:p w:rsidR="00554171" w:rsidRPr="00332CC0" w:rsidRDefault="00554171" w:rsidP="00040D3F">
            <w:pPr>
              <w:rPr>
                <w:b w:val="0"/>
              </w:rPr>
            </w:pPr>
            <w:r w:rsidRPr="00332CC0">
              <w:t>Māori</w:t>
            </w:r>
          </w:p>
        </w:tc>
        <w:tc>
          <w:tcPr>
            <w:tcW w:w="187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27.2%</w:t>
            </w:r>
          </w:p>
        </w:tc>
        <w:tc>
          <w:tcPr>
            <w:tcW w:w="186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8.9%</w:t>
            </w:r>
          </w:p>
        </w:tc>
        <w:tc>
          <w:tcPr>
            <w:tcW w:w="187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9.7%</w:t>
            </w:r>
          </w:p>
        </w:tc>
        <w:tc>
          <w:tcPr>
            <w:tcW w:w="187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13.8%</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938" w:type="dxa"/>
          </w:tcPr>
          <w:p w:rsidR="00554171" w:rsidRPr="00332CC0" w:rsidRDefault="00554171" w:rsidP="00040D3F">
            <w:pPr>
              <w:rPr>
                <w:b w:val="0"/>
              </w:rPr>
            </w:pPr>
            <w:r w:rsidRPr="00332CC0">
              <w:t>Pacific peoples</w:t>
            </w:r>
          </w:p>
        </w:tc>
        <w:tc>
          <w:tcPr>
            <w:tcW w:w="187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22.9%</w:t>
            </w:r>
          </w:p>
        </w:tc>
        <w:tc>
          <w:tcPr>
            <w:tcW w:w="186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7.6%</w:t>
            </w:r>
          </w:p>
        </w:tc>
        <w:tc>
          <w:tcPr>
            <w:tcW w:w="187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10.3%</w:t>
            </w:r>
          </w:p>
        </w:tc>
        <w:tc>
          <w:tcPr>
            <w:tcW w:w="187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12.1%</w:t>
            </w:r>
          </w:p>
        </w:tc>
      </w:tr>
      <w:tr w:rsidR="00554171" w:rsidRPr="00332CC0" w:rsidTr="00040D3F">
        <w:trPr>
          <w:trHeight w:val="804"/>
        </w:trPr>
        <w:tc>
          <w:tcPr>
            <w:cnfStyle w:val="001000000000" w:firstRow="0" w:lastRow="0" w:firstColumn="1" w:lastColumn="0" w:oddVBand="0" w:evenVBand="0" w:oddHBand="0" w:evenHBand="0" w:firstRowFirstColumn="0" w:firstRowLastColumn="0" w:lastRowFirstColumn="0" w:lastRowLastColumn="0"/>
            <w:tcW w:w="1938" w:type="dxa"/>
          </w:tcPr>
          <w:p w:rsidR="00554171" w:rsidRPr="00332CC0" w:rsidRDefault="00554171" w:rsidP="00040D3F">
            <w:pPr>
              <w:rPr>
                <w:b w:val="0"/>
              </w:rPr>
            </w:pPr>
            <w:r w:rsidRPr="00332CC0">
              <w:t>Asian/MELAA/ Other</w:t>
            </w:r>
          </w:p>
        </w:tc>
        <w:tc>
          <w:tcPr>
            <w:tcW w:w="187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18.2%</w:t>
            </w:r>
          </w:p>
        </w:tc>
        <w:tc>
          <w:tcPr>
            <w:tcW w:w="186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5.4%</w:t>
            </w:r>
          </w:p>
        </w:tc>
        <w:tc>
          <w:tcPr>
            <w:tcW w:w="187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5.0%</w:t>
            </w:r>
          </w:p>
        </w:tc>
        <w:tc>
          <w:tcPr>
            <w:tcW w:w="187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7.7%</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938" w:type="dxa"/>
          </w:tcPr>
          <w:p w:rsidR="00554171" w:rsidRPr="00332CC0" w:rsidRDefault="00554171" w:rsidP="00040D3F">
            <w:pPr>
              <w:rPr>
                <w:b w:val="0"/>
              </w:rPr>
            </w:pPr>
            <w:r w:rsidRPr="00332CC0">
              <w:t xml:space="preserve">Total </w:t>
            </w:r>
          </w:p>
        </w:tc>
        <w:tc>
          <w:tcPr>
            <w:tcW w:w="187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16.6%</w:t>
            </w:r>
          </w:p>
        </w:tc>
        <w:tc>
          <w:tcPr>
            <w:tcW w:w="186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4.7%</w:t>
            </w:r>
          </w:p>
        </w:tc>
        <w:tc>
          <w:tcPr>
            <w:tcW w:w="187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4.0%</w:t>
            </w:r>
          </w:p>
        </w:tc>
        <w:tc>
          <w:tcPr>
            <w:tcW w:w="187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6.4%</w:t>
            </w:r>
          </w:p>
        </w:tc>
      </w:tr>
    </w:tbl>
    <w:p w:rsidR="00554171" w:rsidRPr="00332CC0" w:rsidRDefault="00554171" w:rsidP="00554171"/>
    <w:p w:rsidR="00554171" w:rsidRPr="00332CC0" w:rsidRDefault="00554171" w:rsidP="00554171">
      <w:pPr>
        <w:rPr>
          <w:b/>
          <w:sz w:val="28"/>
          <w:szCs w:val="28"/>
        </w:rPr>
      </w:pPr>
    </w:p>
    <w:p w:rsidR="00554171" w:rsidRPr="00332CC0" w:rsidRDefault="00554171" w:rsidP="00554171">
      <w:pPr>
        <w:rPr>
          <w:b/>
          <w:sz w:val="28"/>
          <w:szCs w:val="28"/>
        </w:rPr>
      </w:pPr>
    </w:p>
    <w:p w:rsidR="00554171" w:rsidRPr="00332CC0" w:rsidRDefault="00554171" w:rsidP="00554171">
      <w:pPr>
        <w:rPr>
          <w:b/>
          <w:sz w:val="28"/>
          <w:szCs w:val="28"/>
        </w:rPr>
      </w:pPr>
    </w:p>
    <w:p w:rsidR="00554171" w:rsidRPr="00332CC0" w:rsidRDefault="00554171" w:rsidP="00554171">
      <w:pPr>
        <w:rPr>
          <w:b/>
          <w:sz w:val="28"/>
          <w:szCs w:val="28"/>
        </w:rPr>
      </w:pPr>
    </w:p>
    <w:p w:rsidR="00554171" w:rsidRPr="00332CC0" w:rsidRDefault="00554171" w:rsidP="00554171">
      <w:pPr>
        <w:rPr>
          <w:b/>
          <w:sz w:val="28"/>
          <w:szCs w:val="28"/>
        </w:rPr>
      </w:pPr>
    </w:p>
    <w:p w:rsidR="00554171" w:rsidRPr="00332CC0" w:rsidRDefault="00997B54" w:rsidP="002127F2">
      <w:pPr>
        <w:rPr>
          <w:b/>
          <w:sz w:val="28"/>
          <w:szCs w:val="28"/>
        </w:rPr>
      </w:pPr>
      <w:r>
        <w:rPr>
          <w:b/>
          <w:sz w:val="28"/>
          <w:szCs w:val="28"/>
        </w:rPr>
        <w:t>Table 23</w:t>
      </w:r>
      <w:r w:rsidR="00554171" w:rsidRPr="00332CC0">
        <w:rPr>
          <w:b/>
          <w:sz w:val="28"/>
          <w:szCs w:val="28"/>
        </w:rPr>
        <w:t>:  Female unemployment by age and ethnicity</w:t>
      </w:r>
    </w:p>
    <w:p w:rsidR="00554171" w:rsidRPr="00332CC0" w:rsidRDefault="00554171" w:rsidP="00554171"/>
    <w:tbl>
      <w:tblPr>
        <w:tblStyle w:val="MediumGrid1-Accent2"/>
        <w:tblW w:w="9483" w:type="dxa"/>
        <w:tblLook w:val="04A0" w:firstRow="1" w:lastRow="0" w:firstColumn="1" w:lastColumn="0" w:noHBand="0" w:noVBand="1"/>
      </w:tblPr>
      <w:tblGrid>
        <w:gridCol w:w="1951"/>
        <w:gridCol w:w="1886"/>
        <w:gridCol w:w="1885"/>
        <w:gridCol w:w="1875"/>
        <w:gridCol w:w="1886"/>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951" w:type="dxa"/>
          </w:tcPr>
          <w:p w:rsidR="00554171" w:rsidRPr="00332CC0" w:rsidRDefault="00554171" w:rsidP="00040D3F"/>
        </w:tc>
        <w:tc>
          <w:tcPr>
            <w:tcW w:w="1886"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Under 25 yrs</w:t>
            </w:r>
          </w:p>
        </w:tc>
        <w:tc>
          <w:tcPr>
            <w:tcW w:w="1885"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25-44 yrs</w:t>
            </w:r>
          </w:p>
        </w:tc>
        <w:tc>
          <w:tcPr>
            <w:tcW w:w="1875"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45 and over</w:t>
            </w:r>
          </w:p>
        </w:tc>
        <w:tc>
          <w:tcPr>
            <w:tcW w:w="1886"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Total</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951" w:type="dxa"/>
          </w:tcPr>
          <w:p w:rsidR="00554171" w:rsidRPr="00332CC0" w:rsidRDefault="00554171" w:rsidP="00040D3F">
            <w:pPr>
              <w:rPr>
                <w:b w:val="0"/>
              </w:rPr>
            </w:pPr>
            <w:r w:rsidRPr="00332CC0">
              <w:t>European</w:t>
            </w:r>
          </w:p>
        </w:tc>
        <w:tc>
          <w:tcPr>
            <w:tcW w:w="188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14.4%</w:t>
            </w:r>
          </w:p>
        </w:tc>
        <w:tc>
          <w:tcPr>
            <w:tcW w:w="188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4.4%</w:t>
            </w:r>
          </w:p>
        </w:tc>
        <w:tc>
          <w:tcPr>
            <w:tcW w:w="187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2.6%</w:t>
            </w:r>
          </w:p>
        </w:tc>
        <w:tc>
          <w:tcPr>
            <w:tcW w:w="188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5.3%</w:t>
            </w:r>
          </w:p>
        </w:tc>
      </w:tr>
      <w:tr w:rsidR="00554171" w:rsidRPr="00332CC0" w:rsidTr="00040D3F">
        <w:trPr>
          <w:trHeight w:val="383"/>
        </w:trPr>
        <w:tc>
          <w:tcPr>
            <w:cnfStyle w:val="001000000000" w:firstRow="0" w:lastRow="0" w:firstColumn="1" w:lastColumn="0" w:oddVBand="0" w:evenVBand="0" w:oddHBand="0" w:evenHBand="0" w:firstRowFirstColumn="0" w:firstRowLastColumn="0" w:lastRowFirstColumn="0" w:lastRowLastColumn="0"/>
            <w:tcW w:w="1951" w:type="dxa"/>
          </w:tcPr>
          <w:p w:rsidR="00554171" w:rsidRPr="00332CC0" w:rsidRDefault="00554171" w:rsidP="00040D3F">
            <w:pPr>
              <w:rPr>
                <w:b w:val="0"/>
              </w:rPr>
            </w:pPr>
            <w:r w:rsidRPr="00332CC0">
              <w:t>Māori</w:t>
            </w:r>
          </w:p>
        </w:tc>
        <w:tc>
          <w:tcPr>
            <w:tcW w:w="188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27.7%</w:t>
            </w:r>
          </w:p>
        </w:tc>
        <w:tc>
          <w:tcPr>
            <w:tcW w:w="1885"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10.7%</w:t>
            </w:r>
          </w:p>
        </w:tc>
        <w:tc>
          <w:tcPr>
            <w:tcW w:w="1875"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6.1%</w:t>
            </w:r>
          </w:p>
        </w:tc>
        <w:tc>
          <w:tcPr>
            <w:tcW w:w="188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12.9%</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951" w:type="dxa"/>
          </w:tcPr>
          <w:p w:rsidR="00554171" w:rsidRPr="00332CC0" w:rsidRDefault="00554171" w:rsidP="00040D3F">
            <w:pPr>
              <w:rPr>
                <w:b w:val="0"/>
              </w:rPr>
            </w:pPr>
            <w:r w:rsidRPr="00332CC0">
              <w:t>Pacific peoples</w:t>
            </w:r>
          </w:p>
        </w:tc>
        <w:tc>
          <w:tcPr>
            <w:tcW w:w="188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32.7%</w:t>
            </w:r>
          </w:p>
        </w:tc>
        <w:tc>
          <w:tcPr>
            <w:tcW w:w="188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13.3%</w:t>
            </w:r>
          </w:p>
        </w:tc>
        <w:tc>
          <w:tcPr>
            <w:tcW w:w="187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..S</w:t>
            </w:r>
          </w:p>
        </w:tc>
        <w:tc>
          <w:tcPr>
            <w:tcW w:w="188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15.2%</w:t>
            </w:r>
          </w:p>
        </w:tc>
      </w:tr>
      <w:tr w:rsidR="00554171" w:rsidRPr="00332CC0" w:rsidTr="00040D3F">
        <w:trPr>
          <w:trHeight w:val="736"/>
        </w:trPr>
        <w:tc>
          <w:tcPr>
            <w:cnfStyle w:val="001000000000" w:firstRow="0" w:lastRow="0" w:firstColumn="1" w:lastColumn="0" w:oddVBand="0" w:evenVBand="0" w:oddHBand="0" w:evenHBand="0" w:firstRowFirstColumn="0" w:firstRowLastColumn="0" w:lastRowFirstColumn="0" w:lastRowLastColumn="0"/>
            <w:tcW w:w="1951" w:type="dxa"/>
          </w:tcPr>
          <w:p w:rsidR="00554171" w:rsidRPr="00332CC0" w:rsidRDefault="00554171" w:rsidP="00040D3F">
            <w:pPr>
              <w:rPr>
                <w:b w:val="0"/>
              </w:rPr>
            </w:pPr>
            <w:r w:rsidRPr="00332CC0">
              <w:t>Asian/MELAA/ Other</w:t>
            </w:r>
          </w:p>
        </w:tc>
        <w:tc>
          <w:tcPr>
            <w:tcW w:w="188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17.3%</w:t>
            </w:r>
          </w:p>
        </w:tc>
        <w:tc>
          <w:tcPr>
            <w:tcW w:w="1885"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9.7%</w:t>
            </w:r>
          </w:p>
        </w:tc>
        <w:tc>
          <w:tcPr>
            <w:tcW w:w="1875"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4.6%</w:t>
            </w:r>
          </w:p>
        </w:tc>
        <w:tc>
          <w:tcPr>
            <w:tcW w:w="188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9.4%</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951" w:type="dxa"/>
          </w:tcPr>
          <w:p w:rsidR="00554171" w:rsidRPr="00332CC0" w:rsidRDefault="00554171" w:rsidP="00040D3F">
            <w:pPr>
              <w:rPr>
                <w:b w:val="0"/>
              </w:rPr>
            </w:pPr>
            <w:r w:rsidRPr="00332CC0">
              <w:t xml:space="preserve">Total </w:t>
            </w:r>
          </w:p>
        </w:tc>
        <w:tc>
          <w:tcPr>
            <w:tcW w:w="188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17.1%</w:t>
            </w:r>
          </w:p>
        </w:tc>
        <w:tc>
          <w:tcPr>
            <w:tcW w:w="188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6.4%</w:t>
            </w:r>
          </w:p>
        </w:tc>
        <w:tc>
          <w:tcPr>
            <w:tcW w:w="187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3.1%</w:t>
            </w:r>
          </w:p>
        </w:tc>
        <w:tc>
          <w:tcPr>
            <w:tcW w:w="188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6.8%</w:t>
            </w:r>
          </w:p>
        </w:tc>
      </w:tr>
    </w:tbl>
    <w:p w:rsidR="00554171" w:rsidRPr="00332CC0" w:rsidRDefault="00554171" w:rsidP="00554171"/>
    <w:p w:rsidR="00554171" w:rsidRPr="00332CC0" w:rsidRDefault="00554171" w:rsidP="00554171"/>
    <w:p w:rsidR="00554171" w:rsidRPr="00332CC0" w:rsidRDefault="00554171" w:rsidP="00554171"/>
    <w:p w:rsidR="00554171" w:rsidRPr="00332CC0" w:rsidRDefault="004E76D5" w:rsidP="002127F2">
      <w:pPr>
        <w:rPr>
          <w:b/>
          <w:sz w:val="28"/>
          <w:szCs w:val="28"/>
        </w:rPr>
      </w:pPr>
      <w:r>
        <w:rPr>
          <w:b/>
          <w:sz w:val="28"/>
          <w:szCs w:val="28"/>
        </w:rPr>
        <w:t>Table 2</w:t>
      </w:r>
      <w:r w:rsidR="00997B54">
        <w:rPr>
          <w:b/>
          <w:sz w:val="28"/>
          <w:szCs w:val="28"/>
        </w:rPr>
        <w:t>4</w:t>
      </w:r>
      <w:r w:rsidR="00554171" w:rsidRPr="00332CC0">
        <w:rPr>
          <w:b/>
          <w:sz w:val="28"/>
          <w:szCs w:val="28"/>
        </w:rPr>
        <w:t>:  Median hourly rate</w:t>
      </w:r>
      <w:r w:rsidR="00554171" w:rsidRPr="00332CC0">
        <w:rPr>
          <w:rStyle w:val="FootnoteReference"/>
          <w:b/>
          <w:sz w:val="28"/>
          <w:szCs w:val="28"/>
        </w:rPr>
        <w:footnoteReference w:id="25"/>
      </w:r>
    </w:p>
    <w:p w:rsidR="00554171" w:rsidRPr="00332CC0" w:rsidRDefault="00554171" w:rsidP="00554171"/>
    <w:tbl>
      <w:tblPr>
        <w:tblStyle w:val="MediumGrid1-Accent2"/>
        <w:tblW w:w="9503" w:type="dxa"/>
        <w:tblLook w:val="04A0" w:firstRow="1" w:lastRow="0" w:firstColumn="1" w:lastColumn="0" w:noHBand="0" w:noVBand="1"/>
      </w:tblPr>
      <w:tblGrid>
        <w:gridCol w:w="2381"/>
        <w:gridCol w:w="2374"/>
        <w:gridCol w:w="2374"/>
        <w:gridCol w:w="2374"/>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381" w:type="dxa"/>
          </w:tcPr>
          <w:p w:rsidR="00554171" w:rsidRPr="00332CC0" w:rsidRDefault="00554171" w:rsidP="00040D3F"/>
        </w:tc>
        <w:tc>
          <w:tcPr>
            <w:tcW w:w="2374"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All</w:t>
            </w:r>
          </w:p>
        </w:tc>
        <w:tc>
          <w:tcPr>
            <w:tcW w:w="2374"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Full-time</w:t>
            </w:r>
          </w:p>
        </w:tc>
        <w:tc>
          <w:tcPr>
            <w:tcW w:w="2374"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b w:val="0"/>
              </w:rPr>
            </w:pPr>
            <w:r w:rsidRPr="00332CC0">
              <w:t>Part-time</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381" w:type="dxa"/>
          </w:tcPr>
          <w:p w:rsidR="00554171" w:rsidRPr="00332CC0" w:rsidRDefault="00554171" w:rsidP="00040D3F">
            <w:pPr>
              <w:rPr>
                <w:b w:val="0"/>
              </w:rPr>
            </w:pPr>
            <w:r w:rsidRPr="00332CC0">
              <w:t>Men</w:t>
            </w:r>
          </w:p>
        </w:tc>
        <w:tc>
          <w:tcPr>
            <w:tcW w:w="237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$21.25</w:t>
            </w:r>
          </w:p>
        </w:tc>
        <w:tc>
          <w:tcPr>
            <w:tcW w:w="237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$22.12</w:t>
            </w:r>
          </w:p>
        </w:tc>
        <w:tc>
          <w:tcPr>
            <w:tcW w:w="237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$14.50</w:t>
            </w:r>
          </w:p>
        </w:tc>
      </w:tr>
      <w:tr w:rsidR="00554171" w:rsidRPr="00332CC0" w:rsidTr="00040D3F">
        <w:trPr>
          <w:trHeight w:val="355"/>
        </w:trPr>
        <w:tc>
          <w:tcPr>
            <w:cnfStyle w:val="001000000000" w:firstRow="0" w:lastRow="0" w:firstColumn="1" w:lastColumn="0" w:oddVBand="0" w:evenVBand="0" w:oddHBand="0" w:evenHBand="0" w:firstRowFirstColumn="0" w:firstRowLastColumn="0" w:lastRowFirstColumn="0" w:lastRowLastColumn="0"/>
            <w:tcW w:w="2381" w:type="dxa"/>
          </w:tcPr>
          <w:p w:rsidR="00554171" w:rsidRPr="00332CC0" w:rsidRDefault="00554171" w:rsidP="00040D3F">
            <w:pPr>
              <w:rPr>
                <w:b w:val="0"/>
              </w:rPr>
            </w:pPr>
            <w:r w:rsidRPr="00332CC0">
              <w:t>Women</w:t>
            </w:r>
          </w:p>
        </w:tc>
        <w:tc>
          <w:tcPr>
            <w:tcW w:w="237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$19.00</w:t>
            </w:r>
          </w:p>
        </w:tc>
        <w:tc>
          <w:tcPr>
            <w:tcW w:w="237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$20.62</w:t>
            </w:r>
          </w:p>
        </w:tc>
        <w:tc>
          <w:tcPr>
            <w:tcW w:w="237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$15.33</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381" w:type="dxa"/>
          </w:tcPr>
          <w:p w:rsidR="00554171" w:rsidRPr="00332CC0" w:rsidRDefault="00554171" w:rsidP="00040D3F">
            <w:pPr>
              <w:rPr>
                <w:b w:val="0"/>
              </w:rPr>
            </w:pPr>
            <w:r w:rsidRPr="00332CC0">
              <w:t xml:space="preserve">Total </w:t>
            </w:r>
          </w:p>
        </w:tc>
        <w:tc>
          <w:tcPr>
            <w:tcW w:w="237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$20.00</w:t>
            </w:r>
          </w:p>
        </w:tc>
        <w:tc>
          <w:tcPr>
            <w:tcW w:w="237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$21.58</w:t>
            </w:r>
          </w:p>
        </w:tc>
        <w:tc>
          <w:tcPr>
            <w:tcW w:w="237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$15.00</w:t>
            </w:r>
          </w:p>
        </w:tc>
      </w:tr>
    </w:tbl>
    <w:p w:rsidR="00554171" w:rsidRPr="00332CC0" w:rsidRDefault="00554171" w:rsidP="00554171"/>
    <w:p w:rsidR="00554171" w:rsidRPr="00332CC0" w:rsidRDefault="00554171" w:rsidP="00554171">
      <w:pPr>
        <w:rPr>
          <w:b/>
          <w:sz w:val="28"/>
          <w:szCs w:val="28"/>
        </w:rPr>
      </w:pPr>
    </w:p>
    <w:p w:rsidR="00554171" w:rsidRPr="00332CC0" w:rsidRDefault="00554171" w:rsidP="002127F2">
      <w:pPr>
        <w:rPr>
          <w:b/>
          <w:sz w:val="28"/>
          <w:szCs w:val="28"/>
        </w:rPr>
      </w:pPr>
      <w:r w:rsidRPr="00332CC0">
        <w:rPr>
          <w:b/>
          <w:sz w:val="28"/>
          <w:szCs w:val="28"/>
        </w:rPr>
        <w:t>Table 2</w:t>
      </w:r>
      <w:r w:rsidR="00997B54">
        <w:rPr>
          <w:b/>
          <w:sz w:val="28"/>
          <w:szCs w:val="28"/>
        </w:rPr>
        <w:t>5</w:t>
      </w:r>
      <w:r w:rsidRPr="00332CC0">
        <w:rPr>
          <w:b/>
          <w:sz w:val="28"/>
          <w:szCs w:val="28"/>
        </w:rPr>
        <w:t>:  Median hourly rate by gender and ethnicity</w:t>
      </w:r>
      <w:r w:rsidRPr="00332CC0">
        <w:rPr>
          <w:rStyle w:val="FootnoteReference"/>
          <w:b/>
          <w:sz w:val="28"/>
          <w:szCs w:val="28"/>
        </w:rPr>
        <w:footnoteReference w:id="26"/>
      </w:r>
      <w:r w:rsidRPr="00332CC0">
        <w:rPr>
          <w:b/>
          <w:sz w:val="28"/>
          <w:szCs w:val="28"/>
        </w:rPr>
        <w:t xml:space="preserve"> </w:t>
      </w:r>
    </w:p>
    <w:p w:rsidR="00554171" w:rsidRPr="00332CC0" w:rsidRDefault="00554171" w:rsidP="00554171"/>
    <w:tbl>
      <w:tblPr>
        <w:tblStyle w:val="MediumGrid1-Accent2"/>
        <w:tblW w:w="9583" w:type="dxa"/>
        <w:tblLook w:val="04A0" w:firstRow="1" w:lastRow="0" w:firstColumn="1" w:lastColumn="0" w:noHBand="0" w:noVBand="1"/>
      </w:tblPr>
      <w:tblGrid>
        <w:gridCol w:w="3204"/>
        <w:gridCol w:w="3186"/>
        <w:gridCol w:w="3193"/>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3204" w:type="dxa"/>
          </w:tcPr>
          <w:p w:rsidR="00554171" w:rsidRPr="00332CC0" w:rsidRDefault="00554171" w:rsidP="00040D3F"/>
        </w:tc>
        <w:tc>
          <w:tcPr>
            <w:tcW w:w="3186" w:type="dxa"/>
          </w:tcPr>
          <w:p w:rsidR="00554171" w:rsidRPr="00332CC0" w:rsidRDefault="00554171" w:rsidP="00040D3F">
            <w:pPr>
              <w:spacing w:before="240" w:after="240"/>
              <w:cnfStyle w:val="100000000000" w:firstRow="1" w:lastRow="0" w:firstColumn="0" w:lastColumn="0" w:oddVBand="0" w:evenVBand="0" w:oddHBand="0" w:evenHBand="0" w:firstRowFirstColumn="0" w:firstRowLastColumn="0" w:lastRowFirstColumn="0" w:lastRowLastColumn="0"/>
              <w:rPr>
                <w:b w:val="0"/>
              </w:rPr>
            </w:pPr>
            <w:r w:rsidRPr="00332CC0">
              <w:t>Men</w:t>
            </w:r>
          </w:p>
        </w:tc>
        <w:tc>
          <w:tcPr>
            <w:tcW w:w="3193" w:type="dxa"/>
          </w:tcPr>
          <w:p w:rsidR="00554171" w:rsidRPr="00332CC0" w:rsidRDefault="00554171" w:rsidP="00040D3F">
            <w:pPr>
              <w:spacing w:before="240"/>
              <w:cnfStyle w:val="100000000000" w:firstRow="1" w:lastRow="0" w:firstColumn="0" w:lastColumn="0" w:oddVBand="0" w:evenVBand="0" w:oddHBand="0" w:evenHBand="0" w:firstRowFirstColumn="0" w:firstRowLastColumn="0" w:lastRowFirstColumn="0" w:lastRowLastColumn="0"/>
              <w:rPr>
                <w:b w:val="0"/>
              </w:rPr>
            </w:pPr>
            <w:r w:rsidRPr="00332CC0">
              <w:t>Women</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3204" w:type="dxa"/>
          </w:tcPr>
          <w:p w:rsidR="00554171" w:rsidRPr="00332CC0" w:rsidRDefault="00554171" w:rsidP="00040D3F">
            <w:pPr>
              <w:rPr>
                <w:b w:val="0"/>
              </w:rPr>
            </w:pPr>
            <w:r w:rsidRPr="00332CC0">
              <w:t xml:space="preserve">European </w:t>
            </w:r>
          </w:p>
        </w:tc>
        <w:tc>
          <w:tcPr>
            <w:tcW w:w="318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$22.06</w:t>
            </w:r>
          </w:p>
        </w:tc>
        <w:tc>
          <w:tcPr>
            <w:tcW w:w="319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$19.33</w:t>
            </w:r>
          </w:p>
        </w:tc>
      </w:tr>
      <w:tr w:rsidR="00554171" w:rsidRPr="00332CC0" w:rsidTr="00040D3F">
        <w:trPr>
          <w:trHeight w:val="471"/>
        </w:trPr>
        <w:tc>
          <w:tcPr>
            <w:cnfStyle w:val="001000000000" w:firstRow="0" w:lastRow="0" w:firstColumn="1" w:lastColumn="0" w:oddVBand="0" w:evenVBand="0" w:oddHBand="0" w:evenHBand="0" w:firstRowFirstColumn="0" w:firstRowLastColumn="0" w:lastRowFirstColumn="0" w:lastRowLastColumn="0"/>
            <w:tcW w:w="3204" w:type="dxa"/>
          </w:tcPr>
          <w:p w:rsidR="00554171" w:rsidRPr="00332CC0" w:rsidRDefault="00554171" w:rsidP="00040D3F">
            <w:pPr>
              <w:rPr>
                <w:b w:val="0"/>
              </w:rPr>
            </w:pPr>
            <w:r w:rsidRPr="00332CC0">
              <w:t xml:space="preserve">Māori </w:t>
            </w:r>
          </w:p>
        </w:tc>
        <w:tc>
          <w:tcPr>
            <w:tcW w:w="318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$18.00</w:t>
            </w:r>
          </w:p>
        </w:tc>
        <w:tc>
          <w:tcPr>
            <w:tcW w:w="319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$17.00</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3204" w:type="dxa"/>
          </w:tcPr>
          <w:p w:rsidR="00554171" w:rsidRPr="00332CC0" w:rsidRDefault="00554171" w:rsidP="00040D3F">
            <w:pPr>
              <w:rPr>
                <w:b w:val="0"/>
              </w:rPr>
            </w:pPr>
            <w:r w:rsidRPr="00332CC0">
              <w:t>Pacific People</w:t>
            </w:r>
          </w:p>
        </w:tc>
        <w:tc>
          <w:tcPr>
            <w:tcW w:w="318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$17.88</w:t>
            </w:r>
          </w:p>
        </w:tc>
        <w:tc>
          <w:tcPr>
            <w:tcW w:w="319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$16.68</w:t>
            </w:r>
          </w:p>
        </w:tc>
      </w:tr>
      <w:tr w:rsidR="00554171" w:rsidRPr="00332CC0" w:rsidTr="00040D3F">
        <w:trPr>
          <w:trHeight w:val="435"/>
        </w:trPr>
        <w:tc>
          <w:tcPr>
            <w:cnfStyle w:val="001000000000" w:firstRow="0" w:lastRow="0" w:firstColumn="1" w:lastColumn="0" w:oddVBand="0" w:evenVBand="0" w:oddHBand="0" w:evenHBand="0" w:firstRowFirstColumn="0" w:firstRowLastColumn="0" w:lastRowFirstColumn="0" w:lastRowLastColumn="0"/>
            <w:tcW w:w="3204" w:type="dxa"/>
          </w:tcPr>
          <w:p w:rsidR="00554171" w:rsidRPr="00332CC0" w:rsidRDefault="00554171" w:rsidP="00040D3F">
            <w:pPr>
              <w:rPr>
                <w:b w:val="0"/>
              </w:rPr>
            </w:pPr>
            <w:r w:rsidRPr="00332CC0">
              <w:t>Asian</w:t>
            </w:r>
          </w:p>
        </w:tc>
        <w:tc>
          <w:tcPr>
            <w:tcW w:w="318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$19.18</w:t>
            </w:r>
          </w:p>
        </w:tc>
        <w:tc>
          <w:tcPr>
            <w:tcW w:w="319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$18.00</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3204" w:type="dxa"/>
          </w:tcPr>
          <w:p w:rsidR="00554171" w:rsidRPr="00332CC0" w:rsidRDefault="00554171" w:rsidP="00040D3F">
            <w:pPr>
              <w:rPr>
                <w:b w:val="0"/>
              </w:rPr>
            </w:pPr>
            <w:r w:rsidRPr="00332CC0">
              <w:t>MELAA</w:t>
            </w:r>
          </w:p>
        </w:tc>
        <w:tc>
          <w:tcPr>
            <w:tcW w:w="318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$22.00</w:t>
            </w:r>
          </w:p>
        </w:tc>
        <w:tc>
          <w:tcPr>
            <w:tcW w:w="3193"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$20.00</w:t>
            </w:r>
          </w:p>
        </w:tc>
      </w:tr>
      <w:tr w:rsidR="00554171" w:rsidRPr="00332CC0" w:rsidTr="00040D3F">
        <w:trPr>
          <w:trHeight w:val="435"/>
        </w:trPr>
        <w:tc>
          <w:tcPr>
            <w:cnfStyle w:val="001000000000" w:firstRow="0" w:lastRow="0" w:firstColumn="1" w:lastColumn="0" w:oddVBand="0" w:evenVBand="0" w:oddHBand="0" w:evenHBand="0" w:firstRowFirstColumn="0" w:firstRowLastColumn="0" w:lastRowFirstColumn="0" w:lastRowLastColumn="0"/>
            <w:tcW w:w="3204" w:type="dxa"/>
          </w:tcPr>
          <w:p w:rsidR="00554171" w:rsidRPr="00332CC0" w:rsidRDefault="00554171" w:rsidP="00040D3F">
            <w:pPr>
              <w:rPr>
                <w:b w:val="0"/>
              </w:rPr>
            </w:pPr>
            <w:r w:rsidRPr="00332CC0">
              <w:t>Other</w:t>
            </w:r>
          </w:p>
        </w:tc>
        <w:tc>
          <w:tcPr>
            <w:tcW w:w="318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$22.06</w:t>
            </w:r>
          </w:p>
        </w:tc>
        <w:tc>
          <w:tcPr>
            <w:tcW w:w="3193"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$18.00</w:t>
            </w:r>
          </w:p>
        </w:tc>
      </w:tr>
    </w:tbl>
    <w:p w:rsidR="00554171" w:rsidRPr="00332CC0" w:rsidRDefault="00554171" w:rsidP="00554171">
      <w:r w:rsidRPr="00332CC0">
        <w:t xml:space="preserve"> </w:t>
      </w:r>
    </w:p>
    <w:p w:rsidR="00554171" w:rsidRPr="00332CC0" w:rsidRDefault="00554171" w:rsidP="00554171">
      <w:pPr>
        <w:rPr>
          <w:rFonts w:cs="Arial"/>
          <w:b/>
          <w:sz w:val="28"/>
          <w:szCs w:val="28"/>
        </w:rPr>
      </w:pPr>
    </w:p>
    <w:p w:rsidR="00554171" w:rsidRPr="00332CC0" w:rsidRDefault="00554171" w:rsidP="00554171">
      <w:pPr>
        <w:rPr>
          <w:rFonts w:cs="Arial"/>
          <w:b/>
          <w:sz w:val="28"/>
          <w:szCs w:val="28"/>
        </w:rPr>
      </w:pPr>
    </w:p>
    <w:p w:rsidR="00554171" w:rsidRPr="00332CC0" w:rsidRDefault="00554171" w:rsidP="00554171">
      <w:pPr>
        <w:rPr>
          <w:rFonts w:cs="Arial"/>
          <w:b/>
          <w:sz w:val="28"/>
          <w:szCs w:val="28"/>
        </w:rPr>
      </w:pPr>
    </w:p>
    <w:p w:rsidR="00554171" w:rsidRPr="00332CC0" w:rsidRDefault="00554171" w:rsidP="00554171">
      <w:pPr>
        <w:rPr>
          <w:rFonts w:cs="Arial"/>
          <w:b/>
          <w:sz w:val="28"/>
          <w:szCs w:val="28"/>
        </w:rPr>
      </w:pPr>
    </w:p>
    <w:p w:rsidR="00554171" w:rsidRPr="00332CC0" w:rsidRDefault="00554171" w:rsidP="00554171">
      <w:pPr>
        <w:rPr>
          <w:rFonts w:cs="Arial"/>
          <w:b/>
          <w:sz w:val="28"/>
          <w:szCs w:val="28"/>
        </w:rPr>
      </w:pPr>
      <w:r w:rsidRPr="00332CC0">
        <w:rPr>
          <w:rFonts w:cs="Arial"/>
          <w:b/>
          <w:sz w:val="28"/>
          <w:szCs w:val="28"/>
        </w:rPr>
        <w:t>Sex discrimination complaints</w:t>
      </w:r>
    </w:p>
    <w:p w:rsidR="00554171" w:rsidRPr="00332CC0" w:rsidRDefault="00554171" w:rsidP="00554171">
      <w:pPr>
        <w:jc w:val="both"/>
        <w:rPr>
          <w:rFonts w:cs="Arial"/>
          <w:sz w:val="22"/>
        </w:rPr>
      </w:pPr>
      <w:r w:rsidRPr="00332CC0">
        <w:rPr>
          <w:rFonts w:cs="Arial"/>
          <w:sz w:val="22"/>
        </w:rPr>
        <w:t>The most common type of complaint on the ground of sex was in relation to pregnancy accounting for 31% of the sex co</w:t>
      </w:r>
      <w:r w:rsidR="00B22FCE">
        <w:rPr>
          <w:rFonts w:cs="Arial"/>
          <w:sz w:val="22"/>
        </w:rPr>
        <w:t>mplaints in employment (</w:t>
      </w:r>
      <w:r w:rsidR="00B22FCE" w:rsidRPr="002127F2">
        <w:rPr>
          <w:rFonts w:cs="Arial"/>
          <w:sz w:val="22"/>
        </w:rPr>
        <w:t>Table 26</w:t>
      </w:r>
      <w:r w:rsidRPr="002127F2">
        <w:rPr>
          <w:rFonts w:cs="Arial"/>
          <w:sz w:val="22"/>
        </w:rPr>
        <w:t>) in the</w:t>
      </w:r>
      <w:r w:rsidRPr="00332CC0">
        <w:rPr>
          <w:rFonts w:cs="Arial"/>
          <w:sz w:val="22"/>
        </w:rPr>
        <w:t xml:space="preserve"> last five years. Pregnancy complaints include women being made redundant or having their roles otherwise terminated shortly after advising of pregnancy (34 complaints), being declined roles (12) or other pre-employment problems (10), and poor treatment after advising of pregnancy (16).</w:t>
      </w:r>
    </w:p>
    <w:p w:rsidR="00554171" w:rsidRPr="00332CC0" w:rsidRDefault="00554171" w:rsidP="00554171">
      <w:pPr>
        <w:jc w:val="both"/>
        <w:rPr>
          <w:rFonts w:cs="Arial"/>
          <w:sz w:val="22"/>
        </w:rPr>
      </w:pPr>
    </w:p>
    <w:p w:rsidR="00554171" w:rsidRDefault="00554171" w:rsidP="00554171">
      <w:pPr>
        <w:jc w:val="both"/>
        <w:rPr>
          <w:rFonts w:cs="Arial"/>
          <w:sz w:val="22"/>
        </w:rPr>
      </w:pPr>
      <w:r w:rsidRPr="00332CC0">
        <w:rPr>
          <w:rFonts w:cs="Arial"/>
          <w:sz w:val="22"/>
        </w:rPr>
        <w:t>Related to the pregnancy complaints were a further 23 complaints about parental leave, including problems with jobs not being held open for people returning from parental leave.</w:t>
      </w:r>
    </w:p>
    <w:p w:rsidR="00554171" w:rsidRDefault="00554171" w:rsidP="00554171">
      <w:pPr>
        <w:jc w:val="both"/>
        <w:rPr>
          <w:rFonts w:cs="Arial"/>
          <w:sz w:val="22"/>
        </w:rPr>
      </w:pPr>
    </w:p>
    <w:p w:rsidR="00554171" w:rsidRPr="00332CC0" w:rsidRDefault="00554171" w:rsidP="00554171">
      <w:pPr>
        <w:jc w:val="both"/>
        <w:rPr>
          <w:rFonts w:cs="Arial"/>
          <w:sz w:val="22"/>
        </w:rPr>
      </w:pPr>
      <w:r>
        <w:rPr>
          <w:rFonts w:cs="Arial"/>
          <w:sz w:val="22"/>
        </w:rPr>
        <w:t>Sexual harassment is included as a separate form of discrimination in the HRA and remains persistently high.</w:t>
      </w:r>
    </w:p>
    <w:p w:rsidR="00554171" w:rsidRPr="00332CC0" w:rsidRDefault="00554171" w:rsidP="00554171">
      <w:pPr>
        <w:rPr>
          <w:rFonts w:cs="Arial"/>
          <w:i/>
          <w:u w:val="single"/>
        </w:rPr>
      </w:pPr>
    </w:p>
    <w:p w:rsidR="00554171" w:rsidRPr="00332CC0" w:rsidRDefault="00554171" w:rsidP="002127F2">
      <w:pPr>
        <w:rPr>
          <w:rFonts w:cs="Arial"/>
          <w:b/>
          <w:sz w:val="28"/>
          <w:szCs w:val="28"/>
        </w:rPr>
      </w:pPr>
      <w:r w:rsidRPr="00332CC0">
        <w:rPr>
          <w:rFonts w:cs="Arial"/>
          <w:b/>
          <w:sz w:val="28"/>
          <w:szCs w:val="28"/>
        </w:rPr>
        <w:t>Table 2</w:t>
      </w:r>
      <w:r w:rsidR="00997B54">
        <w:rPr>
          <w:rFonts w:cs="Arial"/>
          <w:b/>
          <w:sz w:val="28"/>
          <w:szCs w:val="28"/>
        </w:rPr>
        <w:t>6</w:t>
      </w:r>
      <w:r w:rsidRPr="00332CC0">
        <w:rPr>
          <w:rFonts w:cs="Arial"/>
          <w:b/>
          <w:sz w:val="28"/>
          <w:szCs w:val="28"/>
        </w:rPr>
        <w:t>:  Sex discrimination and employment complaints</w:t>
      </w:r>
    </w:p>
    <w:p w:rsidR="00554171" w:rsidRPr="00332CC0" w:rsidRDefault="00554171" w:rsidP="00554171">
      <w:pPr>
        <w:rPr>
          <w:rFonts w:cs="Arial"/>
          <w:i/>
          <w:u w:val="single"/>
        </w:rPr>
      </w:pPr>
    </w:p>
    <w:tbl>
      <w:tblPr>
        <w:tblStyle w:val="MediumGrid1-Accent2"/>
        <w:tblW w:w="9415" w:type="dxa"/>
        <w:tblLook w:val="04A0" w:firstRow="1" w:lastRow="0" w:firstColumn="1" w:lastColumn="0" w:noHBand="0" w:noVBand="1"/>
      </w:tblPr>
      <w:tblGrid>
        <w:gridCol w:w="5693"/>
        <w:gridCol w:w="1860"/>
        <w:gridCol w:w="1862"/>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1553"/>
        </w:trPr>
        <w:tc>
          <w:tcPr>
            <w:cnfStyle w:val="001000000000" w:firstRow="0" w:lastRow="0" w:firstColumn="1" w:lastColumn="0" w:oddVBand="0" w:evenVBand="0" w:oddHBand="0" w:evenHBand="0" w:firstRowFirstColumn="0" w:firstRowLastColumn="0" w:lastRowFirstColumn="0" w:lastRowLastColumn="0"/>
            <w:tcW w:w="5693" w:type="dxa"/>
          </w:tcPr>
          <w:p w:rsidR="00554171" w:rsidRPr="00332CC0" w:rsidRDefault="00554171" w:rsidP="00040D3F">
            <w:pPr>
              <w:rPr>
                <w:rFonts w:cs="Arial"/>
              </w:rPr>
            </w:pPr>
          </w:p>
        </w:tc>
        <w:tc>
          <w:tcPr>
            <w:tcW w:w="1860" w:type="dxa"/>
          </w:tcPr>
          <w:p w:rsidR="00554171" w:rsidRPr="00332CC0" w:rsidRDefault="00554171" w:rsidP="00040D3F">
            <w:pPr>
              <w:spacing w:before="240" w:line="276" w:lineRule="auto"/>
              <w:cnfStyle w:val="100000000000" w:firstRow="1" w:lastRow="0" w:firstColumn="0" w:lastColumn="0" w:oddVBand="0" w:evenVBand="0" w:oddHBand="0" w:evenHBand="0" w:firstRowFirstColumn="0" w:firstRowLastColumn="0" w:lastRowFirstColumn="0" w:lastRowLastColumn="0"/>
              <w:rPr>
                <w:rFonts w:cs="Arial"/>
              </w:rPr>
            </w:pPr>
            <w:r w:rsidRPr="00332CC0">
              <w:rPr>
                <w:rFonts w:cs="Arial"/>
              </w:rPr>
              <w:t>Number of sex complaints</w:t>
            </w:r>
          </w:p>
        </w:tc>
        <w:tc>
          <w:tcPr>
            <w:tcW w:w="1862" w:type="dxa"/>
          </w:tcPr>
          <w:p w:rsidR="00554171" w:rsidRPr="00332CC0" w:rsidRDefault="00554171" w:rsidP="00040D3F">
            <w:pPr>
              <w:spacing w:before="240"/>
              <w:cnfStyle w:val="100000000000" w:firstRow="1" w:lastRow="0" w:firstColumn="0" w:lastColumn="0" w:oddVBand="0" w:evenVBand="0" w:oddHBand="0" w:evenHBand="0" w:firstRowFirstColumn="0" w:firstRowLastColumn="0" w:lastRowFirstColumn="0" w:lastRowLastColumn="0"/>
              <w:rPr>
                <w:rFonts w:cs="Arial"/>
              </w:rPr>
            </w:pPr>
            <w:r w:rsidRPr="00332CC0">
              <w:rPr>
                <w:rFonts w:cs="Arial"/>
              </w:rPr>
              <w:t>Proportion of sex complaints</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5693" w:type="dxa"/>
          </w:tcPr>
          <w:p w:rsidR="00554171" w:rsidRPr="00332CC0" w:rsidRDefault="00554171" w:rsidP="00040D3F">
            <w:pPr>
              <w:rPr>
                <w:rFonts w:cs="Arial"/>
              </w:rPr>
            </w:pPr>
            <w:r w:rsidRPr="00332CC0">
              <w:rPr>
                <w:rFonts w:cs="Arial"/>
              </w:rPr>
              <w:t>Pregnancy</w:t>
            </w:r>
          </w:p>
        </w:tc>
        <w:tc>
          <w:tcPr>
            <w:tcW w:w="1860" w:type="dxa"/>
          </w:tcPr>
          <w:p w:rsidR="00554171" w:rsidRPr="00332CC0" w:rsidRDefault="00554171" w:rsidP="00040D3F">
            <w:pPr>
              <w:jc w:val="cente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128</w:t>
            </w:r>
          </w:p>
        </w:tc>
        <w:tc>
          <w:tcPr>
            <w:tcW w:w="1862" w:type="dxa"/>
          </w:tcPr>
          <w:p w:rsidR="00554171" w:rsidRPr="00332CC0" w:rsidRDefault="00554171" w:rsidP="00040D3F">
            <w:pPr>
              <w:jc w:val="cente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31%</w:t>
            </w:r>
          </w:p>
        </w:tc>
      </w:tr>
      <w:tr w:rsidR="00554171" w:rsidRPr="00332CC0" w:rsidTr="00040D3F">
        <w:trPr>
          <w:trHeight w:val="528"/>
        </w:trPr>
        <w:tc>
          <w:tcPr>
            <w:cnfStyle w:val="001000000000" w:firstRow="0" w:lastRow="0" w:firstColumn="1" w:lastColumn="0" w:oddVBand="0" w:evenVBand="0" w:oddHBand="0" w:evenHBand="0" w:firstRowFirstColumn="0" w:firstRowLastColumn="0" w:lastRowFirstColumn="0" w:lastRowLastColumn="0"/>
            <w:tcW w:w="5693" w:type="dxa"/>
          </w:tcPr>
          <w:p w:rsidR="00554171" w:rsidRPr="00332CC0" w:rsidRDefault="00554171" w:rsidP="00040D3F">
            <w:pPr>
              <w:rPr>
                <w:rFonts w:cs="Arial"/>
              </w:rPr>
            </w:pPr>
            <w:r w:rsidRPr="00332CC0">
              <w:rPr>
                <w:rFonts w:cs="Arial"/>
              </w:rPr>
              <w:t>Gender preference in pre-employment</w:t>
            </w:r>
          </w:p>
        </w:tc>
        <w:tc>
          <w:tcPr>
            <w:tcW w:w="1860" w:type="dxa"/>
          </w:tcPr>
          <w:p w:rsidR="00554171" w:rsidRPr="00332CC0" w:rsidRDefault="00554171" w:rsidP="00040D3F">
            <w:pPr>
              <w:jc w:val="cente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95</w:t>
            </w:r>
          </w:p>
        </w:tc>
        <w:tc>
          <w:tcPr>
            <w:tcW w:w="1862" w:type="dxa"/>
          </w:tcPr>
          <w:p w:rsidR="00554171" w:rsidRPr="00332CC0" w:rsidRDefault="00554171" w:rsidP="00040D3F">
            <w:pPr>
              <w:jc w:val="cente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23%</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5693" w:type="dxa"/>
          </w:tcPr>
          <w:p w:rsidR="00554171" w:rsidRPr="00332CC0" w:rsidRDefault="00554171" w:rsidP="00040D3F">
            <w:pPr>
              <w:rPr>
                <w:rFonts w:cs="Arial"/>
              </w:rPr>
            </w:pPr>
            <w:r w:rsidRPr="00332CC0">
              <w:rPr>
                <w:rFonts w:cs="Arial"/>
              </w:rPr>
              <w:t>Parental leave</w:t>
            </w:r>
          </w:p>
        </w:tc>
        <w:tc>
          <w:tcPr>
            <w:tcW w:w="1860" w:type="dxa"/>
          </w:tcPr>
          <w:p w:rsidR="00554171" w:rsidRPr="00332CC0" w:rsidRDefault="00554171" w:rsidP="00040D3F">
            <w:pPr>
              <w:jc w:val="cente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23</w:t>
            </w:r>
          </w:p>
        </w:tc>
        <w:tc>
          <w:tcPr>
            <w:tcW w:w="1862" w:type="dxa"/>
          </w:tcPr>
          <w:p w:rsidR="00554171" w:rsidRPr="00332CC0" w:rsidRDefault="00554171" w:rsidP="00040D3F">
            <w:pPr>
              <w:jc w:val="cente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6%</w:t>
            </w:r>
          </w:p>
        </w:tc>
      </w:tr>
    </w:tbl>
    <w:p w:rsidR="00554171" w:rsidRPr="00332CC0" w:rsidRDefault="00554171" w:rsidP="00554171">
      <w:pPr>
        <w:rPr>
          <w:rFonts w:cs="Arial"/>
        </w:rPr>
      </w:pPr>
    </w:p>
    <w:p w:rsidR="00554171" w:rsidRPr="00332CC0" w:rsidRDefault="00554171" w:rsidP="002127F2">
      <w:pPr>
        <w:rPr>
          <w:rFonts w:cs="Arial"/>
          <w:b/>
          <w:sz w:val="28"/>
          <w:szCs w:val="28"/>
        </w:rPr>
      </w:pPr>
      <w:r w:rsidRPr="00332CC0">
        <w:rPr>
          <w:rFonts w:cs="Arial"/>
          <w:b/>
          <w:sz w:val="28"/>
          <w:szCs w:val="28"/>
        </w:rPr>
        <w:t>Table 2</w:t>
      </w:r>
      <w:r w:rsidR="00997B54">
        <w:rPr>
          <w:rFonts w:cs="Arial"/>
          <w:b/>
          <w:sz w:val="28"/>
          <w:szCs w:val="28"/>
        </w:rPr>
        <w:t>7</w:t>
      </w:r>
      <w:r w:rsidRPr="00332CC0">
        <w:rPr>
          <w:rFonts w:cs="Arial"/>
          <w:b/>
          <w:sz w:val="28"/>
          <w:szCs w:val="28"/>
        </w:rPr>
        <w:t>:  Sexual harassment complaints</w:t>
      </w:r>
    </w:p>
    <w:p w:rsidR="00554171" w:rsidRPr="00332CC0" w:rsidRDefault="00554171" w:rsidP="00554171">
      <w:pPr>
        <w:rPr>
          <w:rFonts w:cs="Arial"/>
          <w:i/>
          <w:u w:val="single"/>
        </w:rPr>
      </w:pPr>
    </w:p>
    <w:tbl>
      <w:tblPr>
        <w:tblStyle w:val="MediumGrid1-Accent2"/>
        <w:tblW w:w="9508" w:type="dxa"/>
        <w:tblLook w:val="04A0" w:firstRow="1" w:lastRow="0" w:firstColumn="1" w:lastColumn="0" w:noHBand="0" w:noVBand="1"/>
      </w:tblPr>
      <w:tblGrid>
        <w:gridCol w:w="5757"/>
        <w:gridCol w:w="1875"/>
        <w:gridCol w:w="1876"/>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2015"/>
        </w:trPr>
        <w:tc>
          <w:tcPr>
            <w:cnfStyle w:val="001000000000" w:firstRow="0" w:lastRow="0" w:firstColumn="1" w:lastColumn="0" w:oddVBand="0" w:evenVBand="0" w:oddHBand="0" w:evenHBand="0" w:firstRowFirstColumn="0" w:firstRowLastColumn="0" w:lastRowFirstColumn="0" w:lastRowLastColumn="0"/>
            <w:tcW w:w="5757" w:type="dxa"/>
          </w:tcPr>
          <w:p w:rsidR="00554171" w:rsidRPr="00332CC0" w:rsidRDefault="00554171" w:rsidP="00040D3F">
            <w:pPr>
              <w:rPr>
                <w:rFonts w:cs="Arial"/>
              </w:rPr>
            </w:pPr>
          </w:p>
        </w:tc>
        <w:tc>
          <w:tcPr>
            <w:tcW w:w="1875"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rPr>
            </w:pPr>
          </w:p>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rPr>
            </w:pPr>
            <w:r w:rsidRPr="00332CC0">
              <w:rPr>
                <w:rFonts w:cs="Arial"/>
              </w:rPr>
              <w:t>Number of sexual harassment complaints</w:t>
            </w:r>
          </w:p>
        </w:tc>
        <w:tc>
          <w:tcPr>
            <w:tcW w:w="1876"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rPr>
            </w:pPr>
          </w:p>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rPr>
            </w:pPr>
            <w:r w:rsidRPr="00332CC0">
              <w:rPr>
                <w:rFonts w:cs="Arial"/>
              </w:rPr>
              <w:t>Proportion of sexual harassment complaints</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5757" w:type="dxa"/>
          </w:tcPr>
          <w:p w:rsidR="00554171" w:rsidRPr="00332CC0" w:rsidRDefault="00554171" w:rsidP="00040D3F">
            <w:pPr>
              <w:rPr>
                <w:rFonts w:cs="Arial"/>
              </w:rPr>
            </w:pPr>
            <w:r w:rsidRPr="00332CC0">
              <w:rPr>
                <w:rFonts w:cs="Arial"/>
              </w:rPr>
              <w:t>Harassment (by colleague or not specified)</w:t>
            </w:r>
          </w:p>
        </w:tc>
        <w:tc>
          <w:tcPr>
            <w:tcW w:w="1875" w:type="dxa"/>
          </w:tcPr>
          <w:p w:rsidR="00554171" w:rsidRPr="00332CC0" w:rsidRDefault="00554171" w:rsidP="00040D3F">
            <w:pPr>
              <w:jc w:val="cente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184</w:t>
            </w:r>
          </w:p>
        </w:tc>
        <w:tc>
          <w:tcPr>
            <w:tcW w:w="1876" w:type="dxa"/>
          </w:tcPr>
          <w:p w:rsidR="00554171" w:rsidRPr="00332CC0" w:rsidRDefault="00554171" w:rsidP="00040D3F">
            <w:pPr>
              <w:jc w:val="cente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57%</w:t>
            </w:r>
          </w:p>
        </w:tc>
      </w:tr>
      <w:tr w:rsidR="00554171" w:rsidRPr="00332CC0" w:rsidTr="00040D3F">
        <w:trPr>
          <w:trHeight w:val="483"/>
        </w:trPr>
        <w:tc>
          <w:tcPr>
            <w:cnfStyle w:val="001000000000" w:firstRow="0" w:lastRow="0" w:firstColumn="1" w:lastColumn="0" w:oddVBand="0" w:evenVBand="0" w:oddHBand="0" w:evenHBand="0" w:firstRowFirstColumn="0" w:firstRowLastColumn="0" w:lastRowFirstColumn="0" w:lastRowLastColumn="0"/>
            <w:tcW w:w="5757" w:type="dxa"/>
          </w:tcPr>
          <w:p w:rsidR="00554171" w:rsidRPr="00332CC0" w:rsidRDefault="00554171" w:rsidP="00040D3F">
            <w:pPr>
              <w:rPr>
                <w:rFonts w:cs="Arial"/>
              </w:rPr>
            </w:pPr>
            <w:r w:rsidRPr="00332CC0">
              <w:rPr>
                <w:rFonts w:cs="Arial"/>
              </w:rPr>
              <w:t>Harassment by person in senior role</w:t>
            </w:r>
          </w:p>
        </w:tc>
        <w:tc>
          <w:tcPr>
            <w:tcW w:w="1875" w:type="dxa"/>
          </w:tcPr>
          <w:p w:rsidR="00554171" w:rsidRPr="00332CC0" w:rsidRDefault="00554171" w:rsidP="00040D3F">
            <w:pPr>
              <w:jc w:val="cente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113</w:t>
            </w:r>
          </w:p>
        </w:tc>
        <w:tc>
          <w:tcPr>
            <w:tcW w:w="1876" w:type="dxa"/>
          </w:tcPr>
          <w:p w:rsidR="00554171" w:rsidRPr="00332CC0" w:rsidRDefault="00554171" w:rsidP="00040D3F">
            <w:pPr>
              <w:jc w:val="cente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35%</w:t>
            </w:r>
          </w:p>
        </w:tc>
      </w:tr>
    </w:tbl>
    <w:p w:rsidR="00554171" w:rsidRPr="00332CC0" w:rsidRDefault="00554171" w:rsidP="00554171"/>
    <w:p w:rsidR="00554171" w:rsidRDefault="00554171" w:rsidP="00554171">
      <w:pPr>
        <w:pStyle w:val="Heading1"/>
        <w:spacing w:before="0"/>
        <w:rPr>
          <w:rFonts w:ascii="Arial" w:hAnsi="Arial" w:cs="Arial"/>
          <w:color w:val="00B0F0"/>
          <w:sz w:val="32"/>
          <w:szCs w:val="32"/>
        </w:rPr>
      </w:pPr>
    </w:p>
    <w:p w:rsidR="00554171" w:rsidRDefault="00554171" w:rsidP="00554171">
      <w:pPr>
        <w:pStyle w:val="Heading1"/>
        <w:spacing w:before="0"/>
        <w:rPr>
          <w:rFonts w:ascii="Arial" w:hAnsi="Arial" w:cs="Arial"/>
          <w:color w:val="00B0F0"/>
          <w:sz w:val="32"/>
          <w:szCs w:val="32"/>
        </w:rPr>
      </w:pPr>
    </w:p>
    <w:p w:rsidR="00554171" w:rsidRDefault="00554171" w:rsidP="00554171">
      <w:pPr>
        <w:pStyle w:val="Heading1"/>
        <w:spacing w:before="0"/>
        <w:rPr>
          <w:rFonts w:ascii="Arial" w:hAnsi="Arial" w:cs="Arial"/>
          <w:color w:val="00B0F0"/>
          <w:sz w:val="32"/>
          <w:szCs w:val="32"/>
        </w:rPr>
      </w:pPr>
    </w:p>
    <w:p w:rsidR="00554171" w:rsidRDefault="00554171" w:rsidP="00554171">
      <w:pPr>
        <w:pStyle w:val="Heading1"/>
        <w:spacing w:before="0"/>
        <w:rPr>
          <w:rFonts w:ascii="Arial" w:hAnsi="Arial" w:cs="Arial"/>
          <w:color w:val="00B0F0"/>
          <w:sz w:val="32"/>
          <w:szCs w:val="32"/>
        </w:rPr>
      </w:pPr>
    </w:p>
    <w:p w:rsidR="00554171" w:rsidRDefault="00554171" w:rsidP="00554171">
      <w:pPr>
        <w:pStyle w:val="Heading1"/>
        <w:spacing w:before="0"/>
        <w:rPr>
          <w:rFonts w:ascii="Arial" w:hAnsi="Arial" w:cs="Arial"/>
          <w:color w:val="00B0F0"/>
          <w:sz w:val="32"/>
          <w:szCs w:val="32"/>
        </w:rPr>
      </w:pPr>
    </w:p>
    <w:p w:rsidR="00554171" w:rsidRDefault="00554171" w:rsidP="00554171">
      <w:pPr>
        <w:spacing w:after="200" w:line="276" w:lineRule="auto"/>
        <w:rPr>
          <w:rFonts w:eastAsiaTheme="majorEastAsia" w:cs="Arial"/>
          <w:b/>
          <w:bCs/>
          <w:color w:val="00B0F0"/>
          <w:sz w:val="32"/>
          <w:szCs w:val="32"/>
        </w:rPr>
      </w:pPr>
      <w:r>
        <w:rPr>
          <w:rFonts w:cs="Arial"/>
          <w:color w:val="00B0F0"/>
          <w:sz w:val="32"/>
          <w:szCs w:val="32"/>
        </w:rPr>
        <w:br w:type="page"/>
      </w:r>
    </w:p>
    <w:p w:rsidR="00554171" w:rsidRPr="00332CC0" w:rsidRDefault="00554171" w:rsidP="00554171">
      <w:pPr>
        <w:pStyle w:val="Heading1"/>
        <w:spacing w:before="0"/>
        <w:rPr>
          <w:rFonts w:ascii="Arial" w:hAnsi="Arial" w:cs="Arial"/>
          <w:color w:val="00B0F0"/>
          <w:sz w:val="32"/>
          <w:szCs w:val="32"/>
        </w:rPr>
      </w:pPr>
      <w:r w:rsidRPr="00332CC0">
        <w:rPr>
          <w:rFonts w:ascii="Arial" w:hAnsi="Arial" w:cs="Arial"/>
          <w:color w:val="00B0F0"/>
          <w:sz w:val="32"/>
          <w:szCs w:val="32"/>
        </w:rPr>
        <w:t>Ethnicity</w:t>
      </w:r>
    </w:p>
    <w:p w:rsidR="00554171" w:rsidRPr="00332CC0" w:rsidRDefault="00554171" w:rsidP="00554171">
      <w:pPr>
        <w:autoSpaceDE w:val="0"/>
        <w:autoSpaceDN w:val="0"/>
        <w:adjustRightInd w:val="0"/>
        <w:rPr>
          <w:rFonts w:cs="Arial"/>
          <w:b/>
          <w:color w:val="000000"/>
        </w:rPr>
      </w:pPr>
    </w:p>
    <w:p w:rsidR="00554171" w:rsidRPr="00332CC0" w:rsidRDefault="00554171" w:rsidP="00554171">
      <w:pPr>
        <w:autoSpaceDE w:val="0"/>
        <w:autoSpaceDN w:val="0"/>
        <w:adjustRightInd w:val="0"/>
        <w:rPr>
          <w:rStyle w:val="IntenseEmphasis"/>
          <w:i w:val="0"/>
          <w:color w:val="auto"/>
          <w:sz w:val="28"/>
          <w:szCs w:val="28"/>
        </w:rPr>
      </w:pPr>
      <w:r w:rsidRPr="00332CC0">
        <w:rPr>
          <w:rStyle w:val="IntenseEmphasis"/>
          <w:i w:val="0"/>
          <w:color w:val="auto"/>
          <w:sz w:val="28"/>
          <w:szCs w:val="28"/>
        </w:rPr>
        <w:t>Employment Statistics</w:t>
      </w:r>
    </w:p>
    <w:p w:rsidR="00554171" w:rsidRPr="002127F2" w:rsidRDefault="00C230D7" w:rsidP="00554171">
      <w:pPr>
        <w:autoSpaceDE w:val="0"/>
        <w:autoSpaceDN w:val="0"/>
        <w:adjustRightInd w:val="0"/>
        <w:jc w:val="both"/>
        <w:rPr>
          <w:rFonts w:cs="Arial"/>
          <w:color w:val="000000"/>
          <w:sz w:val="22"/>
          <w:szCs w:val="22"/>
        </w:rPr>
      </w:pPr>
      <w:r w:rsidRPr="002127F2">
        <w:rPr>
          <w:rFonts w:cs="Arial"/>
          <w:color w:val="000000"/>
          <w:sz w:val="22"/>
          <w:szCs w:val="22"/>
        </w:rPr>
        <w:t>Tables 28 and 29</w:t>
      </w:r>
      <w:r w:rsidR="00554171" w:rsidRPr="002127F2">
        <w:rPr>
          <w:rFonts w:cs="Arial"/>
          <w:color w:val="000000"/>
          <w:sz w:val="22"/>
          <w:szCs w:val="22"/>
        </w:rPr>
        <w:t xml:space="preserve"> indicate the acuteness of Māori and Pacific youth unemployment. More than one in four Māori and one in four Pacific youth in the labour market are unemployed. </w:t>
      </w:r>
    </w:p>
    <w:p w:rsidR="00554171" w:rsidRPr="002127F2" w:rsidRDefault="00554171" w:rsidP="00554171">
      <w:pPr>
        <w:autoSpaceDE w:val="0"/>
        <w:autoSpaceDN w:val="0"/>
        <w:adjustRightInd w:val="0"/>
        <w:jc w:val="both"/>
        <w:rPr>
          <w:rFonts w:cs="Arial"/>
          <w:color w:val="000000"/>
          <w:sz w:val="22"/>
          <w:szCs w:val="22"/>
        </w:rPr>
      </w:pPr>
    </w:p>
    <w:p w:rsidR="00554171" w:rsidRPr="002127F2" w:rsidRDefault="00554171" w:rsidP="00554171">
      <w:pPr>
        <w:autoSpaceDE w:val="0"/>
        <w:autoSpaceDN w:val="0"/>
        <w:adjustRightInd w:val="0"/>
        <w:jc w:val="both"/>
        <w:rPr>
          <w:rFonts w:cs="Arial"/>
          <w:color w:val="000000"/>
          <w:sz w:val="22"/>
          <w:szCs w:val="22"/>
        </w:rPr>
      </w:pPr>
      <w:r w:rsidRPr="002127F2">
        <w:rPr>
          <w:rFonts w:cs="Arial"/>
          <w:color w:val="000000"/>
          <w:sz w:val="22"/>
          <w:szCs w:val="22"/>
        </w:rPr>
        <w:t>For all under 25 year olds, 9.3% of Europeans, 15.4% of Māori, 13.1% of Pacific youth and 9.5% of Asian/MELAA/other are unemployed.</w:t>
      </w:r>
      <w:r w:rsidRPr="002127F2">
        <w:rPr>
          <w:rStyle w:val="FootnoteReference"/>
          <w:rFonts w:cs="Arial"/>
          <w:color w:val="000000"/>
          <w:sz w:val="22"/>
          <w:szCs w:val="22"/>
        </w:rPr>
        <w:footnoteReference w:id="27"/>
      </w:r>
      <w:r w:rsidRPr="002127F2">
        <w:rPr>
          <w:rFonts w:cs="Arial"/>
          <w:color w:val="000000"/>
          <w:sz w:val="22"/>
          <w:szCs w:val="22"/>
        </w:rPr>
        <w:t xml:space="preserve"> The different participation rates leads to questions as to what those people are doing – and for under 25s many will be in education. </w:t>
      </w:r>
    </w:p>
    <w:p w:rsidR="00554171" w:rsidRPr="002127F2" w:rsidRDefault="00554171" w:rsidP="00554171">
      <w:pPr>
        <w:autoSpaceDE w:val="0"/>
        <w:autoSpaceDN w:val="0"/>
        <w:adjustRightInd w:val="0"/>
        <w:jc w:val="both"/>
        <w:rPr>
          <w:rFonts w:cs="Arial"/>
          <w:color w:val="000000"/>
          <w:sz w:val="22"/>
          <w:szCs w:val="22"/>
        </w:rPr>
      </w:pPr>
    </w:p>
    <w:p w:rsidR="00554171" w:rsidRPr="00332CC0" w:rsidRDefault="00554171" w:rsidP="00554171">
      <w:pPr>
        <w:autoSpaceDE w:val="0"/>
        <w:autoSpaceDN w:val="0"/>
        <w:adjustRightInd w:val="0"/>
        <w:jc w:val="both"/>
        <w:rPr>
          <w:rFonts w:cs="Arial"/>
          <w:color w:val="000000"/>
          <w:sz w:val="22"/>
          <w:szCs w:val="22"/>
        </w:rPr>
      </w:pPr>
      <w:r w:rsidRPr="002127F2">
        <w:rPr>
          <w:rFonts w:cs="Arial"/>
          <w:color w:val="000000"/>
          <w:sz w:val="22"/>
          <w:szCs w:val="22"/>
        </w:rPr>
        <w:t>Unemployment r</w:t>
      </w:r>
      <w:r w:rsidR="00C230D7" w:rsidRPr="002127F2">
        <w:rPr>
          <w:rFonts w:cs="Arial"/>
          <w:color w:val="000000"/>
          <w:sz w:val="22"/>
          <w:szCs w:val="22"/>
        </w:rPr>
        <w:t>ates by qualification (Tables 30 to 32</w:t>
      </w:r>
      <w:r w:rsidRPr="002127F2">
        <w:rPr>
          <w:rFonts w:cs="Arial"/>
          <w:color w:val="000000"/>
          <w:sz w:val="22"/>
          <w:szCs w:val="22"/>
        </w:rPr>
        <w:t>) suggest that while higher education levels reduce the likelihood of unemployment, Māori, Pacific people</w:t>
      </w:r>
      <w:r w:rsidRPr="00332CC0">
        <w:rPr>
          <w:rFonts w:cs="Arial"/>
          <w:color w:val="000000"/>
          <w:sz w:val="22"/>
          <w:szCs w:val="22"/>
        </w:rPr>
        <w:t xml:space="preserve"> and other people from ethnic minorities with a post secondary school diploma have higher rates of unemployment than Europeans with no qualifications.</w:t>
      </w:r>
      <w:r w:rsidRPr="00332CC0">
        <w:rPr>
          <w:rStyle w:val="FootnoteReference"/>
          <w:rFonts w:cs="Arial"/>
          <w:color w:val="000000"/>
          <w:sz w:val="22"/>
          <w:szCs w:val="22"/>
        </w:rPr>
        <w:footnoteReference w:id="28"/>
      </w:r>
      <w:r w:rsidRPr="00332CC0">
        <w:rPr>
          <w:rFonts w:cs="Arial"/>
          <w:color w:val="000000"/>
          <w:sz w:val="22"/>
          <w:szCs w:val="22"/>
        </w:rPr>
        <w:t xml:space="preserve">  </w:t>
      </w:r>
    </w:p>
    <w:p w:rsidR="00554171" w:rsidRPr="00332CC0" w:rsidRDefault="00554171" w:rsidP="00554171">
      <w:pPr>
        <w:autoSpaceDE w:val="0"/>
        <w:autoSpaceDN w:val="0"/>
        <w:adjustRightInd w:val="0"/>
        <w:jc w:val="both"/>
        <w:rPr>
          <w:rFonts w:cs="Arial"/>
          <w:color w:val="000000"/>
          <w:sz w:val="22"/>
          <w:szCs w:val="22"/>
        </w:rPr>
      </w:pPr>
    </w:p>
    <w:p w:rsidR="00554171" w:rsidRPr="00332CC0" w:rsidRDefault="004E76D5" w:rsidP="002127F2">
      <w:pPr>
        <w:rPr>
          <w:rFonts w:cs="Arial"/>
          <w:b/>
          <w:sz w:val="28"/>
          <w:szCs w:val="28"/>
        </w:rPr>
      </w:pPr>
      <w:r>
        <w:rPr>
          <w:rFonts w:cs="Arial"/>
          <w:b/>
          <w:sz w:val="28"/>
          <w:szCs w:val="28"/>
        </w:rPr>
        <w:t>Table 2</w:t>
      </w:r>
      <w:r w:rsidR="00997B54">
        <w:rPr>
          <w:rFonts w:cs="Arial"/>
          <w:b/>
          <w:sz w:val="28"/>
          <w:szCs w:val="28"/>
        </w:rPr>
        <w:t>8</w:t>
      </w:r>
      <w:r w:rsidR="00554171" w:rsidRPr="00332CC0">
        <w:rPr>
          <w:rFonts w:cs="Arial"/>
          <w:b/>
          <w:sz w:val="28"/>
          <w:szCs w:val="28"/>
        </w:rPr>
        <w:t>:  Participation rates</w:t>
      </w:r>
    </w:p>
    <w:p w:rsidR="00554171" w:rsidRPr="00332CC0" w:rsidRDefault="00554171" w:rsidP="00554171">
      <w:pPr>
        <w:rPr>
          <w:rFonts w:cs="Arial"/>
          <w:sz w:val="22"/>
          <w:szCs w:val="22"/>
          <w:u w:val="single"/>
        </w:rPr>
      </w:pPr>
    </w:p>
    <w:tbl>
      <w:tblPr>
        <w:tblStyle w:val="MediumGrid1-Accent2"/>
        <w:tblW w:w="9528" w:type="dxa"/>
        <w:tblLook w:val="04A0" w:firstRow="1" w:lastRow="0" w:firstColumn="1" w:lastColumn="0" w:noHBand="0" w:noVBand="1"/>
      </w:tblPr>
      <w:tblGrid>
        <w:gridCol w:w="1950"/>
        <w:gridCol w:w="1895"/>
        <w:gridCol w:w="1894"/>
        <w:gridCol w:w="1981"/>
        <w:gridCol w:w="1808"/>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950" w:type="dxa"/>
          </w:tcPr>
          <w:p w:rsidR="00554171" w:rsidRPr="00332CC0" w:rsidRDefault="00554171" w:rsidP="00040D3F">
            <w:pPr>
              <w:rPr>
                <w:rFonts w:cs="Arial"/>
              </w:rPr>
            </w:pPr>
          </w:p>
        </w:tc>
        <w:tc>
          <w:tcPr>
            <w:tcW w:w="1895"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Under 25 yrs</w:t>
            </w:r>
          </w:p>
        </w:tc>
        <w:tc>
          <w:tcPr>
            <w:tcW w:w="1894"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25-44 yrs</w:t>
            </w:r>
          </w:p>
        </w:tc>
        <w:tc>
          <w:tcPr>
            <w:tcW w:w="1981"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45 and over</w:t>
            </w:r>
          </w:p>
        </w:tc>
        <w:tc>
          <w:tcPr>
            <w:tcW w:w="1808"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Total</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950" w:type="dxa"/>
          </w:tcPr>
          <w:p w:rsidR="00554171" w:rsidRPr="00332CC0" w:rsidRDefault="00554171" w:rsidP="00040D3F">
            <w:pPr>
              <w:rPr>
                <w:rFonts w:cs="Arial"/>
                <w:b w:val="0"/>
              </w:rPr>
            </w:pPr>
            <w:r w:rsidRPr="00332CC0">
              <w:rPr>
                <w:rFonts w:cs="Arial"/>
              </w:rPr>
              <w:t>European</w:t>
            </w:r>
          </w:p>
        </w:tc>
        <w:tc>
          <w:tcPr>
            <w:tcW w:w="189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67.5%</w:t>
            </w:r>
          </w:p>
        </w:tc>
        <w:tc>
          <w:tcPr>
            <w:tcW w:w="189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85.2%</w:t>
            </w:r>
          </w:p>
        </w:tc>
        <w:tc>
          <w:tcPr>
            <w:tcW w:w="198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61.3%</w:t>
            </w:r>
          </w:p>
        </w:tc>
        <w:tc>
          <w:tcPr>
            <w:tcW w:w="180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69.8%</w:t>
            </w:r>
          </w:p>
        </w:tc>
      </w:tr>
      <w:tr w:rsidR="00554171" w:rsidRPr="00332CC0" w:rsidTr="00040D3F">
        <w:trPr>
          <w:trHeight w:val="456"/>
        </w:trPr>
        <w:tc>
          <w:tcPr>
            <w:cnfStyle w:val="001000000000" w:firstRow="0" w:lastRow="0" w:firstColumn="1" w:lastColumn="0" w:oddVBand="0" w:evenVBand="0" w:oddHBand="0" w:evenHBand="0" w:firstRowFirstColumn="0" w:firstRowLastColumn="0" w:lastRowFirstColumn="0" w:lastRowLastColumn="0"/>
            <w:tcW w:w="1950" w:type="dxa"/>
          </w:tcPr>
          <w:p w:rsidR="00554171" w:rsidRPr="00332CC0" w:rsidRDefault="00554171" w:rsidP="00040D3F">
            <w:pPr>
              <w:rPr>
                <w:rFonts w:cs="Arial"/>
                <w:b w:val="0"/>
              </w:rPr>
            </w:pPr>
            <w:r w:rsidRPr="00332CC0">
              <w:rPr>
                <w:rFonts w:cs="Arial"/>
              </w:rPr>
              <w:t>Māori</w:t>
            </w:r>
          </w:p>
        </w:tc>
        <w:tc>
          <w:tcPr>
            <w:tcW w:w="1895"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56.3%</w:t>
            </w:r>
          </w:p>
        </w:tc>
        <w:tc>
          <w:tcPr>
            <w:tcW w:w="189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76.1%</w:t>
            </w:r>
          </w:p>
        </w:tc>
        <w:tc>
          <w:tcPr>
            <w:tcW w:w="198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64.5%</w:t>
            </w:r>
          </w:p>
        </w:tc>
        <w:tc>
          <w:tcPr>
            <w:tcW w:w="1808"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66.4%</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1950" w:type="dxa"/>
          </w:tcPr>
          <w:p w:rsidR="00554171" w:rsidRPr="00332CC0" w:rsidRDefault="00554171" w:rsidP="00040D3F">
            <w:pPr>
              <w:rPr>
                <w:rFonts w:cs="Arial"/>
                <w:b w:val="0"/>
              </w:rPr>
            </w:pPr>
            <w:r w:rsidRPr="00332CC0">
              <w:rPr>
                <w:rFonts w:cs="Arial"/>
              </w:rPr>
              <w:t>Pacific peoples</w:t>
            </w:r>
          </w:p>
        </w:tc>
        <w:tc>
          <w:tcPr>
            <w:tcW w:w="189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48.0%</w:t>
            </w:r>
          </w:p>
        </w:tc>
        <w:tc>
          <w:tcPr>
            <w:tcW w:w="189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75.3%</w:t>
            </w:r>
          </w:p>
        </w:tc>
        <w:tc>
          <w:tcPr>
            <w:tcW w:w="198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57.5%</w:t>
            </w:r>
          </w:p>
        </w:tc>
        <w:tc>
          <w:tcPr>
            <w:tcW w:w="180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61.6%</w:t>
            </w:r>
          </w:p>
        </w:tc>
      </w:tr>
      <w:tr w:rsidR="00554171" w:rsidRPr="00332CC0" w:rsidTr="00040D3F">
        <w:trPr>
          <w:trHeight w:val="953"/>
        </w:trPr>
        <w:tc>
          <w:tcPr>
            <w:cnfStyle w:val="001000000000" w:firstRow="0" w:lastRow="0" w:firstColumn="1" w:lastColumn="0" w:oddVBand="0" w:evenVBand="0" w:oddHBand="0" w:evenHBand="0" w:firstRowFirstColumn="0" w:firstRowLastColumn="0" w:lastRowFirstColumn="0" w:lastRowLastColumn="0"/>
            <w:tcW w:w="1950" w:type="dxa"/>
          </w:tcPr>
          <w:p w:rsidR="00554171" w:rsidRPr="00332CC0" w:rsidRDefault="00554171" w:rsidP="00040D3F">
            <w:pPr>
              <w:rPr>
                <w:rFonts w:cs="Arial"/>
                <w:b w:val="0"/>
              </w:rPr>
            </w:pPr>
            <w:r w:rsidRPr="00332CC0">
              <w:rPr>
                <w:rFonts w:cs="Arial"/>
              </w:rPr>
              <w:t>Asian/MELAA/ Other</w:t>
            </w:r>
          </w:p>
        </w:tc>
        <w:tc>
          <w:tcPr>
            <w:tcW w:w="1895"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53.2%</w:t>
            </w:r>
          </w:p>
        </w:tc>
        <w:tc>
          <w:tcPr>
            <w:tcW w:w="189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 xml:space="preserve">80.9% </w:t>
            </w:r>
          </w:p>
        </w:tc>
        <w:tc>
          <w:tcPr>
            <w:tcW w:w="198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58.2%</w:t>
            </w:r>
          </w:p>
        </w:tc>
        <w:tc>
          <w:tcPr>
            <w:tcW w:w="1808"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66.9%</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950" w:type="dxa"/>
          </w:tcPr>
          <w:p w:rsidR="00554171" w:rsidRPr="00332CC0" w:rsidRDefault="00554171" w:rsidP="00040D3F">
            <w:pPr>
              <w:rPr>
                <w:rFonts w:cs="Arial"/>
                <w:b w:val="0"/>
              </w:rPr>
            </w:pPr>
            <w:r w:rsidRPr="00332CC0">
              <w:rPr>
                <w:rFonts w:cs="Arial"/>
              </w:rPr>
              <w:t xml:space="preserve">Total </w:t>
            </w:r>
          </w:p>
        </w:tc>
        <w:tc>
          <w:tcPr>
            <w:tcW w:w="189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62.1%</w:t>
            </w:r>
          </w:p>
        </w:tc>
        <w:tc>
          <w:tcPr>
            <w:tcW w:w="189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83.0%</w:t>
            </w:r>
          </w:p>
        </w:tc>
        <w:tc>
          <w:tcPr>
            <w:tcW w:w="198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60.7%</w:t>
            </w:r>
          </w:p>
        </w:tc>
        <w:tc>
          <w:tcPr>
            <w:tcW w:w="180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68.5%</w:t>
            </w:r>
          </w:p>
        </w:tc>
      </w:tr>
    </w:tbl>
    <w:p w:rsidR="00554171" w:rsidRPr="00332CC0" w:rsidRDefault="00554171" w:rsidP="00554171">
      <w:pPr>
        <w:rPr>
          <w:rFonts w:cs="Arial"/>
          <w:sz w:val="22"/>
          <w:szCs w:val="22"/>
        </w:rPr>
      </w:pPr>
    </w:p>
    <w:p w:rsidR="00554171" w:rsidRPr="00332CC0" w:rsidRDefault="00554171" w:rsidP="002127F2">
      <w:pPr>
        <w:rPr>
          <w:rFonts w:cs="Arial"/>
          <w:b/>
          <w:sz w:val="28"/>
          <w:szCs w:val="28"/>
        </w:rPr>
      </w:pPr>
      <w:r w:rsidRPr="00332CC0">
        <w:rPr>
          <w:rFonts w:cs="Arial"/>
          <w:b/>
          <w:sz w:val="28"/>
          <w:szCs w:val="28"/>
        </w:rPr>
        <w:t>Table 2</w:t>
      </w:r>
      <w:r w:rsidR="00997B54">
        <w:rPr>
          <w:rFonts w:cs="Arial"/>
          <w:b/>
          <w:sz w:val="28"/>
          <w:szCs w:val="28"/>
        </w:rPr>
        <w:t>9</w:t>
      </w:r>
      <w:r w:rsidRPr="00332CC0">
        <w:rPr>
          <w:rFonts w:cs="Arial"/>
          <w:b/>
          <w:sz w:val="28"/>
          <w:szCs w:val="28"/>
        </w:rPr>
        <w:t>:  Unemployment rates</w:t>
      </w:r>
    </w:p>
    <w:p w:rsidR="00554171" w:rsidRPr="00332CC0" w:rsidRDefault="00554171" w:rsidP="00554171">
      <w:pPr>
        <w:rPr>
          <w:rFonts w:cs="Arial"/>
          <w:b/>
          <w:sz w:val="22"/>
          <w:szCs w:val="22"/>
        </w:rPr>
      </w:pPr>
    </w:p>
    <w:tbl>
      <w:tblPr>
        <w:tblStyle w:val="MediumGrid1-Accent2"/>
        <w:tblW w:w="9724" w:type="dxa"/>
        <w:tblLook w:val="04A0" w:firstRow="1" w:lastRow="0" w:firstColumn="1" w:lastColumn="0" w:noHBand="0" w:noVBand="1"/>
      </w:tblPr>
      <w:tblGrid>
        <w:gridCol w:w="1990"/>
        <w:gridCol w:w="1936"/>
        <w:gridCol w:w="1935"/>
        <w:gridCol w:w="1927"/>
        <w:gridCol w:w="1936"/>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990" w:type="dxa"/>
          </w:tcPr>
          <w:p w:rsidR="00554171" w:rsidRPr="00332CC0" w:rsidRDefault="00554171" w:rsidP="00040D3F">
            <w:pPr>
              <w:rPr>
                <w:rFonts w:cs="Arial"/>
              </w:rPr>
            </w:pPr>
          </w:p>
        </w:tc>
        <w:tc>
          <w:tcPr>
            <w:tcW w:w="1936"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rPr>
            </w:pPr>
            <w:r w:rsidRPr="00332CC0">
              <w:rPr>
                <w:rFonts w:cs="Arial"/>
              </w:rPr>
              <w:t>Under 25 yrs</w:t>
            </w:r>
          </w:p>
        </w:tc>
        <w:tc>
          <w:tcPr>
            <w:tcW w:w="1935"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rPr>
            </w:pPr>
            <w:r w:rsidRPr="00332CC0">
              <w:rPr>
                <w:rFonts w:cs="Arial"/>
              </w:rPr>
              <w:t>25-44 yrs</w:t>
            </w:r>
          </w:p>
        </w:tc>
        <w:tc>
          <w:tcPr>
            <w:tcW w:w="1927"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rPr>
            </w:pPr>
            <w:r w:rsidRPr="00332CC0">
              <w:rPr>
                <w:rFonts w:cs="Arial"/>
              </w:rPr>
              <w:t>45 and over</w:t>
            </w:r>
          </w:p>
        </w:tc>
        <w:tc>
          <w:tcPr>
            <w:tcW w:w="1936"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rPr>
            </w:pPr>
            <w:r w:rsidRPr="00332CC0">
              <w:rPr>
                <w:rFonts w:cs="Arial"/>
              </w:rPr>
              <w:t>Total</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990" w:type="dxa"/>
          </w:tcPr>
          <w:p w:rsidR="00554171" w:rsidRPr="00332CC0" w:rsidRDefault="00554171" w:rsidP="00040D3F">
            <w:pPr>
              <w:rPr>
                <w:rFonts w:cs="Arial"/>
              </w:rPr>
            </w:pPr>
            <w:r w:rsidRPr="00332CC0">
              <w:rPr>
                <w:rFonts w:cs="Arial"/>
              </w:rPr>
              <w:t>European</w:t>
            </w:r>
          </w:p>
        </w:tc>
        <w:tc>
          <w:tcPr>
            <w:tcW w:w="193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13.8%</w:t>
            </w:r>
          </w:p>
        </w:tc>
        <w:tc>
          <w:tcPr>
            <w:tcW w:w="193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4.1%</w:t>
            </w:r>
          </w:p>
        </w:tc>
        <w:tc>
          <w:tcPr>
            <w:tcW w:w="192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2.9%</w:t>
            </w:r>
          </w:p>
        </w:tc>
        <w:tc>
          <w:tcPr>
            <w:tcW w:w="193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5.1%</w:t>
            </w:r>
          </w:p>
        </w:tc>
      </w:tr>
      <w:tr w:rsidR="00554171" w:rsidRPr="00332CC0" w:rsidTr="00040D3F">
        <w:trPr>
          <w:trHeight w:val="439"/>
        </w:trPr>
        <w:tc>
          <w:tcPr>
            <w:cnfStyle w:val="001000000000" w:firstRow="0" w:lastRow="0" w:firstColumn="1" w:lastColumn="0" w:oddVBand="0" w:evenVBand="0" w:oddHBand="0" w:evenHBand="0" w:firstRowFirstColumn="0" w:firstRowLastColumn="0" w:lastRowFirstColumn="0" w:lastRowLastColumn="0"/>
            <w:tcW w:w="1990" w:type="dxa"/>
          </w:tcPr>
          <w:p w:rsidR="00554171" w:rsidRPr="00332CC0" w:rsidRDefault="00554171" w:rsidP="00040D3F">
            <w:pPr>
              <w:rPr>
                <w:rFonts w:cs="Arial"/>
              </w:rPr>
            </w:pPr>
            <w:r w:rsidRPr="00332CC0">
              <w:rPr>
                <w:rFonts w:cs="Arial"/>
              </w:rPr>
              <w:t>Māori</w:t>
            </w:r>
          </w:p>
        </w:tc>
        <w:tc>
          <w:tcPr>
            <w:tcW w:w="193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27.4%</w:t>
            </w:r>
          </w:p>
        </w:tc>
        <w:tc>
          <w:tcPr>
            <w:tcW w:w="1935"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9.7%</w:t>
            </w:r>
          </w:p>
        </w:tc>
        <w:tc>
          <w:tcPr>
            <w:tcW w:w="192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7.8%</w:t>
            </w:r>
          </w:p>
        </w:tc>
        <w:tc>
          <w:tcPr>
            <w:tcW w:w="193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13.4%</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990" w:type="dxa"/>
          </w:tcPr>
          <w:p w:rsidR="00554171" w:rsidRPr="00332CC0" w:rsidRDefault="00554171" w:rsidP="00040D3F">
            <w:pPr>
              <w:rPr>
                <w:rFonts w:cs="Arial"/>
              </w:rPr>
            </w:pPr>
            <w:r w:rsidRPr="00332CC0">
              <w:rPr>
                <w:rFonts w:cs="Arial"/>
              </w:rPr>
              <w:t>Pacific peoples</w:t>
            </w:r>
          </w:p>
        </w:tc>
        <w:tc>
          <w:tcPr>
            <w:tcW w:w="193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27.2%</w:t>
            </w:r>
          </w:p>
        </w:tc>
        <w:tc>
          <w:tcPr>
            <w:tcW w:w="193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10.2%</w:t>
            </w:r>
          </w:p>
        </w:tc>
        <w:tc>
          <w:tcPr>
            <w:tcW w:w="192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7.5%</w:t>
            </w:r>
          </w:p>
        </w:tc>
        <w:tc>
          <w:tcPr>
            <w:tcW w:w="193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13.6%</w:t>
            </w:r>
          </w:p>
        </w:tc>
      </w:tr>
      <w:tr w:rsidR="00554171" w:rsidRPr="00332CC0" w:rsidTr="00040D3F">
        <w:trPr>
          <w:trHeight w:val="915"/>
        </w:trPr>
        <w:tc>
          <w:tcPr>
            <w:cnfStyle w:val="001000000000" w:firstRow="0" w:lastRow="0" w:firstColumn="1" w:lastColumn="0" w:oddVBand="0" w:evenVBand="0" w:oddHBand="0" w:evenHBand="0" w:firstRowFirstColumn="0" w:firstRowLastColumn="0" w:lastRowFirstColumn="0" w:lastRowLastColumn="0"/>
            <w:tcW w:w="1990" w:type="dxa"/>
          </w:tcPr>
          <w:p w:rsidR="00554171" w:rsidRPr="00332CC0" w:rsidRDefault="00554171" w:rsidP="00040D3F">
            <w:pPr>
              <w:rPr>
                <w:rFonts w:cs="Arial"/>
              </w:rPr>
            </w:pPr>
            <w:r w:rsidRPr="00332CC0">
              <w:rPr>
                <w:rFonts w:cs="Arial"/>
              </w:rPr>
              <w:t>Asian/MELAA/ Other</w:t>
            </w:r>
          </w:p>
        </w:tc>
        <w:tc>
          <w:tcPr>
            <w:tcW w:w="193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17.8%</w:t>
            </w:r>
          </w:p>
        </w:tc>
        <w:tc>
          <w:tcPr>
            <w:tcW w:w="1935"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7.5%</w:t>
            </w:r>
          </w:p>
        </w:tc>
        <w:tc>
          <w:tcPr>
            <w:tcW w:w="192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4.8%</w:t>
            </w:r>
          </w:p>
        </w:tc>
        <w:tc>
          <w:tcPr>
            <w:tcW w:w="193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8.5%</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990" w:type="dxa"/>
          </w:tcPr>
          <w:p w:rsidR="00554171" w:rsidRPr="00332CC0" w:rsidRDefault="00554171" w:rsidP="00040D3F">
            <w:pPr>
              <w:rPr>
                <w:rFonts w:cs="Arial"/>
              </w:rPr>
            </w:pPr>
            <w:r w:rsidRPr="00332CC0">
              <w:rPr>
                <w:rFonts w:cs="Arial"/>
              </w:rPr>
              <w:t xml:space="preserve">Total </w:t>
            </w:r>
          </w:p>
        </w:tc>
        <w:tc>
          <w:tcPr>
            <w:tcW w:w="193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16.8%</w:t>
            </w:r>
          </w:p>
        </w:tc>
        <w:tc>
          <w:tcPr>
            <w:tcW w:w="193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5.5%</w:t>
            </w:r>
          </w:p>
        </w:tc>
        <w:tc>
          <w:tcPr>
            <w:tcW w:w="192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3.6%</w:t>
            </w:r>
          </w:p>
        </w:tc>
        <w:tc>
          <w:tcPr>
            <w:tcW w:w="193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6.6%</w:t>
            </w:r>
          </w:p>
        </w:tc>
      </w:tr>
    </w:tbl>
    <w:p w:rsidR="00554171" w:rsidRDefault="00554171" w:rsidP="00554171">
      <w:pPr>
        <w:rPr>
          <w:rFonts w:cs="Arial"/>
          <w:b/>
          <w:sz w:val="28"/>
          <w:szCs w:val="28"/>
        </w:rPr>
      </w:pPr>
    </w:p>
    <w:p w:rsidR="00554171" w:rsidRPr="00332CC0" w:rsidRDefault="00554171" w:rsidP="00554171">
      <w:pPr>
        <w:rPr>
          <w:rFonts w:cs="Arial"/>
          <w:b/>
          <w:sz w:val="28"/>
          <w:szCs w:val="28"/>
        </w:rPr>
      </w:pPr>
      <w:r w:rsidRPr="00332CC0">
        <w:rPr>
          <w:rFonts w:cs="Arial"/>
          <w:b/>
          <w:sz w:val="28"/>
          <w:szCs w:val="28"/>
        </w:rPr>
        <w:t xml:space="preserve">Qualifications and unemployment </w:t>
      </w:r>
    </w:p>
    <w:p w:rsidR="00554171" w:rsidRPr="00332CC0" w:rsidRDefault="00554171" w:rsidP="00554171">
      <w:pPr>
        <w:rPr>
          <w:rFonts w:cs="Arial"/>
          <w:sz w:val="22"/>
          <w:szCs w:val="22"/>
          <w:u w:val="single"/>
        </w:rPr>
      </w:pPr>
    </w:p>
    <w:p w:rsidR="00554171" w:rsidRPr="00332CC0" w:rsidRDefault="00997B54" w:rsidP="002127F2">
      <w:pPr>
        <w:rPr>
          <w:rFonts w:cs="Arial"/>
          <w:b/>
          <w:sz w:val="28"/>
          <w:szCs w:val="28"/>
        </w:rPr>
      </w:pPr>
      <w:r>
        <w:rPr>
          <w:rFonts w:cs="Arial"/>
          <w:b/>
          <w:sz w:val="28"/>
          <w:szCs w:val="28"/>
        </w:rPr>
        <w:t>Table 30</w:t>
      </w:r>
      <w:r w:rsidR="00554171" w:rsidRPr="00332CC0">
        <w:rPr>
          <w:rFonts w:cs="Arial"/>
          <w:b/>
          <w:sz w:val="28"/>
          <w:szCs w:val="28"/>
        </w:rPr>
        <w:t>:  Male unemployment rates by educational qualification and ethnicity</w:t>
      </w:r>
    </w:p>
    <w:p w:rsidR="00554171" w:rsidRPr="00332CC0" w:rsidRDefault="00554171" w:rsidP="00554171">
      <w:pPr>
        <w:rPr>
          <w:rFonts w:cs="Arial"/>
          <w:b/>
          <w:sz w:val="22"/>
          <w:szCs w:val="22"/>
        </w:rPr>
      </w:pPr>
    </w:p>
    <w:tbl>
      <w:tblPr>
        <w:tblStyle w:val="MediumGrid1-Accent2"/>
        <w:tblW w:w="9522" w:type="dxa"/>
        <w:tblLook w:val="04A0" w:firstRow="1" w:lastRow="0" w:firstColumn="1" w:lastColumn="0" w:noHBand="0" w:noVBand="1"/>
      </w:tblPr>
      <w:tblGrid>
        <w:gridCol w:w="1842"/>
        <w:gridCol w:w="1194"/>
        <w:gridCol w:w="1257"/>
        <w:gridCol w:w="1323"/>
        <w:gridCol w:w="1355"/>
        <w:gridCol w:w="1360"/>
        <w:gridCol w:w="1191"/>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1844" w:type="dxa"/>
          </w:tcPr>
          <w:p w:rsidR="00554171" w:rsidRPr="00332CC0" w:rsidRDefault="00554171" w:rsidP="00040D3F">
            <w:pPr>
              <w:rPr>
                <w:rFonts w:cs="Arial"/>
                <w:b w:val="0"/>
              </w:rPr>
            </w:pPr>
            <w:r w:rsidRPr="00332CC0">
              <w:rPr>
                <w:rFonts w:cs="Arial"/>
              </w:rPr>
              <w:t>Ethnicity</w:t>
            </w:r>
          </w:p>
        </w:tc>
        <w:tc>
          <w:tcPr>
            <w:tcW w:w="1211"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None</w:t>
            </w:r>
          </w:p>
        </w:tc>
        <w:tc>
          <w:tcPr>
            <w:tcW w:w="1271"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 xml:space="preserve">School </w:t>
            </w:r>
            <w:r>
              <w:rPr>
                <w:rFonts w:cs="Arial"/>
              </w:rPr>
              <w:t>qual</w:t>
            </w:r>
          </w:p>
        </w:tc>
        <w:tc>
          <w:tcPr>
            <w:tcW w:w="1261"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Post school</w:t>
            </w:r>
            <w:r>
              <w:rPr>
                <w:rFonts w:cs="Arial"/>
              </w:rPr>
              <w:t xml:space="preserve"> (Diploma)</w:t>
            </w:r>
            <w:r w:rsidRPr="00332CC0">
              <w:rPr>
                <w:rFonts w:cs="Arial"/>
              </w:rPr>
              <w:t xml:space="preserve"> </w:t>
            </w:r>
          </w:p>
        </w:tc>
        <w:tc>
          <w:tcPr>
            <w:tcW w:w="1361"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Bachelor</w:t>
            </w:r>
          </w:p>
        </w:tc>
        <w:tc>
          <w:tcPr>
            <w:tcW w:w="1366"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Not specified</w:t>
            </w:r>
          </w:p>
        </w:tc>
        <w:tc>
          <w:tcPr>
            <w:tcW w:w="1208"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 xml:space="preserve">Total </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844" w:type="dxa"/>
          </w:tcPr>
          <w:p w:rsidR="00554171" w:rsidRPr="00332CC0" w:rsidRDefault="00554171" w:rsidP="00040D3F">
            <w:pPr>
              <w:rPr>
                <w:rFonts w:cs="Arial"/>
                <w:b w:val="0"/>
              </w:rPr>
            </w:pPr>
            <w:r w:rsidRPr="00332CC0">
              <w:rPr>
                <w:rFonts w:cs="Arial"/>
              </w:rPr>
              <w:t>European</w:t>
            </w:r>
          </w:p>
        </w:tc>
        <w:tc>
          <w:tcPr>
            <w:tcW w:w="121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8.6%</w:t>
            </w:r>
          </w:p>
        </w:tc>
        <w:tc>
          <w:tcPr>
            <w:tcW w:w="127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6.5%</w:t>
            </w:r>
          </w:p>
        </w:tc>
        <w:tc>
          <w:tcPr>
            <w:tcW w:w="126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4.1%</w:t>
            </w:r>
          </w:p>
        </w:tc>
        <w:tc>
          <w:tcPr>
            <w:tcW w:w="136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2.6%</w:t>
            </w:r>
          </w:p>
        </w:tc>
        <w:tc>
          <w:tcPr>
            <w:tcW w:w="136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..S</w:t>
            </w:r>
          </w:p>
        </w:tc>
        <w:tc>
          <w:tcPr>
            <w:tcW w:w="120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5.0%</w:t>
            </w:r>
          </w:p>
        </w:tc>
      </w:tr>
      <w:tr w:rsidR="00554171" w:rsidRPr="00332CC0" w:rsidTr="00040D3F">
        <w:trPr>
          <w:trHeight w:val="373"/>
        </w:trPr>
        <w:tc>
          <w:tcPr>
            <w:cnfStyle w:val="001000000000" w:firstRow="0" w:lastRow="0" w:firstColumn="1" w:lastColumn="0" w:oddVBand="0" w:evenVBand="0" w:oddHBand="0" w:evenHBand="0" w:firstRowFirstColumn="0" w:firstRowLastColumn="0" w:lastRowFirstColumn="0" w:lastRowLastColumn="0"/>
            <w:tcW w:w="1844" w:type="dxa"/>
          </w:tcPr>
          <w:p w:rsidR="00554171" w:rsidRPr="00332CC0" w:rsidRDefault="00554171" w:rsidP="00040D3F">
            <w:pPr>
              <w:rPr>
                <w:rFonts w:cs="Arial"/>
                <w:b w:val="0"/>
              </w:rPr>
            </w:pPr>
            <w:r w:rsidRPr="00332CC0">
              <w:rPr>
                <w:rFonts w:cs="Arial"/>
              </w:rPr>
              <w:t>Māori</w:t>
            </w:r>
          </w:p>
        </w:tc>
        <w:tc>
          <w:tcPr>
            <w:tcW w:w="121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22.6%</w:t>
            </w:r>
          </w:p>
        </w:tc>
        <w:tc>
          <w:tcPr>
            <w:tcW w:w="127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12.5%</w:t>
            </w:r>
          </w:p>
        </w:tc>
        <w:tc>
          <w:tcPr>
            <w:tcW w:w="126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8.8%</w:t>
            </w:r>
          </w:p>
        </w:tc>
        <w:tc>
          <w:tcPr>
            <w:tcW w:w="136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..S</w:t>
            </w:r>
          </w:p>
        </w:tc>
        <w:tc>
          <w:tcPr>
            <w:tcW w:w="136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..S</w:t>
            </w:r>
          </w:p>
        </w:tc>
        <w:tc>
          <w:tcPr>
            <w:tcW w:w="1208"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13.8%</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44" w:type="dxa"/>
          </w:tcPr>
          <w:p w:rsidR="00554171" w:rsidRPr="00332CC0" w:rsidRDefault="00554171" w:rsidP="00040D3F">
            <w:pPr>
              <w:rPr>
                <w:rFonts w:cs="Arial"/>
                <w:b w:val="0"/>
              </w:rPr>
            </w:pPr>
            <w:r w:rsidRPr="00332CC0">
              <w:rPr>
                <w:rFonts w:cs="Arial"/>
              </w:rPr>
              <w:t>Pacific</w:t>
            </w:r>
          </w:p>
        </w:tc>
        <w:tc>
          <w:tcPr>
            <w:tcW w:w="121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14.2%</w:t>
            </w:r>
          </w:p>
        </w:tc>
        <w:tc>
          <w:tcPr>
            <w:tcW w:w="127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15.8%</w:t>
            </w:r>
          </w:p>
        </w:tc>
        <w:tc>
          <w:tcPr>
            <w:tcW w:w="126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10.4%</w:t>
            </w:r>
          </w:p>
        </w:tc>
        <w:tc>
          <w:tcPr>
            <w:tcW w:w="136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..S</w:t>
            </w:r>
          </w:p>
        </w:tc>
        <w:tc>
          <w:tcPr>
            <w:tcW w:w="136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..S</w:t>
            </w:r>
          </w:p>
        </w:tc>
        <w:tc>
          <w:tcPr>
            <w:tcW w:w="120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12.1%</w:t>
            </w:r>
          </w:p>
        </w:tc>
      </w:tr>
      <w:tr w:rsidR="00554171" w:rsidRPr="00332CC0" w:rsidTr="00040D3F">
        <w:trPr>
          <w:trHeight w:val="809"/>
        </w:trPr>
        <w:tc>
          <w:tcPr>
            <w:cnfStyle w:val="001000000000" w:firstRow="0" w:lastRow="0" w:firstColumn="1" w:lastColumn="0" w:oddVBand="0" w:evenVBand="0" w:oddHBand="0" w:evenHBand="0" w:firstRowFirstColumn="0" w:firstRowLastColumn="0" w:lastRowFirstColumn="0" w:lastRowLastColumn="0"/>
            <w:tcW w:w="1844" w:type="dxa"/>
          </w:tcPr>
          <w:p w:rsidR="00554171" w:rsidRPr="00332CC0" w:rsidRDefault="00554171" w:rsidP="00040D3F">
            <w:pPr>
              <w:rPr>
                <w:rFonts w:cs="Arial"/>
                <w:b w:val="0"/>
              </w:rPr>
            </w:pPr>
            <w:r w:rsidRPr="00332CC0">
              <w:rPr>
                <w:rFonts w:cs="Arial"/>
              </w:rPr>
              <w:t>Asian/MELAA</w:t>
            </w:r>
          </w:p>
          <w:p w:rsidR="00554171" w:rsidRPr="00332CC0" w:rsidRDefault="00554171" w:rsidP="00040D3F">
            <w:pPr>
              <w:rPr>
                <w:rFonts w:cs="Arial"/>
                <w:b w:val="0"/>
              </w:rPr>
            </w:pPr>
            <w:r w:rsidRPr="00332CC0">
              <w:rPr>
                <w:rFonts w:cs="Arial"/>
              </w:rPr>
              <w:t>Other</w:t>
            </w:r>
          </w:p>
        </w:tc>
        <w:tc>
          <w:tcPr>
            <w:tcW w:w="121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..S</w:t>
            </w:r>
          </w:p>
        </w:tc>
        <w:tc>
          <w:tcPr>
            <w:tcW w:w="127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12.4%</w:t>
            </w:r>
          </w:p>
        </w:tc>
        <w:tc>
          <w:tcPr>
            <w:tcW w:w="126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8.9%</w:t>
            </w:r>
          </w:p>
        </w:tc>
        <w:tc>
          <w:tcPr>
            <w:tcW w:w="1361"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4.8%</w:t>
            </w:r>
          </w:p>
        </w:tc>
        <w:tc>
          <w:tcPr>
            <w:tcW w:w="136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..S</w:t>
            </w:r>
          </w:p>
        </w:tc>
        <w:tc>
          <w:tcPr>
            <w:tcW w:w="1208"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7.7%</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1844" w:type="dxa"/>
          </w:tcPr>
          <w:p w:rsidR="00554171" w:rsidRPr="00332CC0" w:rsidRDefault="00554171" w:rsidP="00040D3F">
            <w:pPr>
              <w:rPr>
                <w:rFonts w:cs="Arial"/>
                <w:b w:val="0"/>
              </w:rPr>
            </w:pPr>
            <w:r w:rsidRPr="00332CC0">
              <w:rPr>
                <w:rFonts w:cs="Arial"/>
              </w:rPr>
              <w:t xml:space="preserve">Total </w:t>
            </w:r>
          </w:p>
        </w:tc>
        <w:tc>
          <w:tcPr>
            <w:tcW w:w="121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11.0%</w:t>
            </w:r>
          </w:p>
        </w:tc>
        <w:tc>
          <w:tcPr>
            <w:tcW w:w="127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8.3%</w:t>
            </w:r>
          </w:p>
        </w:tc>
        <w:tc>
          <w:tcPr>
            <w:tcW w:w="126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5.2%</w:t>
            </w:r>
          </w:p>
        </w:tc>
        <w:tc>
          <w:tcPr>
            <w:tcW w:w="1361"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3.1%</w:t>
            </w:r>
          </w:p>
        </w:tc>
        <w:tc>
          <w:tcPr>
            <w:tcW w:w="136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..S</w:t>
            </w:r>
          </w:p>
        </w:tc>
        <w:tc>
          <w:tcPr>
            <w:tcW w:w="120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6.4%</w:t>
            </w:r>
          </w:p>
        </w:tc>
      </w:tr>
    </w:tbl>
    <w:p w:rsidR="00554171" w:rsidRPr="00332CC0" w:rsidRDefault="00554171" w:rsidP="00554171">
      <w:pPr>
        <w:rPr>
          <w:rFonts w:cs="Arial"/>
          <w:b/>
          <w:sz w:val="22"/>
          <w:szCs w:val="22"/>
        </w:rPr>
      </w:pPr>
    </w:p>
    <w:p w:rsidR="00554171" w:rsidRPr="00332CC0" w:rsidRDefault="004E76D5" w:rsidP="002127F2">
      <w:pPr>
        <w:rPr>
          <w:rFonts w:cs="Arial"/>
          <w:b/>
          <w:sz w:val="28"/>
          <w:szCs w:val="28"/>
        </w:rPr>
      </w:pPr>
      <w:r>
        <w:rPr>
          <w:rFonts w:cs="Arial"/>
          <w:b/>
          <w:sz w:val="28"/>
          <w:szCs w:val="28"/>
        </w:rPr>
        <w:t>Table 3</w:t>
      </w:r>
      <w:r w:rsidR="00997B54">
        <w:rPr>
          <w:rFonts w:cs="Arial"/>
          <w:b/>
          <w:sz w:val="28"/>
          <w:szCs w:val="28"/>
        </w:rPr>
        <w:t>1</w:t>
      </w:r>
      <w:r w:rsidR="00554171" w:rsidRPr="00332CC0">
        <w:rPr>
          <w:rFonts w:cs="Arial"/>
          <w:b/>
          <w:sz w:val="28"/>
          <w:szCs w:val="28"/>
        </w:rPr>
        <w:t>:  Female unemployment rates by educational qualification and ethnicity</w:t>
      </w:r>
    </w:p>
    <w:p w:rsidR="00554171" w:rsidRPr="00332CC0" w:rsidRDefault="00554171" w:rsidP="00554171">
      <w:pPr>
        <w:rPr>
          <w:rFonts w:cs="Arial"/>
          <w:b/>
          <w:sz w:val="22"/>
          <w:szCs w:val="22"/>
        </w:rPr>
      </w:pPr>
    </w:p>
    <w:tbl>
      <w:tblPr>
        <w:tblStyle w:val="MediumGrid1-Accent2"/>
        <w:tblW w:w="9264" w:type="dxa"/>
        <w:tblLook w:val="04A0" w:firstRow="1" w:lastRow="0" w:firstColumn="1" w:lastColumn="0" w:noHBand="0" w:noVBand="1"/>
      </w:tblPr>
      <w:tblGrid>
        <w:gridCol w:w="1794"/>
        <w:gridCol w:w="1149"/>
        <w:gridCol w:w="1214"/>
        <w:gridCol w:w="1323"/>
        <w:gridCol w:w="1316"/>
        <w:gridCol w:w="1322"/>
        <w:gridCol w:w="1146"/>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794" w:type="dxa"/>
          </w:tcPr>
          <w:p w:rsidR="00554171" w:rsidRPr="00332CC0" w:rsidRDefault="00554171" w:rsidP="00040D3F">
            <w:pPr>
              <w:rPr>
                <w:rFonts w:cs="Arial"/>
                <w:b w:val="0"/>
              </w:rPr>
            </w:pPr>
            <w:r w:rsidRPr="00332CC0">
              <w:rPr>
                <w:rFonts w:cs="Arial"/>
              </w:rPr>
              <w:t>Ethnicity</w:t>
            </w:r>
          </w:p>
        </w:tc>
        <w:tc>
          <w:tcPr>
            <w:tcW w:w="1178"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None</w:t>
            </w:r>
          </w:p>
        </w:tc>
        <w:tc>
          <w:tcPr>
            <w:tcW w:w="1237"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 xml:space="preserve">School </w:t>
            </w:r>
            <w:r>
              <w:rPr>
                <w:rFonts w:cs="Arial"/>
              </w:rPr>
              <w:t>qual</w:t>
            </w:r>
          </w:p>
        </w:tc>
        <w:tc>
          <w:tcPr>
            <w:tcW w:w="1227"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 xml:space="preserve">Post school </w:t>
            </w:r>
            <w:r>
              <w:rPr>
                <w:rFonts w:cs="Arial"/>
              </w:rPr>
              <w:t>(Diploma)</w:t>
            </w:r>
          </w:p>
        </w:tc>
        <w:tc>
          <w:tcPr>
            <w:tcW w:w="1324"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Bachelor</w:t>
            </w:r>
          </w:p>
        </w:tc>
        <w:tc>
          <w:tcPr>
            <w:tcW w:w="1329"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Not specified</w:t>
            </w:r>
          </w:p>
        </w:tc>
        <w:tc>
          <w:tcPr>
            <w:tcW w:w="1175"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 xml:space="preserve">Total </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94" w:type="dxa"/>
          </w:tcPr>
          <w:p w:rsidR="00554171" w:rsidRPr="00332CC0" w:rsidRDefault="00554171" w:rsidP="00040D3F">
            <w:pPr>
              <w:rPr>
                <w:rFonts w:cs="Arial"/>
                <w:b w:val="0"/>
              </w:rPr>
            </w:pPr>
            <w:r w:rsidRPr="00332CC0">
              <w:rPr>
                <w:rFonts w:cs="Arial"/>
              </w:rPr>
              <w:t>European</w:t>
            </w:r>
          </w:p>
        </w:tc>
        <w:tc>
          <w:tcPr>
            <w:tcW w:w="117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7.9%</w:t>
            </w:r>
          </w:p>
        </w:tc>
        <w:tc>
          <w:tcPr>
            <w:tcW w:w="123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7.3%</w:t>
            </w:r>
          </w:p>
        </w:tc>
        <w:tc>
          <w:tcPr>
            <w:tcW w:w="122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4.8%</w:t>
            </w:r>
          </w:p>
        </w:tc>
        <w:tc>
          <w:tcPr>
            <w:tcW w:w="132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2.4%</w:t>
            </w:r>
          </w:p>
        </w:tc>
        <w:tc>
          <w:tcPr>
            <w:tcW w:w="132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..S</w:t>
            </w:r>
          </w:p>
        </w:tc>
        <w:tc>
          <w:tcPr>
            <w:tcW w:w="117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5.3%</w:t>
            </w:r>
          </w:p>
        </w:tc>
      </w:tr>
      <w:tr w:rsidR="00554171" w:rsidRPr="00332CC0" w:rsidTr="00040D3F">
        <w:trPr>
          <w:trHeight w:val="309"/>
        </w:trPr>
        <w:tc>
          <w:tcPr>
            <w:cnfStyle w:val="001000000000" w:firstRow="0" w:lastRow="0" w:firstColumn="1" w:lastColumn="0" w:oddVBand="0" w:evenVBand="0" w:oddHBand="0" w:evenHBand="0" w:firstRowFirstColumn="0" w:firstRowLastColumn="0" w:lastRowFirstColumn="0" w:lastRowLastColumn="0"/>
            <w:tcW w:w="1794" w:type="dxa"/>
          </w:tcPr>
          <w:p w:rsidR="00554171" w:rsidRPr="00332CC0" w:rsidRDefault="00554171" w:rsidP="00040D3F">
            <w:pPr>
              <w:rPr>
                <w:rFonts w:cs="Arial"/>
                <w:b w:val="0"/>
              </w:rPr>
            </w:pPr>
            <w:r w:rsidRPr="00332CC0">
              <w:rPr>
                <w:rFonts w:cs="Arial"/>
              </w:rPr>
              <w:t>Māori</w:t>
            </w:r>
          </w:p>
        </w:tc>
        <w:tc>
          <w:tcPr>
            <w:tcW w:w="1178"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18.9%</w:t>
            </w:r>
          </w:p>
        </w:tc>
        <w:tc>
          <w:tcPr>
            <w:tcW w:w="123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15.1%</w:t>
            </w:r>
          </w:p>
        </w:tc>
        <w:tc>
          <w:tcPr>
            <w:tcW w:w="122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11.8%</w:t>
            </w:r>
          </w:p>
        </w:tc>
        <w:tc>
          <w:tcPr>
            <w:tcW w:w="132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..S</w:t>
            </w:r>
          </w:p>
        </w:tc>
        <w:tc>
          <w:tcPr>
            <w:tcW w:w="132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..S</w:t>
            </w:r>
          </w:p>
        </w:tc>
        <w:tc>
          <w:tcPr>
            <w:tcW w:w="1175"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12.9%</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94" w:type="dxa"/>
          </w:tcPr>
          <w:p w:rsidR="00554171" w:rsidRPr="00332CC0" w:rsidRDefault="00554171" w:rsidP="00040D3F">
            <w:pPr>
              <w:rPr>
                <w:rFonts w:cs="Arial"/>
                <w:b w:val="0"/>
              </w:rPr>
            </w:pPr>
            <w:r w:rsidRPr="00332CC0">
              <w:rPr>
                <w:rFonts w:cs="Arial"/>
              </w:rPr>
              <w:t>Pacific</w:t>
            </w:r>
          </w:p>
        </w:tc>
        <w:tc>
          <w:tcPr>
            <w:tcW w:w="117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16.3%</w:t>
            </w:r>
          </w:p>
        </w:tc>
        <w:tc>
          <w:tcPr>
            <w:tcW w:w="123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17.0%</w:t>
            </w:r>
          </w:p>
        </w:tc>
        <w:tc>
          <w:tcPr>
            <w:tcW w:w="122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16.1%</w:t>
            </w:r>
          </w:p>
        </w:tc>
        <w:tc>
          <w:tcPr>
            <w:tcW w:w="132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..S</w:t>
            </w:r>
          </w:p>
        </w:tc>
        <w:tc>
          <w:tcPr>
            <w:tcW w:w="132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..S</w:t>
            </w:r>
          </w:p>
        </w:tc>
        <w:tc>
          <w:tcPr>
            <w:tcW w:w="117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15.2%</w:t>
            </w:r>
          </w:p>
        </w:tc>
      </w:tr>
      <w:tr w:rsidR="00554171" w:rsidRPr="00332CC0" w:rsidTr="00040D3F">
        <w:trPr>
          <w:trHeight w:val="593"/>
        </w:trPr>
        <w:tc>
          <w:tcPr>
            <w:cnfStyle w:val="001000000000" w:firstRow="0" w:lastRow="0" w:firstColumn="1" w:lastColumn="0" w:oddVBand="0" w:evenVBand="0" w:oddHBand="0" w:evenHBand="0" w:firstRowFirstColumn="0" w:firstRowLastColumn="0" w:lastRowFirstColumn="0" w:lastRowLastColumn="0"/>
            <w:tcW w:w="1794" w:type="dxa"/>
          </w:tcPr>
          <w:p w:rsidR="00554171" w:rsidRPr="00332CC0" w:rsidRDefault="00554171" w:rsidP="00040D3F">
            <w:pPr>
              <w:rPr>
                <w:rFonts w:cs="Arial"/>
                <w:b w:val="0"/>
              </w:rPr>
            </w:pPr>
            <w:r w:rsidRPr="00332CC0">
              <w:rPr>
                <w:rFonts w:cs="Arial"/>
              </w:rPr>
              <w:t>Asian/MELAA</w:t>
            </w:r>
          </w:p>
          <w:p w:rsidR="00554171" w:rsidRPr="00332CC0" w:rsidRDefault="00554171" w:rsidP="00040D3F">
            <w:pPr>
              <w:rPr>
                <w:rFonts w:cs="Arial"/>
                <w:b w:val="0"/>
              </w:rPr>
            </w:pPr>
            <w:r w:rsidRPr="00332CC0">
              <w:rPr>
                <w:rFonts w:cs="Arial"/>
              </w:rPr>
              <w:t>Other</w:t>
            </w:r>
          </w:p>
        </w:tc>
        <w:tc>
          <w:tcPr>
            <w:tcW w:w="1178"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7.3%</w:t>
            </w:r>
          </w:p>
        </w:tc>
        <w:tc>
          <w:tcPr>
            <w:tcW w:w="123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12.3%</w:t>
            </w:r>
          </w:p>
        </w:tc>
        <w:tc>
          <w:tcPr>
            <w:tcW w:w="1227"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11.4%</w:t>
            </w:r>
          </w:p>
        </w:tc>
        <w:tc>
          <w:tcPr>
            <w:tcW w:w="132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7.5%</w:t>
            </w:r>
          </w:p>
        </w:tc>
        <w:tc>
          <w:tcPr>
            <w:tcW w:w="1329"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..S</w:t>
            </w:r>
          </w:p>
        </w:tc>
        <w:tc>
          <w:tcPr>
            <w:tcW w:w="1175"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9.4%</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94" w:type="dxa"/>
          </w:tcPr>
          <w:p w:rsidR="00554171" w:rsidRPr="00332CC0" w:rsidRDefault="00554171" w:rsidP="00040D3F">
            <w:pPr>
              <w:rPr>
                <w:rFonts w:cs="Arial"/>
                <w:b w:val="0"/>
              </w:rPr>
            </w:pPr>
            <w:r w:rsidRPr="00332CC0">
              <w:rPr>
                <w:rFonts w:cs="Arial"/>
              </w:rPr>
              <w:t xml:space="preserve">Total </w:t>
            </w:r>
          </w:p>
        </w:tc>
        <w:tc>
          <w:tcPr>
            <w:tcW w:w="117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10.1%</w:t>
            </w:r>
          </w:p>
        </w:tc>
        <w:tc>
          <w:tcPr>
            <w:tcW w:w="123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8.5%</w:t>
            </w:r>
          </w:p>
        </w:tc>
        <w:tc>
          <w:tcPr>
            <w:tcW w:w="1227"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6.6%</w:t>
            </w:r>
          </w:p>
        </w:tc>
        <w:tc>
          <w:tcPr>
            <w:tcW w:w="132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3.7%</w:t>
            </w:r>
          </w:p>
        </w:tc>
        <w:tc>
          <w:tcPr>
            <w:tcW w:w="1329"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..S</w:t>
            </w:r>
          </w:p>
        </w:tc>
        <w:tc>
          <w:tcPr>
            <w:tcW w:w="117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6.8%</w:t>
            </w:r>
          </w:p>
        </w:tc>
      </w:tr>
    </w:tbl>
    <w:p w:rsidR="00554171" w:rsidRPr="00332CC0" w:rsidRDefault="00554171" w:rsidP="00554171">
      <w:pPr>
        <w:rPr>
          <w:rFonts w:cs="Arial"/>
          <w:b/>
          <w:sz w:val="28"/>
          <w:szCs w:val="28"/>
        </w:rPr>
      </w:pPr>
    </w:p>
    <w:p w:rsidR="00554171" w:rsidRPr="00332CC0" w:rsidRDefault="004E76D5" w:rsidP="002127F2">
      <w:pPr>
        <w:rPr>
          <w:rFonts w:cs="Arial"/>
          <w:b/>
          <w:sz w:val="28"/>
          <w:szCs w:val="28"/>
        </w:rPr>
      </w:pPr>
      <w:r>
        <w:rPr>
          <w:rFonts w:cs="Arial"/>
          <w:b/>
          <w:sz w:val="28"/>
          <w:szCs w:val="28"/>
        </w:rPr>
        <w:t>Table 3</w:t>
      </w:r>
      <w:r w:rsidR="00997B54">
        <w:rPr>
          <w:rFonts w:cs="Arial"/>
          <w:b/>
          <w:sz w:val="28"/>
          <w:szCs w:val="28"/>
        </w:rPr>
        <w:t>2</w:t>
      </w:r>
      <w:r w:rsidR="00554171" w:rsidRPr="00332CC0">
        <w:rPr>
          <w:rFonts w:cs="Arial"/>
          <w:b/>
          <w:sz w:val="28"/>
          <w:szCs w:val="28"/>
        </w:rPr>
        <w:t xml:space="preserve">:  Total unemployment rates by educational qualification and ethnicity </w:t>
      </w:r>
    </w:p>
    <w:p w:rsidR="00554171" w:rsidRPr="00332CC0" w:rsidRDefault="00554171" w:rsidP="00554171">
      <w:pPr>
        <w:rPr>
          <w:rFonts w:cs="Arial"/>
          <w:b/>
          <w:sz w:val="22"/>
          <w:szCs w:val="22"/>
        </w:rPr>
      </w:pPr>
    </w:p>
    <w:tbl>
      <w:tblPr>
        <w:tblStyle w:val="MediumGrid1-Accent2"/>
        <w:tblW w:w="9240" w:type="dxa"/>
        <w:tblLook w:val="04A0" w:firstRow="1" w:lastRow="0" w:firstColumn="1" w:lastColumn="0" w:noHBand="0" w:noVBand="1"/>
      </w:tblPr>
      <w:tblGrid>
        <w:gridCol w:w="1790"/>
        <w:gridCol w:w="1158"/>
        <w:gridCol w:w="1212"/>
        <w:gridCol w:w="1323"/>
        <w:gridCol w:w="1298"/>
        <w:gridCol w:w="1303"/>
        <w:gridCol w:w="1156"/>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893"/>
        </w:trPr>
        <w:tc>
          <w:tcPr>
            <w:cnfStyle w:val="001000000000" w:firstRow="0" w:lastRow="0" w:firstColumn="1" w:lastColumn="0" w:oddVBand="0" w:evenVBand="0" w:oddHBand="0" w:evenHBand="0" w:firstRowFirstColumn="0" w:firstRowLastColumn="0" w:lastRowFirstColumn="0" w:lastRowLastColumn="0"/>
            <w:tcW w:w="1753" w:type="dxa"/>
          </w:tcPr>
          <w:p w:rsidR="00554171" w:rsidRPr="00332CC0" w:rsidRDefault="00554171" w:rsidP="00040D3F">
            <w:pPr>
              <w:rPr>
                <w:rFonts w:cs="Arial"/>
                <w:b w:val="0"/>
              </w:rPr>
            </w:pPr>
            <w:r w:rsidRPr="00332CC0">
              <w:rPr>
                <w:rFonts w:cs="Arial"/>
              </w:rPr>
              <w:t>Ethnicity</w:t>
            </w:r>
          </w:p>
        </w:tc>
        <w:tc>
          <w:tcPr>
            <w:tcW w:w="1198"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None</w:t>
            </w:r>
          </w:p>
        </w:tc>
        <w:tc>
          <w:tcPr>
            <w:tcW w:w="1242"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 xml:space="preserve">School </w:t>
            </w:r>
            <w:r>
              <w:rPr>
                <w:rFonts w:cs="Arial"/>
              </w:rPr>
              <w:t>qual</w:t>
            </w:r>
          </w:p>
        </w:tc>
        <w:tc>
          <w:tcPr>
            <w:tcW w:w="1236"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 xml:space="preserve">Post school (Diploma) </w:t>
            </w:r>
          </w:p>
        </w:tc>
        <w:tc>
          <w:tcPr>
            <w:tcW w:w="1306"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Bachelor</w:t>
            </w:r>
          </w:p>
        </w:tc>
        <w:tc>
          <w:tcPr>
            <w:tcW w:w="1310"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Not specified</w:t>
            </w:r>
          </w:p>
        </w:tc>
        <w:tc>
          <w:tcPr>
            <w:tcW w:w="1195"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b w:val="0"/>
              </w:rPr>
            </w:pPr>
            <w:r w:rsidRPr="00332CC0">
              <w:rPr>
                <w:rFonts w:cs="Arial"/>
              </w:rPr>
              <w:t xml:space="preserve">Total </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753" w:type="dxa"/>
          </w:tcPr>
          <w:p w:rsidR="00554171" w:rsidRPr="00332CC0" w:rsidRDefault="00554171" w:rsidP="00040D3F">
            <w:pPr>
              <w:rPr>
                <w:rFonts w:cs="Arial"/>
                <w:b w:val="0"/>
              </w:rPr>
            </w:pPr>
            <w:r w:rsidRPr="00332CC0">
              <w:rPr>
                <w:rFonts w:cs="Arial"/>
              </w:rPr>
              <w:t>European</w:t>
            </w:r>
          </w:p>
        </w:tc>
        <w:tc>
          <w:tcPr>
            <w:tcW w:w="119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8.3%</w:t>
            </w:r>
          </w:p>
        </w:tc>
        <w:tc>
          <w:tcPr>
            <w:tcW w:w="124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6.9%</w:t>
            </w:r>
          </w:p>
        </w:tc>
        <w:tc>
          <w:tcPr>
            <w:tcW w:w="123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4.4%</w:t>
            </w:r>
          </w:p>
        </w:tc>
        <w:tc>
          <w:tcPr>
            <w:tcW w:w="130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2.5%</w:t>
            </w:r>
          </w:p>
        </w:tc>
        <w:tc>
          <w:tcPr>
            <w:tcW w:w="1310"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3.0%</w:t>
            </w:r>
          </w:p>
        </w:tc>
        <w:tc>
          <w:tcPr>
            <w:tcW w:w="119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5.1%</w:t>
            </w:r>
          </w:p>
        </w:tc>
      </w:tr>
      <w:tr w:rsidR="00554171" w:rsidRPr="00332CC0" w:rsidTr="00040D3F">
        <w:trPr>
          <w:trHeight w:val="282"/>
        </w:trPr>
        <w:tc>
          <w:tcPr>
            <w:cnfStyle w:val="001000000000" w:firstRow="0" w:lastRow="0" w:firstColumn="1" w:lastColumn="0" w:oddVBand="0" w:evenVBand="0" w:oddHBand="0" w:evenHBand="0" w:firstRowFirstColumn="0" w:firstRowLastColumn="0" w:lastRowFirstColumn="0" w:lastRowLastColumn="0"/>
            <w:tcW w:w="1753" w:type="dxa"/>
          </w:tcPr>
          <w:p w:rsidR="00554171" w:rsidRPr="00332CC0" w:rsidRDefault="00554171" w:rsidP="00040D3F">
            <w:pPr>
              <w:rPr>
                <w:rFonts w:cs="Arial"/>
                <w:b w:val="0"/>
              </w:rPr>
            </w:pPr>
            <w:r w:rsidRPr="00332CC0">
              <w:rPr>
                <w:rFonts w:cs="Arial"/>
              </w:rPr>
              <w:t>Māori</w:t>
            </w:r>
          </w:p>
        </w:tc>
        <w:tc>
          <w:tcPr>
            <w:tcW w:w="1198"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21.0%</w:t>
            </w:r>
          </w:p>
        </w:tc>
        <w:tc>
          <w:tcPr>
            <w:tcW w:w="124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13.8%</w:t>
            </w:r>
          </w:p>
        </w:tc>
        <w:tc>
          <w:tcPr>
            <w:tcW w:w="123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10.2%</w:t>
            </w:r>
          </w:p>
        </w:tc>
        <w:tc>
          <w:tcPr>
            <w:tcW w:w="130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4.2%</w:t>
            </w:r>
          </w:p>
        </w:tc>
        <w:tc>
          <w:tcPr>
            <w:tcW w:w="1310"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..S</w:t>
            </w:r>
          </w:p>
        </w:tc>
        <w:tc>
          <w:tcPr>
            <w:tcW w:w="1195"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13.4%</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753" w:type="dxa"/>
          </w:tcPr>
          <w:p w:rsidR="00554171" w:rsidRPr="00332CC0" w:rsidRDefault="00554171" w:rsidP="00040D3F">
            <w:pPr>
              <w:rPr>
                <w:rFonts w:cs="Arial"/>
                <w:b w:val="0"/>
              </w:rPr>
            </w:pPr>
            <w:r w:rsidRPr="00332CC0">
              <w:rPr>
                <w:rFonts w:cs="Arial"/>
              </w:rPr>
              <w:t>Pacific</w:t>
            </w:r>
          </w:p>
        </w:tc>
        <w:tc>
          <w:tcPr>
            <w:tcW w:w="119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15.0%</w:t>
            </w:r>
          </w:p>
        </w:tc>
        <w:tc>
          <w:tcPr>
            <w:tcW w:w="124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16.4%</w:t>
            </w:r>
          </w:p>
        </w:tc>
        <w:tc>
          <w:tcPr>
            <w:tcW w:w="123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13.1%</w:t>
            </w:r>
          </w:p>
        </w:tc>
        <w:tc>
          <w:tcPr>
            <w:tcW w:w="130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..S</w:t>
            </w:r>
          </w:p>
        </w:tc>
        <w:tc>
          <w:tcPr>
            <w:tcW w:w="1310"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..S</w:t>
            </w:r>
          </w:p>
        </w:tc>
        <w:tc>
          <w:tcPr>
            <w:tcW w:w="119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13.6%</w:t>
            </w:r>
          </w:p>
        </w:tc>
      </w:tr>
      <w:tr w:rsidR="00554171" w:rsidRPr="00332CC0" w:rsidTr="00040D3F">
        <w:trPr>
          <w:trHeight w:val="611"/>
        </w:trPr>
        <w:tc>
          <w:tcPr>
            <w:cnfStyle w:val="001000000000" w:firstRow="0" w:lastRow="0" w:firstColumn="1" w:lastColumn="0" w:oddVBand="0" w:evenVBand="0" w:oddHBand="0" w:evenHBand="0" w:firstRowFirstColumn="0" w:firstRowLastColumn="0" w:lastRowFirstColumn="0" w:lastRowLastColumn="0"/>
            <w:tcW w:w="1753" w:type="dxa"/>
          </w:tcPr>
          <w:p w:rsidR="00554171" w:rsidRPr="00332CC0" w:rsidRDefault="00554171" w:rsidP="00040D3F">
            <w:pPr>
              <w:rPr>
                <w:rFonts w:cs="Arial"/>
                <w:b w:val="0"/>
              </w:rPr>
            </w:pPr>
            <w:r w:rsidRPr="00332CC0">
              <w:rPr>
                <w:rFonts w:cs="Arial"/>
              </w:rPr>
              <w:t>Asian/MELAA</w:t>
            </w:r>
          </w:p>
          <w:p w:rsidR="00554171" w:rsidRPr="00332CC0" w:rsidRDefault="00554171" w:rsidP="00040D3F">
            <w:pPr>
              <w:rPr>
                <w:rFonts w:cs="Arial"/>
                <w:b w:val="0"/>
              </w:rPr>
            </w:pPr>
            <w:r w:rsidRPr="00332CC0">
              <w:rPr>
                <w:rFonts w:cs="Arial"/>
              </w:rPr>
              <w:t>Other</w:t>
            </w:r>
          </w:p>
        </w:tc>
        <w:tc>
          <w:tcPr>
            <w:tcW w:w="1198"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6.0%</w:t>
            </w:r>
          </w:p>
        </w:tc>
        <w:tc>
          <w:tcPr>
            <w:tcW w:w="1242"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12.3%</w:t>
            </w:r>
          </w:p>
        </w:tc>
        <w:tc>
          <w:tcPr>
            <w:tcW w:w="123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10.0%</w:t>
            </w:r>
          </w:p>
        </w:tc>
        <w:tc>
          <w:tcPr>
            <w:tcW w:w="1306"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6.1%</w:t>
            </w:r>
          </w:p>
        </w:tc>
        <w:tc>
          <w:tcPr>
            <w:tcW w:w="1310"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..S</w:t>
            </w:r>
          </w:p>
        </w:tc>
        <w:tc>
          <w:tcPr>
            <w:tcW w:w="1195"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8.5%</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753" w:type="dxa"/>
          </w:tcPr>
          <w:p w:rsidR="00554171" w:rsidRPr="00332CC0" w:rsidRDefault="00554171" w:rsidP="00040D3F">
            <w:pPr>
              <w:rPr>
                <w:rFonts w:cs="Arial"/>
                <w:b w:val="0"/>
              </w:rPr>
            </w:pPr>
            <w:r w:rsidRPr="00332CC0">
              <w:rPr>
                <w:rFonts w:cs="Arial"/>
              </w:rPr>
              <w:t xml:space="preserve">Total </w:t>
            </w:r>
          </w:p>
        </w:tc>
        <w:tc>
          <w:tcPr>
            <w:tcW w:w="1198"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10.6%</w:t>
            </w:r>
          </w:p>
        </w:tc>
        <w:tc>
          <w:tcPr>
            <w:tcW w:w="1242"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8.4%</w:t>
            </w:r>
          </w:p>
        </w:tc>
        <w:tc>
          <w:tcPr>
            <w:tcW w:w="123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5.8%</w:t>
            </w:r>
          </w:p>
        </w:tc>
        <w:tc>
          <w:tcPr>
            <w:tcW w:w="1306"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3.4%</w:t>
            </w:r>
          </w:p>
        </w:tc>
        <w:tc>
          <w:tcPr>
            <w:tcW w:w="1310"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3.4%</w:t>
            </w:r>
          </w:p>
        </w:tc>
        <w:tc>
          <w:tcPr>
            <w:tcW w:w="1195"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6.6%</w:t>
            </w:r>
          </w:p>
        </w:tc>
      </w:tr>
    </w:tbl>
    <w:p w:rsidR="00554171" w:rsidRDefault="00554171" w:rsidP="00554171">
      <w:pPr>
        <w:autoSpaceDE w:val="0"/>
        <w:autoSpaceDN w:val="0"/>
        <w:adjustRightInd w:val="0"/>
        <w:jc w:val="both"/>
        <w:rPr>
          <w:rFonts w:cs="Arial"/>
          <w:color w:val="000000"/>
          <w:sz w:val="22"/>
          <w:szCs w:val="22"/>
        </w:rPr>
      </w:pPr>
    </w:p>
    <w:p w:rsidR="00554171" w:rsidRDefault="00554171" w:rsidP="00554171">
      <w:pPr>
        <w:autoSpaceDE w:val="0"/>
        <w:autoSpaceDN w:val="0"/>
        <w:adjustRightInd w:val="0"/>
        <w:jc w:val="both"/>
        <w:rPr>
          <w:rFonts w:cs="Arial"/>
          <w:color w:val="000000"/>
          <w:sz w:val="22"/>
          <w:szCs w:val="22"/>
        </w:rPr>
      </w:pPr>
    </w:p>
    <w:p w:rsidR="00554171" w:rsidRDefault="00554171" w:rsidP="00554171">
      <w:pPr>
        <w:autoSpaceDE w:val="0"/>
        <w:autoSpaceDN w:val="0"/>
        <w:adjustRightInd w:val="0"/>
        <w:jc w:val="both"/>
        <w:rPr>
          <w:rFonts w:cs="Arial"/>
          <w:color w:val="000000"/>
          <w:sz w:val="22"/>
          <w:szCs w:val="22"/>
        </w:rPr>
      </w:pPr>
    </w:p>
    <w:p w:rsidR="00554171" w:rsidRDefault="00554171" w:rsidP="00554171">
      <w:pPr>
        <w:autoSpaceDE w:val="0"/>
        <w:autoSpaceDN w:val="0"/>
        <w:adjustRightInd w:val="0"/>
        <w:jc w:val="both"/>
        <w:rPr>
          <w:rFonts w:cs="Arial"/>
          <w:color w:val="000000"/>
          <w:sz w:val="22"/>
          <w:szCs w:val="22"/>
        </w:rPr>
      </w:pPr>
    </w:p>
    <w:p w:rsidR="00554171" w:rsidRPr="00332CC0" w:rsidRDefault="00554171" w:rsidP="00554171">
      <w:pPr>
        <w:autoSpaceDE w:val="0"/>
        <w:autoSpaceDN w:val="0"/>
        <w:adjustRightInd w:val="0"/>
        <w:jc w:val="both"/>
        <w:rPr>
          <w:rFonts w:cs="Arial"/>
          <w:color w:val="000000"/>
          <w:sz w:val="22"/>
          <w:szCs w:val="22"/>
        </w:rPr>
      </w:pPr>
    </w:p>
    <w:p w:rsidR="00554171" w:rsidRPr="00332CC0" w:rsidRDefault="00554171" w:rsidP="00554171">
      <w:pPr>
        <w:autoSpaceDE w:val="0"/>
        <w:autoSpaceDN w:val="0"/>
        <w:adjustRightInd w:val="0"/>
        <w:rPr>
          <w:rStyle w:val="IntenseEmphasis"/>
          <w:rFonts w:cs="Arial"/>
          <w:i w:val="0"/>
          <w:color w:val="auto"/>
          <w:sz w:val="28"/>
          <w:szCs w:val="28"/>
        </w:rPr>
      </w:pPr>
      <w:r w:rsidRPr="00332CC0">
        <w:rPr>
          <w:rStyle w:val="IntenseEmphasis"/>
          <w:rFonts w:cs="Arial"/>
          <w:i w:val="0"/>
          <w:color w:val="auto"/>
          <w:sz w:val="28"/>
          <w:szCs w:val="28"/>
        </w:rPr>
        <w:t>Employment and pre-employment race-related complaints</w:t>
      </w:r>
    </w:p>
    <w:p w:rsidR="00554171" w:rsidRPr="00332CC0" w:rsidRDefault="00554171" w:rsidP="00554171">
      <w:pPr>
        <w:jc w:val="both"/>
        <w:rPr>
          <w:rFonts w:cs="Arial"/>
          <w:sz w:val="22"/>
          <w:szCs w:val="22"/>
        </w:rPr>
      </w:pPr>
      <w:r w:rsidRPr="00332CC0">
        <w:rPr>
          <w:rFonts w:cs="Arial"/>
          <w:sz w:val="22"/>
          <w:szCs w:val="22"/>
        </w:rPr>
        <w:t>The five race-related grounds (race, racial harassment, racial disharmony, colour, and ethnic and national origins) are commonly combined in Commission reporting. The combined overall proportion of race-related employment complaints in the five year period 2006–10 was 28.1%.</w:t>
      </w:r>
    </w:p>
    <w:p w:rsidR="00554171" w:rsidRPr="00332CC0" w:rsidRDefault="00554171" w:rsidP="00554171">
      <w:pPr>
        <w:jc w:val="both"/>
        <w:rPr>
          <w:rFonts w:cs="Arial"/>
          <w:sz w:val="22"/>
          <w:szCs w:val="22"/>
        </w:rPr>
      </w:pPr>
    </w:p>
    <w:p w:rsidR="00554171" w:rsidRPr="002127F2" w:rsidRDefault="00554171" w:rsidP="00554171">
      <w:pPr>
        <w:jc w:val="both"/>
        <w:rPr>
          <w:rFonts w:cs="Arial"/>
          <w:sz w:val="22"/>
          <w:szCs w:val="22"/>
        </w:rPr>
      </w:pPr>
      <w:r w:rsidRPr="002127F2">
        <w:rPr>
          <w:rFonts w:cs="Arial"/>
          <w:sz w:val="22"/>
          <w:szCs w:val="22"/>
        </w:rPr>
        <w:t>The most commonly cited themes of race-related complaints are shown in Table 3</w:t>
      </w:r>
      <w:r w:rsidR="00C230D7" w:rsidRPr="002127F2">
        <w:rPr>
          <w:rFonts w:cs="Arial"/>
          <w:sz w:val="22"/>
          <w:szCs w:val="22"/>
        </w:rPr>
        <w:t>3</w:t>
      </w:r>
      <w:r w:rsidRPr="002127F2">
        <w:rPr>
          <w:rFonts w:cs="Arial"/>
          <w:sz w:val="22"/>
          <w:szCs w:val="22"/>
        </w:rPr>
        <w:t>.</w:t>
      </w:r>
    </w:p>
    <w:p w:rsidR="00554171" w:rsidRPr="002127F2" w:rsidRDefault="00554171" w:rsidP="00554171">
      <w:pPr>
        <w:jc w:val="both"/>
        <w:rPr>
          <w:rFonts w:cs="Arial"/>
          <w:sz w:val="22"/>
          <w:szCs w:val="22"/>
        </w:rPr>
      </w:pPr>
    </w:p>
    <w:p w:rsidR="00554171" w:rsidRPr="00332CC0" w:rsidRDefault="004E76D5" w:rsidP="002127F2">
      <w:pPr>
        <w:jc w:val="both"/>
        <w:rPr>
          <w:rFonts w:cs="Arial"/>
          <w:b/>
          <w:sz w:val="28"/>
          <w:szCs w:val="28"/>
        </w:rPr>
      </w:pPr>
      <w:r w:rsidRPr="002127F2">
        <w:rPr>
          <w:rFonts w:cs="Arial"/>
          <w:b/>
          <w:sz w:val="28"/>
          <w:szCs w:val="28"/>
        </w:rPr>
        <w:t>Table 3</w:t>
      </w:r>
      <w:r w:rsidR="00997B54" w:rsidRPr="002127F2">
        <w:rPr>
          <w:rFonts w:cs="Arial"/>
          <w:b/>
          <w:sz w:val="28"/>
          <w:szCs w:val="28"/>
        </w:rPr>
        <w:t>3</w:t>
      </w:r>
      <w:r w:rsidR="00554171" w:rsidRPr="002127F2">
        <w:rPr>
          <w:rFonts w:cs="Arial"/>
          <w:b/>
          <w:sz w:val="28"/>
          <w:szCs w:val="28"/>
        </w:rPr>
        <w:t>:  Race and employment complaints</w:t>
      </w:r>
    </w:p>
    <w:p w:rsidR="00554171" w:rsidRPr="00332CC0" w:rsidRDefault="00554171" w:rsidP="00554171">
      <w:pPr>
        <w:rPr>
          <w:rFonts w:cs="Arial"/>
          <w:sz w:val="22"/>
          <w:szCs w:val="22"/>
        </w:rPr>
      </w:pPr>
    </w:p>
    <w:tbl>
      <w:tblPr>
        <w:tblStyle w:val="MediumGrid1-Accent2"/>
        <w:tblW w:w="0" w:type="auto"/>
        <w:tblLook w:val="04A0" w:firstRow="1" w:lastRow="0" w:firstColumn="1" w:lastColumn="0" w:noHBand="0" w:noVBand="1"/>
      </w:tblPr>
      <w:tblGrid>
        <w:gridCol w:w="4119"/>
        <w:gridCol w:w="2424"/>
        <w:gridCol w:w="2560"/>
      </w:tblGrid>
      <w:tr w:rsidR="00554171" w:rsidRPr="00332CC0" w:rsidTr="00040D3F">
        <w:trPr>
          <w:cnfStyle w:val="100000000000" w:firstRow="1" w:lastRow="0" w:firstColumn="0" w:lastColumn="0" w:oddVBand="0" w:evenVBand="0" w:oddHBand="0"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4119" w:type="dxa"/>
          </w:tcPr>
          <w:p w:rsidR="00554171" w:rsidRPr="00332CC0" w:rsidRDefault="00554171" w:rsidP="00040D3F">
            <w:pPr>
              <w:rPr>
                <w:rFonts w:cs="Arial"/>
              </w:rPr>
            </w:pPr>
          </w:p>
        </w:tc>
        <w:tc>
          <w:tcPr>
            <w:tcW w:w="2424"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rPr>
            </w:pPr>
            <w:r w:rsidRPr="00332CC0">
              <w:rPr>
                <w:rFonts w:cs="Arial"/>
              </w:rPr>
              <w:t>Number of race-related complaints</w:t>
            </w:r>
          </w:p>
        </w:tc>
        <w:tc>
          <w:tcPr>
            <w:tcW w:w="2560" w:type="dxa"/>
          </w:tcPr>
          <w:p w:rsidR="00554171" w:rsidRPr="00332CC0" w:rsidRDefault="00554171" w:rsidP="00040D3F">
            <w:pPr>
              <w:cnfStyle w:val="100000000000" w:firstRow="1" w:lastRow="0" w:firstColumn="0" w:lastColumn="0" w:oddVBand="0" w:evenVBand="0" w:oddHBand="0" w:evenHBand="0" w:firstRowFirstColumn="0" w:firstRowLastColumn="0" w:lastRowFirstColumn="0" w:lastRowLastColumn="0"/>
              <w:rPr>
                <w:rFonts w:cs="Arial"/>
              </w:rPr>
            </w:pPr>
            <w:r w:rsidRPr="00332CC0">
              <w:rPr>
                <w:rFonts w:cs="Arial"/>
              </w:rPr>
              <w:t>Proportion of race-related complaints</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19" w:type="dxa"/>
          </w:tcPr>
          <w:p w:rsidR="00554171" w:rsidRPr="00332CC0" w:rsidRDefault="00554171" w:rsidP="00040D3F">
            <w:pPr>
              <w:rPr>
                <w:rFonts w:cs="Arial"/>
              </w:rPr>
            </w:pPr>
            <w:r w:rsidRPr="00332CC0">
              <w:rPr>
                <w:rFonts w:cs="Arial"/>
              </w:rPr>
              <w:t>Discrimination</w:t>
            </w:r>
          </w:p>
        </w:tc>
        <w:tc>
          <w:tcPr>
            <w:tcW w:w="2424" w:type="dxa"/>
          </w:tcPr>
          <w:p w:rsidR="00554171" w:rsidRPr="00332CC0" w:rsidRDefault="00554171" w:rsidP="00040D3F">
            <w:pPr>
              <w:jc w:val="cente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168</w:t>
            </w:r>
          </w:p>
        </w:tc>
        <w:tc>
          <w:tcPr>
            <w:tcW w:w="2560" w:type="dxa"/>
          </w:tcPr>
          <w:p w:rsidR="00554171" w:rsidRPr="00332CC0" w:rsidRDefault="00554171" w:rsidP="00040D3F">
            <w:pPr>
              <w:jc w:val="cente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23%</w:t>
            </w:r>
          </w:p>
        </w:tc>
      </w:tr>
      <w:tr w:rsidR="00554171" w:rsidRPr="00332CC0" w:rsidTr="00040D3F">
        <w:trPr>
          <w:trHeight w:val="290"/>
        </w:trPr>
        <w:tc>
          <w:tcPr>
            <w:cnfStyle w:val="001000000000" w:firstRow="0" w:lastRow="0" w:firstColumn="1" w:lastColumn="0" w:oddVBand="0" w:evenVBand="0" w:oddHBand="0" w:evenHBand="0" w:firstRowFirstColumn="0" w:firstRowLastColumn="0" w:lastRowFirstColumn="0" w:lastRowLastColumn="0"/>
            <w:tcW w:w="4119" w:type="dxa"/>
          </w:tcPr>
          <w:p w:rsidR="00554171" w:rsidRPr="00332CC0" w:rsidRDefault="00554171" w:rsidP="00040D3F">
            <w:pPr>
              <w:rPr>
                <w:rFonts w:cs="Arial"/>
              </w:rPr>
            </w:pPr>
            <w:r w:rsidRPr="00332CC0">
              <w:rPr>
                <w:rFonts w:cs="Arial"/>
              </w:rPr>
              <w:t>Racist abuse/comments</w:t>
            </w:r>
          </w:p>
        </w:tc>
        <w:tc>
          <w:tcPr>
            <w:tcW w:w="2424" w:type="dxa"/>
          </w:tcPr>
          <w:p w:rsidR="00554171" w:rsidRPr="00332CC0" w:rsidRDefault="00554171" w:rsidP="00040D3F">
            <w:pPr>
              <w:jc w:val="cente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162</w:t>
            </w:r>
          </w:p>
        </w:tc>
        <w:tc>
          <w:tcPr>
            <w:tcW w:w="2560" w:type="dxa"/>
          </w:tcPr>
          <w:p w:rsidR="00554171" w:rsidRPr="00332CC0" w:rsidRDefault="00554171" w:rsidP="00040D3F">
            <w:pPr>
              <w:jc w:val="cente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22%</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19" w:type="dxa"/>
          </w:tcPr>
          <w:p w:rsidR="00554171" w:rsidRPr="00332CC0" w:rsidRDefault="00554171" w:rsidP="00040D3F">
            <w:pPr>
              <w:rPr>
                <w:rFonts w:cs="Arial"/>
              </w:rPr>
            </w:pPr>
            <w:r w:rsidRPr="00332CC0">
              <w:rPr>
                <w:rFonts w:cs="Arial"/>
              </w:rPr>
              <w:t>Language in the workplace</w:t>
            </w:r>
          </w:p>
        </w:tc>
        <w:tc>
          <w:tcPr>
            <w:tcW w:w="2424" w:type="dxa"/>
          </w:tcPr>
          <w:p w:rsidR="00554171" w:rsidRPr="00332CC0" w:rsidRDefault="00554171" w:rsidP="00040D3F">
            <w:pPr>
              <w:jc w:val="cente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93</w:t>
            </w:r>
          </w:p>
        </w:tc>
        <w:tc>
          <w:tcPr>
            <w:tcW w:w="2560" w:type="dxa"/>
          </w:tcPr>
          <w:p w:rsidR="00554171" w:rsidRPr="00332CC0" w:rsidRDefault="00554171" w:rsidP="00040D3F">
            <w:pPr>
              <w:jc w:val="cente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13%</w:t>
            </w:r>
          </w:p>
        </w:tc>
      </w:tr>
      <w:tr w:rsidR="00554171" w:rsidRPr="00332CC0" w:rsidTr="00040D3F">
        <w:trPr>
          <w:trHeight w:val="290"/>
        </w:trPr>
        <w:tc>
          <w:tcPr>
            <w:cnfStyle w:val="001000000000" w:firstRow="0" w:lastRow="0" w:firstColumn="1" w:lastColumn="0" w:oddVBand="0" w:evenVBand="0" w:oddHBand="0" w:evenHBand="0" w:firstRowFirstColumn="0" w:firstRowLastColumn="0" w:lastRowFirstColumn="0" w:lastRowLastColumn="0"/>
            <w:tcW w:w="4119" w:type="dxa"/>
          </w:tcPr>
          <w:p w:rsidR="00554171" w:rsidRPr="00332CC0" w:rsidRDefault="00554171" w:rsidP="00040D3F">
            <w:pPr>
              <w:rPr>
                <w:rFonts w:cs="Arial"/>
              </w:rPr>
            </w:pPr>
            <w:r w:rsidRPr="00332CC0">
              <w:rPr>
                <w:rFonts w:cs="Arial"/>
              </w:rPr>
              <w:t>Harassment</w:t>
            </w:r>
          </w:p>
        </w:tc>
        <w:tc>
          <w:tcPr>
            <w:tcW w:w="2424" w:type="dxa"/>
          </w:tcPr>
          <w:p w:rsidR="00554171" w:rsidRPr="00332CC0" w:rsidRDefault="00554171" w:rsidP="00040D3F">
            <w:pPr>
              <w:jc w:val="cente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89</w:t>
            </w:r>
          </w:p>
        </w:tc>
        <w:tc>
          <w:tcPr>
            <w:tcW w:w="2560" w:type="dxa"/>
          </w:tcPr>
          <w:p w:rsidR="00554171" w:rsidRPr="00332CC0" w:rsidRDefault="00554171" w:rsidP="00040D3F">
            <w:pPr>
              <w:jc w:val="cente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12%</w:t>
            </w:r>
          </w:p>
        </w:tc>
      </w:tr>
      <w:tr w:rsidR="00554171" w:rsidRPr="00332CC0" w:rsidTr="00040D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19" w:type="dxa"/>
          </w:tcPr>
          <w:p w:rsidR="00554171" w:rsidRPr="00332CC0" w:rsidRDefault="00554171" w:rsidP="00040D3F">
            <w:pPr>
              <w:rPr>
                <w:rFonts w:cs="Arial"/>
              </w:rPr>
            </w:pPr>
            <w:r w:rsidRPr="00332CC0">
              <w:rPr>
                <w:rFonts w:cs="Arial"/>
              </w:rPr>
              <w:t>Declined role</w:t>
            </w:r>
          </w:p>
        </w:tc>
        <w:tc>
          <w:tcPr>
            <w:tcW w:w="2424" w:type="dxa"/>
          </w:tcPr>
          <w:p w:rsidR="00554171" w:rsidRPr="00332CC0" w:rsidRDefault="00554171" w:rsidP="00040D3F">
            <w:pPr>
              <w:jc w:val="cente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40</w:t>
            </w:r>
          </w:p>
        </w:tc>
        <w:tc>
          <w:tcPr>
            <w:tcW w:w="2560" w:type="dxa"/>
          </w:tcPr>
          <w:p w:rsidR="00554171" w:rsidRPr="00332CC0" w:rsidRDefault="00554171" w:rsidP="00040D3F">
            <w:pPr>
              <w:jc w:val="center"/>
              <w:cnfStyle w:val="000000100000" w:firstRow="0" w:lastRow="0" w:firstColumn="0" w:lastColumn="0" w:oddVBand="0" w:evenVBand="0" w:oddHBand="1" w:evenHBand="0" w:firstRowFirstColumn="0" w:firstRowLastColumn="0" w:lastRowFirstColumn="0" w:lastRowLastColumn="0"/>
              <w:rPr>
                <w:rFonts w:cs="Arial"/>
              </w:rPr>
            </w:pPr>
            <w:r w:rsidRPr="00332CC0">
              <w:rPr>
                <w:rFonts w:cs="Arial"/>
              </w:rPr>
              <w:t>5%</w:t>
            </w:r>
          </w:p>
        </w:tc>
      </w:tr>
      <w:tr w:rsidR="00554171" w:rsidRPr="00332CC0" w:rsidTr="00040D3F">
        <w:trPr>
          <w:trHeight w:val="290"/>
        </w:trPr>
        <w:tc>
          <w:tcPr>
            <w:cnfStyle w:val="001000000000" w:firstRow="0" w:lastRow="0" w:firstColumn="1" w:lastColumn="0" w:oddVBand="0" w:evenVBand="0" w:oddHBand="0" w:evenHBand="0" w:firstRowFirstColumn="0" w:firstRowLastColumn="0" w:lastRowFirstColumn="0" w:lastRowLastColumn="0"/>
            <w:tcW w:w="4119" w:type="dxa"/>
          </w:tcPr>
          <w:p w:rsidR="00554171" w:rsidRPr="00332CC0" w:rsidRDefault="00554171" w:rsidP="00040D3F">
            <w:pPr>
              <w:rPr>
                <w:rFonts w:cs="Arial"/>
              </w:rPr>
            </w:pPr>
            <w:r w:rsidRPr="00332CC0">
              <w:rPr>
                <w:rFonts w:cs="Arial"/>
              </w:rPr>
              <w:t>Ethnic targeting of roles</w:t>
            </w:r>
          </w:p>
        </w:tc>
        <w:tc>
          <w:tcPr>
            <w:tcW w:w="2424" w:type="dxa"/>
          </w:tcPr>
          <w:p w:rsidR="00554171" w:rsidRPr="00332CC0" w:rsidRDefault="00554171" w:rsidP="00040D3F">
            <w:pPr>
              <w:jc w:val="cente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40</w:t>
            </w:r>
          </w:p>
        </w:tc>
        <w:tc>
          <w:tcPr>
            <w:tcW w:w="2560" w:type="dxa"/>
          </w:tcPr>
          <w:p w:rsidR="00554171" w:rsidRPr="00332CC0" w:rsidRDefault="00554171" w:rsidP="00040D3F">
            <w:pPr>
              <w:jc w:val="center"/>
              <w:cnfStyle w:val="000000000000" w:firstRow="0" w:lastRow="0" w:firstColumn="0" w:lastColumn="0" w:oddVBand="0" w:evenVBand="0" w:oddHBand="0" w:evenHBand="0" w:firstRowFirstColumn="0" w:firstRowLastColumn="0" w:lastRowFirstColumn="0" w:lastRowLastColumn="0"/>
              <w:rPr>
                <w:rFonts w:cs="Arial"/>
              </w:rPr>
            </w:pPr>
            <w:r w:rsidRPr="00332CC0">
              <w:rPr>
                <w:rFonts w:cs="Arial"/>
              </w:rPr>
              <w:t>5%</w:t>
            </w:r>
          </w:p>
        </w:tc>
      </w:tr>
    </w:tbl>
    <w:p w:rsidR="00554171" w:rsidRPr="00332CC0" w:rsidRDefault="00554171" w:rsidP="00554171">
      <w:pPr>
        <w:rPr>
          <w:rFonts w:cs="Arial"/>
          <w:sz w:val="22"/>
          <w:szCs w:val="22"/>
        </w:rPr>
      </w:pPr>
    </w:p>
    <w:p w:rsidR="00554171" w:rsidRPr="00332CC0" w:rsidRDefault="00554171" w:rsidP="00554171">
      <w:pPr>
        <w:jc w:val="both"/>
        <w:rPr>
          <w:rFonts w:cs="Arial"/>
          <w:sz w:val="22"/>
          <w:szCs w:val="22"/>
        </w:rPr>
      </w:pPr>
    </w:p>
    <w:p w:rsidR="00554171" w:rsidRPr="00332CC0" w:rsidRDefault="00554171" w:rsidP="00554171">
      <w:pPr>
        <w:jc w:val="both"/>
        <w:rPr>
          <w:rFonts w:cs="Arial"/>
          <w:sz w:val="22"/>
          <w:szCs w:val="22"/>
        </w:rPr>
      </w:pPr>
      <w:r w:rsidRPr="00332CC0">
        <w:rPr>
          <w:rFonts w:cs="Arial"/>
          <w:sz w:val="22"/>
          <w:szCs w:val="22"/>
        </w:rPr>
        <w:t>‘Discrimination’ is something of a catch all category and is when the complainant either used the word ‘discrimination’, or described a situation where a person was being treated differently allegedly due to race-related reasons, and when the complaint did not fit into another common theme category. Similarly ‘harassment’ complaints are when the complainant used the word ‘harassment’ to describe the complaint, and when it did not fit in any of the other common themes.</w:t>
      </w:r>
    </w:p>
    <w:p w:rsidR="00554171" w:rsidRPr="00332CC0" w:rsidRDefault="00554171" w:rsidP="00554171">
      <w:pPr>
        <w:jc w:val="both"/>
        <w:rPr>
          <w:rFonts w:cs="Arial"/>
          <w:sz w:val="22"/>
          <w:szCs w:val="22"/>
        </w:rPr>
      </w:pPr>
    </w:p>
    <w:p w:rsidR="00554171" w:rsidRPr="00332CC0" w:rsidRDefault="00554171" w:rsidP="00554171">
      <w:pPr>
        <w:jc w:val="both"/>
        <w:rPr>
          <w:rFonts w:cs="Arial"/>
          <w:sz w:val="22"/>
          <w:szCs w:val="22"/>
        </w:rPr>
      </w:pPr>
      <w:r w:rsidRPr="00332CC0">
        <w:rPr>
          <w:rFonts w:cs="Arial"/>
          <w:sz w:val="22"/>
          <w:szCs w:val="22"/>
        </w:rPr>
        <w:t>Complaints of racist comments or abuse were the most common single issue (other than the broad ‘discrimination’), accounting for 22% of race-related complaints.</w:t>
      </w:r>
    </w:p>
    <w:p w:rsidR="00554171" w:rsidRPr="00332CC0" w:rsidRDefault="00554171" w:rsidP="00554171">
      <w:pPr>
        <w:jc w:val="both"/>
        <w:rPr>
          <w:rFonts w:cs="Arial"/>
          <w:sz w:val="22"/>
          <w:szCs w:val="22"/>
        </w:rPr>
      </w:pPr>
    </w:p>
    <w:p w:rsidR="00554171" w:rsidRPr="00332CC0" w:rsidRDefault="00554171" w:rsidP="00554171">
      <w:pPr>
        <w:jc w:val="both"/>
        <w:rPr>
          <w:rFonts w:cs="Arial"/>
          <w:sz w:val="22"/>
          <w:szCs w:val="22"/>
        </w:rPr>
      </w:pPr>
      <w:r w:rsidRPr="00332CC0">
        <w:rPr>
          <w:rFonts w:cs="Arial"/>
          <w:sz w:val="22"/>
          <w:szCs w:val="22"/>
        </w:rPr>
        <w:t>‘Language’ complaints are of two main types: issues around languages other than English being spoken in the workplace, and English language ability or accent:</w:t>
      </w:r>
    </w:p>
    <w:p w:rsidR="00554171" w:rsidRPr="00332CC0" w:rsidRDefault="00554171" w:rsidP="00554171">
      <w:pPr>
        <w:pStyle w:val="ListParagraph"/>
        <w:numPr>
          <w:ilvl w:val="0"/>
          <w:numId w:val="27"/>
        </w:numPr>
        <w:ind w:left="360"/>
        <w:jc w:val="both"/>
        <w:rPr>
          <w:rFonts w:cs="Arial"/>
          <w:sz w:val="22"/>
          <w:szCs w:val="22"/>
        </w:rPr>
      </w:pPr>
      <w:r w:rsidRPr="00332CC0">
        <w:rPr>
          <w:rFonts w:cs="Arial"/>
          <w:sz w:val="22"/>
          <w:szCs w:val="22"/>
        </w:rPr>
        <w:t>49 complaints were about languages other than English being spoken in workplaces, including 8 relating to prohibitions on the use of te reo Māori at work and 3 other Māori language issues</w:t>
      </w:r>
      <w:r>
        <w:rPr>
          <w:rFonts w:cs="Arial"/>
          <w:sz w:val="22"/>
          <w:szCs w:val="22"/>
        </w:rPr>
        <w:t>.</w:t>
      </w:r>
    </w:p>
    <w:p w:rsidR="00554171" w:rsidRPr="00332CC0" w:rsidRDefault="00554171" w:rsidP="00554171">
      <w:pPr>
        <w:pStyle w:val="ListParagraph"/>
        <w:numPr>
          <w:ilvl w:val="0"/>
          <w:numId w:val="27"/>
        </w:numPr>
        <w:ind w:left="360"/>
        <w:jc w:val="both"/>
        <w:rPr>
          <w:rFonts w:cs="Arial"/>
          <w:sz w:val="22"/>
          <w:szCs w:val="22"/>
        </w:rPr>
      </w:pPr>
      <w:r w:rsidRPr="00332CC0">
        <w:rPr>
          <w:rFonts w:cs="Arial"/>
          <w:sz w:val="22"/>
          <w:szCs w:val="22"/>
        </w:rPr>
        <w:t>29 complaints were about people having trouble gaining work, or problems with colleagues because of their accent or lack of English language skills</w:t>
      </w:r>
      <w:r>
        <w:rPr>
          <w:rFonts w:cs="Arial"/>
          <w:sz w:val="22"/>
          <w:szCs w:val="22"/>
        </w:rPr>
        <w:t>.</w:t>
      </w:r>
    </w:p>
    <w:p w:rsidR="00554171" w:rsidRPr="00332CC0" w:rsidRDefault="00554171" w:rsidP="00554171">
      <w:pPr>
        <w:pStyle w:val="ListParagraph"/>
        <w:numPr>
          <w:ilvl w:val="0"/>
          <w:numId w:val="27"/>
        </w:numPr>
        <w:ind w:left="360"/>
        <w:jc w:val="both"/>
        <w:rPr>
          <w:rFonts w:cs="Arial"/>
          <w:sz w:val="22"/>
          <w:szCs w:val="22"/>
        </w:rPr>
      </w:pPr>
      <w:r w:rsidRPr="00332CC0">
        <w:rPr>
          <w:rFonts w:cs="Arial"/>
          <w:sz w:val="22"/>
          <w:szCs w:val="22"/>
        </w:rPr>
        <w:t>15 complaints were about job advertisements which specified a first language command of English (11 complaints) or the ability to speak another specified language (4 complaints).</w:t>
      </w:r>
    </w:p>
    <w:p w:rsidR="00554171" w:rsidRPr="00332CC0" w:rsidRDefault="00554171" w:rsidP="00554171">
      <w:pPr>
        <w:rPr>
          <w:rFonts w:cs="Arial"/>
          <w:sz w:val="22"/>
          <w:szCs w:val="22"/>
        </w:rPr>
      </w:pPr>
    </w:p>
    <w:p w:rsidR="00554171" w:rsidRPr="00332CC0" w:rsidRDefault="00554171" w:rsidP="00554171">
      <w:pPr>
        <w:rPr>
          <w:rFonts w:cs="Arial"/>
          <w:sz w:val="22"/>
          <w:szCs w:val="22"/>
        </w:rPr>
      </w:pPr>
      <w:r w:rsidRPr="00332CC0">
        <w:rPr>
          <w:rFonts w:cs="Arial"/>
          <w:sz w:val="22"/>
          <w:szCs w:val="22"/>
        </w:rPr>
        <w:t>Numbers of each type of complaint have fluctuated in the last five years, and there is no evidence of an increase in any of the specific themes in the last two years.</w:t>
      </w:r>
    </w:p>
    <w:p w:rsidR="00554171" w:rsidRPr="00332CC0" w:rsidRDefault="00554171" w:rsidP="00554171">
      <w:pPr>
        <w:pStyle w:val="Heading1"/>
        <w:spacing w:before="0"/>
        <w:rPr>
          <w:rFonts w:ascii="Arial" w:hAnsi="Arial" w:cs="Arial"/>
          <w:color w:val="00B0F0"/>
        </w:rPr>
      </w:pPr>
    </w:p>
    <w:p w:rsidR="00554171" w:rsidRDefault="00554171" w:rsidP="00554171">
      <w:pPr>
        <w:spacing w:after="200" w:line="276" w:lineRule="auto"/>
        <w:rPr>
          <w:rFonts w:eastAsiaTheme="majorEastAsia" w:cs="Arial"/>
          <w:b/>
          <w:bCs/>
          <w:color w:val="00B0F0"/>
          <w:sz w:val="32"/>
          <w:szCs w:val="32"/>
        </w:rPr>
      </w:pPr>
      <w:r>
        <w:rPr>
          <w:rFonts w:cs="Arial"/>
          <w:color w:val="00B0F0"/>
          <w:sz w:val="32"/>
          <w:szCs w:val="32"/>
        </w:rPr>
        <w:br w:type="page"/>
      </w:r>
    </w:p>
    <w:p w:rsidR="002127F2" w:rsidRPr="005D0A53" w:rsidRDefault="002127F2" w:rsidP="002127F2">
      <w:pPr>
        <w:rPr>
          <w:rFonts w:asciiTheme="majorHAnsi" w:hAnsiTheme="majorHAnsi"/>
          <w:b/>
          <w:color w:val="00B0F0"/>
          <w:sz w:val="72"/>
          <w:szCs w:val="72"/>
        </w:rPr>
      </w:pPr>
      <w:r w:rsidRPr="005D0A53">
        <w:rPr>
          <w:rFonts w:asciiTheme="majorHAnsi" w:hAnsiTheme="majorHAnsi"/>
          <w:b/>
          <w:color w:val="00B0F0"/>
          <w:sz w:val="72"/>
          <w:szCs w:val="72"/>
        </w:rPr>
        <w:t>Monitoring New Zealand’s progress</w:t>
      </w:r>
    </w:p>
    <w:p w:rsidR="002127F2" w:rsidRDefault="002127F2" w:rsidP="002127F2">
      <w:pPr>
        <w:rPr>
          <w:b/>
        </w:rPr>
      </w:pPr>
    </w:p>
    <w:p w:rsidR="002127F2" w:rsidRPr="005D0A53" w:rsidRDefault="002127F2" w:rsidP="002127F2">
      <w:pPr>
        <w:jc w:val="both"/>
        <w:rPr>
          <w:rFonts w:cs="Arial"/>
          <w:sz w:val="22"/>
        </w:rPr>
      </w:pPr>
      <w:r w:rsidRPr="005D0A53">
        <w:rPr>
          <w:rFonts w:cs="Arial"/>
          <w:sz w:val="22"/>
        </w:rPr>
        <w:t xml:space="preserve">New Zealand’s ratification of the </w:t>
      </w:r>
      <w:r>
        <w:rPr>
          <w:rFonts w:cs="Arial"/>
          <w:sz w:val="22"/>
        </w:rPr>
        <w:t xml:space="preserve">Convention was followed by the establishment of </w:t>
      </w:r>
      <w:r w:rsidRPr="005D0A53">
        <w:rPr>
          <w:rFonts w:cs="Arial"/>
          <w:sz w:val="22"/>
        </w:rPr>
        <w:t xml:space="preserve">an independent mechanism to promote, protect and monitor the implementation of the </w:t>
      </w:r>
      <w:r>
        <w:rPr>
          <w:rFonts w:cs="Arial"/>
          <w:sz w:val="22"/>
        </w:rPr>
        <w:t xml:space="preserve">CRPD </w:t>
      </w:r>
      <w:r w:rsidRPr="005D0A53">
        <w:rPr>
          <w:rFonts w:cs="Arial"/>
          <w:sz w:val="22"/>
        </w:rPr>
        <w:t xml:space="preserve">and periodically report to the United Nations on progress.  </w:t>
      </w:r>
      <w:r>
        <w:rPr>
          <w:rFonts w:cs="Arial"/>
          <w:sz w:val="22"/>
        </w:rPr>
        <w:t xml:space="preserve">It </w:t>
      </w:r>
      <w:r w:rsidRPr="005D0A53">
        <w:rPr>
          <w:rFonts w:cs="Arial"/>
          <w:sz w:val="22"/>
        </w:rPr>
        <w:t>consists of three independent organisations working in partnership to achieve the results</w:t>
      </w:r>
      <w:r>
        <w:rPr>
          <w:rFonts w:cs="Arial"/>
          <w:sz w:val="22"/>
        </w:rPr>
        <w:t xml:space="preserve">, </w:t>
      </w:r>
      <w:r w:rsidRPr="005D0A53">
        <w:rPr>
          <w:rFonts w:cs="Arial"/>
          <w:sz w:val="22"/>
        </w:rPr>
        <w:t xml:space="preserve">the Disability Convention Coalition, the Office of the Ombudsmen and the Human Rights Commission. </w:t>
      </w:r>
    </w:p>
    <w:p w:rsidR="002127F2" w:rsidRPr="005D0A53" w:rsidRDefault="002127F2" w:rsidP="002127F2">
      <w:pPr>
        <w:jc w:val="both"/>
        <w:rPr>
          <w:rFonts w:cs="Arial"/>
          <w:b/>
          <w:sz w:val="22"/>
        </w:rPr>
      </w:pPr>
    </w:p>
    <w:p w:rsidR="002127F2" w:rsidRPr="005D0A53" w:rsidRDefault="002127F2" w:rsidP="002127F2">
      <w:pPr>
        <w:jc w:val="both"/>
        <w:rPr>
          <w:rFonts w:cs="Arial"/>
          <w:b/>
          <w:color w:val="00B0F0"/>
          <w:sz w:val="28"/>
          <w:szCs w:val="28"/>
        </w:rPr>
      </w:pPr>
      <w:r w:rsidRPr="005D0A53">
        <w:rPr>
          <w:rFonts w:cs="Arial"/>
          <w:b/>
          <w:color w:val="00B0F0"/>
          <w:sz w:val="28"/>
          <w:szCs w:val="28"/>
        </w:rPr>
        <w:t>Role of the independent mechanism</w:t>
      </w:r>
    </w:p>
    <w:p w:rsidR="002127F2" w:rsidRPr="005D0A53" w:rsidRDefault="002127F2" w:rsidP="002127F2">
      <w:pPr>
        <w:jc w:val="both"/>
        <w:rPr>
          <w:rFonts w:cs="Arial"/>
          <w:sz w:val="22"/>
        </w:rPr>
      </w:pPr>
      <w:r w:rsidRPr="005D0A53">
        <w:rPr>
          <w:rFonts w:cs="Arial"/>
          <w:sz w:val="22"/>
        </w:rPr>
        <w:t>The role of the independent mechanism is to:</w:t>
      </w:r>
    </w:p>
    <w:p w:rsidR="002127F2" w:rsidRPr="005D0A53" w:rsidRDefault="002127F2" w:rsidP="002127F2">
      <w:pPr>
        <w:pStyle w:val="ListParagraph"/>
        <w:numPr>
          <w:ilvl w:val="0"/>
          <w:numId w:val="62"/>
        </w:numPr>
        <w:jc w:val="both"/>
        <w:rPr>
          <w:rFonts w:cs="Arial"/>
          <w:sz w:val="22"/>
        </w:rPr>
      </w:pPr>
      <w:r w:rsidRPr="005D0A53">
        <w:rPr>
          <w:rFonts w:cs="Arial"/>
          <w:sz w:val="22"/>
        </w:rPr>
        <w:t xml:space="preserve">Develop a monitoring framework including indicators of progress </w:t>
      </w:r>
    </w:p>
    <w:p w:rsidR="002127F2" w:rsidRPr="005D0A53" w:rsidRDefault="002127F2" w:rsidP="002127F2">
      <w:pPr>
        <w:pStyle w:val="ListParagraph"/>
        <w:numPr>
          <w:ilvl w:val="0"/>
          <w:numId w:val="62"/>
        </w:numPr>
        <w:jc w:val="both"/>
        <w:rPr>
          <w:rFonts w:cs="Arial"/>
          <w:sz w:val="22"/>
        </w:rPr>
      </w:pPr>
      <w:r w:rsidRPr="005D0A53">
        <w:rPr>
          <w:rFonts w:cs="Arial"/>
          <w:sz w:val="22"/>
        </w:rPr>
        <w:t>Provide the United Nations CRPD Committee with an issues paper to coincide with the Government’s periodic repo</w:t>
      </w:r>
      <w:r>
        <w:rPr>
          <w:rFonts w:cs="Arial"/>
          <w:sz w:val="22"/>
        </w:rPr>
        <w:t>rt on the implementation of the CRPD</w:t>
      </w:r>
    </w:p>
    <w:p w:rsidR="002127F2" w:rsidRPr="005D0A53" w:rsidRDefault="002127F2" w:rsidP="002127F2">
      <w:pPr>
        <w:pStyle w:val="ListParagraph"/>
        <w:numPr>
          <w:ilvl w:val="0"/>
          <w:numId w:val="62"/>
        </w:numPr>
        <w:jc w:val="both"/>
        <w:rPr>
          <w:rFonts w:cs="Arial"/>
          <w:sz w:val="22"/>
        </w:rPr>
      </w:pPr>
      <w:r w:rsidRPr="005D0A53">
        <w:rPr>
          <w:rFonts w:cs="Arial"/>
          <w:sz w:val="22"/>
        </w:rPr>
        <w:t>Advise the government and civil society on any legislation, policy or practice with an impact on the daily lives of disabled New Zealanders</w:t>
      </w:r>
    </w:p>
    <w:p w:rsidR="002127F2" w:rsidRPr="005D0A53" w:rsidRDefault="002127F2" w:rsidP="002127F2">
      <w:pPr>
        <w:pStyle w:val="ListParagraph"/>
        <w:numPr>
          <w:ilvl w:val="0"/>
          <w:numId w:val="62"/>
        </w:numPr>
        <w:jc w:val="both"/>
        <w:rPr>
          <w:rFonts w:cs="Arial"/>
          <w:sz w:val="22"/>
        </w:rPr>
      </w:pPr>
      <w:r w:rsidRPr="005D0A53">
        <w:rPr>
          <w:rFonts w:cs="Arial"/>
          <w:sz w:val="22"/>
        </w:rPr>
        <w:t>Inform the United Nations of progress on particular issues of interest</w:t>
      </w:r>
    </w:p>
    <w:p w:rsidR="002127F2" w:rsidRPr="005D0A53" w:rsidRDefault="002127F2" w:rsidP="002127F2">
      <w:pPr>
        <w:pStyle w:val="ListParagraph"/>
        <w:numPr>
          <w:ilvl w:val="0"/>
          <w:numId w:val="62"/>
        </w:numPr>
        <w:jc w:val="both"/>
        <w:rPr>
          <w:rFonts w:cs="Arial"/>
          <w:sz w:val="22"/>
        </w:rPr>
      </w:pPr>
      <w:r w:rsidRPr="005D0A53">
        <w:rPr>
          <w:rFonts w:cs="Arial"/>
          <w:sz w:val="22"/>
        </w:rPr>
        <w:t>Inquire into any issue that may involve an infringement of human rights</w:t>
      </w:r>
      <w:r>
        <w:rPr>
          <w:rFonts w:cs="Arial"/>
          <w:sz w:val="22"/>
        </w:rPr>
        <w:t>.</w:t>
      </w:r>
    </w:p>
    <w:p w:rsidR="002127F2" w:rsidRPr="005D0A53" w:rsidRDefault="002127F2" w:rsidP="002127F2">
      <w:pPr>
        <w:jc w:val="both"/>
        <w:rPr>
          <w:rFonts w:cs="Arial"/>
          <w:sz w:val="22"/>
        </w:rPr>
      </w:pPr>
    </w:p>
    <w:p w:rsidR="002127F2" w:rsidRPr="005D0A53" w:rsidRDefault="002127F2" w:rsidP="002127F2">
      <w:pPr>
        <w:jc w:val="both"/>
        <w:rPr>
          <w:rFonts w:cs="Arial"/>
          <w:sz w:val="22"/>
        </w:rPr>
      </w:pPr>
      <w:r w:rsidRPr="005D0A53">
        <w:rPr>
          <w:rFonts w:cs="Arial"/>
          <w:sz w:val="22"/>
        </w:rPr>
        <w:t xml:space="preserve">The three partners involved in the independent mechanism are proposing to provide an annual report to Parliament.      </w:t>
      </w:r>
    </w:p>
    <w:p w:rsidR="002127F2" w:rsidRPr="005D0A53" w:rsidRDefault="002127F2" w:rsidP="002127F2">
      <w:pPr>
        <w:jc w:val="both"/>
        <w:rPr>
          <w:rFonts w:cs="Arial"/>
          <w:b/>
          <w:sz w:val="22"/>
        </w:rPr>
      </w:pPr>
    </w:p>
    <w:p w:rsidR="002127F2" w:rsidRPr="005D0A53" w:rsidRDefault="002127F2" w:rsidP="002127F2">
      <w:pPr>
        <w:jc w:val="both"/>
        <w:rPr>
          <w:rFonts w:cs="Arial"/>
          <w:b/>
          <w:color w:val="00B0F0"/>
          <w:sz w:val="28"/>
          <w:szCs w:val="28"/>
        </w:rPr>
      </w:pPr>
      <w:r w:rsidRPr="005D0A53">
        <w:rPr>
          <w:rFonts w:cs="Arial"/>
          <w:b/>
          <w:color w:val="00B0F0"/>
          <w:sz w:val="28"/>
          <w:szCs w:val="28"/>
        </w:rPr>
        <w:t>Role and activities of the Human Rights Commission</w:t>
      </w:r>
    </w:p>
    <w:p w:rsidR="002127F2" w:rsidRPr="005D0A53" w:rsidRDefault="002127F2" w:rsidP="002127F2">
      <w:pPr>
        <w:jc w:val="both"/>
        <w:rPr>
          <w:rFonts w:cs="Arial"/>
          <w:sz w:val="22"/>
        </w:rPr>
      </w:pPr>
      <w:r w:rsidRPr="005D0A53">
        <w:rPr>
          <w:rFonts w:cs="Arial"/>
          <w:sz w:val="22"/>
        </w:rPr>
        <w:t xml:space="preserve">The Human Rights Commission has been given the role of coordinating the activities of the independent mechanism.  </w:t>
      </w:r>
    </w:p>
    <w:p w:rsidR="002127F2" w:rsidRPr="005D0A53" w:rsidRDefault="002127F2" w:rsidP="002127F2">
      <w:pPr>
        <w:jc w:val="both"/>
        <w:rPr>
          <w:rFonts w:cs="Arial"/>
          <w:sz w:val="22"/>
        </w:rPr>
      </w:pPr>
    </w:p>
    <w:p w:rsidR="002127F2" w:rsidRPr="005D0A53" w:rsidRDefault="002127F2" w:rsidP="002127F2">
      <w:pPr>
        <w:jc w:val="both"/>
        <w:rPr>
          <w:rFonts w:cs="Arial"/>
          <w:sz w:val="22"/>
        </w:rPr>
      </w:pPr>
      <w:r>
        <w:rPr>
          <w:rFonts w:cs="Arial"/>
          <w:sz w:val="22"/>
        </w:rPr>
        <w:t xml:space="preserve">The Commission’s </w:t>
      </w:r>
      <w:r w:rsidRPr="005D0A53">
        <w:rPr>
          <w:rFonts w:cs="Arial"/>
          <w:sz w:val="22"/>
        </w:rPr>
        <w:t xml:space="preserve">Statement of Intent </w:t>
      </w:r>
      <w:r>
        <w:rPr>
          <w:rFonts w:cs="Arial"/>
          <w:sz w:val="22"/>
        </w:rPr>
        <w:t xml:space="preserve">2011-2014 </w:t>
      </w:r>
      <w:r w:rsidRPr="005D0A53">
        <w:rPr>
          <w:rFonts w:cs="Arial"/>
          <w:sz w:val="22"/>
        </w:rPr>
        <w:t>identifies the major initiatives in the disability rights area for the current year as:</w:t>
      </w:r>
    </w:p>
    <w:p w:rsidR="002127F2" w:rsidRPr="005D0A53" w:rsidRDefault="002127F2" w:rsidP="002127F2">
      <w:pPr>
        <w:pStyle w:val="ListParagraph"/>
        <w:numPr>
          <w:ilvl w:val="0"/>
          <w:numId w:val="63"/>
        </w:numPr>
        <w:jc w:val="both"/>
        <w:rPr>
          <w:rFonts w:cs="Arial"/>
          <w:sz w:val="22"/>
        </w:rPr>
      </w:pPr>
      <w:r w:rsidRPr="005D0A53">
        <w:rPr>
          <w:rFonts w:cs="Arial"/>
          <w:sz w:val="22"/>
        </w:rPr>
        <w:t>Promote knowledge of, and use of</w:t>
      </w:r>
      <w:r>
        <w:rPr>
          <w:rFonts w:cs="Arial"/>
          <w:sz w:val="22"/>
        </w:rPr>
        <w:t>,</w:t>
      </w:r>
      <w:r w:rsidRPr="005D0A53">
        <w:rPr>
          <w:rFonts w:cs="Arial"/>
          <w:sz w:val="22"/>
        </w:rPr>
        <w:t xml:space="preserve"> the CRPD by disabled people and their organisations</w:t>
      </w:r>
    </w:p>
    <w:p w:rsidR="002127F2" w:rsidRPr="005D0A53" w:rsidRDefault="002127F2" w:rsidP="002127F2">
      <w:pPr>
        <w:pStyle w:val="ListParagraph"/>
        <w:numPr>
          <w:ilvl w:val="0"/>
          <w:numId w:val="63"/>
        </w:numPr>
        <w:jc w:val="both"/>
        <w:rPr>
          <w:rFonts w:cs="Arial"/>
          <w:sz w:val="22"/>
        </w:rPr>
      </w:pPr>
      <w:r w:rsidRPr="005D0A53">
        <w:rPr>
          <w:rFonts w:cs="Arial"/>
          <w:sz w:val="22"/>
        </w:rPr>
        <w:t>Provide an issues report to the United Nations CRPD Committee identifying the main human rights issues and recommendations for government action</w:t>
      </w:r>
    </w:p>
    <w:p w:rsidR="002127F2" w:rsidRPr="005D0A53" w:rsidRDefault="002127F2" w:rsidP="002127F2">
      <w:pPr>
        <w:pStyle w:val="ListParagraph"/>
        <w:numPr>
          <w:ilvl w:val="0"/>
          <w:numId w:val="63"/>
        </w:numPr>
        <w:jc w:val="both"/>
        <w:rPr>
          <w:rFonts w:cs="Arial"/>
          <w:sz w:val="22"/>
        </w:rPr>
      </w:pPr>
      <w:r w:rsidRPr="005D0A53">
        <w:rPr>
          <w:rFonts w:cs="Arial"/>
          <w:sz w:val="22"/>
        </w:rPr>
        <w:t>Monitor and report on progress on key human rights issues including inclusive education, access to New Zealand Sign Language, accessible official information and the removal of ba</w:t>
      </w:r>
      <w:r>
        <w:rPr>
          <w:rFonts w:cs="Arial"/>
          <w:sz w:val="22"/>
        </w:rPr>
        <w:t>rriers in the built environment.</w:t>
      </w:r>
    </w:p>
    <w:p w:rsidR="002127F2" w:rsidRPr="005D0A53" w:rsidRDefault="002127F2" w:rsidP="002127F2">
      <w:pPr>
        <w:jc w:val="both"/>
        <w:rPr>
          <w:rFonts w:cs="Arial"/>
          <w:sz w:val="22"/>
        </w:rPr>
      </w:pPr>
    </w:p>
    <w:p w:rsidR="002127F2" w:rsidRPr="005D0A53" w:rsidRDefault="002127F2" w:rsidP="002127F2">
      <w:pPr>
        <w:jc w:val="both"/>
        <w:rPr>
          <w:rFonts w:cs="Arial"/>
          <w:sz w:val="22"/>
        </w:rPr>
      </w:pPr>
      <w:r w:rsidRPr="005D0A53">
        <w:rPr>
          <w:rFonts w:cs="Arial"/>
          <w:sz w:val="22"/>
        </w:rPr>
        <w:t>The Commission’s role in attempting to resolve human rights disputes suggests that a number of issues will be crucial in the next year including the captioning of advertisements and other material associat</w:t>
      </w:r>
      <w:r>
        <w:rPr>
          <w:rFonts w:cs="Arial"/>
          <w:sz w:val="22"/>
        </w:rPr>
        <w:t>ed with the general election.</w:t>
      </w:r>
    </w:p>
    <w:p w:rsidR="002127F2" w:rsidRDefault="002127F2" w:rsidP="002127F2">
      <w:pPr>
        <w:jc w:val="both"/>
        <w:rPr>
          <w:rFonts w:cs="Arial"/>
          <w:sz w:val="22"/>
        </w:rPr>
      </w:pPr>
    </w:p>
    <w:p w:rsidR="002127F2" w:rsidRPr="005D0A53" w:rsidRDefault="002127F2" w:rsidP="002127F2">
      <w:pPr>
        <w:jc w:val="both"/>
        <w:rPr>
          <w:rFonts w:cs="Arial"/>
          <w:sz w:val="22"/>
        </w:rPr>
      </w:pPr>
      <w:r w:rsidRPr="005D0A53">
        <w:rPr>
          <w:rFonts w:cs="Arial"/>
          <w:sz w:val="22"/>
        </w:rPr>
        <w:t>To date the Commission has:</w:t>
      </w:r>
    </w:p>
    <w:p w:rsidR="002127F2" w:rsidRPr="005D0A53" w:rsidRDefault="002127F2" w:rsidP="002127F2">
      <w:pPr>
        <w:pStyle w:val="ListParagraph"/>
        <w:numPr>
          <w:ilvl w:val="0"/>
          <w:numId w:val="64"/>
        </w:numPr>
        <w:jc w:val="both"/>
        <w:rPr>
          <w:rFonts w:cs="Arial"/>
          <w:sz w:val="22"/>
        </w:rPr>
      </w:pPr>
      <w:r w:rsidRPr="005D0A53">
        <w:rPr>
          <w:rFonts w:cs="Arial"/>
          <w:sz w:val="22"/>
        </w:rPr>
        <w:t>Undertaken an extensive community engagement with disabled people to understand which human rights issues are most important to them.  This will inform the Commission’s ongoing work and contribute to the issu</w:t>
      </w:r>
      <w:r>
        <w:rPr>
          <w:rFonts w:cs="Arial"/>
          <w:sz w:val="22"/>
        </w:rPr>
        <w:t>es report to the United Nations</w:t>
      </w:r>
    </w:p>
    <w:p w:rsidR="002127F2" w:rsidRPr="005D0A53" w:rsidRDefault="002127F2" w:rsidP="002127F2">
      <w:pPr>
        <w:pStyle w:val="ListParagraph"/>
        <w:numPr>
          <w:ilvl w:val="0"/>
          <w:numId w:val="64"/>
        </w:numPr>
        <w:jc w:val="both"/>
        <w:rPr>
          <w:rFonts w:cs="Arial"/>
          <w:sz w:val="22"/>
        </w:rPr>
      </w:pPr>
      <w:r w:rsidRPr="005D0A53">
        <w:rPr>
          <w:rFonts w:cs="Arial"/>
          <w:sz w:val="22"/>
        </w:rPr>
        <w:t>Produced an information broch</w:t>
      </w:r>
      <w:r>
        <w:rPr>
          <w:rFonts w:cs="Arial"/>
          <w:sz w:val="22"/>
        </w:rPr>
        <w:t>ure on the CRPD in</w:t>
      </w:r>
      <w:r w:rsidRPr="005D0A53">
        <w:rPr>
          <w:rFonts w:cs="Arial"/>
          <w:sz w:val="22"/>
        </w:rPr>
        <w:t xml:space="preserve"> a variety of alternative formats</w:t>
      </w:r>
    </w:p>
    <w:p w:rsidR="002127F2" w:rsidRPr="005D0A53" w:rsidRDefault="002127F2" w:rsidP="002127F2">
      <w:pPr>
        <w:pStyle w:val="ListParagraph"/>
        <w:numPr>
          <w:ilvl w:val="0"/>
          <w:numId w:val="64"/>
        </w:numPr>
        <w:jc w:val="both"/>
        <w:rPr>
          <w:rFonts w:cs="Arial"/>
          <w:sz w:val="22"/>
        </w:rPr>
      </w:pPr>
      <w:r w:rsidRPr="005D0A53">
        <w:rPr>
          <w:rFonts w:cs="Arial"/>
          <w:sz w:val="22"/>
        </w:rPr>
        <w:t>Developed a draft monitoring framework</w:t>
      </w:r>
    </w:p>
    <w:p w:rsidR="002127F2" w:rsidRPr="005D0A53" w:rsidRDefault="002127F2" w:rsidP="002127F2">
      <w:pPr>
        <w:pStyle w:val="ListParagraph"/>
        <w:numPr>
          <w:ilvl w:val="0"/>
          <w:numId w:val="64"/>
        </w:numPr>
        <w:jc w:val="both"/>
        <w:rPr>
          <w:rFonts w:cs="Arial"/>
          <w:sz w:val="22"/>
        </w:rPr>
      </w:pPr>
      <w:r w:rsidRPr="005D0A53">
        <w:rPr>
          <w:rFonts w:cs="Arial"/>
          <w:sz w:val="22"/>
        </w:rPr>
        <w:t xml:space="preserve">Undertaken research and policy development work on three access issues: accessible local and national elections, access to the built environment and accessible information.  These will form the basis of a consultation document later in the year.   </w:t>
      </w:r>
    </w:p>
    <w:p w:rsidR="00554171" w:rsidRPr="00332CC0" w:rsidRDefault="00554171" w:rsidP="00554171">
      <w:pPr>
        <w:jc w:val="both"/>
        <w:rPr>
          <w:rFonts w:asciiTheme="majorHAnsi" w:hAnsiTheme="majorHAnsi"/>
          <w:b/>
          <w:color w:val="00B0F0"/>
          <w:sz w:val="72"/>
          <w:szCs w:val="72"/>
        </w:rPr>
      </w:pPr>
      <w:r w:rsidRPr="00332CC0">
        <w:rPr>
          <w:rFonts w:asciiTheme="majorHAnsi" w:hAnsiTheme="majorHAnsi"/>
          <w:b/>
          <w:color w:val="00B0F0"/>
          <w:sz w:val="72"/>
          <w:szCs w:val="72"/>
        </w:rPr>
        <w:t>Equality at work indicators</w:t>
      </w:r>
    </w:p>
    <w:p w:rsidR="00554171" w:rsidRDefault="00554171" w:rsidP="00554171">
      <w:pPr>
        <w:jc w:val="both"/>
        <w:rPr>
          <w:sz w:val="22"/>
          <w:szCs w:val="22"/>
        </w:rPr>
      </w:pPr>
      <w:r w:rsidRPr="00332CC0">
        <w:rPr>
          <w:sz w:val="22"/>
          <w:szCs w:val="22"/>
        </w:rPr>
        <w:t xml:space="preserve">Given New Zealand’s current labour market situation, how can we make progress?   First, we need to be able to track progress.   What gets counted often gets done.  </w:t>
      </w:r>
    </w:p>
    <w:p w:rsidR="0012092E" w:rsidRDefault="0012092E" w:rsidP="00554171">
      <w:pPr>
        <w:jc w:val="both"/>
        <w:rPr>
          <w:sz w:val="22"/>
          <w:szCs w:val="22"/>
        </w:rPr>
      </w:pPr>
    </w:p>
    <w:p w:rsidR="0012092E" w:rsidRPr="00332CC0" w:rsidRDefault="0012092E" w:rsidP="00554171">
      <w:pPr>
        <w:jc w:val="both"/>
        <w:rPr>
          <w:sz w:val="22"/>
          <w:szCs w:val="22"/>
        </w:rPr>
      </w:pPr>
      <w:r w:rsidRPr="002127F2">
        <w:rPr>
          <w:sz w:val="22"/>
          <w:szCs w:val="22"/>
        </w:rPr>
        <w:t>In the development of a new set of indicators we have used di</w:t>
      </w:r>
      <w:r w:rsidR="00386766" w:rsidRPr="002127F2">
        <w:rPr>
          <w:sz w:val="22"/>
          <w:szCs w:val="22"/>
        </w:rPr>
        <w:t>sability as a prominent measure.  For example, looking at unemployment rates, we need to know how many disabled people are not working but seeking work, just as we do with other groups.</w:t>
      </w:r>
    </w:p>
    <w:p w:rsidR="00554171" w:rsidRPr="00332CC0" w:rsidRDefault="00554171" w:rsidP="00554171">
      <w:pPr>
        <w:jc w:val="both"/>
        <w:rPr>
          <w:sz w:val="22"/>
          <w:szCs w:val="22"/>
        </w:rPr>
      </w:pPr>
    </w:p>
    <w:p w:rsidR="00554171" w:rsidRPr="00332CC0" w:rsidRDefault="00554171" w:rsidP="00554171">
      <w:pPr>
        <w:jc w:val="both"/>
        <w:rPr>
          <w:sz w:val="22"/>
          <w:szCs w:val="22"/>
        </w:rPr>
      </w:pPr>
      <w:r w:rsidRPr="00332CC0">
        <w:rPr>
          <w:sz w:val="22"/>
          <w:szCs w:val="22"/>
        </w:rPr>
        <w:t>New Zealand has never had a method of objectively benchmarking EEO.  This set of Equality at Work indicators has been developed by the Commission working with experts and using overseas examples. It provides time series data and aims for an objective progress report on how New Zealand is doing that can be used by government, policy agencies, industry sectors, employers, trade unions, researchers and civil society.</w:t>
      </w:r>
    </w:p>
    <w:p w:rsidR="00554171" w:rsidRPr="00332CC0" w:rsidRDefault="00554171" w:rsidP="00554171">
      <w:pPr>
        <w:jc w:val="both"/>
        <w:rPr>
          <w:sz w:val="22"/>
          <w:szCs w:val="22"/>
        </w:rPr>
      </w:pPr>
    </w:p>
    <w:p w:rsidR="00554171" w:rsidRPr="00332CC0" w:rsidRDefault="00554171" w:rsidP="00554171">
      <w:pPr>
        <w:jc w:val="both"/>
        <w:rPr>
          <w:sz w:val="22"/>
          <w:szCs w:val="22"/>
        </w:rPr>
      </w:pPr>
      <w:r w:rsidRPr="00332CC0">
        <w:rPr>
          <w:sz w:val="22"/>
          <w:szCs w:val="22"/>
        </w:rPr>
        <w:t>The Human Rights Commission will use these indicators to monitor progress for both national and international reporting purposes.  Making progress visible will encourage great</w:t>
      </w:r>
      <w:r w:rsidR="00386766">
        <w:rPr>
          <w:sz w:val="22"/>
          <w:szCs w:val="22"/>
        </w:rPr>
        <w:t>er efforts to achieve equality</w:t>
      </w:r>
      <w:r w:rsidR="00386766" w:rsidRPr="002127F2">
        <w:rPr>
          <w:sz w:val="22"/>
          <w:szCs w:val="22"/>
        </w:rPr>
        <w:t>, including for disabled people.</w:t>
      </w:r>
    </w:p>
    <w:p w:rsidR="00554171" w:rsidRPr="00332CC0" w:rsidRDefault="00554171" w:rsidP="00554171">
      <w:pPr>
        <w:jc w:val="both"/>
        <w:rPr>
          <w:sz w:val="22"/>
          <w:szCs w:val="22"/>
        </w:rPr>
      </w:pPr>
    </w:p>
    <w:p w:rsidR="00554171" w:rsidRPr="00332CC0" w:rsidRDefault="00554171" w:rsidP="00554171">
      <w:pPr>
        <w:jc w:val="both"/>
        <w:rPr>
          <w:sz w:val="22"/>
          <w:szCs w:val="22"/>
        </w:rPr>
      </w:pPr>
      <w:r w:rsidRPr="00332CC0">
        <w:rPr>
          <w:sz w:val="22"/>
          <w:szCs w:val="22"/>
        </w:rPr>
        <w:t xml:space="preserve">The 20 indicators have been selected to reflect all aspects of the employment cycle used by the Human Rights Commission in promoting the right to work.  Measures are described for each indicator, alongside the grounds on which equality will be determined such as age, gender, ethnicity and disability which reflect human rights discrimination.  Other sources of inequality in employment such as regional variation are also included.   Finally, the availability of data for each indicator is detailed. This has been included to assist monitoring, and to highlight data gaps.  </w:t>
      </w:r>
    </w:p>
    <w:p w:rsidR="00554171" w:rsidRPr="00332CC0" w:rsidRDefault="00554171" w:rsidP="00554171">
      <w:pPr>
        <w:jc w:val="both"/>
        <w:rPr>
          <w:sz w:val="22"/>
          <w:szCs w:val="22"/>
        </w:rPr>
      </w:pPr>
    </w:p>
    <w:p w:rsidR="00554171" w:rsidRPr="00332CC0" w:rsidRDefault="00554171" w:rsidP="00554171">
      <w:pPr>
        <w:jc w:val="both"/>
        <w:rPr>
          <w:sz w:val="22"/>
          <w:szCs w:val="22"/>
        </w:rPr>
      </w:pPr>
      <w:r w:rsidRPr="00332CC0">
        <w:rPr>
          <w:sz w:val="22"/>
          <w:szCs w:val="22"/>
        </w:rPr>
        <w:t xml:space="preserve">In most cases data is publically available from government agencies or is available for purchase. However, data on equality in employment for </w:t>
      </w:r>
      <w:r>
        <w:rPr>
          <w:sz w:val="22"/>
          <w:szCs w:val="22"/>
        </w:rPr>
        <w:t xml:space="preserve">disabled </w:t>
      </w:r>
      <w:r w:rsidRPr="00332CC0">
        <w:rPr>
          <w:sz w:val="22"/>
          <w:szCs w:val="22"/>
        </w:rPr>
        <w:t xml:space="preserve">people is scant and up-to-date information is not available. The most comprehensive and reliable source of employment data for </w:t>
      </w:r>
      <w:r>
        <w:rPr>
          <w:sz w:val="22"/>
          <w:szCs w:val="22"/>
        </w:rPr>
        <w:t xml:space="preserve">disabled </w:t>
      </w:r>
      <w:r w:rsidRPr="00332CC0">
        <w:rPr>
          <w:sz w:val="22"/>
          <w:szCs w:val="22"/>
        </w:rPr>
        <w:t xml:space="preserve">people is the Disability Survey conducted as a supplement after the New Zealand Census conducted every five years. The 2011 Census has been postponed as a result of the Christchurch earthquake and will now be held in 2013.    Data on sexual orientation and employment is not available and submissions to Statistics New Zealand to include sexual orientation questions in the 2011 Census were not successful.  </w:t>
      </w:r>
    </w:p>
    <w:p w:rsidR="00554171" w:rsidRPr="00332CC0" w:rsidRDefault="00554171" w:rsidP="00554171">
      <w:pPr>
        <w:rPr>
          <w:sz w:val="22"/>
        </w:rPr>
      </w:pPr>
    </w:p>
    <w:p w:rsidR="00554171" w:rsidRPr="00332CC0" w:rsidRDefault="00554171" w:rsidP="00554171">
      <w:pPr>
        <w:jc w:val="both"/>
        <w:rPr>
          <w:sz w:val="22"/>
        </w:rPr>
      </w:pPr>
      <w:r w:rsidRPr="00332CC0">
        <w:rPr>
          <w:sz w:val="22"/>
          <w:szCs w:val="22"/>
        </w:rPr>
        <w:t xml:space="preserve">The indicators are developed from similar equality indicators from other jurisdictions, </w:t>
      </w:r>
      <w:r>
        <w:rPr>
          <w:sz w:val="22"/>
          <w:szCs w:val="22"/>
        </w:rPr>
        <w:t xml:space="preserve">including </w:t>
      </w:r>
      <w:r w:rsidRPr="00332CC0">
        <w:rPr>
          <w:sz w:val="22"/>
          <w:szCs w:val="22"/>
        </w:rPr>
        <w:t xml:space="preserve">the Canadian Human Rights Commission’s </w:t>
      </w:r>
      <w:r w:rsidRPr="00332CC0">
        <w:rPr>
          <w:i/>
          <w:sz w:val="22"/>
          <w:szCs w:val="22"/>
        </w:rPr>
        <w:t>Framework for Documenting Equality Rights 2010</w:t>
      </w:r>
      <w:r w:rsidRPr="00332CC0">
        <w:rPr>
          <w:sz w:val="22"/>
          <w:szCs w:val="22"/>
        </w:rPr>
        <w:t>.</w:t>
      </w:r>
    </w:p>
    <w:p w:rsidR="00554171" w:rsidRPr="00332CC0" w:rsidRDefault="00554171" w:rsidP="00554171">
      <w:pPr>
        <w:rPr>
          <w:sz w:val="22"/>
        </w:rPr>
      </w:pPr>
    </w:p>
    <w:p w:rsidR="00554171" w:rsidRPr="00332CC0" w:rsidRDefault="00554171" w:rsidP="00554171">
      <w:pPr>
        <w:rPr>
          <w:sz w:val="22"/>
        </w:rPr>
      </w:pPr>
      <w:r w:rsidRPr="00332CC0">
        <w:rPr>
          <w:sz w:val="22"/>
        </w:rPr>
        <w:t xml:space="preserve">  </w:t>
      </w:r>
    </w:p>
    <w:p w:rsidR="00554171" w:rsidRPr="00332CC0" w:rsidRDefault="00554171" w:rsidP="00554171">
      <w:pPr>
        <w:rPr>
          <w:sz w:val="20"/>
          <w:szCs w:val="20"/>
        </w:rPr>
      </w:pPr>
      <w:r w:rsidRPr="00332CC0">
        <w:rPr>
          <w:sz w:val="20"/>
          <w:szCs w:val="20"/>
        </w:rPr>
        <w:t xml:space="preserve"> </w:t>
      </w:r>
    </w:p>
    <w:p w:rsidR="00554171" w:rsidRPr="00332CC0" w:rsidRDefault="00554171" w:rsidP="00554171">
      <w:pPr>
        <w:jc w:val="both"/>
        <w:rPr>
          <w:rFonts w:asciiTheme="majorHAnsi" w:hAnsiTheme="majorHAnsi"/>
          <w:b/>
          <w:color w:val="00B0F0"/>
          <w:sz w:val="72"/>
          <w:szCs w:val="72"/>
        </w:rPr>
      </w:pPr>
    </w:p>
    <w:p w:rsidR="00554171" w:rsidRPr="00332CC0" w:rsidRDefault="00554171" w:rsidP="00554171">
      <w:pPr>
        <w:spacing w:after="200" w:line="276" w:lineRule="auto"/>
        <w:rPr>
          <w:b/>
          <w:sz w:val="40"/>
          <w:szCs w:val="40"/>
        </w:rPr>
      </w:pPr>
      <w:r w:rsidRPr="00332CC0">
        <w:rPr>
          <w:b/>
          <w:sz w:val="40"/>
          <w:szCs w:val="40"/>
        </w:rPr>
        <w:br w:type="page"/>
      </w:r>
    </w:p>
    <w:p w:rsidR="00554171" w:rsidRPr="00332CC0" w:rsidRDefault="00554171" w:rsidP="00554171">
      <w:pPr>
        <w:rPr>
          <w:b/>
          <w:sz w:val="40"/>
          <w:szCs w:val="40"/>
        </w:rPr>
        <w:sectPr w:rsidR="00554171" w:rsidRPr="00332CC0" w:rsidSect="009B324F">
          <w:pgSz w:w="11906" w:h="16838"/>
          <w:pgMar w:top="1440" w:right="1440" w:bottom="1440" w:left="1440" w:header="706" w:footer="706" w:gutter="0"/>
          <w:pgNumType w:start="1"/>
          <w:cols w:space="708"/>
          <w:docGrid w:linePitch="360"/>
        </w:sectPr>
      </w:pPr>
    </w:p>
    <w:p w:rsidR="00554171" w:rsidRPr="00332CC0" w:rsidRDefault="00554171" w:rsidP="00554171">
      <w:pPr>
        <w:rPr>
          <w:rFonts w:asciiTheme="majorHAnsi" w:hAnsiTheme="majorHAnsi"/>
          <w:b/>
          <w:color w:val="00B0F0"/>
          <w:sz w:val="72"/>
          <w:szCs w:val="72"/>
        </w:rPr>
      </w:pPr>
      <w:r>
        <w:rPr>
          <w:rFonts w:asciiTheme="majorHAnsi" w:hAnsiTheme="majorHAnsi"/>
          <w:b/>
          <w:color w:val="00B0F0"/>
          <w:sz w:val="72"/>
          <w:szCs w:val="72"/>
        </w:rPr>
        <w:t>Top 20 indi</w:t>
      </w:r>
      <w:r w:rsidRPr="00332CC0">
        <w:rPr>
          <w:rFonts w:asciiTheme="majorHAnsi" w:hAnsiTheme="majorHAnsi"/>
          <w:b/>
          <w:color w:val="00B0F0"/>
          <w:sz w:val="72"/>
          <w:szCs w:val="72"/>
        </w:rPr>
        <w:t xml:space="preserve">cators </w:t>
      </w:r>
    </w:p>
    <w:p w:rsidR="00554171" w:rsidRPr="00332CC0" w:rsidRDefault="00554171" w:rsidP="00554171"/>
    <w:tbl>
      <w:tblPr>
        <w:tblStyle w:val="MediumGrid3-Accent2"/>
        <w:tblW w:w="0" w:type="auto"/>
        <w:tblLook w:val="04A0" w:firstRow="1" w:lastRow="0" w:firstColumn="1" w:lastColumn="0" w:noHBand="0" w:noVBand="1"/>
      </w:tblPr>
      <w:tblGrid>
        <w:gridCol w:w="481"/>
        <w:gridCol w:w="2164"/>
        <w:gridCol w:w="2261"/>
        <w:gridCol w:w="2075"/>
        <w:gridCol w:w="2261"/>
      </w:tblGrid>
      <w:tr w:rsidR="00554171" w:rsidRPr="00332CC0" w:rsidTr="00461F0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4" w:type="dxa"/>
          </w:tcPr>
          <w:p w:rsidR="00554171" w:rsidRPr="00332CC0" w:rsidRDefault="00554171" w:rsidP="00040D3F">
            <w:pPr>
              <w:spacing w:before="240" w:line="276" w:lineRule="auto"/>
              <w:rPr>
                <w:sz w:val="26"/>
                <w:szCs w:val="26"/>
              </w:rPr>
            </w:pPr>
          </w:p>
        </w:tc>
        <w:tc>
          <w:tcPr>
            <w:tcW w:w="2014" w:type="dxa"/>
          </w:tcPr>
          <w:p w:rsidR="00554171" w:rsidRPr="00332CC0" w:rsidRDefault="00554171" w:rsidP="00040D3F">
            <w:pPr>
              <w:spacing w:before="240" w:line="276" w:lineRule="auto"/>
              <w:cnfStyle w:val="100000000000" w:firstRow="1" w:lastRow="0" w:firstColumn="0" w:lastColumn="0" w:oddVBand="0" w:evenVBand="0" w:oddHBand="0" w:evenHBand="0" w:firstRowFirstColumn="0" w:firstRowLastColumn="0" w:lastRowFirstColumn="0" w:lastRowLastColumn="0"/>
              <w:rPr>
                <w:b w:val="0"/>
                <w:sz w:val="26"/>
                <w:szCs w:val="26"/>
              </w:rPr>
            </w:pPr>
            <w:r w:rsidRPr="00332CC0">
              <w:rPr>
                <w:sz w:val="26"/>
                <w:szCs w:val="26"/>
              </w:rPr>
              <w:t>Indicators</w:t>
            </w:r>
          </w:p>
        </w:tc>
        <w:tc>
          <w:tcPr>
            <w:tcW w:w="2424" w:type="dxa"/>
          </w:tcPr>
          <w:p w:rsidR="00554171" w:rsidRPr="00332CC0" w:rsidRDefault="00554171" w:rsidP="00040D3F">
            <w:pPr>
              <w:spacing w:before="240" w:line="276" w:lineRule="auto"/>
              <w:cnfStyle w:val="100000000000" w:firstRow="1" w:lastRow="0" w:firstColumn="0" w:lastColumn="0" w:oddVBand="0" w:evenVBand="0" w:oddHBand="0" w:evenHBand="0" w:firstRowFirstColumn="0" w:firstRowLastColumn="0" w:lastRowFirstColumn="0" w:lastRowLastColumn="0"/>
              <w:rPr>
                <w:b w:val="0"/>
                <w:sz w:val="26"/>
                <w:szCs w:val="26"/>
              </w:rPr>
            </w:pPr>
            <w:r w:rsidRPr="00332CC0">
              <w:rPr>
                <w:sz w:val="26"/>
                <w:szCs w:val="26"/>
              </w:rPr>
              <w:t>Measure</w:t>
            </w:r>
          </w:p>
        </w:tc>
        <w:tc>
          <w:tcPr>
            <w:tcW w:w="2061" w:type="dxa"/>
          </w:tcPr>
          <w:p w:rsidR="00554171" w:rsidRPr="00332CC0" w:rsidRDefault="00554171" w:rsidP="00040D3F">
            <w:pPr>
              <w:spacing w:before="240" w:line="276" w:lineRule="auto"/>
              <w:cnfStyle w:val="100000000000" w:firstRow="1" w:lastRow="0" w:firstColumn="0" w:lastColumn="0" w:oddVBand="0" w:evenVBand="0" w:oddHBand="0" w:evenHBand="0" w:firstRowFirstColumn="0" w:firstRowLastColumn="0" w:lastRowFirstColumn="0" w:lastRowLastColumn="0"/>
              <w:rPr>
                <w:b w:val="0"/>
                <w:sz w:val="26"/>
                <w:szCs w:val="26"/>
              </w:rPr>
            </w:pPr>
            <w:r w:rsidRPr="00332CC0">
              <w:rPr>
                <w:sz w:val="26"/>
                <w:szCs w:val="26"/>
              </w:rPr>
              <w:t xml:space="preserve">Grounds </w:t>
            </w:r>
          </w:p>
        </w:tc>
        <w:tc>
          <w:tcPr>
            <w:tcW w:w="2209" w:type="dxa"/>
          </w:tcPr>
          <w:p w:rsidR="00554171" w:rsidRPr="00332CC0" w:rsidRDefault="00554171" w:rsidP="00040D3F">
            <w:pPr>
              <w:spacing w:before="240" w:line="276" w:lineRule="auto"/>
              <w:cnfStyle w:val="100000000000" w:firstRow="1" w:lastRow="0" w:firstColumn="0" w:lastColumn="0" w:oddVBand="0" w:evenVBand="0" w:oddHBand="0" w:evenHBand="0" w:firstRowFirstColumn="0" w:firstRowLastColumn="0" w:lastRowFirstColumn="0" w:lastRowLastColumn="0"/>
              <w:rPr>
                <w:b w:val="0"/>
                <w:sz w:val="26"/>
                <w:szCs w:val="26"/>
              </w:rPr>
            </w:pPr>
            <w:r w:rsidRPr="00332CC0">
              <w:rPr>
                <w:sz w:val="26"/>
                <w:szCs w:val="26"/>
              </w:rPr>
              <w:t>Data Availability</w:t>
            </w:r>
          </w:p>
        </w:tc>
      </w:tr>
      <w:tr w:rsidR="00554171" w:rsidRPr="00332CC0" w:rsidTr="00461F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single" w:sz="6" w:space="0" w:color="FFFFFF" w:themeColor="background1"/>
            </w:tcBorders>
          </w:tcPr>
          <w:p w:rsidR="00554171" w:rsidRPr="00332CC0" w:rsidRDefault="00554171" w:rsidP="00040D3F">
            <w:pPr>
              <w:spacing w:line="276" w:lineRule="auto"/>
            </w:pPr>
            <w:r w:rsidRPr="00332CC0">
              <w:t>1</w:t>
            </w:r>
          </w:p>
        </w:tc>
        <w:tc>
          <w:tcPr>
            <w:tcW w:w="2014" w:type="dxa"/>
            <w:tcBorders>
              <w:top w:val="single" w:sz="6" w:space="0" w:color="FFFFFF" w:themeColor="background1"/>
            </w:tcBorders>
          </w:tcPr>
          <w:p w:rsidR="00554171" w:rsidRPr="00332CC0" w:rsidRDefault="00554171" w:rsidP="00040D3F">
            <w:pPr>
              <w:spacing w:line="276" w:lineRule="auto"/>
              <w:cnfStyle w:val="000000100000" w:firstRow="0" w:lastRow="0" w:firstColumn="0" w:lastColumn="0" w:oddVBand="0" w:evenVBand="0" w:oddHBand="1" w:evenHBand="0" w:firstRowFirstColumn="0" w:firstRowLastColumn="0" w:lastRowFirstColumn="0" w:lastRowLastColumn="0"/>
            </w:pPr>
            <w:r w:rsidRPr="00332CC0">
              <w:t>Unemployment rates</w:t>
            </w:r>
          </w:p>
        </w:tc>
        <w:tc>
          <w:tcPr>
            <w:tcW w:w="2424" w:type="dxa"/>
          </w:tcPr>
          <w:p w:rsidR="00554171" w:rsidRPr="00332CC0" w:rsidRDefault="00554171" w:rsidP="00040D3F">
            <w:pPr>
              <w:pStyle w:val="ListParagraph"/>
              <w:numPr>
                <w:ilvl w:val="0"/>
                <w:numId w:val="1"/>
              </w:numPr>
              <w:spacing w:line="276" w:lineRule="auto"/>
              <w:ind w:left="473" w:hanging="450"/>
              <w:cnfStyle w:val="000000100000" w:firstRow="0" w:lastRow="0" w:firstColumn="0" w:lastColumn="0" w:oddVBand="0" w:evenVBand="0" w:oddHBand="1" w:evenHBand="0" w:firstRowFirstColumn="0" w:firstRowLastColumn="0" w:lastRowFirstColumn="0" w:lastRowLastColumn="0"/>
            </w:pPr>
            <w:r w:rsidRPr="00332CC0">
              <w:t xml:space="preserve">Disaggregated unemployment rates from Household Labour Force Survey (HLFS).  </w:t>
            </w:r>
          </w:p>
        </w:tc>
        <w:tc>
          <w:tcPr>
            <w:tcW w:w="2061" w:type="dxa"/>
          </w:tcPr>
          <w:p w:rsidR="00554171" w:rsidRPr="00332CC0" w:rsidRDefault="00554171" w:rsidP="00040D3F">
            <w:pPr>
              <w:pStyle w:val="ListParagraph"/>
              <w:numPr>
                <w:ilvl w:val="0"/>
                <w:numId w:val="1"/>
              </w:numPr>
              <w:spacing w:line="276" w:lineRule="auto"/>
              <w:ind w:left="430" w:hanging="270"/>
              <w:cnfStyle w:val="000000100000" w:firstRow="0" w:lastRow="0" w:firstColumn="0" w:lastColumn="0" w:oddVBand="0" w:evenVBand="0" w:oddHBand="1" w:evenHBand="0" w:firstRowFirstColumn="0" w:firstRowLastColumn="0" w:lastRowFirstColumn="0" w:lastRowLastColumn="0"/>
            </w:pPr>
            <w:r w:rsidRPr="00332CC0">
              <w:t>Age</w:t>
            </w:r>
          </w:p>
          <w:p w:rsidR="00554171" w:rsidRPr="00332CC0" w:rsidRDefault="00554171" w:rsidP="00040D3F">
            <w:pPr>
              <w:pStyle w:val="ListParagraph"/>
              <w:numPr>
                <w:ilvl w:val="0"/>
                <w:numId w:val="1"/>
              </w:numPr>
              <w:spacing w:line="276" w:lineRule="auto"/>
              <w:ind w:left="430" w:hanging="270"/>
              <w:cnfStyle w:val="000000100000" w:firstRow="0" w:lastRow="0" w:firstColumn="0" w:lastColumn="0" w:oddVBand="0" w:evenVBand="0" w:oddHBand="1" w:evenHBand="0" w:firstRowFirstColumn="0" w:firstRowLastColumn="0" w:lastRowFirstColumn="0" w:lastRowLastColumn="0"/>
            </w:pPr>
            <w:r w:rsidRPr="00332CC0">
              <w:t>Sex/Gender</w:t>
            </w:r>
          </w:p>
          <w:p w:rsidR="00554171" w:rsidRPr="00332CC0" w:rsidRDefault="00554171" w:rsidP="00040D3F">
            <w:pPr>
              <w:pStyle w:val="ListParagraph"/>
              <w:numPr>
                <w:ilvl w:val="0"/>
                <w:numId w:val="1"/>
              </w:numPr>
              <w:spacing w:line="276" w:lineRule="auto"/>
              <w:ind w:left="430" w:hanging="270"/>
              <w:cnfStyle w:val="000000100000" w:firstRow="0" w:lastRow="0" w:firstColumn="0" w:lastColumn="0" w:oddVBand="0" w:evenVBand="0" w:oddHBand="1" w:evenHBand="0" w:firstRowFirstColumn="0" w:firstRowLastColumn="0" w:lastRowFirstColumn="0" w:lastRowLastColumn="0"/>
            </w:pPr>
            <w:r w:rsidRPr="00332CC0">
              <w:t>Ethnicity</w:t>
            </w:r>
          </w:p>
          <w:p w:rsidR="00554171" w:rsidRPr="00332CC0" w:rsidRDefault="00554171" w:rsidP="00040D3F">
            <w:pPr>
              <w:pStyle w:val="ListParagraph"/>
              <w:numPr>
                <w:ilvl w:val="0"/>
                <w:numId w:val="1"/>
              </w:numPr>
              <w:spacing w:line="276" w:lineRule="auto"/>
              <w:ind w:left="430" w:hanging="270"/>
              <w:cnfStyle w:val="000000100000" w:firstRow="0" w:lastRow="0" w:firstColumn="0" w:lastColumn="0" w:oddVBand="0" w:evenVBand="0" w:oddHBand="1" w:evenHBand="0" w:firstRowFirstColumn="0" w:firstRowLastColumn="0" w:lastRowFirstColumn="0" w:lastRowLastColumn="0"/>
            </w:pPr>
            <w:r w:rsidRPr="00332CC0">
              <w:t>Disability</w:t>
            </w:r>
          </w:p>
          <w:p w:rsidR="00554171" w:rsidRPr="00332CC0" w:rsidRDefault="00554171" w:rsidP="00040D3F">
            <w:pPr>
              <w:pStyle w:val="ListParagraph"/>
              <w:numPr>
                <w:ilvl w:val="0"/>
                <w:numId w:val="1"/>
              </w:numPr>
              <w:spacing w:line="276" w:lineRule="auto"/>
              <w:ind w:left="430" w:hanging="270"/>
              <w:cnfStyle w:val="000000100000" w:firstRow="0" w:lastRow="0" w:firstColumn="0" w:lastColumn="0" w:oddVBand="0" w:evenVBand="0" w:oddHBand="1" w:evenHBand="0" w:firstRowFirstColumn="0" w:firstRowLastColumn="0" w:lastRowFirstColumn="0" w:lastRowLastColumn="0"/>
            </w:pPr>
            <w:r w:rsidRPr="00332CC0">
              <w:t>Region</w:t>
            </w:r>
          </w:p>
          <w:p w:rsidR="00554171" w:rsidRPr="00332CC0" w:rsidRDefault="00554171" w:rsidP="00040D3F">
            <w:pPr>
              <w:pStyle w:val="ListParagraph"/>
              <w:numPr>
                <w:ilvl w:val="0"/>
                <w:numId w:val="1"/>
              </w:numPr>
              <w:spacing w:line="276" w:lineRule="auto"/>
              <w:ind w:left="430" w:hanging="270"/>
              <w:cnfStyle w:val="000000100000" w:firstRow="0" w:lastRow="0" w:firstColumn="0" w:lastColumn="0" w:oddVBand="0" w:evenVBand="0" w:oddHBand="1" w:evenHBand="0" w:firstRowFirstColumn="0" w:firstRowLastColumn="0" w:lastRowFirstColumn="0" w:lastRowLastColumn="0"/>
            </w:pPr>
            <w:r w:rsidRPr="00332CC0">
              <w:t xml:space="preserve">Sexual Orientation </w:t>
            </w:r>
          </w:p>
        </w:tc>
        <w:tc>
          <w:tcPr>
            <w:tcW w:w="2209" w:type="dxa"/>
          </w:tcPr>
          <w:p w:rsidR="00554171" w:rsidRPr="00332CC0" w:rsidRDefault="00554171" w:rsidP="00040D3F">
            <w:pPr>
              <w:pStyle w:val="ListParagraph"/>
              <w:numPr>
                <w:ilvl w:val="0"/>
                <w:numId w:val="1"/>
              </w:numPr>
              <w:spacing w:line="276" w:lineRule="auto"/>
              <w:ind w:left="430" w:hanging="270"/>
              <w:cnfStyle w:val="000000100000" w:firstRow="0" w:lastRow="0" w:firstColumn="0" w:lastColumn="0" w:oddVBand="0" w:evenVBand="0" w:oddHBand="1" w:evenHBand="0" w:firstRowFirstColumn="0" w:firstRowLastColumn="0" w:lastRowFirstColumn="0" w:lastRowLastColumn="0"/>
            </w:pPr>
            <w:r w:rsidRPr="00332CC0">
              <w:t>Collected and can be purchased from Stats NZ except for disability data which is collected in the Census disability survey only. Sexual orientation data is not collected by HLFS or Census</w:t>
            </w:r>
          </w:p>
        </w:tc>
      </w:tr>
      <w:tr w:rsidR="00554171" w:rsidRPr="00332CC0" w:rsidTr="00461F0D">
        <w:tc>
          <w:tcPr>
            <w:cnfStyle w:val="001000000000" w:firstRow="0" w:lastRow="0" w:firstColumn="1" w:lastColumn="0" w:oddVBand="0" w:evenVBand="0" w:oddHBand="0" w:evenHBand="0" w:firstRowFirstColumn="0" w:firstRowLastColumn="0" w:lastRowFirstColumn="0" w:lastRowLastColumn="0"/>
            <w:tcW w:w="534" w:type="dxa"/>
          </w:tcPr>
          <w:p w:rsidR="00554171" w:rsidRPr="00332CC0" w:rsidRDefault="00554171" w:rsidP="00040D3F">
            <w:pPr>
              <w:spacing w:line="276" w:lineRule="auto"/>
            </w:pPr>
            <w:r w:rsidRPr="00332CC0">
              <w:t>2</w:t>
            </w:r>
          </w:p>
        </w:tc>
        <w:tc>
          <w:tcPr>
            <w:tcW w:w="2014" w:type="dxa"/>
          </w:tcPr>
          <w:p w:rsidR="00554171" w:rsidRPr="00332CC0" w:rsidRDefault="00554171" w:rsidP="00040D3F">
            <w:pPr>
              <w:spacing w:line="276" w:lineRule="auto"/>
              <w:cnfStyle w:val="000000000000" w:firstRow="0" w:lastRow="0" w:firstColumn="0" w:lastColumn="0" w:oddVBand="0" w:evenVBand="0" w:oddHBand="0" w:evenHBand="0" w:firstRowFirstColumn="0" w:firstRowLastColumn="0" w:lastRowFirstColumn="0" w:lastRowLastColumn="0"/>
            </w:pPr>
            <w:r w:rsidRPr="00332CC0">
              <w:t>People on benefits long term (more tha</w:t>
            </w:r>
            <w:r>
              <w:t>n</w:t>
            </w:r>
            <w:r w:rsidRPr="00332CC0">
              <w:t xml:space="preserve"> a year)</w:t>
            </w:r>
          </w:p>
        </w:tc>
        <w:tc>
          <w:tcPr>
            <w:tcW w:w="2424" w:type="dxa"/>
          </w:tcPr>
          <w:p w:rsidR="00554171" w:rsidRPr="00332CC0" w:rsidRDefault="00554171" w:rsidP="00040D3F">
            <w:pPr>
              <w:pStyle w:val="ListParagraph"/>
              <w:numPr>
                <w:ilvl w:val="0"/>
                <w:numId w:val="1"/>
              </w:numPr>
              <w:spacing w:line="276" w:lineRule="auto"/>
              <w:ind w:left="473" w:hanging="450"/>
              <w:cnfStyle w:val="000000000000" w:firstRow="0" w:lastRow="0" w:firstColumn="0" w:lastColumn="0" w:oddVBand="0" w:evenVBand="0" w:oddHBand="0" w:evenHBand="0" w:firstRowFirstColumn="0" w:firstRowLastColumn="0" w:lastRowFirstColumn="0" w:lastRowLastColumn="0"/>
            </w:pPr>
            <w:r w:rsidRPr="00332CC0">
              <w:t xml:space="preserve">Disaggregated long term beneficiary data from WINZ </w:t>
            </w:r>
          </w:p>
        </w:tc>
        <w:tc>
          <w:tcPr>
            <w:tcW w:w="2061" w:type="dxa"/>
          </w:tcPr>
          <w:p w:rsidR="00554171" w:rsidRPr="00332CC0" w:rsidRDefault="00554171" w:rsidP="00040D3F">
            <w:pPr>
              <w:pStyle w:val="ListParagraph"/>
              <w:numPr>
                <w:ilvl w:val="0"/>
                <w:numId w:val="1"/>
              </w:numPr>
              <w:spacing w:line="276" w:lineRule="auto"/>
              <w:ind w:left="473" w:hanging="450"/>
              <w:cnfStyle w:val="000000000000" w:firstRow="0" w:lastRow="0" w:firstColumn="0" w:lastColumn="0" w:oddVBand="0" w:evenVBand="0" w:oddHBand="0" w:evenHBand="0" w:firstRowFirstColumn="0" w:firstRowLastColumn="0" w:lastRowFirstColumn="0" w:lastRowLastColumn="0"/>
            </w:pPr>
            <w:r w:rsidRPr="00332CC0">
              <w:t xml:space="preserve">Age </w:t>
            </w:r>
          </w:p>
          <w:p w:rsidR="00554171" w:rsidRPr="00332CC0" w:rsidRDefault="00554171" w:rsidP="00040D3F">
            <w:pPr>
              <w:pStyle w:val="ListParagraph"/>
              <w:numPr>
                <w:ilvl w:val="0"/>
                <w:numId w:val="1"/>
              </w:numPr>
              <w:spacing w:line="276" w:lineRule="auto"/>
              <w:ind w:left="473" w:hanging="450"/>
              <w:cnfStyle w:val="000000000000" w:firstRow="0" w:lastRow="0" w:firstColumn="0" w:lastColumn="0" w:oddVBand="0" w:evenVBand="0" w:oddHBand="0" w:evenHBand="0" w:firstRowFirstColumn="0" w:firstRowLastColumn="0" w:lastRowFirstColumn="0" w:lastRowLastColumn="0"/>
            </w:pPr>
            <w:r w:rsidRPr="00332CC0">
              <w:t>Sex/Gender</w:t>
            </w:r>
          </w:p>
          <w:p w:rsidR="00554171" w:rsidRPr="00332CC0" w:rsidRDefault="00554171" w:rsidP="00040D3F">
            <w:pPr>
              <w:pStyle w:val="ListParagraph"/>
              <w:numPr>
                <w:ilvl w:val="0"/>
                <w:numId w:val="1"/>
              </w:numPr>
              <w:spacing w:line="276" w:lineRule="auto"/>
              <w:ind w:left="473" w:hanging="450"/>
              <w:cnfStyle w:val="000000000000" w:firstRow="0" w:lastRow="0" w:firstColumn="0" w:lastColumn="0" w:oddVBand="0" w:evenVBand="0" w:oddHBand="0" w:evenHBand="0" w:firstRowFirstColumn="0" w:firstRowLastColumn="0" w:lastRowFirstColumn="0" w:lastRowLastColumn="0"/>
            </w:pPr>
            <w:r w:rsidRPr="00332CC0">
              <w:t>Ethnicity</w:t>
            </w:r>
          </w:p>
          <w:p w:rsidR="00554171" w:rsidRPr="00332CC0" w:rsidRDefault="00554171" w:rsidP="00040D3F">
            <w:pPr>
              <w:pStyle w:val="ListParagraph"/>
              <w:numPr>
                <w:ilvl w:val="0"/>
                <w:numId w:val="1"/>
              </w:numPr>
              <w:spacing w:line="276" w:lineRule="auto"/>
              <w:ind w:left="473" w:hanging="450"/>
              <w:cnfStyle w:val="000000000000" w:firstRow="0" w:lastRow="0" w:firstColumn="0" w:lastColumn="0" w:oddVBand="0" w:evenVBand="0" w:oddHBand="0" w:evenHBand="0" w:firstRowFirstColumn="0" w:firstRowLastColumn="0" w:lastRowFirstColumn="0" w:lastRowLastColumn="0"/>
            </w:pPr>
            <w:r w:rsidRPr="00332CC0">
              <w:t>Disability</w:t>
            </w:r>
          </w:p>
        </w:tc>
        <w:tc>
          <w:tcPr>
            <w:tcW w:w="2209" w:type="dxa"/>
          </w:tcPr>
          <w:p w:rsidR="00554171" w:rsidRPr="00332CC0" w:rsidRDefault="00554171" w:rsidP="00040D3F">
            <w:pPr>
              <w:pStyle w:val="ListParagraph"/>
              <w:numPr>
                <w:ilvl w:val="0"/>
                <w:numId w:val="1"/>
              </w:numPr>
              <w:spacing w:line="276" w:lineRule="auto"/>
              <w:ind w:left="473" w:hanging="450"/>
              <w:cnfStyle w:val="000000000000" w:firstRow="0" w:lastRow="0" w:firstColumn="0" w:lastColumn="0" w:oddVBand="0" w:evenVBand="0" w:oddHBand="0" w:evenHBand="0" w:firstRowFirstColumn="0" w:firstRowLastColumn="0" w:lastRowFirstColumn="0" w:lastRowLastColumn="0"/>
            </w:pPr>
            <w:r w:rsidRPr="00332CC0">
              <w:t>Aggregated data available from MSD</w:t>
            </w:r>
          </w:p>
          <w:p w:rsidR="00554171" w:rsidRPr="00332CC0" w:rsidRDefault="00554171" w:rsidP="00040D3F">
            <w:pPr>
              <w:pStyle w:val="ListParagraph"/>
              <w:numPr>
                <w:ilvl w:val="0"/>
                <w:numId w:val="1"/>
              </w:numPr>
              <w:spacing w:line="276" w:lineRule="auto"/>
              <w:ind w:left="473" w:hanging="450"/>
              <w:cnfStyle w:val="000000000000" w:firstRow="0" w:lastRow="0" w:firstColumn="0" w:lastColumn="0" w:oddVBand="0" w:evenVBand="0" w:oddHBand="0" w:evenHBand="0" w:firstRowFirstColumn="0" w:firstRowLastColumn="0" w:lastRowFirstColumn="0" w:lastRowLastColumn="0"/>
            </w:pPr>
            <w:r w:rsidRPr="00332CC0">
              <w:t>Disaggregated data could be requested</w:t>
            </w:r>
          </w:p>
        </w:tc>
      </w:tr>
      <w:tr w:rsidR="00554171" w:rsidRPr="00332CC0" w:rsidTr="00461F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554171" w:rsidRPr="00332CC0" w:rsidRDefault="00554171" w:rsidP="00040D3F">
            <w:pPr>
              <w:spacing w:line="276" w:lineRule="auto"/>
            </w:pPr>
            <w:r w:rsidRPr="00332CC0">
              <w:t>3</w:t>
            </w:r>
          </w:p>
        </w:tc>
        <w:tc>
          <w:tcPr>
            <w:tcW w:w="2014" w:type="dxa"/>
          </w:tcPr>
          <w:p w:rsidR="00554171" w:rsidRPr="00332CC0" w:rsidRDefault="00554171" w:rsidP="00040D3F">
            <w:pPr>
              <w:spacing w:line="276" w:lineRule="auto"/>
              <w:cnfStyle w:val="000000100000" w:firstRow="0" w:lastRow="0" w:firstColumn="0" w:lastColumn="0" w:oddVBand="0" w:evenVBand="0" w:oddHBand="1" w:evenHBand="0" w:firstRowFirstColumn="0" w:firstRowLastColumn="0" w:lastRowFirstColumn="0" w:lastRowLastColumn="0"/>
            </w:pPr>
            <w:r w:rsidRPr="00332CC0">
              <w:t xml:space="preserve">Adequacy of unemployment </w:t>
            </w:r>
          </w:p>
          <w:p w:rsidR="00554171" w:rsidRPr="00332CC0" w:rsidRDefault="00554171" w:rsidP="00040D3F">
            <w:pPr>
              <w:spacing w:line="276" w:lineRule="auto"/>
              <w:cnfStyle w:val="000000100000" w:firstRow="0" w:lastRow="0" w:firstColumn="0" w:lastColumn="0" w:oddVBand="0" w:evenVBand="0" w:oddHBand="1" w:evenHBand="0" w:firstRowFirstColumn="0" w:firstRowLastColumn="0" w:lastRowFirstColumn="0" w:lastRowLastColumn="0"/>
            </w:pPr>
            <w:r w:rsidRPr="00332CC0">
              <w:t>benefit</w:t>
            </w:r>
          </w:p>
        </w:tc>
        <w:tc>
          <w:tcPr>
            <w:tcW w:w="2424" w:type="dxa"/>
          </w:tcPr>
          <w:p w:rsidR="00554171" w:rsidRPr="00332CC0" w:rsidRDefault="00554171" w:rsidP="00040D3F">
            <w:pPr>
              <w:pStyle w:val="ListParagraph"/>
              <w:numPr>
                <w:ilvl w:val="0"/>
                <w:numId w:val="1"/>
              </w:numPr>
              <w:spacing w:line="276" w:lineRule="auto"/>
              <w:ind w:left="473" w:hanging="450"/>
              <w:cnfStyle w:val="000000100000" w:firstRow="0" w:lastRow="0" w:firstColumn="0" w:lastColumn="0" w:oddVBand="0" w:evenVBand="0" w:oddHBand="1" w:evenHBand="0" w:firstRowFirstColumn="0" w:firstRowLastColumn="0" w:lastRowFirstColumn="0" w:lastRowLastColumn="0"/>
            </w:pPr>
            <w:r w:rsidRPr="00332CC0">
              <w:t>Ratio of unemployment benefit to median wage as a percentage</w:t>
            </w:r>
          </w:p>
        </w:tc>
        <w:tc>
          <w:tcPr>
            <w:tcW w:w="2061" w:type="dxa"/>
          </w:tcPr>
          <w:p w:rsidR="00554171" w:rsidRPr="00332CC0" w:rsidRDefault="00554171" w:rsidP="00040D3F">
            <w:pPr>
              <w:pStyle w:val="ListParagraph"/>
              <w:spacing w:line="276" w:lineRule="auto"/>
              <w:ind w:left="473"/>
              <w:cnfStyle w:val="000000100000" w:firstRow="0" w:lastRow="0" w:firstColumn="0" w:lastColumn="0" w:oddVBand="0" w:evenVBand="0" w:oddHBand="1" w:evenHBand="0" w:firstRowFirstColumn="0" w:firstRowLastColumn="0" w:lastRowFirstColumn="0" w:lastRowLastColumn="0"/>
            </w:pPr>
          </w:p>
          <w:p w:rsidR="00554171" w:rsidRPr="00332CC0" w:rsidRDefault="00554171" w:rsidP="00040D3F">
            <w:pPr>
              <w:pStyle w:val="ListParagraph"/>
              <w:spacing w:line="276" w:lineRule="auto"/>
              <w:ind w:left="473"/>
              <w:cnfStyle w:val="000000100000" w:firstRow="0" w:lastRow="0" w:firstColumn="0" w:lastColumn="0" w:oddVBand="0" w:evenVBand="0" w:oddHBand="1" w:evenHBand="0" w:firstRowFirstColumn="0" w:firstRowLastColumn="0" w:lastRowFirstColumn="0" w:lastRowLastColumn="0"/>
            </w:pPr>
            <w:r w:rsidRPr="00332CC0">
              <w:t>N/A</w:t>
            </w:r>
          </w:p>
        </w:tc>
        <w:tc>
          <w:tcPr>
            <w:tcW w:w="2209" w:type="dxa"/>
          </w:tcPr>
          <w:p w:rsidR="00554171" w:rsidRPr="00332CC0" w:rsidRDefault="00554171" w:rsidP="00040D3F">
            <w:pPr>
              <w:pStyle w:val="ListParagraph"/>
              <w:numPr>
                <w:ilvl w:val="0"/>
                <w:numId w:val="1"/>
              </w:numPr>
              <w:spacing w:line="276" w:lineRule="auto"/>
              <w:ind w:left="473" w:hanging="450"/>
              <w:cnfStyle w:val="000000100000" w:firstRow="0" w:lastRow="0" w:firstColumn="0" w:lastColumn="0" w:oddVBand="0" w:evenVBand="0" w:oddHBand="1" w:evenHBand="0" w:firstRowFirstColumn="0" w:firstRowLastColumn="0" w:lastRowFirstColumn="0" w:lastRowLastColumn="0"/>
            </w:pPr>
            <w:r w:rsidRPr="00332CC0">
              <w:t xml:space="preserve">Calculated from HLFS and WINZ data </w:t>
            </w:r>
          </w:p>
        </w:tc>
      </w:tr>
      <w:tr w:rsidR="00554171" w:rsidRPr="00332CC0" w:rsidTr="00461F0D">
        <w:tc>
          <w:tcPr>
            <w:cnfStyle w:val="001000000000" w:firstRow="0" w:lastRow="0" w:firstColumn="1" w:lastColumn="0" w:oddVBand="0" w:evenVBand="0" w:oddHBand="0" w:evenHBand="0" w:firstRowFirstColumn="0" w:firstRowLastColumn="0" w:lastRowFirstColumn="0" w:lastRowLastColumn="0"/>
            <w:tcW w:w="534" w:type="dxa"/>
          </w:tcPr>
          <w:p w:rsidR="00554171" w:rsidRPr="00332CC0" w:rsidRDefault="00554171" w:rsidP="00040D3F">
            <w:pPr>
              <w:spacing w:line="276" w:lineRule="auto"/>
            </w:pPr>
            <w:r w:rsidRPr="00332CC0">
              <w:t>4</w:t>
            </w:r>
          </w:p>
        </w:tc>
        <w:tc>
          <w:tcPr>
            <w:tcW w:w="2014" w:type="dxa"/>
          </w:tcPr>
          <w:p w:rsidR="00554171" w:rsidRPr="00332CC0" w:rsidRDefault="00554171" w:rsidP="00040D3F">
            <w:pPr>
              <w:spacing w:line="276" w:lineRule="auto"/>
              <w:cnfStyle w:val="000000000000" w:firstRow="0" w:lastRow="0" w:firstColumn="0" w:lastColumn="0" w:oddVBand="0" w:evenVBand="0" w:oddHBand="0" w:evenHBand="0" w:firstRowFirstColumn="0" w:firstRowLastColumn="0" w:lastRowFirstColumn="0" w:lastRowLastColumn="0"/>
            </w:pPr>
            <w:r w:rsidRPr="00332CC0">
              <w:t xml:space="preserve">Underemployment rates. </w:t>
            </w:r>
          </w:p>
        </w:tc>
        <w:tc>
          <w:tcPr>
            <w:tcW w:w="2424" w:type="dxa"/>
          </w:tcPr>
          <w:p w:rsidR="00554171" w:rsidRPr="00332CC0" w:rsidRDefault="00554171" w:rsidP="00040D3F">
            <w:pPr>
              <w:pStyle w:val="ListParagraph"/>
              <w:numPr>
                <w:ilvl w:val="0"/>
                <w:numId w:val="1"/>
              </w:numPr>
              <w:spacing w:line="276" w:lineRule="auto"/>
              <w:ind w:left="473" w:hanging="450"/>
              <w:cnfStyle w:val="000000000000" w:firstRow="0" w:lastRow="0" w:firstColumn="0" w:lastColumn="0" w:oddVBand="0" w:evenVBand="0" w:oddHBand="0" w:evenHBand="0" w:firstRowFirstColumn="0" w:firstRowLastColumn="0" w:lastRowFirstColumn="0" w:lastRowLastColumn="0"/>
            </w:pPr>
            <w:r w:rsidRPr="00332CC0">
              <w:t xml:space="preserve">Disaggregated data from HLFS </w:t>
            </w:r>
          </w:p>
        </w:tc>
        <w:tc>
          <w:tcPr>
            <w:tcW w:w="2061" w:type="dxa"/>
          </w:tcPr>
          <w:p w:rsidR="00554171" w:rsidRPr="00332CC0" w:rsidRDefault="00554171" w:rsidP="00040D3F">
            <w:pPr>
              <w:pStyle w:val="ListParagraph"/>
              <w:numPr>
                <w:ilvl w:val="0"/>
                <w:numId w:val="1"/>
              </w:numPr>
              <w:spacing w:line="276" w:lineRule="auto"/>
              <w:ind w:left="473" w:hanging="450"/>
              <w:cnfStyle w:val="000000000000" w:firstRow="0" w:lastRow="0" w:firstColumn="0" w:lastColumn="0" w:oddVBand="0" w:evenVBand="0" w:oddHBand="0" w:evenHBand="0" w:firstRowFirstColumn="0" w:firstRowLastColumn="0" w:lastRowFirstColumn="0" w:lastRowLastColumn="0"/>
            </w:pPr>
            <w:r w:rsidRPr="00332CC0">
              <w:t xml:space="preserve">Age </w:t>
            </w:r>
          </w:p>
          <w:p w:rsidR="00554171" w:rsidRPr="00332CC0" w:rsidRDefault="00554171" w:rsidP="00040D3F">
            <w:pPr>
              <w:pStyle w:val="ListParagraph"/>
              <w:numPr>
                <w:ilvl w:val="0"/>
                <w:numId w:val="1"/>
              </w:numPr>
              <w:spacing w:line="276" w:lineRule="auto"/>
              <w:ind w:left="473" w:hanging="450"/>
              <w:cnfStyle w:val="000000000000" w:firstRow="0" w:lastRow="0" w:firstColumn="0" w:lastColumn="0" w:oddVBand="0" w:evenVBand="0" w:oddHBand="0" w:evenHBand="0" w:firstRowFirstColumn="0" w:firstRowLastColumn="0" w:lastRowFirstColumn="0" w:lastRowLastColumn="0"/>
            </w:pPr>
            <w:r w:rsidRPr="00332CC0">
              <w:t>Sex/Gender</w:t>
            </w:r>
          </w:p>
          <w:p w:rsidR="00554171" w:rsidRPr="00332CC0" w:rsidRDefault="00554171" w:rsidP="00040D3F">
            <w:pPr>
              <w:pStyle w:val="ListParagraph"/>
              <w:numPr>
                <w:ilvl w:val="0"/>
                <w:numId w:val="1"/>
              </w:numPr>
              <w:spacing w:line="276" w:lineRule="auto"/>
              <w:ind w:left="473" w:hanging="450"/>
              <w:cnfStyle w:val="000000000000" w:firstRow="0" w:lastRow="0" w:firstColumn="0" w:lastColumn="0" w:oddVBand="0" w:evenVBand="0" w:oddHBand="0" w:evenHBand="0" w:firstRowFirstColumn="0" w:firstRowLastColumn="0" w:lastRowFirstColumn="0" w:lastRowLastColumn="0"/>
            </w:pPr>
            <w:r w:rsidRPr="00332CC0">
              <w:t>Ethnicity</w:t>
            </w:r>
          </w:p>
          <w:p w:rsidR="00554171" w:rsidRPr="00332CC0" w:rsidRDefault="00554171" w:rsidP="00040D3F">
            <w:pPr>
              <w:pStyle w:val="ListParagraph"/>
              <w:numPr>
                <w:ilvl w:val="0"/>
                <w:numId w:val="1"/>
              </w:numPr>
              <w:spacing w:line="276" w:lineRule="auto"/>
              <w:ind w:left="473" w:hanging="450"/>
              <w:cnfStyle w:val="000000000000" w:firstRow="0" w:lastRow="0" w:firstColumn="0" w:lastColumn="0" w:oddVBand="0" w:evenVBand="0" w:oddHBand="0" w:evenHBand="0" w:firstRowFirstColumn="0" w:firstRowLastColumn="0" w:lastRowFirstColumn="0" w:lastRowLastColumn="0"/>
            </w:pPr>
            <w:r w:rsidRPr="00332CC0">
              <w:t>Disability</w:t>
            </w:r>
          </w:p>
        </w:tc>
        <w:tc>
          <w:tcPr>
            <w:tcW w:w="2209" w:type="dxa"/>
          </w:tcPr>
          <w:p w:rsidR="00554171" w:rsidRPr="00332CC0" w:rsidRDefault="00554171" w:rsidP="00040D3F">
            <w:pPr>
              <w:pStyle w:val="ListParagraph"/>
              <w:numPr>
                <w:ilvl w:val="0"/>
                <w:numId w:val="1"/>
              </w:numPr>
              <w:spacing w:line="276" w:lineRule="auto"/>
              <w:ind w:left="473" w:hanging="450"/>
              <w:cnfStyle w:val="000000000000" w:firstRow="0" w:lastRow="0" w:firstColumn="0" w:lastColumn="0" w:oddVBand="0" w:evenVBand="0" w:oddHBand="0" w:evenHBand="0" w:firstRowFirstColumn="0" w:firstRowLastColumn="0" w:lastRowFirstColumn="0" w:lastRowLastColumn="0"/>
            </w:pPr>
            <w:r w:rsidRPr="00332CC0">
              <w:t>Stats NZ except for disability data which is collected in the Census disability survey only</w:t>
            </w:r>
          </w:p>
        </w:tc>
      </w:tr>
      <w:tr w:rsidR="00554171" w:rsidRPr="00332CC0" w:rsidTr="00461F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554171" w:rsidRPr="00332CC0" w:rsidRDefault="00554171" w:rsidP="00040D3F">
            <w:r w:rsidRPr="00332CC0">
              <w:t>5</w:t>
            </w:r>
          </w:p>
        </w:tc>
        <w:tc>
          <w:tcPr>
            <w:tcW w:w="201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 xml:space="preserve">Rates of people not engaged in education, employment or training (NEET) </w:t>
            </w:r>
          </w:p>
        </w:tc>
        <w:tc>
          <w:tcPr>
            <w:tcW w:w="2424" w:type="dxa"/>
          </w:tcPr>
          <w:p w:rsidR="00554171" w:rsidRPr="00332CC0" w:rsidRDefault="00554171" w:rsidP="00040D3F">
            <w:pPr>
              <w:pStyle w:val="ListParagraph"/>
              <w:numPr>
                <w:ilvl w:val="0"/>
                <w:numId w:val="1"/>
              </w:numPr>
              <w:ind w:left="473" w:hanging="450"/>
              <w:cnfStyle w:val="000000100000" w:firstRow="0" w:lastRow="0" w:firstColumn="0" w:lastColumn="0" w:oddVBand="0" w:evenVBand="0" w:oddHBand="1" w:evenHBand="0" w:firstRowFirstColumn="0" w:firstRowLastColumn="0" w:lastRowFirstColumn="0" w:lastRowLastColumn="0"/>
            </w:pPr>
            <w:r w:rsidRPr="00332CC0">
              <w:t>Disaggregated data from HLFS</w:t>
            </w:r>
          </w:p>
        </w:tc>
        <w:tc>
          <w:tcPr>
            <w:tcW w:w="2061" w:type="dxa"/>
          </w:tcPr>
          <w:p w:rsidR="00554171" w:rsidRPr="00332CC0" w:rsidRDefault="00554171" w:rsidP="00040D3F">
            <w:pPr>
              <w:pStyle w:val="ListParagraph"/>
              <w:numPr>
                <w:ilvl w:val="0"/>
                <w:numId w:val="1"/>
              </w:numPr>
              <w:ind w:left="473" w:hanging="450"/>
              <w:cnfStyle w:val="000000100000" w:firstRow="0" w:lastRow="0" w:firstColumn="0" w:lastColumn="0" w:oddVBand="0" w:evenVBand="0" w:oddHBand="1" w:evenHBand="0" w:firstRowFirstColumn="0" w:firstRowLastColumn="0" w:lastRowFirstColumn="0" w:lastRowLastColumn="0"/>
            </w:pPr>
            <w:r w:rsidRPr="00332CC0">
              <w:t>Age</w:t>
            </w:r>
          </w:p>
          <w:p w:rsidR="00554171" w:rsidRPr="00332CC0" w:rsidRDefault="00554171" w:rsidP="00040D3F">
            <w:pPr>
              <w:pStyle w:val="ListParagraph"/>
              <w:numPr>
                <w:ilvl w:val="0"/>
                <w:numId w:val="1"/>
              </w:numPr>
              <w:ind w:left="473" w:hanging="450"/>
              <w:cnfStyle w:val="000000100000" w:firstRow="0" w:lastRow="0" w:firstColumn="0" w:lastColumn="0" w:oddVBand="0" w:evenVBand="0" w:oddHBand="1" w:evenHBand="0" w:firstRowFirstColumn="0" w:firstRowLastColumn="0" w:lastRowFirstColumn="0" w:lastRowLastColumn="0"/>
            </w:pPr>
            <w:r w:rsidRPr="00332CC0">
              <w:t>Sex/Gender</w:t>
            </w:r>
          </w:p>
          <w:p w:rsidR="00554171" w:rsidRPr="00332CC0" w:rsidRDefault="00554171" w:rsidP="00040D3F">
            <w:pPr>
              <w:pStyle w:val="ListParagraph"/>
              <w:numPr>
                <w:ilvl w:val="0"/>
                <w:numId w:val="1"/>
              </w:numPr>
              <w:ind w:left="473" w:hanging="450"/>
              <w:cnfStyle w:val="000000100000" w:firstRow="0" w:lastRow="0" w:firstColumn="0" w:lastColumn="0" w:oddVBand="0" w:evenVBand="0" w:oddHBand="1" w:evenHBand="0" w:firstRowFirstColumn="0" w:firstRowLastColumn="0" w:lastRowFirstColumn="0" w:lastRowLastColumn="0"/>
            </w:pPr>
            <w:r w:rsidRPr="00332CC0">
              <w:t>Ethnicity</w:t>
            </w:r>
          </w:p>
          <w:p w:rsidR="00554171" w:rsidRPr="00332CC0" w:rsidRDefault="00554171" w:rsidP="00040D3F">
            <w:pPr>
              <w:pStyle w:val="ListParagraph"/>
              <w:numPr>
                <w:ilvl w:val="0"/>
                <w:numId w:val="1"/>
              </w:numPr>
              <w:ind w:left="473" w:hanging="450"/>
              <w:cnfStyle w:val="000000100000" w:firstRow="0" w:lastRow="0" w:firstColumn="0" w:lastColumn="0" w:oddVBand="0" w:evenVBand="0" w:oddHBand="1" w:evenHBand="0" w:firstRowFirstColumn="0" w:firstRowLastColumn="0" w:lastRowFirstColumn="0" w:lastRowLastColumn="0"/>
            </w:pPr>
            <w:r w:rsidRPr="00332CC0">
              <w:t>Disability</w:t>
            </w:r>
          </w:p>
          <w:p w:rsidR="00554171" w:rsidRPr="00332CC0" w:rsidRDefault="00554171" w:rsidP="00040D3F">
            <w:pPr>
              <w:pStyle w:val="ListParagraph"/>
              <w:numPr>
                <w:ilvl w:val="0"/>
                <w:numId w:val="1"/>
              </w:numPr>
              <w:ind w:left="473" w:hanging="450"/>
              <w:cnfStyle w:val="000000100000" w:firstRow="0" w:lastRow="0" w:firstColumn="0" w:lastColumn="0" w:oddVBand="0" w:evenVBand="0" w:oddHBand="1" w:evenHBand="0" w:firstRowFirstColumn="0" w:firstRowLastColumn="0" w:lastRowFirstColumn="0" w:lastRowLastColumn="0"/>
            </w:pPr>
            <w:r w:rsidRPr="00332CC0">
              <w:t>Region</w:t>
            </w:r>
          </w:p>
          <w:p w:rsidR="00554171" w:rsidRPr="00332CC0" w:rsidRDefault="00554171" w:rsidP="00040D3F">
            <w:pPr>
              <w:ind w:left="23"/>
              <w:cnfStyle w:val="000000100000" w:firstRow="0" w:lastRow="0" w:firstColumn="0" w:lastColumn="0" w:oddVBand="0" w:evenVBand="0" w:oddHBand="1" w:evenHBand="0" w:firstRowFirstColumn="0" w:firstRowLastColumn="0" w:lastRowFirstColumn="0" w:lastRowLastColumn="0"/>
            </w:pPr>
            <w:r w:rsidRPr="00332CC0">
              <w:t xml:space="preserve"> </w:t>
            </w:r>
          </w:p>
        </w:tc>
        <w:tc>
          <w:tcPr>
            <w:tcW w:w="2209" w:type="dxa"/>
          </w:tcPr>
          <w:p w:rsidR="00554171" w:rsidRPr="00332CC0" w:rsidRDefault="00554171" w:rsidP="00040D3F">
            <w:pPr>
              <w:pStyle w:val="ListParagraph"/>
              <w:numPr>
                <w:ilvl w:val="0"/>
                <w:numId w:val="1"/>
              </w:numPr>
              <w:ind w:left="473" w:hanging="450"/>
              <w:cnfStyle w:val="000000100000" w:firstRow="0" w:lastRow="0" w:firstColumn="0" w:lastColumn="0" w:oddVBand="0" w:evenVBand="0" w:oddHBand="1" w:evenHBand="0" w:firstRowFirstColumn="0" w:firstRowLastColumn="0" w:lastRowFirstColumn="0" w:lastRowLastColumn="0"/>
            </w:pPr>
            <w:r w:rsidRPr="00332CC0">
              <w:t xml:space="preserve">Stats NZ except for disability data which is collected in the Census disability survey only </w:t>
            </w:r>
          </w:p>
        </w:tc>
      </w:tr>
      <w:tr w:rsidR="00554171" w:rsidRPr="00332CC0" w:rsidTr="00461F0D">
        <w:tc>
          <w:tcPr>
            <w:cnfStyle w:val="001000000000" w:firstRow="0" w:lastRow="0" w:firstColumn="1" w:lastColumn="0" w:oddVBand="0" w:evenVBand="0" w:oddHBand="0" w:evenHBand="0" w:firstRowFirstColumn="0" w:firstRowLastColumn="0" w:lastRowFirstColumn="0" w:lastRowLastColumn="0"/>
            <w:tcW w:w="534" w:type="dxa"/>
          </w:tcPr>
          <w:p w:rsidR="00554171" w:rsidRPr="00332CC0" w:rsidRDefault="00554171" w:rsidP="00040D3F">
            <w:r w:rsidRPr="00332CC0">
              <w:t>6</w:t>
            </w:r>
          </w:p>
        </w:tc>
        <w:tc>
          <w:tcPr>
            <w:tcW w:w="201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 xml:space="preserve">Complaints about discrimination at job entry </w:t>
            </w:r>
          </w:p>
        </w:tc>
        <w:tc>
          <w:tcPr>
            <w:tcW w:w="2424" w:type="dxa"/>
          </w:tcPr>
          <w:p w:rsidR="00554171" w:rsidRPr="00332CC0"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pPr>
            <w:r w:rsidRPr="00332CC0">
              <w:t>Discrimination data from Human Rights Commission (HRC)</w:t>
            </w:r>
          </w:p>
          <w:p w:rsidR="00554171" w:rsidRPr="00332CC0" w:rsidRDefault="00554171" w:rsidP="00040D3F">
            <w:pPr>
              <w:ind w:left="473" w:hanging="450"/>
              <w:cnfStyle w:val="000000000000" w:firstRow="0" w:lastRow="0" w:firstColumn="0" w:lastColumn="0" w:oddVBand="0" w:evenVBand="0" w:oddHBand="0" w:evenHBand="0" w:firstRowFirstColumn="0" w:firstRowLastColumn="0" w:lastRowFirstColumn="0" w:lastRowLastColumn="0"/>
            </w:pPr>
          </w:p>
          <w:p w:rsidR="00554171" w:rsidRPr="00332CC0"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pPr>
            <w:r w:rsidRPr="00332CC0">
              <w:t>Survey of Discrimination in NZ</w:t>
            </w:r>
          </w:p>
        </w:tc>
        <w:tc>
          <w:tcPr>
            <w:tcW w:w="2061" w:type="dxa"/>
          </w:tcPr>
          <w:p w:rsidR="00554171" w:rsidRPr="00332CC0"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pPr>
            <w:r w:rsidRPr="00332CC0">
              <w:t>Age</w:t>
            </w:r>
          </w:p>
          <w:p w:rsidR="00554171" w:rsidRPr="00332CC0"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pPr>
            <w:r w:rsidRPr="00332CC0">
              <w:t>Sex/Gender</w:t>
            </w:r>
          </w:p>
          <w:p w:rsidR="00554171" w:rsidRPr="00332CC0"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pPr>
            <w:r w:rsidRPr="00332CC0">
              <w:t>Ethnicity</w:t>
            </w:r>
          </w:p>
          <w:p w:rsidR="00554171" w:rsidRPr="00332CC0" w:rsidRDefault="00554171" w:rsidP="00040D3F">
            <w:pPr>
              <w:pStyle w:val="ListParagraph"/>
              <w:numPr>
                <w:ilvl w:val="0"/>
                <w:numId w:val="1"/>
              </w:numPr>
              <w:ind w:left="473" w:hanging="450"/>
              <w:jc w:val="both"/>
              <w:cnfStyle w:val="000000000000" w:firstRow="0" w:lastRow="0" w:firstColumn="0" w:lastColumn="0" w:oddVBand="0" w:evenVBand="0" w:oddHBand="0" w:evenHBand="0" w:firstRowFirstColumn="0" w:firstRowLastColumn="0" w:lastRowFirstColumn="0" w:lastRowLastColumn="0"/>
            </w:pPr>
            <w:r w:rsidRPr="00332CC0">
              <w:t>Disability</w:t>
            </w:r>
          </w:p>
          <w:p w:rsidR="00554171" w:rsidRPr="00332CC0"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pPr>
            <w:r w:rsidRPr="00332CC0">
              <w:t>Sexual Orientation</w:t>
            </w:r>
          </w:p>
          <w:p w:rsidR="00554171" w:rsidRPr="00332CC0"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pPr>
            <w:r w:rsidRPr="00332CC0">
              <w:t>Family Status</w:t>
            </w:r>
          </w:p>
        </w:tc>
        <w:tc>
          <w:tcPr>
            <w:tcW w:w="2209" w:type="dxa"/>
          </w:tcPr>
          <w:p w:rsidR="00554171" w:rsidRPr="00332CC0"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pPr>
            <w:r w:rsidRPr="00332CC0">
              <w:t>Data is recorded and analysed by HRC</w:t>
            </w:r>
          </w:p>
          <w:p w:rsidR="00554171" w:rsidRPr="00332CC0"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pPr>
            <w:r w:rsidRPr="00332CC0">
              <w:t>UMR Annual Survey commissioned by HRC</w:t>
            </w:r>
          </w:p>
        </w:tc>
      </w:tr>
      <w:tr w:rsidR="00554171" w:rsidRPr="00332CC0" w:rsidTr="00461F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554171" w:rsidRPr="00332CC0" w:rsidRDefault="00554171" w:rsidP="00040D3F">
            <w:r w:rsidRPr="00332CC0">
              <w:t>7</w:t>
            </w:r>
          </w:p>
        </w:tc>
        <w:tc>
          <w:tcPr>
            <w:tcW w:w="201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Gender stereotyping in tertiary education courses, industry training  and apprenticeships</w:t>
            </w:r>
          </w:p>
        </w:tc>
        <w:tc>
          <w:tcPr>
            <w:tcW w:w="2424" w:type="dxa"/>
          </w:tcPr>
          <w:p w:rsidR="00554171" w:rsidRPr="00332CC0" w:rsidRDefault="00554171" w:rsidP="00040D3F">
            <w:pPr>
              <w:pStyle w:val="ListParagraph"/>
              <w:numPr>
                <w:ilvl w:val="0"/>
                <w:numId w:val="1"/>
              </w:numPr>
              <w:ind w:left="473" w:hanging="450"/>
              <w:cnfStyle w:val="000000100000" w:firstRow="0" w:lastRow="0" w:firstColumn="0" w:lastColumn="0" w:oddVBand="0" w:evenVBand="0" w:oddHBand="1" w:evenHBand="0" w:firstRowFirstColumn="0" w:firstRowLastColumn="0" w:lastRowFirstColumn="0" w:lastRowLastColumn="0"/>
            </w:pPr>
            <w:r w:rsidRPr="00332CC0">
              <w:t>Disaggregated data for Modern Apprentices</w:t>
            </w:r>
          </w:p>
          <w:p w:rsidR="00554171" w:rsidRPr="00332CC0" w:rsidRDefault="00554171" w:rsidP="00040D3F">
            <w:pPr>
              <w:pStyle w:val="ListParagraph"/>
              <w:numPr>
                <w:ilvl w:val="0"/>
                <w:numId w:val="1"/>
              </w:numPr>
              <w:ind w:left="473" w:hanging="450"/>
              <w:cnfStyle w:val="000000100000" w:firstRow="0" w:lastRow="0" w:firstColumn="0" w:lastColumn="0" w:oddVBand="0" w:evenVBand="0" w:oddHBand="1" w:evenHBand="0" w:firstRowFirstColumn="0" w:firstRowLastColumn="0" w:lastRowFirstColumn="0" w:lastRowLastColumn="0"/>
            </w:pPr>
            <w:r w:rsidRPr="00332CC0">
              <w:t>Disaggregated data for fields of study at university</w:t>
            </w:r>
          </w:p>
        </w:tc>
        <w:tc>
          <w:tcPr>
            <w:tcW w:w="2061" w:type="dxa"/>
          </w:tcPr>
          <w:p w:rsidR="00554171" w:rsidRPr="00332CC0" w:rsidRDefault="00554171" w:rsidP="00040D3F">
            <w:pPr>
              <w:pStyle w:val="ListParagraph"/>
              <w:numPr>
                <w:ilvl w:val="0"/>
                <w:numId w:val="1"/>
              </w:numPr>
              <w:ind w:left="473" w:hanging="450"/>
              <w:cnfStyle w:val="000000100000" w:firstRow="0" w:lastRow="0" w:firstColumn="0" w:lastColumn="0" w:oddVBand="0" w:evenVBand="0" w:oddHBand="1" w:evenHBand="0" w:firstRowFirstColumn="0" w:firstRowLastColumn="0" w:lastRowFirstColumn="0" w:lastRowLastColumn="0"/>
            </w:pPr>
            <w:r w:rsidRPr="00332CC0">
              <w:t>Age</w:t>
            </w:r>
          </w:p>
          <w:p w:rsidR="00554171" w:rsidRPr="00332CC0" w:rsidRDefault="00554171" w:rsidP="00040D3F">
            <w:pPr>
              <w:pStyle w:val="ListParagraph"/>
              <w:numPr>
                <w:ilvl w:val="0"/>
                <w:numId w:val="1"/>
              </w:numPr>
              <w:ind w:left="473" w:hanging="450"/>
              <w:cnfStyle w:val="000000100000" w:firstRow="0" w:lastRow="0" w:firstColumn="0" w:lastColumn="0" w:oddVBand="0" w:evenVBand="0" w:oddHBand="1" w:evenHBand="0" w:firstRowFirstColumn="0" w:firstRowLastColumn="0" w:lastRowFirstColumn="0" w:lastRowLastColumn="0"/>
            </w:pPr>
            <w:r w:rsidRPr="00332CC0">
              <w:t>Sex/Gender</w:t>
            </w:r>
          </w:p>
          <w:p w:rsidR="00554171" w:rsidRPr="00332CC0" w:rsidRDefault="00554171" w:rsidP="00040D3F">
            <w:pPr>
              <w:pStyle w:val="ListParagraph"/>
              <w:numPr>
                <w:ilvl w:val="0"/>
                <w:numId w:val="1"/>
              </w:numPr>
              <w:ind w:left="473" w:hanging="450"/>
              <w:cnfStyle w:val="000000100000" w:firstRow="0" w:lastRow="0" w:firstColumn="0" w:lastColumn="0" w:oddVBand="0" w:evenVBand="0" w:oddHBand="1" w:evenHBand="0" w:firstRowFirstColumn="0" w:firstRowLastColumn="0" w:lastRowFirstColumn="0" w:lastRowLastColumn="0"/>
            </w:pPr>
            <w:r w:rsidRPr="00332CC0">
              <w:t>Ethnicity</w:t>
            </w:r>
          </w:p>
        </w:tc>
        <w:tc>
          <w:tcPr>
            <w:tcW w:w="2209" w:type="dxa"/>
          </w:tcPr>
          <w:p w:rsidR="00554171" w:rsidRPr="00332CC0" w:rsidRDefault="00554171" w:rsidP="00040D3F">
            <w:pPr>
              <w:pStyle w:val="ListParagraph"/>
              <w:numPr>
                <w:ilvl w:val="0"/>
                <w:numId w:val="1"/>
              </w:numPr>
              <w:ind w:left="473" w:hanging="450"/>
              <w:cnfStyle w:val="000000100000" w:firstRow="0" w:lastRow="0" w:firstColumn="0" w:lastColumn="0" w:oddVBand="0" w:evenVBand="0" w:oddHBand="1" w:evenHBand="0" w:firstRowFirstColumn="0" w:firstRowLastColumn="0" w:lastRowFirstColumn="0" w:lastRowLastColumn="0"/>
            </w:pPr>
            <w:r w:rsidRPr="00332CC0">
              <w:t>Data available from</w:t>
            </w:r>
            <w:r>
              <w:t xml:space="preserve"> Tertiary Education Commission (</w:t>
            </w:r>
            <w:r w:rsidRPr="00332CC0">
              <w:t>TEC</w:t>
            </w:r>
            <w:r>
              <w:t>)</w:t>
            </w:r>
            <w:r w:rsidRPr="00332CC0">
              <w:t xml:space="preserve"> and Ministry of Education  </w:t>
            </w:r>
          </w:p>
        </w:tc>
      </w:tr>
      <w:tr w:rsidR="00554171" w:rsidRPr="00332CC0" w:rsidTr="00461F0D">
        <w:tc>
          <w:tcPr>
            <w:cnfStyle w:val="001000000000" w:firstRow="0" w:lastRow="0" w:firstColumn="1" w:lastColumn="0" w:oddVBand="0" w:evenVBand="0" w:oddHBand="0" w:evenHBand="0" w:firstRowFirstColumn="0" w:firstRowLastColumn="0" w:lastRowFirstColumn="0" w:lastRowLastColumn="0"/>
            <w:tcW w:w="534" w:type="dxa"/>
          </w:tcPr>
          <w:p w:rsidR="00554171" w:rsidRPr="00332CC0" w:rsidRDefault="00554171" w:rsidP="00040D3F">
            <w:r w:rsidRPr="00332CC0">
              <w:t>8</w:t>
            </w:r>
          </w:p>
        </w:tc>
        <w:tc>
          <w:tcPr>
            <w:tcW w:w="201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Uptake of paid parental leave (PPL)</w:t>
            </w:r>
          </w:p>
        </w:tc>
        <w:tc>
          <w:tcPr>
            <w:tcW w:w="2424" w:type="dxa"/>
          </w:tcPr>
          <w:p w:rsidR="00554171" w:rsidRPr="00332CC0"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pPr>
            <w:r w:rsidRPr="00332CC0">
              <w:t xml:space="preserve">Disaggregated data of parents accessing PPL </w:t>
            </w:r>
          </w:p>
          <w:p w:rsidR="00554171" w:rsidRPr="00332CC0"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pPr>
            <w:r w:rsidRPr="00332CC0">
              <w:t>Complaints data from those  excluded from PPL</w:t>
            </w:r>
          </w:p>
        </w:tc>
        <w:tc>
          <w:tcPr>
            <w:tcW w:w="2061" w:type="dxa"/>
          </w:tcPr>
          <w:p w:rsidR="00554171" w:rsidRPr="00332CC0"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pPr>
            <w:r w:rsidRPr="00332CC0">
              <w:t>Sex/Gender</w:t>
            </w:r>
          </w:p>
          <w:p w:rsidR="00554171" w:rsidRPr="00332CC0"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pPr>
            <w:r w:rsidRPr="00332CC0">
              <w:t>Employment status</w:t>
            </w:r>
          </w:p>
        </w:tc>
        <w:tc>
          <w:tcPr>
            <w:tcW w:w="2209" w:type="dxa"/>
          </w:tcPr>
          <w:p w:rsidR="00554171" w:rsidRPr="00332CC0"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pPr>
            <w:r w:rsidRPr="00332CC0">
              <w:t>Not published but could be requested from IRD</w:t>
            </w:r>
          </w:p>
          <w:p w:rsidR="00554171" w:rsidRPr="00332CC0"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pPr>
            <w:r w:rsidRPr="00332CC0">
              <w:t>Data is recorded and analysed by HRC</w:t>
            </w:r>
          </w:p>
        </w:tc>
      </w:tr>
      <w:tr w:rsidR="00554171" w:rsidRPr="00332CC0" w:rsidTr="00461F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554171" w:rsidRPr="00332CC0" w:rsidRDefault="00554171" w:rsidP="00040D3F">
            <w:r w:rsidRPr="00332CC0">
              <w:t>9</w:t>
            </w:r>
          </w:p>
        </w:tc>
        <w:tc>
          <w:tcPr>
            <w:tcW w:w="2014" w:type="dxa"/>
          </w:tcPr>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r w:rsidRPr="00332CC0">
              <w:t>Access to Early Childhood Education (ECE)</w:t>
            </w:r>
          </w:p>
        </w:tc>
        <w:tc>
          <w:tcPr>
            <w:tcW w:w="2424" w:type="dxa"/>
          </w:tcPr>
          <w:p w:rsidR="00554171" w:rsidRPr="00332CC0" w:rsidRDefault="00554171" w:rsidP="00040D3F">
            <w:pPr>
              <w:pStyle w:val="ListParagraph"/>
              <w:numPr>
                <w:ilvl w:val="0"/>
                <w:numId w:val="1"/>
              </w:numPr>
              <w:ind w:left="473" w:hanging="450"/>
              <w:cnfStyle w:val="000000100000" w:firstRow="0" w:lastRow="0" w:firstColumn="0" w:lastColumn="0" w:oddVBand="0" w:evenVBand="0" w:oddHBand="1" w:evenHBand="0" w:firstRowFirstColumn="0" w:firstRowLastColumn="0" w:lastRowFirstColumn="0" w:lastRowLastColumn="0"/>
            </w:pPr>
            <w:r w:rsidRPr="00332CC0">
              <w:t>Waiting times for ECE</w:t>
            </w:r>
          </w:p>
          <w:p w:rsidR="00554171" w:rsidRPr="00332CC0" w:rsidRDefault="00554171" w:rsidP="00040D3F">
            <w:pPr>
              <w:pStyle w:val="ListParagraph"/>
              <w:numPr>
                <w:ilvl w:val="0"/>
                <w:numId w:val="1"/>
              </w:numPr>
              <w:ind w:left="473" w:hanging="450"/>
              <w:cnfStyle w:val="000000100000" w:firstRow="0" w:lastRow="0" w:firstColumn="0" w:lastColumn="0" w:oddVBand="0" w:evenVBand="0" w:oddHBand="1" w:evenHBand="0" w:firstRowFirstColumn="0" w:firstRowLastColumn="0" w:lastRowFirstColumn="0" w:lastRowLastColumn="0"/>
            </w:pPr>
            <w:r w:rsidRPr="00332CC0">
              <w:t>Affordability of ECE</w:t>
            </w:r>
          </w:p>
          <w:p w:rsidR="00554171" w:rsidRPr="00332CC0" w:rsidRDefault="00554171" w:rsidP="00040D3F">
            <w:pPr>
              <w:pStyle w:val="ListParagraph"/>
              <w:numPr>
                <w:ilvl w:val="0"/>
                <w:numId w:val="1"/>
              </w:numPr>
              <w:ind w:left="473" w:hanging="450"/>
              <w:cnfStyle w:val="000000100000" w:firstRow="0" w:lastRow="0" w:firstColumn="0" w:lastColumn="0" w:oddVBand="0" w:evenVBand="0" w:oddHBand="1" w:evenHBand="0" w:firstRowFirstColumn="0" w:firstRowLastColumn="0" w:lastRowFirstColumn="0" w:lastRowLastColumn="0"/>
            </w:pPr>
            <w:r w:rsidRPr="00332CC0">
              <w:t>Participation of children in ECE</w:t>
            </w:r>
          </w:p>
          <w:p w:rsidR="00554171" w:rsidRPr="00332CC0" w:rsidRDefault="00554171" w:rsidP="00040D3F">
            <w:pPr>
              <w:pStyle w:val="ListParagraph"/>
              <w:ind w:left="473"/>
              <w:cnfStyle w:val="000000100000" w:firstRow="0" w:lastRow="0" w:firstColumn="0" w:lastColumn="0" w:oddVBand="0" w:evenVBand="0" w:oddHBand="1" w:evenHBand="0" w:firstRowFirstColumn="0" w:firstRowLastColumn="0" w:lastRowFirstColumn="0" w:lastRowLastColumn="0"/>
            </w:pPr>
          </w:p>
        </w:tc>
        <w:tc>
          <w:tcPr>
            <w:tcW w:w="2061" w:type="dxa"/>
          </w:tcPr>
          <w:p w:rsidR="00554171" w:rsidRPr="00332CC0" w:rsidRDefault="00554171" w:rsidP="00040D3F">
            <w:pPr>
              <w:pStyle w:val="ListParagraph"/>
              <w:numPr>
                <w:ilvl w:val="0"/>
                <w:numId w:val="1"/>
              </w:numPr>
              <w:ind w:left="473" w:hanging="450"/>
              <w:cnfStyle w:val="000000100000" w:firstRow="0" w:lastRow="0" w:firstColumn="0" w:lastColumn="0" w:oddVBand="0" w:evenVBand="0" w:oddHBand="1" w:evenHBand="0" w:firstRowFirstColumn="0" w:firstRowLastColumn="0" w:lastRowFirstColumn="0" w:lastRowLastColumn="0"/>
            </w:pPr>
            <w:r w:rsidRPr="00332CC0">
              <w:t>Ethnicity</w:t>
            </w:r>
          </w:p>
          <w:p w:rsidR="00554171" w:rsidRPr="00332CC0" w:rsidRDefault="00554171" w:rsidP="00040D3F">
            <w:pPr>
              <w:pStyle w:val="ListParagraph"/>
              <w:numPr>
                <w:ilvl w:val="0"/>
                <w:numId w:val="1"/>
              </w:numPr>
              <w:ind w:left="473" w:hanging="450"/>
              <w:cnfStyle w:val="000000100000" w:firstRow="0" w:lastRow="0" w:firstColumn="0" w:lastColumn="0" w:oddVBand="0" w:evenVBand="0" w:oddHBand="1" w:evenHBand="0" w:firstRowFirstColumn="0" w:firstRowLastColumn="0" w:lastRowFirstColumn="0" w:lastRowLastColumn="0"/>
            </w:pPr>
            <w:r w:rsidRPr="00332CC0">
              <w:t>Region</w:t>
            </w:r>
          </w:p>
        </w:tc>
        <w:tc>
          <w:tcPr>
            <w:tcW w:w="2209" w:type="dxa"/>
          </w:tcPr>
          <w:p w:rsidR="00554171" w:rsidRDefault="00554171" w:rsidP="00040D3F">
            <w:pPr>
              <w:pStyle w:val="ListParagraph"/>
              <w:numPr>
                <w:ilvl w:val="0"/>
                <w:numId w:val="1"/>
              </w:numPr>
              <w:ind w:left="473" w:hanging="450"/>
              <w:cnfStyle w:val="000000100000" w:firstRow="0" w:lastRow="0" w:firstColumn="0" w:lastColumn="0" w:oddVBand="0" w:evenVBand="0" w:oddHBand="1" w:evenHBand="0" w:firstRowFirstColumn="0" w:firstRowLastColumn="0" w:lastRowFirstColumn="0" w:lastRowLastColumn="0"/>
            </w:pPr>
            <w:r w:rsidRPr="00332CC0">
              <w:t xml:space="preserve">Data available from TEC  and Ministry of Education </w:t>
            </w:r>
          </w:p>
          <w:p w:rsidR="00554171" w:rsidRDefault="00554171" w:rsidP="00040D3F">
            <w:pPr>
              <w:pStyle w:val="ListParagraph"/>
              <w:ind w:left="473"/>
              <w:cnfStyle w:val="000000100000" w:firstRow="0" w:lastRow="0" w:firstColumn="0" w:lastColumn="0" w:oddVBand="0" w:evenVBand="0" w:oddHBand="1" w:evenHBand="0" w:firstRowFirstColumn="0" w:firstRowLastColumn="0" w:lastRowFirstColumn="0" w:lastRowLastColumn="0"/>
            </w:pPr>
          </w:p>
          <w:p w:rsidR="00554171" w:rsidRDefault="00554171" w:rsidP="00040D3F">
            <w:pPr>
              <w:cnfStyle w:val="000000100000" w:firstRow="0" w:lastRow="0" w:firstColumn="0" w:lastColumn="0" w:oddVBand="0" w:evenVBand="0" w:oddHBand="1" w:evenHBand="0" w:firstRowFirstColumn="0" w:firstRowLastColumn="0" w:lastRowFirstColumn="0" w:lastRowLastColumn="0"/>
            </w:pPr>
          </w:p>
          <w:p w:rsidR="00554171" w:rsidRDefault="00554171" w:rsidP="00040D3F">
            <w:pPr>
              <w:cnfStyle w:val="000000100000" w:firstRow="0" w:lastRow="0" w:firstColumn="0" w:lastColumn="0" w:oddVBand="0" w:evenVBand="0" w:oddHBand="1" w:evenHBand="0" w:firstRowFirstColumn="0" w:firstRowLastColumn="0" w:lastRowFirstColumn="0" w:lastRowLastColumn="0"/>
            </w:pPr>
          </w:p>
          <w:p w:rsidR="00554171" w:rsidRPr="00332CC0" w:rsidRDefault="00554171" w:rsidP="00040D3F">
            <w:pPr>
              <w:cnfStyle w:val="000000100000" w:firstRow="0" w:lastRow="0" w:firstColumn="0" w:lastColumn="0" w:oddVBand="0" w:evenVBand="0" w:oddHBand="1" w:evenHBand="0" w:firstRowFirstColumn="0" w:firstRowLastColumn="0" w:lastRowFirstColumn="0" w:lastRowLastColumn="0"/>
            </w:pPr>
          </w:p>
        </w:tc>
      </w:tr>
      <w:tr w:rsidR="00554171" w:rsidRPr="00332CC0" w:rsidTr="00461F0D">
        <w:tc>
          <w:tcPr>
            <w:cnfStyle w:val="001000000000" w:firstRow="0" w:lastRow="0" w:firstColumn="1" w:lastColumn="0" w:oddVBand="0" w:evenVBand="0" w:oddHBand="0" w:evenHBand="0" w:firstRowFirstColumn="0" w:firstRowLastColumn="0" w:lastRowFirstColumn="0" w:lastRowLastColumn="0"/>
            <w:tcW w:w="534" w:type="dxa"/>
          </w:tcPr>
          <w:p w:rsidR="00554171" w:rsidRPr="00332CC0" w:rsidRDefault="00554171" w:rsidP="00040D3F">
            <w:r w:rsidRPr="00332CC0">
              <w:t>10</w:t>
            </w:r>
          </w:p>
        </w:tc>
        <w:tc>
          <w:tcPr>
            <w:tcW w:w="2014" w:type="dxa"/>
          </w:tcPr>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r w:rsidRPr="00332CC0">
              <w:t xml:space="preserve">Occupational segregation </w:t>
            </w:r>
          </w:p>
          <w:p w:rsidR="00554171" w:rsidRPr="00332CC0" w:rsidRDefault="00554171" w:rsidP="00040D3F">
            <w:pPr>
              <w:cnfStyle w:val="000000000000" w:firstRow="0" w:lastRow="0" w:firstColumn="0" w:lastColumn="0" w:oddVBand="0" w:evenVBand="0" w:oddHBand="0" w:evenHBand="0" w:firstRowFirstColumn="0" w:firstRowLastColumn="0" w:lastRowFirstColumn="0" w:lastRowLastColumn="0"/>
            </w:pPr>
          </w:p>
        </w:tc>
        <w:tc>
          <w:tcPr>
            <w:tcW w:w="2424" w:type="dxa"/>
          </w:tcPr>
          <w:p w:rsidR="00554171" w:rsidRPr="00332CC0"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pPr>
            <w:r w:rsidRPr="00332CC0">
              <w:t>Disaggregated data from occupational classification tables</w:t>
            </w:r>
          </w:p>
          <w:p w:rsidR="00554171" w:rsidRPr="00332CC0"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pPr>
            <w:r w:rsidRPr="00332CC0">
              <w:t>Early childhood teachers</w:t>
            </w:r>
          </w:p>
          <w:p w:rsidR="00554171" w:rsidRPr="00332CC0"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pPr>
            <w:r w:rsidRPr="00332CC0">
              <w:t xml:space="preserve">Modern Apprenticeships  </w:t>
            </w:r>
          </w:p>
        </w:tc>
        <w:tc>
          <w:tcPr>
            <w:tcW w:w="2061" w:type="dxa"/>
          </w:tcPr>
          <w:p w:rsidR="00554171" w:rsidRPr="00332CC0"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pPr>
            <w:r w:rsidRPr="00332CC0">
              <w:t>Sex/Gender</w:t>
            </w:r>
          </w:p>
          <w:p w:rsidR="00554171" w:rsidRPr="00332CC0"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pPr>
            <w:r w:rsidRPr="00332CC0">
              <w:t>Ethnicity</w:t>
            </w:r>
          </w:p>
        </w:tc>
        <w:tc>
          <w:tcPr>
            <w:tcW w:w="2209" w:type="dxa"/>
          </w:tcPr>
          <w:p w:rsidR="00554171" w:rsidRPr="00332CC0"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rPr>
                <w:color w:val="FF0000"/>
              </w:rPr>
            </w:pPr>
            <w:r w:rsidRPr="00332CC0">
              <w:t>Quarterly Employment Survey (QES) data from Stats NZ</w:t>
            </w:r>
          </w:p>
          <w:p w:rsidR="00554171" w:rsidRPr="00332CC0"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pPr>
            <w:r>
              <w:t>Early Childhood Education, Ministry of Education</w:t>
            </w:r>
          </w:p>
          <w:p w:rsidR="00554171" w:rsidRDefault="00554171" w:rsidP="00040D3F">
            <w:pPr>
              <w:pStyle w:val="ListParagraph"/>
              <w:numPr>
                <w:ilvl w:val="0"/>
                <w:numId w:val="1"/>
              </w:numPr>
              <w:ind w:left="473" w:hanging="450"/>
              <w:cnfStyle w:val="000000000000" w:firstRow="0" w:lastRow="0" w:firstColumn="0" w:lastColumn="0" w:oddVBand="0" w:evenVBand="0" w:oddHBand="0" w:evenHBand="0" w:firstRowFirstColumn="0" w:firstRowLastColumn="0" w:lastRowFirstColumn="0" w:lastRowLastColumn="0"/>
            </w:pPr>
            <w:r w:rsidRPr="00332CC0">
              <w:t xml:space="preserve">TEC </w:t>
            </w:r>
          </w:p>
          <w:p w:rsidR="00461F0D" w:rsidRDefault="00461F0D" w:rsidP="00461F0D">
            <w:pPr>
              <w:cnfStyle w:val="000000000000" w:firstRow="0" w:lastRow="0" w:firstColumn="0" w:lastColumn="0" w:oddVBand="0" w:evenVBand="0" w:oddHBand="0" w:evenHBand="0" w:firstRowFirstColumn="0" w:firstRowLastColumn="0" w:lastRowFirstColumn="0" w:lastRowLastColumn="0"/>
            </w:pPr>
          </w:p>
          <w:p w:rsidR="00461F0D" w:rsidRDefault="00461F0D" w:rsidP="00461F0D">
            <w:pPr>
              <w:cnfStyle w:val="000000000000" w:firstRow="0" w:lastRow="0" w:firstColumn="0" w:lastColumn="0" w:oddVBand="0" w:evenVBand="0" w:oddHBand="0" w:evenHBand="0" w:firstRowFirstColumn="0" w:firstRowLastColumn="0" w:lastRowFirstColumn="0" w:lastRowLastColumn="0"/>
            </w:pPr>
          </w:p>
          <w:p w:rsidR="00461F0D" w:rsidRDefault="00461F0D" w:rsidP="00461F0D">
            <w:pPr>
              <w:cnfStyle w:val="000000000000" w:firstRow="0" w:lastRow="0" w:firstColumn="0" w:lastColumn="0" w:oddVBand="0" w:evenVBand="0" w:oddHBand="0" w:evenHBand="0" w:firstRowFirstColumn="0" w:firstRowLastColumn="0" w:lastRowFirstColumn="0" w:lastRowLastColumn="0"/>
            </w:pPr>
          </w:p>
          <w:p w:rsidR="00461F0D" w:rsidRDefault="00461F0D" w:rsidP="00461F0D">
            <w:pPr>
              <w:cnfStyle w:val="000000000000" w:firstRow="0" w:lastRow="0" w:firstColumn="0" w:lastColumn="0" w:oddVBand="0" w:evenVBand="0" w:oddHBand="0" w:evenHBand="0" w:firstRowFirstColumn="0" w:firstRowLastColumn="0" w:lastRowFirstColumn="0" w:lastRowLastColumn="0"/>
            </w:pPr>
          </w:p>
          <w:p w:rsidR="00461F0D" w:rsidRDefault="00461F0D" w:rsidP="00461F0D">
            <w:pPr>
              <w:cnfStyle w:val="000000000000" w:firstRow="0" w:lastRow="0" w:firstColumn="0" w:lastColumn="0" w:oddVBand="0" w:evenVBand="0" w:oddHBand="0" w:evenHBand="0" w:firstRowFirstColumn="0" w:firstRowLastColumn="0" w:lastRowFirstColumn="0" w:lastRowLastColumn="0"/>
            </w:pPr>
          </w:p>
          <w:p w:rsidR="00461F0D" w:rsidRDefault="00461F0D" w:rsidP="00461F0D">
            <w:pPr>
              <w:cnfStyle w:val="000000000000" w:firstRow="0" w:lastRow="0" w:firstColumn="0" w:lastColumn="0" w:oddVBand="0" w:evenVBand="0" w:oddHBand="0" w:evenHBand="0" w:firstRowFirstColumn="0" w:firstRowLastColumn="0" w:lastRowFirstColumn="0" w:lastRowLastColumn="0"/>
            </w:pPr>
          </w:p>
          <w:p w:rsidR="00461F0D" w:rsidRDefault="00461F0D" w:rsidP="00461F0D">
            <w:pPr>
              <w:cnfStyle w:val="000000000000" w:firstRow="0" w:lastRow="0" w:firstColumn="0" w:lastColumn="0" w:oddVBand="0" w:evenVBand="0" w:oddHBand="0" w:evenHBand="0" w:firstRowFirstColumn="0" w:firstRowLastColumn="0" w:lastRowFirstColumn="0" w:lastRowLastColumn="0"/>
            </w:pPr>
          </w:p>
          <w:p w:rsidR="00461F0D" w:rsidRPr="00461F0D" w:rsidRDefault="00461F0D" w:rsidP="00461F0D">
            <w:pPr>
              <w:cnfStyle w:val="000000000000" w:firstRow="0" w:lastRow="0" w:firstColumn="0" w:lastColumn="0" w:oddVBand="0" w:evenVBand="0" w:oddHBand="0" w:evenHBand="0" w:firstRowFirstColumn="0" w:firstRowLastColumn="0" w:lastRowFirstColumn="0" w:lastRowLastColumn="0"/>
            </w:pPr>
          </w:p>
        </w:tc>
      </w:tr>
      <w:tr w:rsidR="00554171" w:rsidRPr="00332CC0" w:rsidTr="00461F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554171" w:rsidRPr="00332CC0" w:rsidRDefault="00554171" w:rsidP="00040D3F">
            <w:pPr>
              <w:tabs>
                <w:tab w:val="left" w:pos="4950"/>
              </w:tabs>
            </w:pPr>
            <w:r w:rsidRPr="00332CC0">
              <w:t>11</w:t>
            </w:r>
          </w:p>
        </w:tc>
        <w:tc>
          <w:tcPr>
            <w:tcW w:w="2014" w:type="dxa"/>
          </w:tcPr>
          <w:p w:rsidR="00554171" w:rsidRPr="00332CC0" w:rsidRDefault="00554171" w:rsidP="00040D3F">
            <w:pPr>
              <w:tabs>
                <w:tab w:val="left" w:pos="4950"/>
              </w:tabs>
              <w:cnfStyle w:val="000000100000" w:firstRow="0" w:lastRow="0" w:firstColumn="0" w:lastColumn="0" w:oddVBand="0" w:evenVBand="0" w:oddHBand="1" w:evenHBand="0" w:firstRowFirstColumn="0" w:firstRowLastColumn="0" w:lastRowFirstColumn="0" w:lastRowLastColumn="0"/>
            </w:pPr>
            <w:r w:rsidRPr="00332CC0">
              <w:t xml:space="preserve">Labour force participation </w:t>
            </w:r>
          </w:p>
        </w:tc>
        <w:tc>
          <w:tcPr>
            <w:tcW w:w="2424" w:type="dxa"/>
          </w:tcPr>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Disaggregated data from HLFS</w:t>
            </w:r>
          </w:p>
        </w:tc>
        <w:tc>
          <w:tcPr>
            <w:tcW w:w="2061" w:type="dxa"/>
          </w:tcPr>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Age</w:t>
            </w:r>
          </w:p>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Sex/Gender</w:t>
            </w:r>
          </w:p>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Ethnicity</w:t>
            </w:r>
          </w:p>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Disability</w:t>
            </w:r>
          </w:p>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Sexual Orientation</w:t>
            </w:r>
          </w:p>
        </w:tc>
        <w:tc>
          <w:tcPr>
            <w:tcW w:w="2209" w:type="dxa"/>
          </w:tcPr>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Purchased from Stats NZ except for disability data (which is collected in the Census disability survey only).</w:t>
            </w:r>
          </w:p>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 xml:space="preserve">Sexual orientation data  is not collected by </w:t>
            </w:r>
            <w:r>
              <w:t>HL</w:t>
            </w:r>
            <w:r w:rsidRPr="00332CC0">
              <w:t>FS or Census</w:t>
            </w:r>
          </w:p>
        </w:tc>
      </w:tr>
      <w:tr w:rsidR="00554171" w:rsidRPr="00332CC0" w:rsidTr="00461F0D">
        <w:tc>
          <w:tcPr>
            <w:cnfStyle w:val="001000000000" w:firstRow="0" w:lastRow="0" w:firstColumn="1" w:lastColumn="0" w:oddVBand="0" w:evenVBand="0" w:oddHBand="0" w:evenHBand="0" w:firstRowFirstColumn="0" w:firstRowLastColumn="0" w:lastRowFirstColumn="0" w:lastRowLastColumn="0"/>
            <w:tcW w:w="534" w:type="dxa"/>
          </w:tcPr>
          <w:p w:rsidR="00554171" w:rsidRPr="00332CC0" w:rsidRDefault="00554171" w:rsidP="00040D3F">
            <w:pPr>
              <w:tabs>
                <w:tab w:val="left" w:pos="4950"/>
              </w:tabs>
            </w:pPr>
            <w:r w:rsidRPr="00332CC0">
              <w:t>12</w:t>
            </w:r>
          </w:p>
        </w:tc>
        <w:tc>
          <w:tcPr>
            <w:tcW w:w="2014" w:type="dxa"/>
          </w:tcPr>
          <w:p w:rsidR="00554171" w:rsidRPr="00332CC0" w:rsidRDefault="00554171" w:rsidP="00040D3F">
            <w:pPr>
              <w:tabs>
                <w:tab w:val="left" w:pos="4950"/>
              </w:tabs>
              <w:cnfStyle w:val="000000000000" w:firstRow="0" w:lastRow="0" w:firstColumn="0" w:lastColumn="0" w:oddVBand="0" w:evenVBand="0" w:oddHBand="0" w:evenHBand="0" w:firstRowFirstColumn="0" w:firstRowLastColumn="0" w:lastRowFirstColumn="0" w:lastRowLastColumn="0"/>
            </w:pPr>
            <w:r w:rsidRPr="00332CC0">
              <w:t>Leadership rates in senior management and governance roles</w:t>
            </w:r>
          </w:p>
        </w:tc>
        <w:tc>
          <w:tcPr>
            <w:tcW w:w="2424" w:type="dxa"/>
          </w:tcPr>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Diversity in senior management roles</w:t>
            </w:r>
          </w:p>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 xml:space="preserve">Diversity on boards </w:t>
            </w:r>
          </w:p>
        </w:tc>
        <w:tc>
          <w:tcPr>
            <w:tcW w:w="2061" w:type="dxa"/>
          </w:tcPr>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 xml:space="preserve">Sex/Gender </w:t>
            </w:r>
          </w:p>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Ethnicity</w:t>
            </w:r>
          </w:p>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 xml:space="preserve">Disability </w:t>
            </w:r>
          </w:p>
          <w:p w:rsidR="00554171" w:rsidRPr="00332CC0" w:rsidRDefault="00554171" w:rsidP="00040D3F">
            <w:pPr>
              <w:tabs>
                <w:tab w:val="left" w:pos="4950"/>
              </w:tabs>
              <w:ind w:left="473" w:hanging="450"/>
              <w:cnfStyle w:val="000000000000" w:firstRow="0" w:lastRow="0" w:firstColumn="0" w:lastColumn="0" w:oddVBand="0" w:evenVBand="0" w:oddHBand="0" w:evenHBand="0" w:firstRowFirstColumn="0" w:firstRowLastColumn="0" w:lastRowFirstColumn="0" w:lastRowLastColumn="0"/>
            </w:pPr>
          </w:p>
        </w:tc>
        <w:tc>
          <w:tcPr>
            <w:tcW w:w="2209" w:type="dxa"/>
          </w:tcPr>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SSC data on public service</w:t>
            </w:r>
          </w:p>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Ministry of Women’s Affairs data on public sector boards</w:t>
            </w:r>
          </w:p>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HRC’s Census of Women’s Participation for board membership and management in private sector (top listed companies)</w:t>
            </w:r>
          </w:p>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Disability data is not currently being collected</w:t>
            </w:r>
          </w:p>
        </w:tc>
      </w:tr>
      <w:tr w:rsidR="00554171" w:rsidRPr="00332CC0" w:rsidTr="00461F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554171" w:rsidRPr="00332CC0" w:rsidRDefault="00554171" w:rsidP="00040D3F">
            <w:pPr>
              <w:tabs>
                <w:tab w:val="left" w:pos="4950"/>
              </w:tabs>
            </w:pPr>
            <w:r w:rsidRPr="00332CC0">
              <w:t>13</w:t>
            </w:r>
          </w:p>
        </w:tc>
        <w:tc>
          <w:tcPr>
            <w:tcW w:w="2014" w:type="dxa"/>
          </w:tcPr>
          <w:p w:rsidR="00554171" w:rsidRPr="00332CC0" w:rsidRDefault="00554171" w:rsidP="00040D3F">
            <w:pPr>
              <w:tabs>
                <w:tab w:val="left" w:pos="4950"/>
              </w:tabs>
              <w:cnfStyle w:val="000000100000" w:firstRow="0" w:lastRow="0" w:firstColumn="0" w:lastColumn="0" w:oddVBand="0" w:evenVBand="0" w:oddHBand="1" w:evenHBand="0" w:firstRowFirstColumn="0" w:firstRowLastColumn="0" w:lastRowFirstColumn="0" w:lastRowLastColumn="0"/>
            </w:pPr>
            <w:r w:rsidRPr="00332CC0">
              <w:t>Gender pay gap</w:t>
            </w:r>
          </w:p>
        </w:tc>
        <w:tc>
          <w:tcPr>
            <w:tcW w:w="2424" w:type="dxa"/>
          </w:tcPr>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 xml:space="preserve">Pay gap </w:t>
            </w:r>
          </w:p>
        </w:tc>
        <w:tc>
          <w:tcPr>
            <w:tcW w:w="2061" w:type="dxa"/>
          </w:tcPr>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Sex/Gender</w:t>
            </w:r>
          </w:p>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Ethnicity</w:t>
            </w:r>
          </w:p>
        </w:tc>
        <w:tc>
          <w:tcPr>
            <w:tcW w:w="2209" w:type="dxa"/>
          </w:tcPr>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Stats NZ data across labour force</w:t>
            </w:r>
          </w:p>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SSC data across the public service</w:t>
            </w:r>
          </w:p>
        </w:tc>
      </w:tr>
      <w:tr w:rsidR="00554171" w:rsidRPr="00332CC0" w:rsidTr="00461F0D">
        <w:tc>
          <w:tcPr>
            <w:cnfStyle w:val="001000000000" w:firstRow="0" w:lastRow="0" w:firstColumn="1" w:lastColumn="0" w:oddVBand="0" w:evenVBand="0" w:oddHBand="0" w:evenHBand="0" w:firstRowFirstColumn="0" w:firstRowLastColumn="0" w:lastRowFirstColumn="0" w:lastRowLastColumn="0"/>
            <w:tcW w:w="534" w:type="dxa"/>
          </w:tcPr>
          <w:p w:rsidR="00554171" w:rsidRPr="00332CC0" w:rsidRDefault="00554171" w:rsidP="00040D3F">
            <w:pPr>
              <w:tabs>
                <w:tab w:val="left" w:pos="4950"/>
              </w:tabs>
            </w:pPr>
            <w:r w:rsidRPr="00332CC0">
              <w:t>14</w:t>
            </w:r>
          </w:p>
        </w:tc>
        <w:tc>
          <w:tcPr>
            <w:tcW w:w="2014" w:type="dxa"/>
          </w:tcPr>
          <w:p w:rsidR="00554171" w:rsidRPr="00332CC0" w:rsidRDefault="00554171" w:rsidP="00040D3F">
            <w:pPr>
              <w:tabs>
                <w:tab w:val="left" w:pos="4950"/>
              </w:tabs>
              <w:cnfStyle w:val="000000000000" w:firstRow="0" w:lastRow="0" w:firstColumn="0" w:lastColumn="0" w:oddVBand="0" w:evenVBand="0" w:oddHBand="0" w:evenHBand="0" w:firstRowFirstColumn="0" w:firstRowLastColumn="0" w:lastRowFirstColumn="0" w:lastRowLastColumn="0"/>
            </w:pPr>
            <w:r w:rsidRPr="00332CC0">
              <w:t>Minimum wage</w:t>
            </w:r>
          </w:p>
          <w:p w:rsidR="00554171" w:rsidRPr="00332CC0" w:rsidRDefault="00554171" w:rsidP="00040D3F">
            <w:pPr>
              <w:tabs>
                <w:tab w:val="left" w:pos="4950"/>
              </w:tabs>
              <w:cnfStyle w:val="000000000000" w:firstRow="0" w:lastRow="0" w:firstColumn="0" w:lastColumn="0" w:oddVBand="0" w:evenVBand="0" w:oddHBand="0" w:evenHBand="0" w:firstRowFirstColumn="0" w:firstRowLastColumn="0" w:lastRowFirstColumn="0" w:lastRowLastColumn="0"/>
            </w:pPr>
          </w:p>
          <w:p w:rsidR="00554171" w:rsidRPr="00332CC0" w:rsidRDefault="00554171" w:rsidP="00040D3F">
            <w:pPr>
              <w:tabs>
                <w:tab w:val="left" w:pos="4950"/>
              </w:tabs>
              <w:cnfStyle w:val="000000000000" w:firstRow="0" w:lastRow="0" w:firstColumn="0" w:lastColumn="0" w:oddVBand="0" w:evenVBand="0" w:oddHBand="0" w:evenHBand="0" w:firstRowFirstColumn="0" w:firstRowLastColumn="0" w:lastRowFirstColumn="0" w:lastRowLastColumn="0"/>
            </w:pPr>
          </w:p>
          <w:p w:rsidR="00554171" w:rsidRPr="00332CC0" w:rsidRDefault="00554171" w:rsidP="00040D3F">
            <w:pPr>
              <w:tabs>
                <w:tab w:val="left" w:pos="4950"/>
              </w:tabs>
              <w:cnfStyle w:val="000000000000" w:firstRow="0" w:lastRow="0" w:firstColumn="0" w:lastColumn="0" w:oddVBand="0" w:evenVBand="0" w:oddHBand="0" w:evenHBand="0" w:firstRowFirstColumn="0" w:firstRowLastColumn="0" w:lastRowFirstColumn="0" w:lastRowLastColumn="0"/>
            </w:pPr>
          </w:p>
          <w:p w:rsidR="00554171" w:rsidRPr="00332CC0" w:rsidRDefault="00554171" w:rsidP="00040D3F">
            <w:pPr>
              <w:tabs>
                <w:tab w:val="left" w:pos="4950"/>
              </w:tabs>
              <w:cnfStyle w:val="000000000000" w:firstRow="0" w:lastRow="0" w:firstColumn="0" w:lastColumn="0" w:oddVBand="0" w:evenVBand="0" w:oddHBand="0" w:evenHBand="0" w:firstRowFirstColumn="0" w:firstRowLastColumn="0" w:lastRowFirstColumn="0" w:lastRowLastColumn="0"/>
            </w:pPr>
          </w:p>
        </w:tc>
        <w:tc>
          <w:tcPr>
            <w:tcW w:w="2424" w:type="dxa"/>
          </w:tcPr>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Minimum wage as a percentage of median and mean wage</w:t>
            </w:r>
          </w:p>
          <w:p w:rsidR="00554171" w:rsidRPr="008D493E" w:rsidRDefault="00554171" w:rsidP="008D493E">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Disaggregated data on minimum wage jobs</w:t>
            </w:r>
          </w:p>
        </w:tc>
        <w:tc>
          <w:tcPr>
            <w:tcW w:w="2061" w:type="dxa"/>
          </w:tcPr>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 xml:space="preserve">Sex/Gender </w:t>
            </w:r>
          </w:p>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 xml:space="preserve">Ethnicity </w:t>
            </w:r>
          </w:p>
        </w:tc>
        <w:tc>
          <w:tcPr>
            <w:tcW w:w="2209" w:type="dxa"/>
          </w:tcPr>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 xml:space="preserve">Annual Review of minimum wage by Department of Labour </w:t>
            </w:r>
          </w:p>
          <w:p w:rsidR="00554171" w:rsidRPr="00332CC0" w:rsidRDefault="00554171" w:rsidP="00040D3F">
            <w:pPr>
              <w:tabs>
                <w:tab w:val="left" w:pos="4950"/>
              </w:tabs>
              <w:ind w:left="473" w:hanging="450"/>
              <w:cnfStyle w:val="000000000000" w:firstRow="0" w:lastRow="0" w:firstColumn="0" w:lastColumn="0" w:oddVBand="0" w:evenVBand="0" w:oddHBand="0" w:evenHBand="0" w:firstRowFirstColumn="0" w:firstRowLastColumn="0" w:lastRowFirstColumn="0" w:lastRowLastColumn="0"/>
            </w:pPr>
          </w:p>
          <w:p w:rsidR="00554171" w:rsidRPr="00332CC0" w:rsidRDefault="00554171" w:rsidP="00040D3F">
            <w:pPr>
              <w:tabs>
                <w:tab w:val="left" w:pos="4950"/>
              </w:tabs>
              <w:ind w:left="473" w:hanging="450"/>
              <w:cnfStyle w:val="000000000000" w:firstRow="0" w:lastRow="0" w:firstColumn="0" w:lastColumn="0" w:oddVBand="0" w:evenVBand="0" w:oddHBand="0" w:evenHBand="0" w:firstRowFirstColumn="0" w:firstRowLastColumn="0" w:lastRowFirstColumn="0" w:lastRowLastColumn="0"/>
            </w:pPr>
          </w:p>
        </w:tc>
      </w:tr>
      <w:tr w:rsidR="00554171" w:rsidRPr="00332CC0" w:rsidTr="00461F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554171" w:rsidRPr="00332CC0" w:rsidRDefault="00554171" w:rsidP="00040D3F">
            <w:pPr>
              <w:tabs>
                <w:tab w:val="left" w:pos="4950"/>
              </w:tabs>
            </w:pPr>
            <w:r w:rsidRPr="00332CC0">
              <w:t>15</w:t>
            </w:r>
          </w:p>
        </w:tc>
        <w:tc>
          <w:tcPr>
            <w:tcW w:w="2014" w:type="dxa"/>
          </w:tcPr>
          <w:p w:rsidR="00554171" w:rsidRPr="00332CC0" w:rsidRDefault="00554171" w:rsidP="00040D3F">
            <w:pPr>
              <w:tabs>
                <w:tab w:val="left" w:pos="4950"/>
              </w:tabs>
              <w:cnfStyle w:val="000000100000" w:firstRow="0" w:lastRow="0" w:firstColumn="0" w:lastColumn="0" w:oddVBand="0" w:evenVBand="0" w:oddHBand="1" w:evenHBand="0" w:firstRowFirstColumn="0" w:firstRowLastColumn="0" w:lastRowFirstColumn="0" w:lastRowLastColumn="0"/>
            </w:pPr>
            <w:r w:rsidRPr="00332CC0">
              <w:t>Minimum wage exemptions</w:t>
            </w:r>
          </w:p>
          <w:p w:rsidR="00554171" w:rsidRPr="00332CC0" w:rsidRDefault="00554171" w:rsidP="00040D3F">
            <w:pPr>
              <w:tabs>
                <w:tab w:val="left" w:pos="4950"/>
              </w:tabs>
              <w:cnfStyle w:val="000000100000" w:firstRow="0" w:lastRow="0" w:firstColumn="0" w:lastColumn="0" w:oddVBand="0" w:evenVBand="0" w:oddHBand="1" w:evenHBand="0" w:firstRowFirstColumn="0" w:firstRowLastColumn="0" w:lastRowFirstColumn="0" w:lastRowLastColumn="0"/>
            </w:pPr>
          </w:p>
        </w:tc>
        <w:tc>
          <w:tcPr>
            <w:tcW w:w="2424" w:type="dxa"/>
          </w:tcPr>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Number of employees receiving minimum wage exemptions</w:t>
            </w:r>
          </w:p>
        </w:tc>
        <w:tc>
          <w:tcPr>
            <w:tcW w:w="2061" w:type="dxa"/>
          </w:tcPr>
          <w:p w:rsidR="00554171" w:rsidRPr="00332CC0" w:rsidRDefault="00554171" w:rsidP="00040D3F">
            <w:pPr>
              <w:pStyle w:val="ListParagraph"/>
              <w:numPr>
                <w:ilvl w:val="0"/>
                <w:numId w:val="1"/>
              </w:numPr>
              <w:tabs>
                <w:tab w:val="left" w:pos="4950"/>
              </w:tabs>
              <w:ind w:left="520" w:hanging="450"/>
              <w:cnfStyle w:val="000000100000" w:firstRow="0" w:lastRow="0" w:firstColumn="0" w:lastColumn="0" w:oddVBand="0" w:evenVBand="0" w:oddHBand="1" w:evenHBand="0" w:firstRowFirstColumn="0" w:firstRowLastColumn="0" w:lastRowFirstColumn="0" w:lastRowLastColumn="0"/>
            </w:pPr>
            <w:r w:rsidRPr="00332CC0">
              <w:t>Disability</w:t>
            </w:r>
          </w:p>
        </w:tc>
        <w:tc>
          <w:tcPr>
            <w:tcW w:w="2209" w:type="dxa"/>
          </w:tcPr>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On request to Department of Labour</w:t>
            </w:r>
          </w:p>
        </w:tc>
      </w:tr>
      <w:tr w:rsidR="00554171" w:rsidRPr="00332CC0" w:rsidTr="00461F0D">
        <w:tc>
          <w:tcPr>
            <w:cnfStyle w:val="001000000000" w:firstRow="0" w:lastRow="0" w:firstColumn="1" w:lastColumn="0" w:oddVBand="0" w:evenVBand="0" w:oddHBand="0" w:evenHBand="0" w:firstRowFirstColumn="0" w:firstRowLastColumn="0" w:lastRowFirstColumn="0" w:lastRowLastColumn="0"/>
            <w:tcW w:w="534" w:type="dxa"/>
          </w:tcPr>
          <w:p w:rsidR="00554171" w:rsidRPr="00332CC0" w:rsidRDefault="00554171" w:rsidP="00040D3F">
            <w:pPr>
              <w:tabs>
                <w:tab w:val="left" w:pos="4950"/>
              </w:tabs>
            </w:pPr>
            <w:r w:rsidRPr="00332CC0">
              <w:t>16</w:t>
            </w:r>
          </w:p>
        </w:tc>
        <w:tc>
          <w:tcPr>
            <w:tcW w:w="2014" w:type="dxa"/>
          </w:tcPr>
          <w:p w:rsidR="00554171" w:rsidRPr="00332CC0" w:rsidRDefault="00554171" w:rsidP="00040D3F">
            <w:pPr>
              <w:tabs>
                <w:tab w:val="left" w:pos="4950"/>
              </w:tabs>
              <w:cnfStyle w:val="000000000000" w:firstRow="0" w:lastRow="0" w:firstColumn="0" w:lastColumn="0" w:oddVBand="0" w:evenVBand="0" w:oddHBand="0" w:evenHBand="0" w:firstRowFirstColumn="0" w:firstRowLastColumn="0" w:lastRowFirstColumn="0" w:lastRowLastColumn="0"/>
            </w:pPr>
            <w:r w:rsidRPr="00332CC0">
              <w:t>Harassment complaints</w:t>
            </w:r>
          </w:p>
        </w:tc>
        <w:tc>
          <w:tcPr>
            <w:tcW w:w="2424" w:type="dxa"/>
          </w:tcPr>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Complaints received by the Human Rights Commission</w:t>
            </w:r>
          </w:p>
        </w:tc>
        <w:tc>
          <w:tcPr>
            <w:tcW w:w="2061" w:type="dxa"/>
          </w:tcPr>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Age</w:t>
            </w:r>
          </w:p>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Sex/Gender</w:t>
            </w:r>
          </w:p>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Ethnicity</w:t>
            </w:r>
          </w:p>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Disability</w:t>
            </w:r>
          </w:p>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Sexual orientation</w:t>
            </w:r>
          </w:p>
          <w:p w:rsidR="00554171" w:rsidRPr="00332CC0" w:rsidRDefault="00554171" w:rsidP="00040D3F">
            <w:pPr>
              <w:tabs>
                <w:tab w:val="left" w:pos="4950"/>
              </w:tabs>
              <w:ind w:left="23"/>
              <w:cnfStyle w:val="000000000000" w:firstRow="0" w:lastRow="0" w:firstColumn="0" w:lastColumn="0" w:oddVBand="0" w:evenVBand="0" w:oddHBand="0" w:evenHBand="0" w:firstRowFirstColumn="0" w:firstRowLastColumn="0" w:lastRowFirstColumn="0" w:lastRowLastColumn="0"/>
            </w:pPr>
          </w:p>
          <w:p w:rsidR="00554171" w:rsidRPr="00332CC0" w:rsidRDefault="00554171" w:rsidP="00040D3F">
            <w:pPr>
              <w:tabs>
                <w:tab w:val="left" w:pos="4950"/>
              </w:tabs>
              <w:ind w:left="473" w:hanging="450"/>
              <w:cnfStyle w:val="000000000000" w:firstRow="0" w:lastRow="0" w:firstColumn="0" w:lastColumn="0" w:oddVBand="0" w:evenVBand="0" w:oddHBand="0" w:evenHBand="0" w:firstRowFirstColumn="0" w:firstRowLastColumn="0" w:lastRowFirstColumn="0" w:lastRowLastColumn="0"/>
            </w:pPr>
          </w:p>
        </w:tc>
        <w:tc>
          <w:tcPr>
            <w:tcW w:w="2209" w:type="dxa"/>
          </w:tcPr>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Data is recorded and analysed by the HRC</w:t>
            </w:r>
          </w:p>
        </w:tc>
      </w:tr>
      <w:tr w:rsidR="00554171" w:rsidRPr="00332CC0" w:rsidTr="00461F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554171" w:rsidRPr="00332CC0" w:rsidRDefault="00554171" w:rsidP="00040D3F">
            <w:pPr>
              <w:tabs>
                <w:tab w:val="left" w:pos="4950"/>
              </w:tabs>
            </w:pPr>
            <w:r w:rsidRPr="00332CC0">
              <w:t>17</w:t>
            </w:r>
          </w:p>
        </w:tc>
        <w:tc>
          <w:tcPr>
            <w:tcW w:w="2014" w:type="dxa"/>
          </w:tcPr>
          <w:p w:rsidR="00554171" w:rsidRPr="00332CC0" w:rsidRDefault="00554171" w:rsidP="00040D3F">
            <w:pPr>
              <w:tabs>
                <w:tab w:val="left" w:pos="4950"/>
              </w:tabs>
              <w:cnfStyle w:val="000000100000" w:firstRow="0" w:lastRow="0" w:firstColumn="0" w:lastColumn="0" w:oddVBand="0" w:evenVBand="0" w:oddHBand="1" w:evenHBand="0" w:firstRowFirstColumn="0" w:firstRowLastColumn="0" w:lastRowFirstColumn="0" w:lastRowLastColumn="0"/>
            </w:pPr>
            <w:r w:rsidRPr="00332CC0">
              <w:t>Discrimination at work complaints</w:t>
            </w:r>
          </w:p>
        </w:tc>
        <w:tc>
          <w:tcPr>
            <w:tcW w:w="2424" w:type="dxa"/>
          </w:tcPr>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Complaints received by the Human Rights Commission</w:t>
            </w:r>
          </w:p>
        </w:tc>
        <w:tc>
          <w:tcPr>
            <w:tcW w:w="2061" w:type="dxa"/>
          </w:tcPr>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Age</w:t>
            </w:r>
          </w:p>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Sex/Gender</w:t>
            </w:r>
          </w:p>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Ethnicity</w:t>
            </w:r>
          </w:p>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Disability</w:t>
            </w:r>
          </w:p>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Sexual Orientation</w:t>
            </w:r>
          </w:p>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Family status</w:t>
            </w:r>
          </w:p>
          <w:p w:rsidR="00554171" w:rsidRPr="00332CC0" w:rsidRDefault="00554171" w:rsidP="00040D3F">
            <w:pPr>
              <w:pStyle w:val="ListParagraph"/>
              <w:tabs>
                <w:tab w:val="left" w:pos="4950"/>
              </w:tabs>
              <w:ind w:left="473"/>
              <w:cnfStyle w:val="000000100000" w:firstRow="0" w:lastRow="0" w:firstColumn="0" w:lastColumn="0" w:oddVBand="0" w:evenVBand="0" w:oddHBand="1" w:evenHBand="0" w:firstRowFirstColumn="0" w:firstRowLastColumn="0" w:lastRowFirstColumn="0" w:lastRowLastColumn="0"/>
            </w:pPr>
          </w:p>
          <w:p w:rsidR="00554171" w:rsidRPr="00332CC0" w:rsidRDefault="00554171" w:rsidP="00040D3F">
            <w:pPr>
              <w:pStyle w:val="ListParagraph"/>
              <w:tabs>
                <w:tab w:val="left" w:pos="4950"/>
              </w:tabs>
              <w:ind w:left="473"/>
              <w:cnfStyle w:val="000000100000" w:firstRow="0" w:lastRow="0" w:firstColumn="0" w:lastColumn="0" w:oddVBand="0" w:evenVBand="0" w:oddHBand="1" w:evenHBand="0" w:firstRowFirstColumn="0" w:firstRowLastColumn="0" w:lastRowFirstColumn="0" w:lastRowLastColumn="0"/>
            </w:pPr>
          </w:p>
          <w:p w:rsidR="00554171" w:rsidRPr="00332CC0" w:rsidRDefault="00554171" w:rsidP="00040D3F">
            <w:pPr>
              <w:pStyle w:val="ListParagraph"/>
              <w:tabs>
                <w:tab w:val="left" w:pos="4950"/>
              </w:tabs>
              <w:ind w:left="473"/>
              <w:cnfStyle w:val="000000100000" w:firstRow="0" w:lastRow="0" w:firstColumn="0" w:lastColumn="0" w:oddVBand="0" w:evenVBand="0" w:oddHBand="1" w:evenHBand="0" w:firstRowFirstColumn="0" w:firstRowLastColumn="0" w:lastRowFirstColumn="0" w:lastRowLastColumn="0"/>
            </w:pPr>
          </w:p>
        </w:tc>
        <w:tc>
          <w:tcPr>
            <w:tcW w:w="2209" w:type="dxa"/>
          </w:tcPr>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Data is recorded and analysed by the HRC</w:t>
            </w:r>
          </w:p>
        </w:tc>
      </w:tr>
      <w:tr w:rsidR="00554171" w:rsidRPr="00332CC0" w:rsidTr="00461F0D">
        <w:tc>
          <w:tcPr>
            <w:cnfStyle w:val="001000000000" w:firstRow="0" w:lastRow="0" w:firstColumn="1" w:lastColumn="0" w:oddVBand="0" w:evenVBand="0" w:oddHBand="0" w:evenHBand="0" w:firstRowFirstColumn="0" w:firstRowLastColumn="0" w:lastRowFirstColumn="0" w:lastRowLastColumn="0"/>
            <w:tcW w:w="534" w:type="dxa"/>
          </w:tcPr>
          <w:p w:rsidR="00554171" w:rsidRPr="00332CC0" w:rsidRDefault="00554171" w:rsidP="00040D3F">
            <w:pPr>
              <w:tabs>
                <w:tab w:val="left" w:pos="4950"/>
              </w:tabs>
            </w:pPr>
            <w:r w:rsidRPr="00332CC0">
              <w:t>18</w:t>
            </w:r>
          </w:p>
        </w:tc>
        <w:tc>
          <w:tcPr>
            <w:tcW w:w="2014" w:type="dxa"/>
          </w:tcPr>
          <w:p w:rsidR="00554171" w:rsidRPr="00332CC0" w:rsidRDefault="00554171" w:rsidP="00040D3F">
            <w:pPr>
              <w:tabs>
                <w:tab w:val="left" w:pos="4950"/>
              </w:tabs>
              <w:cnfStyle w:val="000000000000" w:firstRow="0" w:lastRow="0" w:firstColumn="0" w:lastColumn="0" w:oddVBand="0" w:evenVBand="0" w:oddHBand="0" w:evenHBand="0" w:firstRowFirstColumn="0" w:firstRowLastColumn="0" w:lastRowFirstColumn="0" w:lastRowLastColumn="0"/>
            </w:pPr>
            <w:r w:rsidRPr="00332CC0">
              <w:t>Flexible work opportunities</w:t>
            </w:r>
          </w:p>
          <w:p w:rsidR="00554171" w:rsidRPr="00332CC0" w:rsidRDefault="00554171" w:rsidP="00040D3F">
            <w:pPr>
              <w:tabs>
                <w:tab w:val="left" w:pos="4950"/>
              </w:tabs>
              <w:cnfStyle w:val="000000000000" w:firstRow="0" w:lastRow="0" w:firstColumn="0" w:lastColumn="0" w:oddVBand="0" w:evenVBand="0" w:oddHBand="0" w:evenHBand="0" w:firstRowFirstColumn="0" w:firstRowLastColumn="0" w:lastRowFirstColumn="0" w:lastRowLastColumn="0"/>
            </w:pPr>
          </w:p>
          <w:p w:rsidR="00554171" w:rsidRPr="00332CC0" w:rsidRDefault="00554171" w:rsidP="00040D3F">
            <w:pPr>
              <w:tabs>
                <w:tab w:val="left" w:pos="4950"/>
              </w:tabs>
              <w:cnfStyle w:val="000000000000" w:firstRow="0" w:lastRow="0" w:firstColumn="0" w:lastColumn="0" w:oddVBand="0" w:evenVBand="0" w:oddHBand="0" w:evenHBand="0" w:firstRowFirstColumn="0" w:firstRowLastColumn="0" w:lastRowFirstColumn="0" w:lastRowLastColumn="0"/>
            </w:pPr>
          </w:p>
        </w:tc>
        <w:tc>
          <w:tcPr>
            <w:tcW w:w="2424" w:type="dxa"/>
          </w:tcPr>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Quality of working life survey</w:t>
            </w:r>
          </w:p>
          <w:p w:rsidR="00554171" w:rsidRPr="00332CC0" w:rsidRDefault="00554171" w:rsidP="00040D3F">
            <w:pPr>
              <w:tabs>
                <w:tab w:val="left" w:pos="4950"/>
              </w:tabs>
              <w:ind w:left="473" w:hanging="450"/>
              <w:cnfStyle w:val="000000000000" w:firstRow="0" w:lastRow="0" w:firstColumn="0" w:lastColumn="0" w:oddVBand="0" w:evenVBand="0" w:oddHBand="0" w:evenHBand="0" w:firstRowFirstColumn="0" w:firstRowLastColumn="0" w:lastRowFirstColumn="0" w:lastRowLastColumn="0"/>
            </w:pPr>
          </w:p>
          <w:p w:rsidR="00554171" w:rsidRPr="00332CC0" w:rsidRDefault="00554171" w:rsidP="00040D3F">
            <w:pPr>
              <w:tabs>
                <w:tab w:val="left" w:pos="4950"/>
              </w:tabs>
              <w:ind w:left="473" w:hanging="450"/>
              <w:cnfStyle w:val="000000000000" w:firstRow="0" w:lastRow="0" w:firstColumn="0" w:lastColumn="0" w:oddVBand="0" w:evenVBand="0" w:oddHBand="0" w:evenHBand="0" w:firstRowFirstColumn="0" w:firstRowLastColumn="0" w:lastRowFirstColumn="0" w:lastRowLastColumn="0"/>
            </w:pPr>
          </w:p>
        </w:tc>
        <w:tc>
          <w:tcPr>
            <w:tcW w:w="2061" w:type="dxa"/>
          </w:tcPr>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Age</w:t>
            </w:r>
          </w:p>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Sex/Gender</w:t>
            </w:r>
          </w:p>
          <w:p w:rsidR="00554171" w:rsidRPr="00332CC0" w:rsidRDefault="00554171" w:rsidP="00040D3F">
            <w:pPr>
              <w:tabs>
                <w:tab w:val="left" w:pos="4950"/>
              </w:tabs>
              <w:ind w:left="473" w:hanging="450"/>
              <w:cnfStyle w:val="000000000000" w:firstRow="0" w:lastRow="0" w:firstColumn="0" w:lastColumn="0" w:oddVBand="0" w:evenVBand="0" w:oddHBand="0" w:evenHBand="0" w:firstRowFirstColumn="0" w:firstRowLastColumn="0" w:lastRowFirstColumn="0" w:lastRowLastColumn="0"/>
            </w:pPr>
          </w:p>
        </w:tc>
        <w:tc>
          <w:tcPr>
            <w:tcW w:w="2209" w:type="dxa"/>
          </w:tcPr>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Stats NZ 3-yearly survey (Dec 2011 is next due date)</w:t>
            </w:r>
          </w:p>
          <w:p w:rsidR="00554171" w:rsidRPr="00332CC0" w:rsidRDefault="00554171" w:rsidP="00040D3F">
            <w:pPr>
              <w:tabs>
                <w:tab w:val="left" w:pos="4950"/>
              </w:tabs>
              <w:ind w:left="473" w:hanging="450"/>
              <w:cnfStyle w:val="000000000000" w:firstRow="0" w:lastRow="0" w:firstColumn="0" w:lastColumn="0" w:oddVBand="0" w:evenVBand="0" w:oddHBand="0" w:evenHBand="0" w:firstRowFirstColumn="0" w:firstRowLastColumn="0" w:lastRowFirstColumn="0" w:lastRowLastColumn="0"/>
            </w:pPr>
          </w:p>
          <w:p w:rsidR="00554171" w:rsidRPr="00332CC0" w:rsidRDefault="00554171" w:rsidP="00040D3F">
            <w:pPr>
              <w:tabs>
                <w:tab w:val="left" w:pos="4950"/>
              </w:tabs>
              <w:ind w:left="473" w:hanging="450"/>
              <w:cnfStyle w:val="000000000000" w:firstRow="0" w:lastRow="0" w:firstColumn="0" w:lastColumn="0" w:oddVBand="0" w:evenVBand="0" w:oddHBand="0" w:evenHBand="0" w:firstRowFirstColumn="0" w:firstRowLastColumn="0" w:lastRowFirstColumn="0" w:lastRowLastColumn="0"/>
            </w:pPr>
          </w:p>
        </w:tc>
      </w:tr>
      <w:tr w:rsidR="00554171" w:rsidRPr="00332CC0" w:rsidTr="00461F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554171" w:rsidRPr="00332CC0" w:rsidRDefault="00554171" w:rsidP="00040D3F">
            <w:pPr>
              <w:tabs>
                <w:tab w:val="left" w:pos="4950"/>
              </w:tabs>
            </w:pPr>
            <w:r w:rsidRPr="00332CC0">
              <w:t>19</w:t>
            </w:r>
          </w:p>
        </w:tc>
        <w:tc>
          <w:tcPr>
            <w:tcW w:w="2014" w:type="dxa"/>
          </w:tcPr>
          <w:p w:rsidR="00554171" w:rsidRPr="00332CC0" w:rsidRDefault="00554171" w:rsidP="00040D3F">
            <w:pPr>
              <w:tabs>
                <w:tab w:val="left" w:pos="4950"/>
              </w:tabs>
              <w:cnfStyle w:val="000000100000" w:firstRow="0" w:lastRow="0" w:firstColumn="0" w:lastColumn="0" w:oddVBand="0" w:evenVBand="0" w:oddHBand="1" w:evenHBand="0" w:firstRowFirstColumn="0" w:firstRowLastColumn="0" w:lastRowFirstColumn="0" w:lastRowLastColumn="0"/>
            </w:pPr>
            <w:r w:rsidRPr="00332CC0">
              <w:t>Trade union membership</w:t>
            </w:r>
          </w:p>
        </w:tc>
        <w:tc>
          <w:tcPr>
            <w:tcW w:w="2424" w:type="dxa"/>
          </w:tcPr>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Unionisation rate</w:t>
            </w:r>
          </w:p>
        </w:tc>
        <w:tc>
          <w:tcPr>
            <w:tcW w:w="2061" w:type="dxa"/>
          </w:tcPr>
          <w:p w:rsidR="00554171" w:rsidRPr="00332CC0" w:rsidRDefault="00554171" w:rsidP="00040D3F">
            <w:pPr>
              <w:pStyle w:val="ListParagraph"/>
              <w:numPr>
                <w:ilvl w:val="0"/>
                <w:numId w:val="1"/>
              </w:numPr>
              <w:tabs>
                <w:tab w:val="left" w:pos="4950"/>
              </w:tabs>
              <w:ind w:left="520" w:hanging="520"/>
              <w:cnfStyle w:val="000000100000" w:firstRow="0" w:lastRow="0" w:firstColumn="0" w:lastColumn="0" w:oddVBand="0" w:evenVBand="0" w:oddHBand="1" w:evenHBand="0" w:firstRowFirstColumn="0" w:firstRowLastColumn="0" w:lastRowFirstColumn="0" w:lastRowLastColumn="0"/>
            </w:pPr>
            <w:r w:rsidRPr="00332CC0">
              <w:t>Sex/Gender</w:t>
            </w:r>
          </w:p>
          <w:p w:rsidR="00554171" w:rsidRPr="00332CC0" w:rsidRDefault="00554171" w:rsidP="00040D3F">
            <w:pPr>
              <w:pStyle w:val="ListParagraph"/>
              <w:numPr>
                <w:ilvl w:val="0"/>
                <w:numId w:val="1"/>
              </w:numPr>
              <w:tabs>
                <w:tab w:val="left" w:pos="4950"/>
              </w:tabs>
              <w:ind w:left="520" w:hanging="520"/>
              <w:cnfStyle w:val="000000100000" w:firstRow="0" w:lastRow="0" w:firstColumn="0" w:lastColumn="0" w:oddVBand="0" w:evenVBand="0" w:oddHBand="1" w:evenHBand="0" w:firstRowFirstColumn="0" w:firstRowLastColumn="0" w:lastRowFirstColumn="0" w:lastRowLastColumn="0"/>
            </w:pPr>
            <w:r w:rsidRPr="00332CC0">
              <w:t>Ethnicity</w:t>
            </w:r>
          </w:p>
        </w:tc>
        <w:tc>
          <w:tcPr>
            <w:tcW w:w="2209" w:type="dxa"/>
          </w:tcPr>
          <w:p w:rsidR="00554171" w:rsidRPr="00332CC0" w:rsidRDefault="00554171" w:rsidP="00040D3F">
            <w:pPr>
              <w:pStyle w:val="ListParagraph"/>
              <w:numPr>
                <w:ilvl w:val="0"/>
                <w:numId w:val="1"/>
              </w:numPr>
              <w:tabs>
                <w:tab w:val="left" w:pos="4950"/>
              </w:tabs>
              <w:ind w:left="473" w:hanging="450"/>
              <w:cnfStyle w:val="000000100000" w:firstRow="0" w:lastRow="0" w:firstColumn="0" w:lastColumn="0" w:oddVBand="0" w:evenVBand="0" w:oddHBand="1" w:evenHBand="0" w:firstRowFirstColumn="0" w:firstRowLastColumn="0" w:lastRowFirstColumn="0" w:lastRowLastColumn="0"/>
            </w:pPr>
            <w:r w:rsidRPr="00332CC0">
              <w:t>Dept of Labour Annual Union Membership Return Report</w:t>
            </w:r>
          </w:p>
        </w:tc>
      </w:tr>
      <w:tr w:rsidR="00554171" w:rsidRPr="00332CC0" w:rsidTr="00461F0D">
        <w:tc>
          <w:tcPr>
            <w:cnfStyle w:val="001000000000" w:firstRow="0" w:lastRow="0" w:firstColumn="1" w:lastColumn="0" w:oddVBand="0" w:evenVBand="0" w:oddHBand="0" w:evenHBand="0" w:firstRowFirstColumn="0" w:firstRowLastColumn="0" w:lastRowFirstColumn="0" w:lastRowLastColumn="0"/>
            <w:tcW w:w="534" w:type="dxa"/>
          </w:tcPr>
          <w:p w:rsidR="00554171" w:rsidRPr="00332CC0" w:rsidRDefault="00554171" w:rsidP="00040D3F">
            <w:pPr>
              <w:tabs>
                <w:tab w:val="left" w:pos="4950"/>
              </w:tabs>
            </w:pPr>
            <w:r w:rsidRPr="00332CC0">
              <w:t>20</w:t>
            </w:r>
          </w:p>
        </w:tc>
        <w:tc>
          <w:tcPr>
            <w:tcW w:w="2014" w:type="dxa"/>
          </w:tcPr>
          <w:p w:rsidR="00554171" w:rsidRPr="00332CC0" w:rsidRDefault="00554171" w:rsidP="00040D3F">
            <w:pPr>
              <w:tabs>
                <w:tab w:val="left" w:pos="4950"/>
              </w:tabs>
              <w:cnfStyle w:val="000000000000" w:firstRow="0" w:lastRow="0" w:firstColumn="0" w:lastColumn="0" w:oddVBand="0" w:evenVBand="0" w:oddHBand="0" w:evenHBand="0" w:firstRowFirstColumn="0" w:firstRowLastColumn="0" w:lastRowFirstColumn="0" w:lastRowLastColumn="0"/>
            </w:pPr>
            <w:r w:rsidRPr="00332CC0">
              <w:t>Transparency of pay rates (including starting rates)</w:t>
            </w:r>
          </w:p>
        </w:tc>
        <w:tc>
          <w:tcPr>
            <w:tcW w:w="2424" w:type="dxa"/>
          </w:tcPr>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Company websites include pay bands for each occupational group</w:t>
            </w:r>
          </w:p>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Companies report starting rates for each occupation</w:t>
            </w:r>
          </w:p>
        </w:tc>
        <w:tc>
          <w:tcPr>
            <w:tcW w:w="2061" w:type="dxa"/>
          </w:tcPr>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Sex/Gender</w:t>
            </w:r>
          </w:p>
        </w:tc>
        <w:tc>
          <w:tcPr>
            <w:tcW w:w="2209" w:type="dxa"/>
          </w:tcPr>
          <w:p w:rsidR="00554171" w:rsidRPr="00332CC0" w:rsidRDefault="00554171" w:rsidP="00040D3F">
            <w:pPr>
              <w:pStyle w:val="ListParagraph"/>
              <w:numPr>
                <w:ilvl w:val="0"/>
                <w:numId w:val="1"/>
              </w:numPr>
              <w:tabs>
                <w:tab w:val="left" w:pos="4950"/>
              </w:tabs>
              <w:ind w:left="473" w:hanging="450"/>
              <w:cnfStyle w:val="000000000000" w:firstRow="0" w:lastRow="0" w:firstColumn="0" w:lastColumn="0" w:oddVBand="0" w:evenVBand="0" w:oddHBand="0" w:evenHBand="0" w:firstRowFirstColumn="0" w:firstRowLastColumn="0" w:lastRowFirstColumn="0" w:lastRowLastColumn="0"/>
            </w:pPr>
            <w:r w:rsidRPr="00332CC0">
              <w:t>Research required, not generally available currently</w:t>
            </w:r>
          </w:p>
        </w:tc>
      </w:tr>
    </w:tbl>
    <w:p w:rsidR="00ED601B" w:rsidRDefault="00ED601B" w:rsidP="00554171">
      <w:pPr>
        <w:tabs>
          <w:tab w:val="left" w:pos="4950"/>
        </w:tabs>
      </w:pPr>
    </w:p>
    <w:p w:rsidR="00ED601B" w:rsidRDefault="00ED601B">
      <w:pPr>
        <w:spacing w:after="200" w:line="276" w:lineRule="auto"/>
      </w:pPr>
      <w:r>
        <w:br w:type="page"/>
      </w:r>
    </w:p>
    <w:p w:rsidR="004E76D5" w:rsidRPr="00332CC0" w:rsidRDefault="004E76D5" w:rsidP="004E76D5">
      <w:pPr>
        <w:rPr>
          <w:rFonts w:asciiTheme="majorHAnsi" w:hAnsiTheme="majorHAnsi"/>
          <w:b/>
          <w:color w:val="00B0F0"/>
          <w:sz w:val="72"/>
          <w:szCs w:val="72"/>
        </w:rPr>
      </w:pPr>
      <w:r w:rsidRPr="00332CC0">
        <w:rPr>
          <w:rFonts w:asciiTheme="majorHAnsi" w:hAnsiTheme="majorHAnsi"/>
          <w:b/>
          <w:color w:val="00B0F0"/>
          <w:sz w:val="72"/>
          <w:szCs w:val="72"/>
        </w:rPr>
        <w:t>What next?</w:t>
      </w:r>
    </w:p>
    <w:p w:rsidR="004E76D5" w:rsidRPr="00332CC0" w:rsidRDefault="004E76D5" w:rsidP="004E76D5">
      <w:pPr>
        <w:jc w:val="both"/>
        <w:rPr>
          <w:rFonts w:cs="Arial"/>
          <w:sz w:val="22"/>
          <w:szCs w:val="22"/>
        </w:rPr>
      </w:pPr>
      <w:r w:rsidRPr="00332CC0">
        <w:rPr>
          <w:rFonts w:cs="Arial"/>
          <w:sz w:val="22"/>
          <w:szCs w:val="22"/>
        </w:rPr>
        <w:t xml:space="preserve">The Commission believes that to push on with equality in workplaces and to assist employers and employees, the following needs to happen.  These recommendations represent the top areas for action that will advance equal employment opportunities in New Zealand. </w:t>
      </w:r>
    </w:p>
    <w:p w:rsidR="004E76D5" w:rsidRPr="00332CC0" w:rsidRDefault="004E76D5" w:rsidP="004E76D5">
      <w:pPr>
        <w:jc w:val="both"/>
        <w:rPr>
          <w:rFonts w:cs="Arial"/>
          <w:sz w:val="22"/>
          <w:szCs w:val="22"/>
        </w:rPr>
      </w:pPr>
    </w:p>
    <w:p w:rsidR="004E76D5" w:rsidRPr="00332CC0" w:rsidRDefault="004E76D5" w:rsidP="004E76D5">
      <w:pPr>
        <w:rPr>
          <w:rFonts w:asciiTheme="majorHAnsi" w:hAnsiTheme="majorHAnsi" w:cs="Arial"/>
          <w:b/>
          <w:color w:val="00B0F0"/>
          <w:sz w:val="48"/>
          <w:szCs w:val="48"/>
        </w:rPr>
      </w:pPr>
      <w:r w:rsidRPr="00332CC0">
        <w:rPr>
          <w:rFonts w:asciiTheme="majorHAnsi" w:hAnsiTheme="majorHAnsi" w:cs="Arial"/>
          <w:b/>
          <w:color w:val="00B0F0"/>
          <w:sz w:val="48"/>
          <w:szCs w:val="48"/>
        </w:rPr>
        <w:t>For the Commission</w:t>
      </w:r>
    </w:p>
    <w:p w:rsidR="004E76D5" w:rsidRPr="00332CC0" w:rsidRDefault="004E76D5" w:rsidP="004E76D5">
      <w:pPr>
        <w:jc w:val="both"/>
        <w:rPr>
          <w:rFonts w:cs="Arial"/>
          <w:sz w:val="22"/>
          <w:szCs w:val="22"/>
        </w:rPr>
      </w:pPr>
      <w:r w:rsidRPr="00332CC0">
        <w:rPr>
          <w:rFonts w:cs="Arial"/>
          <w:b/>
          <w:sz w:val="28"/>
          <w:szCs w:val="28"/>
        </w:rPr>
        <w:t>Recommendation 1</w:t>
      </w:r>
      <w:r w:rsidRPr="00332CC0">
        <w:rPr>
          <w:rFonts w:cs="Arial"/>
          <w:b/>
          <w:sz w:val="22"/>
          <w:szCs w:val="22"/>
        </w:rPr>
        <w:t>:</w:t>
      </w:r>
      <w:r w:rsidRPr="00332CC0">
        <w:rPr>
          <w:rFonts w:cs="Arial"/>
          <w:sz w:val="22"/>
          <w:szCs w:val="22"/>
        </w:rPr>
        <w:t xml:space="preserve"> Monitor and report on the new equality indicators to track progress in achieving equality at work in New Zealand.</w:t>
      </w:r>
    </w:p>
    <w:p w:rsidR="004E76D5" w:rsidRPr="00332CC0" w:rsidRDefault="004E76D5" w:rsidP="004E76D5">
      <w:pPr>
        <w:jc w:val="both"/>
        <w:rPr>
          <w:rFonts w:cs="Arial"/>
          <w:sz w:val="22"/>
          <w:szCs w:val="22"/>
        </w:rPr>
      </w:pPr>
    </w:p>
    <w:p w:rsidR="004E76D5" w:rsidRPr="00332CC0" w:rsidRDefault="004E76D5" w:rsidP="004E76D5">
      <w:pPr>
        <w:jc w:val="both"/>
        <w:rPr>
          <w:rFonts w:cs="Arial"/>
          <w:sz w:val="22"/>
          <w:szCs w:val="22"/>
        </w:rPr>
      </w:pPr>
      <w:r w:rsidRPr="00332CC0">
        <w:rPr>
          <w:rFonts w:cs="Arial"/>
          <w:b/>
          <w:sz w:val="28"/>
          <w:szCs w:val="28"/>
        </w:rPr>
        <w:t>Recommendation 2</w:t>
      </w:r>
      <w:r w:rsidRPr="00332CC0">
        <w:rPr>
          <w:rFonts w:cs="Arial"/>
          <w:b/>
          <w:sz w:val="22"/>
          <w:szCs w:val="22"/>
        </w:rPr>
        <w:t xml:space="preserve">:  </w:t>
      </w:r>
      <w:r w:rsidRPr="00332CC0">
        <w:rPr>
          <w:rFonts w:cs="Arial"/>
          <w:sz w:val="22"/>
          <w:szCs w:val="22"/>
        </w:rPr>
        <w:t xml:space="preserve">Promote the Pay Equality Bill with Government, other political parties, trade unions, employers and the broader public, and prompt political and public discussion about realising the right to gender equality in pay. </w:t>
      </w:r>
    </w:p>
    <w:p w:rsidR="004E76D5" w:rsidRPr="00332CC0" w:rsidRDefault="004E76D5" w:rsidP="004E76D5">
      <w:pPr>
        <w:jc w:val="both"/>
        <w:rPr>
          <w:rFonts w:cs="Arial"/>
          <w:sz w:val="22"/>
          <w:szCs w:val="22"/>
        </w:rPr>
      </w:pPr>
    </w:p>
    <w:p w:rsidR="004E76D5" w:rsidRPr="00332CC0" w:rsidRDefault="004E76D5" w:rsidP="004E76D5">
      <w:pPr>
        <w:jc w:val="both"/>
        <w:rPr>
          <w:rFonts w:cs="Arial"/>
          <w:sz w:val="22"/>
          <w:szCs w:val="22"/>
        </w:rPr>
      </w:pPr>
      <w:r w:rsidRPr="00332CC0">
        <w:rPr>
          <w:rFonts w:cs="Arial"/>
          <w:b/>
          <w:sz w:val="28"/>
          <w:szCs w:val="28"/>
        </w:rPr>
        <w:t>Recommendation 3</w:t>
      </w:r>
      <w:r w:rsidRPr="00332CC0">
        <w:rPr>
          <w:rFonts w:cs="Arial"/>
          <w:b/>
          <w:sz w:val="22"/>
          <w:szCs w:val="22"/>
        </w:rPr>
        <w:t xml:space="preserve">:  </w:t>
      </w:r>
      <w:r w:rsidRPr="00332CC0">
        <w:rPr>
          <w:rFonts w:cs="Arial"/>
          <w:sz w:val="22"/>
          <w:szCs w:val="22"/>
        </w:rPr>
        <w:t>Promote the new equality framework with New Zealand businesses and employers to reinforce the case for greater equality, diversity and equal treatment at work.</w:t>
      </w:r>
    </w:p>
    <w:p w:rsidR="004E76D5" w:rsidRPr="00332CC0" w:rsidRDefault="004E76D5" w:rsidP="004E76D5">
      <w:pPr>
        <w:jc w:val="both"/>
        <w:rPr>
          <w:rFonts w:cs="Arial"/>
          <w:sz w:val="22"/>
          <w:szCs w:val="22"/>
        </w:rPr>
      </w:pPr>
    </w:p>
    <w:p w:rsidR="004E76D5" w:rsidRPr="00332CC0" w:rsidRDefault="004E76D5" w:rsidP="004E76D5">
      <w:pPr>
        <w:jc w:val="both"/>
        <w:rPr>
          <w:rFonts w:cs="Arial"/>
          <w:sz w:val="22"/>
          <w:szCs w:val="22"/>
        </w:rPr>
      </w:pPr>
      <w:r w:rsidRPr="00332CC0">
        <w:rPr>
          <w:rFonts w:cs="Arial"/>
          <w:b/>
          <w:sz w:val="28"/>
          <w:szCs w:val="28"/>
        </w:rPr>
        <w:t>Recommendation 4</w:t>
      </w:r>
      <w:r w:rsidRPr="00332CC0">
        <w:rPr>
          <w:rFonts w:cs="Arial"/>
          <w:b/>
          <w:sz w:val="22"/>
          <w:szCs w:val="22"/>
        </w:rPr>
        <w:t xml:space="preserve">:  </w:t>
      </w:r>
      <w:r w:rsidRPr="00332CC0">
        <w:rPr>
          <w:rFonts w:cs="Arial"/>
          <w:sz w:val="22"/>
          <w:szCs w:val="22"/>
        </w:rPr>
        <w:t>Advocate for the promotion and protection of equality at work with trade unions and community/stakeholder groups</w:t>
      </w:r>
      <w:r>
        <w:rPr>
          <w:rFonts w:cs="Arial"/>
          <w:sz w:val="22"/>
          <w:szCs w:val="22"/>
        </w:rPr>
        <w:t>.</w:t>
      </w:r>
    </w:p>
    <w:p w:rsidR="004E76D5" w:rsidRPr="00332CC0" w:rsidRDefault="004E76D5" w:rsidP="004E76D5">
      <w:pPr>
        <w:jc w:val="both"/>
        <w:rPr>
          <w:rFonts w:cs="Arial"/>
          <w:sz w:val="22"/>
          <w:szCs w:val="22"/>
        </w:rPr>
      </w:pPr>
    </w:p>
    <w:p w:rsidR="004E76D5" w:rsidRPr="00332CC0" w:rsidRDefault="004E76D5" w:rsidP="004E76D5">
      <w:pPr>
        <w:jc w:val="both"/>
        <w:rPr>
          <w:rFonts w:cs="Arial"/>
          <w:sz w:val="22"/>
          <w:szCs w:val="22"/>
        </w:rPr>
      </w:pPr>
      <w:r w:rsidRPr="00332CC0">
        <w:rPr>
          <w:rFonts w:cs="Arial"/>
          <w:b/>
          <w:sz w:val="28"/>
          <w:szCs w:val="28"/>
        </w:rPr>
        <w:t>Recommendation 5</w:t>
      </w:r>
      <w:r w:rsidRPr="00332CC0">
        <w:rPr>
          <w:rFonts w:cs="Arial"/>
          <w:b/>
          <w:sz w:val="22"/>
          <w:szCs w:val="22"/>
        </w:rPr>
        <w:t>:</w:t>
      </w:r>
      <w:r w:rsidRPr="00332CC0">
        <w:rPr>
          <w:rFonts w:cs="Arial"/>
          <w:sz w:val="22"/>
          <w:szCs w:val="22"/>
        </w:rPr>
        <w:t xml:space="preserve">  Continue efforts to eliminate discrimination and barriers to employment for disadvantaged groups through increased monitoring, further development of guidelines and tools, and advocacy to prevent complaints.</w:t>
      </w:r>
    </w:p>
    <w:p w:rsidR="004E76D5" w:rsidRPr="00332CC0" w:rsidRDefault="004E76D5" w:rsidP="004E76D5">
      <w:pPr>
        <w:jc w:val="both"/>
        <w:rPr>
          <w:rFonts w:cs="Arial"/>
          <w:sz w:val="22"/>
          <w:szCs w:val="22"/>
        </w:rPr>
      </w:pPr>
    </w:p>
    <w:p w:rsidR="004E76D5" w:rsidRPr="00332CC0" w:rsidRDefault="004E76D5" w:rsidP="004E76D5">
      <w:pPr>
        <w:rPr>
          <w:rFonts w:asciiTheme="majorHAnsi" w:hAnsiTheme="majorHAnsi" w:cs="Arial"/>
          <w:b/>
          <w:color w:val="00B0F0"/>
          <w:sz w:val="48"/>
          <w:szCs w:val="48"/>
        </w:rPr>
      </w:pPr>
      <w:r w:rsidRPr="00332CC0">
        <w:rPr>
          <w:rFonts w:asciiTheme="majorHAnsi" w:hAnsiTheme="majorHAnsi" w:cs="Arial"/>
          <w:b/>
          <w:color w:val="00B0F0"/>
          <w:sz w:val="48"/>
          <w:szCs w:val="48"/>
        </w:rPr>
        <w:t>For the Government</w:t>
      </w:r>
    </w:p>
    <w:p w:rsidR="004E76D5" w:rsidRPr="00332CC0" w:rsidRDefault="004E76D5" w:rsidP="004E76D5">
      <w:pPr>
        <w:jc w:val="both"/>
        <w:rPr>
          <w:rFonts w:cs="Arial"/>
          <w:sz w:val="22"/>
          <w:szCs w:val="22"/>
        </w:rPr>
      </w:pPr>
      <w:r w:rsidRPr="00332CC0">
        <w:rPr>
          <w:rFonts w:cs="Arial"/>
          <w:b/>
          <w:sz w:val="28"/>
          <w:szCs w:val="28"/>
        </w:rPr>
        <w:t>Recommendation 6</w:t>
      </w:r>
      <w:r w:rsidRPr="00332CC0">
        <w:rPr>
          <w:rFonts w:cs="Arial"/>
          <w:b/>
          <w:sz w:val="22"/>
          <w:szCs w:val="22"/>
        </w:rPr>
        <w:t xml:space="preserve">:  </w:t>
      </w:r>
      <w:r w:rsidRPr="00332CC0">
        <w:rPr>
          <w:rFonts w:cs="Arial"/>
          <w:sz w:val="22"/>
          <w:szCs w:val="22"/>
        </w:rPr>
        <w:t>Develop a national youth-to-work strategy that includes a plan for every young New Zealander that has cross-party support and sufficient long-term funding security.  The strategy must be responsive to the needs of Māori, Pacific and disabled youth.</w:t>
      </w:r>
    </w:p>
    <w:p w:rsidR="004E76D5" w:rsidRPr="00332CC0" w:rsidRDefault="004E76D5" w:rsidP="004E76D5">
      <w:pPr>
        <w:jc w:val="both"/>
        <w:rPr>
          <w:rFonts w:cs="Arial"/>
          <w:sz w:val="22"/>
          <w:szCs w:val="22"/>
        </w:rPr>
      </w:pPr>
    </w:p>
    <w:p w:rsidR="004E76D5" w:rsidRPr="00332CC0" w:rsidRDefault="004E76D5" w:rsidP="004E76D5">
      <w:pPr>
        <w:jc w:val="both"/>
        <w:rPr>
          <w:rFonts w:cs="Arial"/>
          <w:sz w:val="22"/>
          <w:szCs w:val="22"/>
        </w:rPr>
      </w:pPr>
      <w:r w:rsidRPr="00332CC0">
        <w:rPr>
          <w:rFonts w:cs="Arial"/>
          <w:b/>
          <w:sz w:val="28"/>
          <w:szCs w:val="28"/>
        </w:rPr>
        <w:t>Recommendation 7</w:t>
      </w:r>
      <w:r w:rsidRPr="00332CC0">
        <w:rPr>
          <w:rFonts w:cs="Arial"/>
          <w:b/>
          <w:sz w:val="22"/>
          <w:szCs w:val="22"/>
        </w:rPr>
        <w:t>:</w:t>
      </w:r>
      <w:r w:rsidRPr="00332CC0">
        <w:rPr>
          <w:rFonts w:cs="Arial"/>
          <w:sz w:val="22"/>
          <w:szCs w:val="22"/>
        </w:rPr>
        <w:t xml:space="preserve">  Renew efforts to ensure that public sector departments exhibit exemplary EEO practice and are properly monitored.  Urgently review the role the State Services Commission plays in providing ‘good employer’ advice to Chief Executives and monitoring EEO in the public sector.</w:t>
      </w:r>
    </w:p>
    <w:p w:rsidR="004E76D5" w:rsidRPr="00332CC0" w:rsidRDefault="004E76D5" w:rsidP="004E76D5">
      <w:pPr>
        <w:jc w:val="both"/>
        <w:rPr>
          <w:rFonts w:cs="Arial"/>
          <w:sz w:val="22"/>
          <w:szCs w:val="22"/>
        </w:rPr>
      </w:pPr>
    </w:p>
    <w:p w:rsidR="004E76D5" w:rsidRPr="00332CC0" w:rsidRDefault="004E76D5" w:rsidP="004E76D5">
      <w:pPr>
        <w:jc w:val="both"/>
        <w:rPr>
          <w:rFonts w:cs="Arial"/>
          <w:sz w:val="22"/>
          <w:szCs w:val="22"/>
        </w:rPr>
      </w:pPr>
      <w:r w:rsidRPr="00332CC0">
        <w:rPr>
          <w:rFonts w:cs="Arial"/>
          <w:b/>
          <w:sz w:val="28"/>
          <w:szCs w:val="28"/>
        </w:rPr>
        <w:t>Recommendation 8</w:t>
      </w:r>
      <w:r w:rsidRPr="00332CC0">
        <w:rPr>
          <w:rFonts w:cs="Arial"/>
          <w:b/>
          <w:sz w:val="22"/>
          <w:szCs w:val="22"/>
        </w:rPr>
        <w:t>:</w:t>
      </w:r>
      <w:r w:rsidRPr="00332CC0">
        <w:rPr>
          <w:rFonts w:cs="Arial"/>
          <w:sz w:val="22"/>
          <w:szCs w:val="22"/>
        </w:rPr>
        <w:t xml:space="preserve"> Amend the Employment Relations Act 2000 to include a positive duty to be a ‘good employer’ to the private sector, in addition to the statutory obligation in the public sector.</w:t>
      </w:r>
    </w:p>
    <w:p w:rsidR="004E76D5" w:rsidRPr="00332CC0" w:rsidRDefault="004E76D5" w:rsidP="004E76D5">
      <w:pPr>
        <w:jc w:val="both"/>
        <w:rPr>
          <w:rFonts w:cs="Arial"/>
          <w:sz w:val="22"/>
          <w:szCs w:val="22"/>
        </w:rPr>
      </w:pPr>
    </w:p>
    <w:p w:rsidR="004E76D5" w:rsidRPr="00332CC0" w:rsidRDefault="004E76D5" w:rsidP="004E76D5">
      <w:pPr>
        <w:jc w:val="both"/>
        <w:rPr>
          <w:rFonts w:cs="Arial"/>
          <w:sz w:val="22"/>
          <w:szCs w:val="22"/>
        </w:rPr>
      </w:pPr>
      <w:r w:rsidRPr="00332CC0">
        <w:rPr>
          <w:rFonts w:cs="Arial"/>
          <w:b/>
          <w:sz w:val="28"/>
          <w:szCs w:val="28"/>
        </w:rPr>
        <w:t>Recommendation 9</w:t>
      </w:r>
      <w:r w:rsidRPr="00332CC0">
        <w:rPr>
          <w:rFonts w:cs="Arial"/>
          <w:b/>
          <w:sz w:val="22"/>
          <w:szCs w:val="22"/>
        </w:rPr>
        <w:t xml:space="preserve">: </w:t>
      </w:r>
      <w:r w:rsidRPr="00332CC0">
        <w:rPr>
          <w:rFonts w:cs="Arial"/>
          <w:sz w:val="22"/>
          <w:szCs w:val="22"/>
        </w:rPr>
        <w:t>Ratify the outstanding two core ILO standards 87 – Freedom of Association and Protection of the Right to Organise and 138 – Minimum Age; and support the development of new ILO standards including for domestic workers.</w:t>
      </w:r>
    </w:p>
    <w:p w:rsidR="004E76D5" w:rsidRPr="00332CC0" w:rsidRDefault="004E76D5" w:rsidP="004E76D5">
      <w:pPr>
        <w:jc w:val="both"/>
        <w:rPr>
          <w:rFonts w:cs="Arial"/>
          <w:sz w:val="22"/>
          <w:szCs w:val="22"/>
        </w:rPr>
      </w:pPr>
    </w:p>
    <w:p w:rsidR="004E76D5" w:rsidRPr="00332CC0" w:rsidRDefault="004E76D5" w:rsidP="004E76D5">
      <w:pPr>
        <w:jc w:val="both"/>
        <w:rPr>
          <w:rFonts w:cs="Arial"/>
          <w:sz w:val="22"/>
          <w:szCs w:val="22"/>
        </w:rPr>
      </w:pPr>
      <w:r w:rsidRPr="00332CC0">
        <w:rPr>
          <w:rFonts w:cs="Arial"/>
          <w:b/>
          <w:sz w:val="28"/>
          <w:szCs w:val="28"/>
        </w:rPr>
        <w:t>Recommendation 10</w:t>
      </w:r>
      <w:r w:rsidRPr="00332CC0">
        <w:rPr>
          <w:rFonts w:cs="Arial"/>
          <w:b/>
          <w:sz w:val="22"/>
          <w:szCs w:val="22"/>
        </w:rPr>
        <w:t xml:space="preserve">:  </w:t>
      </w:r>
      <w:r w:rsidRPr="00332CC0">
        <w:rPr>
          <w:rFonts w:cs="Arial"/>
          <w:sz w:val="22"/>
          <w:szCs w:val="22"/>
        </w:rPr>
        <w:t>Improve labour market information at the regional and sub-regional level and the provision of labour market information for disabled people.</w:t>
      </w:r>
    </w:p>
    <w:p w:rsidR="0078171C" w:rsidRDefault="0078171C">
      <w:pPr>
        <w:spacing w:after="200" w:line="276" w:lineRule="auto"/>
        <w:rPr>
          <w:rFonts w:asciiTheme="majorHAnsi" w:hAnsiTheme="majorHAnsi" w:cs="Arial"/>
          <w:b/>
          <w:color w:val="00B0F0"/>
          <w:sz w:val="48"/>
          <w:szCs w:val="48"/>
        </w:rPr>
      </w:pPr>
      <w:r>
        <w:rPr>
          <w:rFonts w:asciiTheme="majorHAnsi" w:hAnsiTheme="majorHAnsi" w:cs="Arial"/>
          <w:b/>
          <w:color w:val="00B0F0"/>
          <w:sz w:val="48"/>
          <w:szCs w:val="48"/>
        </w:rPr>
        <w:br w:type="page"/>
      </w:r>
    </w:p>
    <w:p w:rsidR="00554171" w:rsidRPr="00332CC0" w:rsidRDefault="003A4AC4" w:rsidP="00A236CF">
      <w:pPr>
        <w:spacing w:after="200" w:line="276" w:lineRule="auto"/>
        <w:rPr>
          <w:rFonts w:asciiTheme="majorHAnsi" w:hAnsiTheme="majorHAnsi"/>
          <w:b/>
          <w:color w:val="00B0F0"/>
          <w:sz w:val="72"/>
          <w:szCs w:val="72"/>
        </w:rPr>
      </w:pP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16510</wp:posOffset>
                </wp:positionH>
                <wp:positionV relativeFrom="paragraph">
                  <wp:posOffset>695325</wp:posOffset>
                </wp:positionV>
                <wp:extent cx="5199380" cy="8143875"/>
                <wp:effectExtent l="6985" t="9525" r="13335" b="28575"/>
                <wp:wrapNone/>
                <wp:docPr id="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8143875"/>
                        </a:xfrm>
                        <a:prstGeom prst="rect">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miter lim="800000"/>
                          <a:headEnd/>
                          <a:tailEnd/>
                        </a:ln>
                        <a:effectLst>
                          <a:outerShdw dist="28398" dir="3806097" algn="ctr" rotWithShape="0">
                            <a:schemeClr val="accent3">
                              <a:lumMod val="50000"/>
                              <a:lumOff val="0"/>
                            </a:schemeClr>
                          </a:outerShdw>
                        </a:effectLst>
                      </wps:spPr>
                      <wps:txbx>
                        <w:txbxContent>
                          <w:p w:rsidR="00BC1116" w:rsidRPr="00947147" w:rsidRDefault="00BC1116" w:rsidP="00947147">
                            <w:pPr>
                              <w:jc w:val="both"/>
                              <w:rPr>
                                <w:b/>
                                <w:sz w:val="22"/>
                                <w:szCs w:val="22"/>
                              </w:rPr>
                            </w:pPr>
                            <w:r w:rsidRPr="00947147">
                              <w:rPr>
                                <w:sz w:val="22"/>
                                <w:szCs w:val="22"/>
                              </w:rPr>
                              <w:t xml:space="preserve">The Human Rights Commission has published a number of tool kits and other resources to encourage, promote and monitor EEO. These are available on-line at </w:t>
                            </w:r>
                            <w:hyperlink r:id="rId26" w:history="1">
                              <w:r w:rsidRPr="00947147">
                                <w:rPr>
                                  <w:rStyle w:val="Hyperlink"/>
                                  <w:rFonts w:eastAsiaTheme="majorEastAsia"/>
                                  <w:b/>
                                  <w:color w:val="auto"/>
                                  <w:sz w:val="22"/>
                                  <w:szCs w:val="22"/>
                                </w:rPr>
                                <w:t>www.neon.org.nz</w:t>
                              </w:r>
                            </w:hyperlink>
                            <w:r>
                              <w:rPr>
                                <w:sz w:val="22"/>
                                <w:szCs w:val="22"/>
                              </w:rPr>
                              <w:t xml:space="preserve"> and includes the comprehensive Tracking Equality at Work report available at </w:t>
                            </w:r>
                            <w:hyperlink r:id="rId27" w:history="1">
                              <w:r w:rsidRPr="00947147">
                                <w:rPr>
                                  <w:rStyle w:val="Hyperlink"/>
                                  <w:b/>
                                  <w:color w:val="auto"/>
                                  <w:sz w:val="22"/>
                                  <w:szCs w:val="22"/>
                                </w:rPr>
                                <w:t>www.neon.org.nz/trackingequalityatwork</w:t>
                              </w:r>
                            </w:hyperlink>
                            <w:r w:rsidRPr="00947147">
                              <w:rPr>
                                <w:b/>
                                <w:sz w:val="22"/>
                                <w:szCs w:val="22"/>
                              </w:rPr>
                              <w:t xml:space="preserve"> </w:t>
                            </w:r>
                            <w:r>
                              <w:rPr>
                                <w:b/>
                                <w:sz w:val="22"/>
                                <w:szCs w:val="22"/>
                              </w:rPr>
                              <w:t xml:space="preserve">  </w:t>
                            </w:r>
                          </w:p>
                          <w:p w:rsidR="00BC1116" w:rsidRDefault="00BC1116" w:rsidP="00554171">
                            <w:pPr>
                              <w:rPr>
                                <w:sz w:val="22"/>
                                <w:szCs w:val="22"/>
                              </w:rPr>
                            </w:pPr>
                            <w:r>
                              <w:rPr>
                                <w:sz w:val="22"/>
                                <w:szCs w:val="22"/>
                              </w:rPr>
                              <w:br/>
                              <w:t>Other disability resources are available at:</w:t>
                            </w:r>
                          </w:p>
                          <w:p w:rsidR="00BC1116" w:rsidRDefault="00BC1116" w:rsidP="00554171">
                            <w:pPr>
                              <w:rPr>
                                <w:sz w:val="22"/>
                                <w:szCs w:val="22"/>
                              </w:rPr>
                            </w:pPr>
                          </w:p>
                          <w:p w:rsidR="00BC1116" w:rsidRPr="00947147" w:rsidRDefault="00BC1116" w:rsidP="00947147">
                            <w:pPr>
                              <w:pStyle w:val="ListParagraph"/>
                              <w:numPr>
                                <w:ilvl w:val="0"/>
                                <w:numId w:val="61"/>
                              </w:numPr>
                              <w:ind w:left="360"/>
                              <w:rPr>
                                <w:sz w:val="22"/>
                                <w:szCs w:val="22"/>
                              </w:rPr>
                            </w:pPr>
                            <w:r w:rsidRPr="00947147">
                              <w:rPr>
                                <w:sz w:val="22"/>
                                <w:szCs w:val="22"/>
                              </w:rPr>
                              <w:t xml:space="preserve">Human Rights Commission – </w:t>
                            </w:r>
                            <w:r w:rsidRPr="00947147">
                              <w:rPr>
                                <w:i/>
                                <w:sz w:val="22"/>
                                <w:szCs w:val="22"/>
                              </w:rPr>
                              <w:t>Disabled people</w:t>
                            </w:r>
                          </w:p>
                          <w:p w:rsidR="00BC1116" w:rsidRPr="00947147" w:rsidRDefault="003A4AC4" w:rsidP="00947147">
                            <w:pPr>
                              <w:ind w:left="360"/>
                              <w:rPr>
                                <w:sz w:val="22"/>
                                <w:szCs w:val="22"/>
                              </w:rPr>
                            </w:pPr>
                            <w:hyperlink r:id="rId28" w:history="1">
                              <w:r w:rsidR="00BC1116" w:rsidRPr="00947147">
                                <w:rPr>
                                  <w:rStyle w:val="Hyperlink"/>
                                  <w:color w:val="auto"/>
                                  <w:sz w:val="22"/>
                                  <w:szCs w:val="22"/>
                                </w:rPr>
                                <w:t>http://www.hrc.co.nz/disabled-people/</w:t>
                              </w:r>
                            </w:hyperlink>
                            <w:r w:rsidR="00BC1116" w:rsidRPr="00947147">
                              <w:rPr>
                                <w:sz w:val="22"/>
                                <w:szCs w:val="22"/>
                              </w:rPr>
                              <w:t xml:space="preserve"> </w:t>
                            </w:r>
                          </w:p>
                          <w:p w:rsidR="00BC1116" w:rsidRPr="00947147" w:rsidRDefault="00BC1116" w:rsidP="00947147">
                            <w:pPr>
                              <w:rPr>
                                <w:sz w:val="22"/>
                                <w:szCs w:val="22"/>
                              </w:rPr>
                            </w:pPr>
                          </w:p>
                          <w:p w:rsidR="00BC1116" w:rsidRPr="00947147" w:rsidRDefault="00BC1116" w:rsidP="00947147">
                            <w:pPr>
                              <w:pStyle w:val="ListParagraph"/>
                              <w:numPr>
                                <w:ilvl w:val="0"/>
                                <w:numId w:val="61"/>
                              </w:numPr>
                              <w:ind w:left="360"/>
                              <w:rPr>
                                <w:i/>
                                <w:sz w:val="22"/>
                                <w:szCs w:val="22"/>
                              </w:rPr>
                            </w:pPr>
                            <w:r w:rsidRPr="00947147">
                              <w:rPr>
                                <w:sz w:val="22"/>
                                <w:szCs w:val="22"/>
                              </w:rPr>
                              <w:t xml:space="preserve">Human Rights Commission – </w:t>
                            </w:r>
                            <w:r w:rsidRPr="00947147">
                              <w:rPr>
                                <w:i/>
                                <w:sz w:val="22"/>
                                <w:szCs w:val="22"/>
                              </w:rPr>
                              <w:t>The rights of disabled people</w:t>
                            </w:r>
                          </w:p>
                          <w:p w:rsidR="00BC1116" w:rsidRDefault="003A4AC4" w:rsidP="00947147">
                            <w:pPr>
                              <w:ind w:left="360"/>
                            </w:pPr>
                            <w:hyperlink r:id="rId29" w:history="1">
                              <w:r w:rsidR="00BC1116" w:rsidRPr="00947147">
                                <w:rPr>
                                  <w:rStyle w:val="Hyperlink"/>
                                  <w:i/>
                                  <w:color w:val="auto"/>
                                  <w:sz w:val="22"/>
                                  <w:szCs w:val="22"/>
                                </w:rPr>
                                <w:t>http://www.hrc.co.nz/hrc_new/hrc/cms/files/documents/15-Dec-2010_12-41-59_Chapter_17pp258-279.pdf</w:t>
                              </w:r>
                            </w:hyperlink>
                          </w:p>
                          <w:p w:rsidR="00BC1116" w:rsidRDefault="00BC1116" w:rsidP="00947147">
                            <w:pPr>
                              <w:ind w:left="360"/>
                            </w:pPr>
                          </w:p>
                          <w:p w:rsidR="00BC1116" w:rsidRPr="00947147" w:rsidRDefault="00BC1116" w:rsidP="00947147">
                            <w:pPr>
                              <w:pStyle w:val="ListParagraph"/>
                              <w:numPr>
                                <w:ilvl w:val="0"/>
                                <w:numId w:val="61"/>
                              </w:numPr>
                              <w:ind w:left="360"/>
                              <w:rPr>
                                <w:sz w:val="22"/>
                                <w:szCs w:val="22"/>
                              </w:rPr>
                            </w:pPr>
                            <w:r w:rsidRPr="00947147">
                              <w:rPr>
                                <w:sz w:val="22"/>
                                <w:szCs w:val="22"/>
                              </w:rPr>
                              <w:t>CCS disability action</w:t>
                            </w:r>
                          </w:p>
                          <w:p w:rsidR="00BC1116" w:rsidRPr="00947147" w:rsidRDefault="003A4AC4" w:rsidP="00947147">
                            <w:pPr>
                              <w:ind w:left="360"/>
                              <w:rPr>
                                <w:sz w:val="22"/>
                                <w:szCs w:val="22"/>
                              </w:rPr>
                            </w:pPr>
                            <w:hyperlink r:id="rId30" w:history="1">
                              <w:r w:rsidR="00BC1116" w:rsidRPr="00947147">
                                <w:rPr>
                                  <w:rStyle w:val="Hyperlink"/>
                                  <w:color w:val="auto"/>
                                  <w:sz w:val="22"/>
                                  <w:szCs w:val="22"/>
                                </w:rPr>
                                <w:t>http://www.ccsdisabilityaction.org.nz/</w:t>
                              </w:r>
                            </w:hyperlink>
                          </w:p>
                          <w:p w:rsidR="00BC1116" w:rsidRDefault="00BC1116" w:rsidP="00947147">
                            <w:pPr>
                              <w:ind w:left="360"/>
                            </w:pPr>
                          </w:p>
                          <w:p w:rsidR="00BC1116" w:rsidRPr="00947147" w:rsidRDefault="00BC1116" w:rsidP="00947147">
                            <w:pPr>
                              <w:pStyle w:val="ListParagraph"/>
                              <w:numPr>
                                <w:ilvl w:val="0"/>
                                <w:numId w:val="61"/>
                              </w:numPr>
                              <w:ind w:left="360"/>
                              <w:rPr>
                                <w:i/>
                                <w:sz w:val="22"/>
                                <w:szCs w:val="22"/>
                              </w:rPr>
                            </w:pPr>
                            <w:r>
                              <w:rPr>
                                <w:sz w:val="22"/>
                                <w:szCs w:val="22"/>
                              </w:rPr>
                              <w:t>Deaf Aotearoa New Zealand</w:t>
                            </w:r>
                          </w:p>
                          <w:p w:rsidR="00BC1116" w:rsidRPr="00947147" w:rsidRDefault="003A4AC4" w:rsidP="00947147">
                            <w:pPr>
                              <w:pStyle w:val="ListParagraph"/>
                              <w:ind w:left="360"/>
                              <w:rPr>
                                <w:i/>
                                <w:sz w:val="22"/>
                                <w:szCs w:val="22"/>
                              </w:rPr>
                            </w:pPr>
                            <w:hyperlink r:id="rId31" w:history="1">
                              <w:r w:rsidR="00BC1116" w:rsidRPr="00947147">
                                <w:rPr>
                                  <w:rStyle w:val="Hyperlink"/>
                                  <w:i/>
                                  <w:color w:val="auto"/>
                                  <w:sz w:val="22"/>
                                  <w:szCs w:val="22"/>
                                </w:rPr>
                                <w:t>http://www.deaf.co.nz/</w:t>
                              </w:r>
                            </w:hyperlink>
                            <w:r w:rsidR="00BC1116" w:rsidRPr="00947147">
                              <w:rPr>
                                <w:i/>
                                <w:sz w:val="22"/>
                                <w:szCs w:val="22"/>
                              </w:rPr>
                              <w:t xml:space="preserve">  </w:t>
                            </w:r>
                          </w:p>
                          <w:p w:rsidR="00BC1116" w:rsidRDefault="00BC1116" w:rsidP="00947147">
                            <w:pPr>
                              <w:rPr>
                                <w:i/>
                                <w:sz w:val="22"/>
                                <w:szCs w:val="22"/>
                              </w:rPr>
                            </w:pPr>
                          </w:p>
                          <w:p w:rsidR="00BC1116" w:rsidRPr="00947147" w:rsidRDefault="00BC1116" w:rsidP="00947147">
                            <w:pPr>
                              <w:pStyle w:val="ListParagraph"/>
                              <w:numPr>
                                <w:ilvl w:val="0"/>
                                <w:numId w:val="61"/>
                              </w:numPr>
                              <w:ind w:left="360"/>
                              <w:rPr>
                                <w:sz w:val="22"/>
                                <w:szCs w:val="22"/>
                              </w:rPr>
                            </w:pPr>
                            <w:r w:rsidRPr="00947147">
                              <w:rPr>
                                <w:sz w:val="22"/>
                                <w:szCs w:val="22"/>
                              </w:rPr>
                              <w:t xml:space="preserve">Department of Labour – </w:t>
                            </w:r>
                            <w:r w:rsidRPr="00947147">
                              <w:rPr>
                                <w:i/>
                                <w:sz w:val="22"/>
                                <w:szCs w:val="22"/>
                              </w:rPr>
                              <w:t>Minimum wage exemptions</w:t>
                            </w:r>
                          </w:p>
                          <w:p w:rsidR="00BC1116" w:rsidRPr="00947147" w:rsidRDefault="003A4AC4" w:rsidP="00947147">
                            <w:pPr>
                              <w:ind w:left="360"/>
                              <w:rPr>
                                <w:i/>
                                <w:sz w:val="22"/>
                                <w:szCs w:val="22"/>
                              </w:rPr>
                            </w:pPr>
                            <w:hyperlink r:id="rId32" w:history="1">
                              <w:r w:rsidR="00BC1116" w:rsidRPr="00947147">
                                <w:rPr>
                                  <w:rStyle w:val="Hyperlink"/>
                                  <w:color w:val="auto"/>
                                  <w:sz w:val="22"/>
                                  <w:szCs w:val="22"/>
                                </w:rPr>
                                <w:t>http://www.dol.govt.nz/er/pay/exemptions/disabilitiesemployers.asp</w:t>
                              </w:r>
                            </w:hyperlink>
                          </w:p>
                          <w:p w:rsidR="00BC1116" w:rsidRPr="00947147" w:rsidRDefault="00BC1116" w:rsidP="00947147">
                            <w:pPr>
                              <w:rPr>
                                <w:i/>
                                <w:sz w:val="22"/>
                                <w:szCs w:val="22"/>
                              </w:rPr>
                            </w:pPr>
                          </w:p>
                          <w:p w:rsidR="00BC1116" w:rsidRPr="00947147" w:rsidRDefault="00BC1116" w:rsidP="00947147">
                            <w:pPr>
                              <w:pStyle w:val="ListParagraph"/>
                              <w:numPr>
                                <w:ilvl w:val="0"/>
                                <w:numId w:val="61"/>
                              </w:numPr>
                              <w:ind w:left="360"/>
                              <w:rPr>
                                <w:sz w:val="22"/>
                                <w:szCs w:val="22"/>
                              </w:rPr>
                            </w:pPr>
                            <w:r w:rsidRPr="00947147">
                              <w:rPr>
                                <w:sz w:val="22"/>
                                <w:szCs w:val="22"/>
                              </w:rPr>
                              <w:t xml:space="preserve">Disability support network – </w:t>
                            </w:r>
                            <w:r w:rsidRPr="00947147">
                              <w:rPr>
                                <w:i/>
                                <w:sz w:val="22"/>
                                <w:szCs w:val="22"/>
                              </w:rPr>
                              <w:t>Disabled people in employment – The Way Forward</w:t>
                            </w:r>
                          </w:p>
                          <w:p w:rsidR="00BC1116" w:rsidRPr="00947147" w:rsidRDefault="003A4AC4" w:rsidP="00947147">
                            <w:pPr>
                              <w:ind w:left="360"/>
                              <w:rPr>
                                <w:sz w:val="22"/>
                                <w:szCs w:val="22"/>
                              </w:rPr>
                            </w:pPr>
                            <w:hyperlink r:id="rId33" w:history="1">
                              <w:r w:rsidR="00BC1116" w:rsidRPr="00947147">
                                <w:rPr>
                                  <w:rStyle w:val="Hyperlink"/>
                                  <w:color w:val="auto"/>
                                  <w:sz w:val="22"/>
                                  <w:szCs w:val="22"/>
                                </w:rPr>
                                <w:t>http://www.nzdsn.org.nz/Blogs/147/60/disabled-people-in-employment-paper-presents-the-way-forward/</w:t>
                              </w:r>
                            </w:hyperlink>
                          </w:p>
                          <w:p w:rsidR="00BC1116" w:rsidRDefault="00BC1116" w:rsidP="00947147">
                            <w:pPr>
                              <w:rPr>
                                <w:i/>
                                <w:sz w:val="22"/>
                                <w:szCs w:val="22"/>
                              </w:rPr>
                            </w:pPr>
                          </w:p>
                          <w:p w:rsidR="00BC1116" w:rsidRPr="00947147" w:rsidRDefault="00BC1116" w:rsidP="00947147">
                            <w:pPr>
                              <w:pStyle w:val="ListParagraph"/>
                              <w:numPr>
                                <w:ilvl w:val="0"/>
                                <w:numId w:val="61"/>
                              </w:numPr>
                              <w:ind w:left="360"/>
                              <w:rPr>
                                <w:sz w:val="22"/>
                                <w:szCs w:val="22"/>
                              </w:rPr>
                            </w:pPr>
                            <w:r w:rsidRPr="00947147">
                              <w:rPr>
                                <w:sz w:val="22"/>
                                <w:szCs w:val="22"/>
                              </w:rPr>
                              <w:t>DPA – The national assembly of people with disabilities</w:t>
                            </w:r>
                          </w:p>
                          <w:p w:rsidR="00BC1116" w:rsidRDefault="003A4AC4" w:rsidP="00947147">
                            <w:pPr>
                              <w:ind w:left="360"/>
                            </w:pPr>
                            <w:hyperlink r:id="rId34" w:history="1">
                              <w:r w:rsidR="00BC1116" w:rsidRPr="00947147">
                                <w:rPr>
                                  <w:rStyle w:val="Hyperlink"/>
                                  <w:color w:val="auto"/>
                                  <w:sz w:val="22"/>
                                  <w:szCs w:val="22"/>
                                </w:rPr>
                                <w:t>http://www.dpa.org.nz/</w:t>
                              </w:r>
                            </w:hyperlink>
                          </w:p>
                          <w:p w:rsidR="00BC1116" w:rsidRDefault="00BC1116" w:rsidP="00947147">
                            <w:pPr>
                              <w:ind w:left="360"/>
                            </w:pPr>
                          </w:p>
                          <w:p w:rsidR="00BC1116" w:rsidRPr="00947147" w:rsidRDefault="00BC1116" w:rsidP="00947147">
                            <w:pPr>
                              <w:pStyle w:val="ListParagraph"/>
                              <w:numPr>
                                <w:ilvl w:val="0"/>
                                <w:numId w:val="61"/>
                              </w:numPr>
                              <w:ind w:left="360"/>
                              <w:rPr>
                                <w:i/>
                                <w:sz w:val="22"/>
                                <w:szCs w:val="22"/>
                              </w:rPr>
                            </w:pPr>
                            <w:r w:rsidRPr="00947147">
                              <w:rPr>
                                <w:sz w:val="22"/>
                                <w:szCs w:val="22"/>
                              </w:rPr>
                              <w:t xml:space="preserve">EEO Trust – </w:t>
                            </w:r>
                            <w:r w:rsidRPr="00947147">
                              <w:rPr>
                                <w:i/>
                                <w:sz w:val="22"/>
                                <w:szCs w:val="22"/>
                              </w:rPr>
                              <w:t>Employing disabled people</w:t>
                            </w:r>
                          </w:p>
                          <w:p w:rsidR="00BC1116" w:rsidRPr="00947147" w:rsidRDefault="003A4AC4" w:rsidP="00947147">
                            <w:pPr>
                              <w:ind w:left="360"/>
                              <w:rPr>
                                <w:sz w:val="22"/>
                                <w:szCs w:val="22"/>
                              </w:rPr>
                            </w:pPr>
                            <w:hyperlink r:id="rId35" w:history="1">
                              <w:r w:rsidR="00BC1116" w:rsidRPr="00947147">
                                <w:rPr>
                                  <w:rStyle w:val="Hyperlink"/>
                                  <w:color w:val="auto"/>
                                  <w:sz w:val="22"/>
                                  <w:szCs w:val="22"/>
                                </w:rPr>
                                <w:t>http://www.eeotrust.org.nz/toolkits/disability.cfm</w:t>
                              </w:r>
                            </w:hyperlink>
                          </w:p>
                          <w:p w:rsidR="00BC1116" w:rsidRDefault="00BC1116" w:rsidP="00947147">
                            <w:pPr>
                              <w:ind w:left="360"/>
                            </w:pPr>
                          </w:p>
                          <w:p w:rsidR="00BC1116" w:rsidRDefault="00BC1116" w:rsidP="00947147">
                            <w:pPr>
                              <w:pStyle w:val="ListParagraph"/>
                              <w:numPr>
                                <w:ilvl w:val="0"/>
                                <w:numId w:val="61"/>
                              </w:numPr>
                              <w:ind w:left="360"/>
                              <w:rPr>
                                <w:sz w:val="22"/>
                                <w:szCs w:val="22"/>
                              </w:rPr>
                            </w:pPr>
                            <w:r>
                              <w:rPr>
                                <w:sz w:val="22"/>
                                <w:szCs w:val="22"/>
                              </w:rPr>
                              <w:t>Employers Disability Network</w:t>
                            </w:r>
                          </w:p>
                          <w:p w:rsidR="00BC1116" w:rsidRDefault="003A4AC4" w:rsidP="00947147">
                            <w:pPr>
                              <w:pStyle w:val="ListParagraph"/>
                              <w:ind w:left="360"/>
                              <w:rPr>
                                <w:sz w:val="22"/>
                                <w:szCs w:val="22"/>
                              </w:rPr>
                            </w:pPr>
                            <w:hyperlink r:id="rId36" w:history="1">
                              <w:r w:rsidR="00BC1116" w:rsidRPr="00947147">
                                <w:rPr>
                                  <w:rStyle w:val="Hyperlink"/>
                                  <w:color w:val="auto"/>
                                  <w:sz w:val="22"/>
                                  <w:szCs w:val="22"/>
                                </w:rPr>
                                <w:t>http://www.edn.org.nz/</w:t>
                              </w:r>
                            </w:hyperlink>
                            <w:r w:rsidR="00BC1116" w:rsidRPr="00947147">
                              <w:rPr>
                                <w:sz w:val="22"/>
                                <w:szCs w:val="22"/>
                              </w:rPr>
                              <w:t xml:space="preserve"> </w:t>
                            </w:r>
                          </w:p>
                          <w:p w:rsidR="00BC1116" w:rsidRDefault="00BC1116" w:rsidP="00947147">
                            <w:pPr>
                              <w:pStyle w:val="ListParagraph"/>
                              <w:ind w:left="360"/>
                              <w:rPr>
                                <w:sz w:val="22"/>
                                <w:szCs w:val="22"/>
                              </w:rPr>
                            </w:pPr>
                          </w:p>
                          <w:p w:rsidR="00BC1116" w:rsidRPr="00947147" w:rsidRDefault="00BC1116" w:rsidP="00947147">
                            <w:pPr>
                              <w:pStyle w:val="ListParagraph"/>
                              <w:numPr>
                                <w:ilvl w:val="0"/>
                                <w:numId w:val="61"/>
                              </w:numPr>
                              <w:ind w:left="360"/>
                              <w:rPr>
                                <w:sz w:val="22"/>
                                <w:szCs w:val="22"/>
                              </w:rPr>
                            </w:pPr>
                            <w:r w:rsidRPr="00947147">
                              <w:rPr>
                                <w:sz w:val="22"/>
                                <w:szCs w:val="22"/>
                              </w:rPr>
                              <w:t xml:space="preserve">Ministry of Social Development – </w:t>
                            </w:r>
                            <w:r w:rsidRPr="00947147">
                              <w:rPr>
                                <w:i/>
                                <w:sz w:val="22"/>
                                <w:szCs w:val="22"/>
                              </w:rPr>
                              <w:t>Mainstream programme</w:t>
                            </w:r>
                          </w:p>
                          <w:p w:rsidR="00BC1116" w:rsidRPr="00947147" w:rsidRDefault="003A4AC4" w:rsidP="00947147">
                            <w:pPr>
                              <w:ind w:left="360"/>
                              <w:rPr>
                                <w:sz w:val="22"/>
                                <w:szCs w:val="22"/>
                              </w:rPr>
                            </w:pPr>
                            <w:hyperlink r:id="rId37" w:history="1">
                              <w:r w:rsidR="00BC1116" w:rsidRPr="00947147">
                                <w:rPr>
                                  <w:rStyle w:val="Hyperlink"/>
                                  <w:color w:val="auto"/>
                                  <w:sz w:val="22"/>
                                  <w:szCs w:val="22"/>
                                </w:rPr>
                                <w:t>http://www.msd.govt.nz/what-we-can-do/disability-services/mainstream/</w:t>
                              </w:r>
                            </w:hyperlink>
                          </w:p>
                          <w:p w:rsidR="00BC1116" w:rsidRDefault="00BC1116" w:rsidP="00947147">
                            <w:pPr>
                              <w:pStyle w:val="ListParagraph"/>
                              <w:ind w:left="360"/>
                              <w:rPr>
                                <w:sz w:val="22"/>
                                <w:szCs w:val="22"/>
                              </w:rPr>
                            </w:pPr>
                          </w:p>
                          <w:p w:rsidR="00BC1116" w:rsidRPr="00947147" w:rsidRDefault="00BC1116" w:rsidP="00947147">
                            <w:pPr>
                              <w:pStyle w:val="ListParagraph"/>
                              <w:numPr>
                                <w:ilvl w:val="0"/>
                                <w:numId w:val="61"/>
                              </w:numPr>
                              <w:ind w:left="360"/>
                              <w:rPr>
                                <w:sz w:val="22"/>
                                <w:szCs w:val="22"/>
                              </w:rPr>
                            </w:pPr>
                            <w:r w:rsidRPr="00947147">
                              <w:rPr>
                                <w:sz w:val="22"/>
                                <w:szCs w:val="22"/>
                              </w:rPr>
                              <w:t xml:space="preserve">Office for </w:t>
                            </w:r>
                            <w:r>
                              <w:rPr>
                                <w:sz w:val="22"/>
                                <w:szCs w:val="22"/>
                              </w:rPr>
                              <w:t>Disability I</w:t>
                            </w:r>
                            <w:r w:rsidRPr="00947147">
                              <w:rPr>
                                <w:sz w:val="22"/>
                                <w:szCs w:val="22"/>
                              </w:rPr>
                              <w:t>ssues (ODI)</w:t>
                            </w:r>
                          </w:p>
                          <w:p w:rsidR="00BC1116" w:rsidRPr="00947147" w:rsidRDefault="003A4AC4" w:rsidP="00947147">
                            <w:pPr>
                              <w:ind w:left="360"/>
                              <w:rPr>
                                <w:sz w:val="22"/>
                                <w:szCs w:val="22"/>
                              </w:rPr>
                            </w:pPr>
                            <w:hyperlink r:id="rId38" w:history="1">
                              <w:r w:rsidR="00BC1116" w:rsidRPr="00947147">
                                <w:rPr>
                                  <w:rStyle w:val="Hyperlink"/>
                                  <w:color w:val="auto"/>
                                  <w:sz w:val="22"/>
                                  <w:szCs w:val="22"/>
                                </w:rPr>
                                <w:t>http://www.odi.govt.nz/about-us/index.html</w:t>
                              </w:r>
                            </w:hyperlink>
                          </w:p>
                          <w:p w:rsidR="00BC1116" w:rsidRPr="00947147" w:rsidRDefault="00BC1116" w:rsidP="00947147">
                            <w:pPr>
                              <w:rPr>
                                <w:sz w:val="22"/>
                                <w:szCs w:val="22"/>
                              </w:rPr>
                            </w:pPr>
                          </w:p>
                          <w:p w:rsidR="00BC1116" w:rsidRPr="00947147" w:rsidRDefault="00BC1116" w:rsidP="00947147">
                            <w:pPr>
                              <w:pStyle w:val="ListParagraph"/>
                              <w:numPr>
                                <w:ilvl w:val="0"/>
                                <w:numId w:val="61"/>
                              </w:numPr>
                              <w:ind w:left="360"/>
                              <w:rPr>
                                <w:sz w:val="22"/>
                                <w:szCs w:val="22"/>
                              </w:rPr>
                            </w:pPr>
                            <w:r w:rsidRPr="00947147">
                              <w:rPr>
                                <w:sz w:val="22"/>
                                <w:szCs w:val="22"/>
                              </w:rPr>
                              <w:t xml:space="preserve">People First - </w:t>
                            </w:r>
                            <w:r w:rsidRPr="00947147">
                              <w:rPr>
                                <w:i/>
                                <w:sz w:val="22"/>
                                <w:szCs w:val="22"/>
                              </w:rPr>
                              <w:t xml:space="preserve"> Resources (including for employment)</w:t>
                            </w:r>
                          </w:p>
                          <w:p w:rsidR="00BC1116" w:rsidRPr="00947147" w:rsidRDefault="003A4AC4" w:rsidP="00947147">
                            <w:pPr>
                              <w:ind w:left="360"/>
                              <w:rPr>
                                <w:sz w:val="22"/>
                                <w:szCs w:val="22"/>
                              </w:rPr>
                            </w:pPr>
                            <w:hyperlink r:id="rId39" w:history="1">
                              <w:r w:rsidR="00BC1116" w:rsidRPr="00947147">
                                <w:rPr>
                                  <w:rStyle w:val="Hyperlink"/>
                                  <w:color w:val="auto"/>
                                  <w:sz w:val="22"/>
                                  <w:szCs w:val="22"/>
                                </w:rPr>
                                <w:t>http://www.peoplefirst.org.nz/Resources/tabid/81/Default.aspx</w:t>
                              </w:r>
                            </w:hyperlink>
                          </w:p>
                          <w:p w:rsidR="00BC1116" w:rsidRPr="00947147" w:rsidRDefault="00BC1116" w:rsidP="00947147">
                            <w:pPr>
                              <w:rPr>
                                <w:sz w:val="22"/>
                                <w:szCs w:val="22"/>
                              </w:rPr>
                            </w:pPr>
                          </w:p>
                          <w:p w:rsidR="00BC1116" w:rsidRPr="00947147" w:rsidRDefault="00BC1116" w:rsidP="00947147">
                            <w:pPr>
                              <w:pStyle w:val="ListParagraph"/>
                              <w:numPr>
                                <w:ilvl w:val="0"/>
                                <w:numId w:val="61"/>
                              </w:numPr>
                              <w:ind w:left="360"/>
                              <w:rPr>
                                <w:i/>
                                <w:sz w:val="22"/>
                                <w:szCs w:val="22"/>
                              </w:rPr>
                            </w:pPr>
                            <w:r w:rsidRPr="00947147">
                              <w:rPr>
                                <w:sz w:val="22"/>
                                <w:szCs w:val="22"/>
                              </w:rPr>
                              <w:t xml:space="preserve">Workbridge – </w:t>
                            </w:r>
                            <w:r w:rsidRPr="00947147">
                              <w:rPr>
                                <w:i/>
                                <w:sz w:val="22"/>
                                <w:szCs w:val="22"/>
                              </w:rPr>
                              <w:t>Why employ disabled persons?</w:t>
                            </w:r>
                          </w:p>
                          <w:p w:rsidR="00BC1116" w:rsidRPr="00947147" w:rsidRDefault="003A4AC4" w:rsidP="00947147">
                            <w:pPr>
                              <w:ind w:left="360"/>
                              <w:rPr>
                                <w:sz w:val="22"/>
                                <w:szCs w:val="22"/>
                              </w:rPr>
                            </w:pPr>
                            <w:hyperlink r:id="rId40" w:history="1">
                              <w:r w:rsidR="00BC1116" w:rsidRPr="00947147">
                                <w:rPr>
                                  <w:rStyle w:val="Hyperlink"/>
                                  <w:color w:val="auto"/>
                                  <w:sz w:val="22"/>
                                  <w:szCs w:val="22"/>
                                </w:rPr>
                                <w:t>http://www.workbridge.co.nz/?page=1331</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8" o:spid="_x0000_s1028" type="#_x0000_t202" style="position:absolute;margin-left:1.3pt;margin-top:54.75pt;width:409.4pt;height:6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" fillcolor="#5deff6 [1942]" strokecolor="#0bd0d9 [3206]" strokeweight="1pt">
                <v:fill color2="#0bd0d9 [3206]" focus="50%" type="gradient"/>
                <v:shadow on="t" color="#05676b [1606]" offset="1pt"/>
                <v:textbox>
                  <w:txbxContent>
                    <w:p w:rsidR="00BC1116" w:rsidRPr="00947147" w:rsidRDefault="00BC1116" w:rsidP="00947147">
                      <w:pPr>
                        <w:jc w:val="both"/>
                        <w:rPr>
                          <w:b/>
                          <w:sz w:val="22"/>
                          <w:szCs w:val="22"/>
                        </w:rPr>
                      </w:pPr>
                      <w:r w:rsidRPr="00947147">
                        <w:rPr>
                          <w:sz w:val="22"/>
                          <w:szCs w:val="22"/>
                        </w:rPr>
                        <w:t xml:space="preserve">The Human Rights Commission has published a number of tool kits and other resources to encourage, promote and monitor EEO. These are available on-line at </w:t>
                      </w:r>
                      <w:hyperlink r:id="rId41" w:history="1">
                        <w:r w:rsidRPr="00947147">
                          <w:rPr>
                            <w:rStyle w:val="Hyperlink"/>
                            <w:rFonts w:eastAsiaTheme="majorEastAsia"/>
                            <w:b/>
                            <w:color w:val="auto"/>
                            <w:sz w:val="22"/>
                            <w:szCs w:val="22"/>
                          </w:rPr>
                          <w:t>www.neon.org.nz</w:t>
                        </w:r>
                      </w:hyperlink>
                      <w:r>
                        <w:rPr>
                          <w:sz w:val="22"/>
                          <w:szCs w:val="22"/>
                        </w:rPr>
                        <w:t xml:space="preserve"> and includes the comprehensive Tracking Equality at Work report available at </w:t>
                      </w:r>
                      <w:hyperlink r:id="rId42" w:history="1">
                        <w:r w:rsidRPr="00947147">
                          <w:rPr>
                            <w:rStyle w:val="Hyperlink"/>
                            <w:b/>
                            <w:color w:val="auto"/>
                            <w:sz w:val="22"/>
                            <w:szCs w:val="22"/>
                          </w:rPr>
                          <w:t>www.neon.org.nz/trackingequalityatwork</w:t>
                        </w:r>
                      </w:hyperlink>
                      <w:r w:rsidRPr="00947147">
                        <w:rPr>
                          <w:b/>
                          <w:sz w:val="22"/>
                          <w:szCs w:val="22"/>
                        </w:rPr>
                        <w:t xml:space="preserve"> </w:t>
                      </w:r>
                      <w:r>
                        <w:rPr>
                          <w:b/>
                          <w:sz w:val="22"/>
                          <w:szCs w:val="22"/>
                        </w:rPr>
                        <w:t xml:space="preserve">  </w:t>
                      </w:r>
                    </w:p>
                    <w:p w:rsidR="00BC1116" w:rsidRDefault="00BC1116" w:rsidP="00554171">
                      <w:pPr>
                        <w:rPr>
                          <w:sz w:val="22"/>
                          <w:szCs w:val="22"/>
                        </w:rPr>
                      </w:pPr>
                      <w:r>
                        <w:rPr>
                          <w:sz w:val="22"/>
                          <w:szCs w:val="22"/>
                        </w:rPr>
                        <w:br/>
                        <w:t>Other disability resources are available at:</w:t>
                      </w:r>
                    </w:p>
                    <w:p w:rsidR="00BC1116" w:rsidRDefault="00BC1116" w:rsidP="00554171">
                      <w:pPr>
                        <w:rPr>
                          <w:sz w:val="22"/>
                          <w:szCs w:val="22"/>
                        </w:rPr>
                      </w:pPr>
                    </w:p>
                    <w:p w:rsidR="00BC1116" w:rsidRPr="00947147" w:rsidRDefault="00BC1116" w:rsidP="00947147">
                      <w:pPr>
                        <w:pStyle w:val="ListParagraph"/>
                        <w:numPr>
                          <w:ilvl w:val="0"/>
                          <w:numId w:val="61"/>
                        </w:numPr>
                        <w:ind w:left="360"/>
                        <w:rPr>
                          <w:sz w:val="22"/>
                          <w:szCs w:val="22"/>
                        </w:rPr>
                      </w:pPr>
                      <w:r w:rsidRPr="00947147">
                        <w:rPr>
                          <w:sz w:val="22"/>
                          <w:szCs w:val="22"/>
                        </w:rPr>
                        <w:t xml:space="preserve">Human Rights Commission – </w:t>
                      </w:r>
                      <w:r w:rsidRPr="00947147">
                        <w:rPr>
                          <w:i/>
                          <w:sz w:val="22"/>
                          <w:szCs w:val="22"/>
                        </w:rPr>
                        <w:t>Disabled people</w:t>
                      </w:r>
                    </w:p>
                    <w:p w:rsidR="00BC1116" w:rsidRPr="00947147" w:rsidRDefault="003A4AC4" w:rsidP="00947147">
                      <w:pPr>
                        <w:ind w:left="360"/>
                        <w:rPr>
                          <w:sz w:val="22"/>
                          <w:szCs w:val="22"/>
                        </w:rPr>
                      </w:pPr>
                      <w:hyperlink r:id="rId43" w:history="1">
                        <w:r w:rsidR="00BC1116" w:rsidRPr="00947147">
                          <w:rPr>
                            <w:rStyle w:val="Hyperlink"/>
                            <w:color w:val="auto"/>
                            <w:sz w:val="22"/>
                            <w:szCs w:val="22"/>
                          </w:rPr>
                          <w:t>http://www.hrc.co.nz/disabled-people/</w:t>
                        </w:r>
                      </w:hyperlink>
                      <w:r w:rsidR="00BC1116" w:rsidRPr="00947147">
                        <w:rPr>
                          <w:sz w:val="22"/>
                          <w:szCs w:val="22"/>
                        </w:rPr>
                        <w:t xml:space="preserve"> </w:t>
                      </w:r>
                    </w:p>
                    <w:p w:rsidR="00BC1116" w:rsidRPr="00947147" w:rsidRDefault="00BC1116" w:rsidP="00947147">
                      <w:pPr>
                        <w:rPr>
                          <w:sz w:val="22"/>
                          <w:szCs w:val="22"/>
                        </w:rPr>
                      </w:pPr>
                    </w:p>
                    <w:p w:rsidR="00BC1116" w:rsidRPr="00947147" w:rsidRDefault="00BC1116" w:rsidP="00947147">
                      <w:pPr>
                        <w:pStyle w:val="ListParagraph"/>
                        <w:numPr>
                          <w:ilvl w:val="0"/>
                          <w:numId w:val="61"/>
                        </w:numPr>
                        <w:ind w:left="360"/>
                        <w:rPr>
                          <w:i/>
                          <w:sz w:val="22"/>
                          <w:szCs w:val="22"/>
                        </w:rPr>
                      </w:pPr>
                      <w:r w:rsidRPr="00947147">
                        <w:rPr>
                          <w:sz w:val="22"/>
                          <w:szCs w:val="22"/>
                        </w:rPr>
                        <w:t xml:space="preserve">Human Rights Commission – </w:t>
                      </w:r>
                      <w:r w:rsidRPr="00947147">
                        <w:rPr>
                          <w:i/>
                          <w:sz w:val="22"/>
                          <w:szCs w:val="22"/>
                        </w:rPr>
                        <w:t>The rights of disabled people</w:t>
                      </w:r>
                    </w:p>
                    <w:p w:rsidR="00BC1116" w:rsidRDefault="003A4AC4" w:rsidP="00947147">
                      <w:pPr>
                        <w:ind w:left="360"/>
                      </w:pPr>
                      <w:hyperlink r:id="rId44" w:history="1">
                        <w:r w:rsidR="00BC1116" w:rsidRPr="00947147">
                          <w:rPr>
                            <w:rStyle w:val="Hyperlink"/>
                            <w:i/>
                            <w:color w:val="auto"/>
                            <w:sz w:val="22"/>
                            <w:szCs w:val="22"/>
                          </w:rPr>
                          <w:t>http://www.hrc.co.nz/hrc_new/hrc/cms/files/documents/15-Dec-2010_12-41-59_Chapter_17pp258-279.pdf</w:t>
                        </w:r>
                      </w:hyperlink>
                    </w:p>
                    <w:p w:rsidR="00BC1116" w:rsidRDefault="00BC1116" w:rsidP="00947147">
                      <w:pPr>
                        <w:ind w:left="360"/>
                      </w:pPr>
                    </w:p>
                    <w:p w:rsidR="00BC1116" w:rsidRPr="00947147" w:rsidRDefault="00BC1116" w:rsidP="00947147">
                      <w:pPr>
                        <w:pStyle w:val="ListParagraph"/>
                        <w:numPr>
                          <w:ilvl w:val="0"/>
                          <w:numId w:val="61"/>
                        </w:numPr>
                        <w:ind w:left="360"/>
                        <w:rPr>
                          <w:sz w:val="22"/>
                          <w:szCs w:val="22"/>
                        </w:rPr>
                      </w:pPr>
                      <w:r w:rsidRPr="00947147">
                        <w:rPr>
                          <w:sz w:val="22"/>
                          <w:szCs w:val="22"/>
                        </w:rPr>
                        <w:t>CCS disability action</w:t>
                      </w:r>
                    </w:p>
                    <w:p w:rsidR="00BC1116" w:rsidRPr="00947147" w:rsidRDefault="003A4AC4" w:rsidP="00947147">
                      <w:pPr>
                        <w:ind w:left="360"/>
                        <w:rPr>
                          <w:sz w:val="22"/>
                          <w:szCs w:val="22"/>
                        </w:rPr>
                      </w:pPr>
                      <w:hyperlink r:id="rId45" w:history="1">
                        <w:r w:rsidR="00BC1116" w:rsidRPr="00947147">
                          <w:rPr>
                            <w:rStyle w:val="Hyperlink"/>
                            <w:color w:val="auto"/>
                            <w:sz w:val="22"/>
                            <w:szCs w:val="22"/>
                          </w:rPr>
                          <w:t>http://www.ccsdisabilityaction.org.nz/</w:t>
                        </w:r>
                      </w:hyperlink>
                    </w:p>
                    <w:p w:rsidR="00BC1116" w:rsidRDefault="00BC1116" w:rsidP="00947147">
                      <w:pPr>
                        <w:ind w:left="360"/>
                      </w:pPr>
                    </w:p>
                    <w:p w:rsidR="00BC1116" w:rsidRPr="00947147" w:rsidRDefault="00BC1116" w:rsidP="00947147">
                      <w:pPr>
                        <w:pStyle w:val="ListParagraph"/>
                        <w:numPr>
                          <w:ilvl w:val="0"/>
                          <w:numId w:val="61"/>
                        </w:numPr>
                        <w:ind w:left="360"/>
                        <w:rPr>
                          <w:i/>
                          <w:sz w:val="22"/>
                          <w:szCs w:val="22"/>
                        </w:rPr>
                      </w:pPr>
                      <w:r>
                        <w:rPr>
                          <w:sz w:val="22"/>
                          <w:szCs w:val="22"/>
                        </w:rPr>
                        <w:t>Deaf Aotearoa New Zealand</w:t>
                      </w:r>
                    </w:p>
                    <w:p w:rsidR="00BC1116" w:rsidRPr="00947147" w:rsidRDefault="003A4AC4" w:rsidP="00947147">
                      <w:pPr>
                        <w:pStyle w:val="ListParagraph"/>
                        <w:ind w:left="360"/>
                        <w:rPr>
                          <w:i/>
                          <w:sz w:val="22"/>
                          <w:szCs w:val="22"/>
                        </w:rPr>
                      </w:pPr>
                      <w:hyperlink r:id="rId46" w:history="1">
                        <w:r w:rsidR="00BC1116" w:rsidRPr="00947147">
                          <w:rPr>
                            <w:rStyle w:val="Hyperlink"/>
                            <w:i/>
                            <w:color w:val="auto"/>
                            <w:sz w:val="22"/>
                            <w:szCs w:val="22"/>
                          </w:rPr>
                          <w:t>http://www.deaf.co.nz/</w:t>
                        </w:r>
                      </w:hyperlink>
                      <w:r w:rsidR="00BC1116" w:rsidRPr="00947147">
                        <w:rPr>
                          <w:i/>
                          <w:sz w:val="22"/>
                          <w:szCs w:val="22"/>
                        </w:rPr>
                        <w:t xml:space="preserve">  </w:t>
                      </w:r>
                    </w:p>
                    <w:p w:rsidR="00BC1116" w:rsidRDefault="00BC1116" w:rsidP="00947147">
                      <w:pPr>
                        <w:rPr>
                          <w:i/>
                          <w:sz w:val="22"/>
                          <w:szCs w:val="22"/>
                        </w:rPr>
                      </w:pPr>
                    </w:p>
                    <w:p w:rsidR="00BC1116" w:rsidRPr="00947147" w:rsidRDefault="00BC1116" w:rsidP="00947147">
                      <w:pPr>
                        <w:pStyle w:val="ListParagraph"/>
                        <w:numPr>
                          <w:ilvl w:val="0"/>
                          <w:numId w:val="61"/>
                        </w:numPr>
                        <w:ind w:left="360"/>
                        <w:rPr>
                          <w:sz w:val="22"/>
                          <w:szCs w:val="22"/>
                        </w:rPr>
                      </w:pPr>
                      <w:r w:rsidRPr="00947147">
                        <w:rPr>
                          <w:sz w:val="22"/>
                          <w:szCs w:val="22"/>
                        </w:rPr>
                        <w:t xml:space="preserve">Department of Labour – </w:t>
                      </w:r>
                      <w:r w:rsidRPr="00947147">
                        <w:rPr>
                          <w:i/>
                          <w:sz w:val="22"/>
                          <w:szCs w:val="22"/>
                        </w:rPr>
                        <w:t>Minimum wage exemptions</w:t>
                      </w:r>
                    </w:p>
                    <w:p w:rsidR="00BC1116" w:rsidRPr="00947147" w:rsidRDefault="003A4AC4" w:rsidP="00947147">
                      <w:pPr>
                        <w:ind w:left="360"/>
                        <w:rPr>
                          <w:i/>
                          <w:sz w:val="22"/>
                          <w:szCs w:val="22"/>
                        </w:rPr>
                      </w:pPr>
                      <w:hyperlink r:id="rId47" w:history="1">
                        <w:r w:rsidR="00BC1116" w:rsidRPr="00947147">
                          <w:rPr>
                            <w:rStyle w:val="Hyperlink"/>
                            <w:color w:val="auto"/>
                            <w:sz w:val="22"/>
                            <w:szCs w:val="22"/>
                          </w:rPr>
                          <w:t>http://www.dol.govt.nz/er/pay/exemptions/disabilitiesemployers.asp</w:t>
                        </w:r>
                      </w:hyperlink>
                    </w:p>
                    <w:p w:rsidR="00BC1116" w:rsidRPr="00947147" w:rsidRDefault="00BC1116" w:rsidP="00947147">
                      <w:pPr>
                        <w:rPr>
                          <w:i/>
                          <w:sz w:val="22"/>
                          <w:szCs w:val="22"/>
                        </w:rPr>
                      </w:pPr>
                    </w:p>
                    <w:p w:rsidR="00BC1116" w:rsidRPr="00947147" w:rsidRDefault="00BC1116" w:rsidP="00947147">
                      <w:pPr>
                        <w:pStyle w:val="ListParagraph"/>
                        <w:numPr>
                          <w:ilvl w:val="0"/>
                          <w:numId w:val="61"/>
                        </w:numPr>
                        <w:ind w:left="360"/>
                        <w:rPr>
                          <w:sz w:val="22"/>
                          <w:szCs w:val="22"/>
                        </w:rPr>
                      </w:pPr>
                      <w:r w:rsidRPr="00947147">
                        <w:rPr>
                          <w:sz w:val="22"/>
                          <w:szCs w:val="22"/>
                        </w:rPr>
                        <w:t xml:space="preserve">Disability support network – </w:t>
                      </w:r>
                      <w:r w:rsidRPr="00947147">
                        <w:rPr>
                          <w:i/>
                          <w:sz w:val="22"/>
                          <w:szCs w:val="22"/>
                        </w:rPr>
                        <w:t>Disabled people in employment – The Way Forward</w:t>
                      </w:r>
                    </w:p>
                    <w:p w:rsidR="00BC1116" w:rsidRPr="00947147" w:rsidRDefault="003A4AC4" w:rsidP="00947147">
                      <w:pPr>
                        <w:ind w:left="360"/>
                        <w:rPr>
                          <w:sz w:val="22"/>
                          <w:szCs w:val="22"/>
                        </w:rPr>
                      </w:pPr>
                      <w:hyperlink r:id="rId48" w:history="1">
                        <w:r w:rsidR="00BC1116" w:rsidRPr="00947147">
                          <w:rPr>
                            <w:rStyle w:val="Hyperlink"/>
                            <w:color w:val="auto"/>
                            <w:sz w:val="22"/>
                            <w:szCs w:val="22"/>
                          </w:rPr>
                          <w:t>http://www.nzdsn.org.nz/Blogs/147/60/disabled-people-in-employment-paper-presents-the-way-forward/</w:t>
                        </w:r>
                      </w:hyperlink>
                    </w:p>
                    <w:p w:rsidR="00BC1116" w:rsidRDefault="00BC1116" w:rsidP="00947147">
                      <w:pPr>
                        <w:rPr>
                          <w:i/>
                          <w:sz w:val="22"/>
                          <w:szCs w:val="22"/>
                        </w:rPr>
                      </w:pPr>
                    </w:p>
                    <w:p w:rsidR="00BC1116" w:rsidRPr="00947147" w:rsidRDefault="00BC1116" w:rsidP="00947147">
                      <w:pPr>
                        <w:pStyle w:val="ListParagraph"/>
                        <w:numPr>
                          <w:ilvl w:val="0"/>
                          <w:numId w:val="61"/>
                        </w:numPr>
                        <w:ind w:left="360"/>
                        <w:rPr>
                          <w:sz w:val="22"/>
                          <w:szCs w:val="22"/>
                        </w:rPr>
                      </w:pPr>
                      <w:r w:rsidRPr="00947147">
                        <w:rPr>
                          <w:sz w:val="22"/>
                          <w:szCs w:val="22"/>
                        </w:rPr>
                        <w:t>DPA – The national assembly of people with disabilities</w:t>
                      </w:r>
                    </w:p>
                    <w:p w:rsidR="00BC1116" w:rsidRDefault="003A4AC4" w:rsidP="00947147">
                      <w:pPr>
                        <w:ind w:left="360"/>
                      </w:pPr>
                      <w:hyperlink r:id="rId49" w:history="1">
                        <w:r w:rsidR="00BC1116" w:rsidRPr="00947147">
                          <w:rPr>
                            <w:rStyle w:val="Hyperlink"/>
                            <w:color w:val="auto"/>
                            <w:sz w:val="22"/>
                            <w:szCs w:val="22"/>
                          </w:rPr>
                          <w:t>http://www.dpa.org.nz/</w:t>
                        </w:r>
                      </w:hyperlink>
                    </w:p>
                    <w:p w:rsidR="00BC1116" w:rsidRDefault="00BC1116" w:rsidP="00947147">
                      <w:pPr>
                        <w:ind w:left="360"/>
                      </w:pPr>
                    </w:p>
                    <w:p w:rsidR="00BC1116" w:rsidRPr="00947147" w:rsidRDefault="00BC1116" w:rsidP="00947147">
                      <w:pPr>
                        <w:pStyle w:val="ListParagraph"/>
                        <w:numPr>
                          <w:ilvl w:val="0"/>
                          <w:numId w:val="61"/>
                        </w:numPr>
                        <w:ind w:left="360"/>
                        <w:rPr>
                          <w:i/>
                          <w:sz w:val="22"/>
                          <w:szCs w:val="22"/>
                        </w:rPr>
                      </w:pPr>
                      <w:r w:rsidRPr="00947147">
                        <w:rPr>
                          <w:sz w:val="22"/>
                          <w:szCs w:val="22"/>
                        </w:rPr>
                        <w:t xml:space="preserve">EEO Trust – </w:t>
                      </w:r>
                      <w:r w:rsidRPr="00947147">
                        <w:rPr>
                          <w:i/>
                          <w:sz w:val="22"/>
                          <w:szCs w:val="22"/>
                        </w:rPr>
                        <w:t>Employing disabled people</w:t>
                      </w:r>
                    </w:p>
                    <w:p w:rsidR="00BC1116" w:rsidRPr="00947147" w:rsidRDefault="003A4AC4" w:rsidP="00947147">
                      <w:pPr>
                        <w:ind w:left="360"/>
                        <w:rPr>
                          <w:sz w:val="22"/>
                          <w:szCs w:val="22"/>
                        </w:rPr>
                      </w:pPr>
                      <w:hyperlink r:id="rId50" w:history="1">
                        <w:r w:rsidR="00BC1116" w:rsidRPr="00947147">
                          <w:rPr>
                            <w:rStyle w:val="Hyperlink"/>
                            <w:color w:val="auto"/>
                            <w:sz w:val="22"/>
                            <w:szCs w:val="22"/>
                          </w:rPr>
                          <w:t>http://www.eeotrust.org.nz/toolkits/disability.cfm</w:t>
                        </w:r>
                      </w:hyperlink>
                    </w:p>
                    <w:p w:rsidR="00BC1116" w:rsidRDefault="00BC1116" w:rsidP="00947147">
                      <w:pPr>
                        <w:ind w:left="360"/>
                      </w:pPr>
                    </w:p>
                    <w:p w:rsidR="00BC1116" w:rsidRDefault="00BC1116" w:rsidP="00947147">
                      <w:pPr>
                        <w:pStyle w:val="ListParagraph"/>
                        <w:numPr>
                          <w:ilvl w:val="0"/>
                          <w:numId w:val="61"/>
                        </w:numPr>
                        <w:ind w:left="360"/>
                        <w:rPr>
                          <w:sz w:val="22"/>
                          <w:szCs w:val="22"/>
                        </w:rPr>
                      </w:pPr>
                      <w:r>
                        <w:rPr>
                          <w:sz w:val="22"/>
                          <w:szCs w:val="22"/>
                        </w:rPr>
                        <w:t>Employers Disability Network</w:t>
                      </w:r>
                    </w:p>
                    <w:p w:rsidR="00BC1116" w:rsidRDefault="003A4AC4" w:rsidP="00947147">
                      <w:pPr>
                        <w:pStyle w:val="ListParagraph"/>
                        <w:ind w:left="360"/>
                        <w:rPr>
                          <w:sz w:val="22"/>
                          <w:szCs w:val="22"/>
                        </w:rPr>
                      </w:pPr>
                      <w:hyperlink r:id="rId51" w:history="1">
                        <w:r w:rsidR="00BC1116" w:rsidRPr="00947147">
                          <w:rPr>
                            <w:rStyle w:val="Hyperlink"/>
                            <w:color w:val="auto"/>
                            <w:sz w:val="22"/>
                            <w:szCs w:val="22"/>
                          </w:rPr>
                          <w:t>http://www.edn.org.nz/</w:t>
                        </w:r>
                      </w:hyperlink>
                      <w:r w:rsidR="00BC1116" w:rsidRPr="00947147">
                        <w:rPr>
                          <w:sz w:val="22"/>
                          <w:szCs w:val="22"/>
                        </w:rPr>
                        <w:t xml:space="preserve"> </w:t>
                      </w:r>
                    </w:p>
                    <w:p w:rsidR="00BC1116" w:rsidRDefault="00BC1116" w:rsidP="00947147">
                      <w:pPr>
                        <w:pStyle w:val="ListParagraph"/>
                        <w:ind w:left="360"/>
                        <w:rPr>
                          <w:sz w:val="22"/>
                          <w:szCs w:val="22"/>
                        </w:rPr>
                      </w:pPr>
                    </w:p>
                    <w:p w:rsidR="00BC1116" w:rsidRPr="00947147" w:rsidRDefault="00BC1116" w:rsidP="00947147">
                      <w:pPr>
                        <w:pStyle w:val="ListParagraph"/>
                        <w:numPr>
                          <w:ilvl w:val="0"/>
                          <w:numId w:val="61"/>
                        </w:numPr>
                        <w:ind w:left="360"/>
                        <w:rPr>
                          <w:sz w:val="22"/>
                          <w:szCs w:val="22"/>
                        </w:rPr>
                      </w:pPr>
                      <w:r w:rsidRPr="00947147">
                        <w:rPr>
                          <w:sz w:val="22"/>
                          <w:szCs w:val="22"/>
                        </w:rPr>
                        <w:t xml:space="preserve">Ministry of Social Development – </w:t>
                      </w:r>
                      <w:r w:rsidRPr="00947147">
                        <w:rPr>
                          <w:i/>
                          <w:sz w:val="22"/>
                          <w:szCs w:val="22"/>
                        </w:rPr>
                        <w:t>Mainstream programme</w:t>
                      </w:r>
                    </w:p>
                    <w:p w:rsidR="00BC1116" w:rsidRPr="00947147" w:rsidRDefault="003A4AC4" w:rsidP="00947147">
                      <w:pPr>
                        <w:ind w:left="360"/>
                        <w:rPr>
                          <w:sz w:val="22"/>
                          <w:szCs w:val="22"/>
                        </w:rPr>
                      </w:pPr>
                      <w:hyperlink r:id="rId52" w:history="1">
                        <w:r w:rsidR="00BC1116" w:rsidRPr="00947147">
                          <w:rPr>
                            <w:rStyle w:val="Hyperlink"/>
                            <w:color w:val="auto"/>
                            <w:sz w:val="22"/>
                            <w:szCs w:val="22"/>
                          </w:rPr>
                          <w:t>http://www.msd.govt.nz/what-we-can-do/disability-services/mainstream/</w:t>
                        </w:r>
                      </w:hyperlink>
                    </w:p>
                    <w:p w:rsidR="00BC1116" w:rsidRDefault="00BC1116" w:rsidP="00947147">
                      <w:pPr>
                        <w:pStyle w:val="ListParagraph"/>
                        <w:ind w:left="360"/>
                        <w:rPr>
                          <w:sz w:val="22"/>
                          <w:szCs w:val="22"/>
                        </w:rPr>
                      </w:pPr>
                    </w:p>
                    <w:p w:rsidR="00BC1116" w:rsidRPr="00947147" w:rsidRDefault="00BC1116" w:rsidP="00947147">
                      <w:pPr>
                        <w:pStyle w:val="ListParagraph"/>
                        <w:numPr>
                          <w:ilvl w:val="0"/>
                          <w:numId w:val="61"/>
                        </w:numPr>
                        <w:ind w:left="360"/>
                        <w:rPr>
                          <w:sz w:val="22"/>
                          <w:szCs w:val="22"/>
                        </w:rPr>
                      </w:pPr>
                      <w:r w:rsidRPr="00947147">
                        <w:rPr>
                          <w:sz w:val="22"/>
                          <w:szCs w:val="22"/>
                        </w:rPr>
                        <w:t xml:space="preserve">Office for </w:t>
                      </w:r>
                      <w:r>
                        <w:rPr>
                          <w:sz w:val="22"/>
                          <w:szCs w:val="22"/>
                        </w:rPr>
                        <w:t>Disability I</w:t>
                      </w:r>
                      <w:r w:rsidRPr="00947147">
                        <w:rPr>
                          <w:sz w:val="22"/>
                          <w:szCs w:val="22"/>
                        </w:rPr>
                        <w:t>ssues (ODI)</w:t>
                      </w:r>
                    </w:p>
                    <w:p w:rsidR="00BC1116" w:rsidRPr="00947147" w:rsidRDefault="003A4AC4" w:rsidP="00947147">
                      <w:pPr>
                        <w:ind w:left="360"/>
                        <w:rPr>
                          <w:sz w:val="22"/>
                          <w:szCs w:val="22"/>
                        </w:rPr>
                      </w:pPr>
                      <w:hyperlink r:id="rId53" w:history="1">
                        <w:r w:rsidR="00BC1116" w:rsidRPr="00947147">
                          <w:rPr>
                            <w:rStyle w:val="Hyperlink"/>
                            <w:color w:val="auto"/>
                            <w:sz w:val="22"/>
                            <w:szCs w:val="22"/>
                          </w:rPr>
                          <w:t>http://www.odi.govt.nz/about-us/index.html</w:t>
                        </w:r>
                      </w:hyperlink>
                    </w:p>
                    <w:p w:rsidR="00BC1116" w:rsidRPr="00947147" w:rsidRDefault="00BC1116" w:rsidP="00947147">
                      <w:pPr>
                        <w:rPr>
                          <w:sz w:val="22"/>
                          <w:szCs w:val="22"/>
                        </w:rPr>
                      </w:pPr>
                    </w:p>
                    <w:p w:rsidR="00BC1116" w:rsidRPr="00947147" w:rsidRDefault="00BC1116" w:rsidP="00947147">
                      <w:pPr>
                        <w:pStyle w:val="ListParagraph"/>
                        <w:numPr>
                          <w:ilvl w:val="0"/>
                          <w:numId w:val="61"/>
                        </w:numPr>
                        <w:ind w:left="360"/>
                        <w:rPr>
                          <w:sz w:val="22"/>
                          <w:szCs w:val="22"/>
                        </w:rPr>
                      </w:pPr>
                      <w:r w:rsidRPr="00947147">
                        <w:rPr>
                          <w:sz w:val="22"/>
                          <w:szCs w:val="22"/>
                        </w:rPr>
                        <w:t xml:space="preserve">People First - </w:t>
                      </w:r>
                      <w:r w:rsidRPr="00947147">
                        <w:rPr>
                          <w:i/>
                          <w:sz w:val="22"/>
                          <w:szCs w:val="22"/>
                        </w:rPr>
                        <w:t xml:space="preserve"> Resources (including for employment)</w:t>
                      </w:r>
                    </w:p>
                    <w:p w:rsidR="00BC1116" w:rsidRPr="00947147" w:rsidRDefault="003A4AC4" w:rsidP="00947147">
                      <w:pPr>
                        <w:ind w:left="360"/>
                        <w:rPr>
                          <w:sz w:val="22"/>
                          <w:szCs w:val="22"/>
                        </w:rPr>
                      </w:pPr>
                      <w:hyperlink r:id="rId54" w:history="1">
                        <w:r w:rsidR="00BC1116" w:rsidRPr="00947147">
                          <w:rPr>
                            <w:rStyle w:val="Hyperlink"/>
                            <w:color w:val="auto"/>
                            <w:sz w:val="22"/>
                            <w:szCs w:val="22"/>
                          </w:rPr>
                          <w:t>http://www.peoplefirst.org.nz/Resources/tabid/81/Default.aspx</w:t>
                        </w:r>
                      </w:hyperlink>
                    </w:p>
                    <w:p w:rsidR="00BC1116" w:rsidRPr="00947147" w:rsidRDefault="00BC1116" w:rsidP="00947147">
                      <w:pPr>
                        <w:rPr>
                          <w:sz w:val="22"/>
                          <w:szCs w:val="22"/>
                        </w:rPr>
                      </w:pPr>
                    </w:p>
                    <w:p w:rsidR="00BC1116" w:rsidRPr="00947147" w:rsidRDefault="00BC1116" w:rsidP="00947147">
                      <w:pPr>
                        <w:pStyle w:val="ListParagraph"/>
                        <w:numPr>
                          <w:ilvl w:val="0"/>
                          <w:numId w:val="61"/>
                        </w:numPr>
                        <w:ind w:left="360"/>
                        <w:rPr>
                          <w:i/>
                          <w:sz w:val="22"/>
                          <w:szCs w:val="22"/>
                        </w:rPr>
                      </w:pPr>
                      <w:r w:rsidRPr="00947147">
                        <w:rPr>
                          <w:sz w:val="22"/>
                          <w:szCs w:val="22"/>
                        </w:rPr>
                        <w:t xml:space="preserve">Workbridge – </w:t>
                      </w:r>
                      <w:r w:rsidRPr="00947147">
                        <w:rPr>
                          <w:i/>
                          <w:sz w:val="22"/>
                          <w:szCs w:val="22"/>
                        </w:rPr>
                        <w:t>Why employ disabled persons?</w:t>
                      </w:r>
                    </w:p>
                    <w:p w:rsidR="00BC1116" w:rsidRPr="00947147" w:rsidRDefault="003A4AC4" w:rsidP="00947147">
                      <w:pPr>
                        <w:ind w:left="360"/>
                        <w:rPr>
                          <w:sz w:val="22"/>
                          <w:szCs w:val="22"/>
                        </w:rPr>
                      </w:pPr>
                      <w:hyperlink r:id="rId55" w:history="1">
                        <w:r w:rsidR="00BC1116" w:rsidRPr="00947147">
                          <w:rPr>
                            <w:rStyle w:val="Hyperlink"/>
                            <w:color w:val="auto"/>
                            <w:sz w:val="22"/>
                            <w:szCs w:val="22"/>
                          </w:rPr>
                          <w:t>http://www.workbridge.co.nz/?page=1331</w:t>
                        </w:r>
                      </w:hyperlink>
                    </w:p>
                  </w:txbxContent>
                </v:textbox>
              </v:shape>
            </w:pict>
          </mc:Fallback>
        </mc:AlternateContent>
      </w:r>
      <w:r w:rsidR="00947147">
        <w:rPr>
          <w:rFonts w:asciiTheme="majorHAnsi" w:hAnsiTheme="majorHAnsi"/>
          <w:b/>
          <w:color w:val="00B0F0"/>
          <w:sz w:val="72"/>
          <w:szCs w:val="72"/>
        </w:rPr>
        <w:t>Other r</w:t>
      </w:r>
      <w:r w:rsidR="00554171">
        <w:rPr>
          <w:rFonts w:asciiTheme="majorHAnsi" w:hAnsiTheme="majorHAnsi"/>
          <w:b/>
          <w:color w:val="00B0F0"/>
          <w:sz w:val="72"/>
          <w:szCs w:val="72"/>
        </w:rPr>
        <w:t>esources</w:t>
      </w:r>
    </w:p>
    <w:p w:rsidR="00097524" w:rsidRDefault="00097524" w:rsidP="00554171">
      <w:pPr>
        <w:spacing w:after="200" w:line="276" w:lineRule="auto"/>
        <w:sectPr w:rsidR="00097524" w:rsidSect="00097524">
          <w:headerReference w:type="even" r:id="rId56"/>
          <w:headerReference w:type="default" r:id="rId57"/>
          <w:headerReference w:type="first" r:id="rId58"/>
          <w:pgSz w:w="11906" w:h="16838"/>
          <w:pgMar w:top="1440" w:right="1440" w:bottom="1440" w:left="1440" w:header="706" w:footer="706" w:gutter="0"/>
          <w:cols w:space="708"/>
          <w:titlePg/>
          <w:docGrid w:linePitch="360"/>
        </w:sectPr>
      </w:pPr>
    </w:p>
    <w:p w:rsidR="00D70C73" w:rsidRDefault="00D70C73">
      <w:pPr>
        <w:spacing w:after="200" w:line="276" w:lineRule="auto"/>
        <w:rPr>
          <w:rFonts w:asciiTheme="majorHAnsi" w:hAnsiTheme="majorHAnsi" w:cs="Arial"/>
          <w:b/>
          <w:color w:val="00B0F0"/>
          <w:sz w:val="72"/>
          <w:szCs w:val="72"/>
        </w:rPr>
      </w:pPr>
      <w:r>
        <w:rPr>
          <w:rFonts w:asciiTheme="majorHAnsi" w:hAnsiTheme="majorHAnsi" w:cs="Arial"/>
          <w:b/>
          <w:color w:val="00B0F0"/>
          <w:sz w:val="72"/>
          <w:szCs w:val="72"/>
        </w:rPr>
        <w:br w:type="page"/>
      </w:r>
    </w:p>
    <w:p w:rsidR="00523AAB" w:rsidRPr="00E021DB" w:rsidRDefault="00D70C73" w:rsidP="00097524">
      <w:pPr>
        <w:spacing w:after="200" w:line="276" w:lineRule="auto"/>
        <w:rPr>
          <w:rFonts w:asciiTheme="majorHAnsi" w:hAnsiTheme="majorHAnsi" w:cs="Arial"/>
          <w:b/>
          <w:color w:val="00B0F0"/>
          <w:sz w:val="72"/>
          <w:szCs w:val="72"/>
        </w:rPr>
      </w:pPr>
      <w:r>
        <w:rPr>
          <w:noProof/>
          <w:lang w:eastAsia="en-GB"/>
        </w:rPr>
        <w:drawing>
          <wp:inline distT="0" distB="0" distL="0" distR="0">
            <wp:extent cx="6296025" cy="8410575"/>
            <wp:effectExtent l="19050" t="0" r="9525" b="0"/>
            <wp:docPr id="10" name="6d9ce016-0aad-4042-8b1d-64ca02208a2e" descr="cid:4E102F70-8444-41FA-A7F5-628B9FEA11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d9ce016-0aad-4042-8b1d-64ca02208a2e" descr="cid:4E102F70-8444-41FA-A7F5-628B9FEA11F5"/>
                    <pic:cNvPicPr>
                      <a:picLocks noChangeAspect="1" noChangeArrowheads="1"/>
                    </pic:cNvPicPr>
                  </pic:nvPicPr>
                  <pic:blipFill>
                    <a:blip r:embed="rId59" r:link="rId60" cstate="print"/>
                    <a:srcRect/>
                    <a:stretch>
                      <a:fillRect/>
                    </a:stretch>
                  </pic:blipFill>
                  <pic:spPr bwMode="auto">
                    <a:xfrm>
                      <a:off x="0" y="0"/>
                      <a:ext cx="6296025" cy="8410575"/>
                    </a:xfrm>
                    <a:prstGeom prst="rect">
                      <a:avLst/>
                    </a:prstGeom>
                    <a:noFill/>
                    <a:ln w="9525">
                      <a:noFill/>
                      <a:miter lim="800000"/>
                      <a:headEnd/>
                      <a:tailEnd/>
                    </a:ln>
                  </pic:spPr>
                </pic:pic>
              </a:graphicData>
            </a:graphic>
          </wp:inline>
        </w:drawing>
      </w:r>
    </w:p>
    <w:sectPr w:rsidR="00523AAB" w:rsidRPr="00E021DB" w:rsidSect="00097524">
      <w:type w:val="continuous"/>
      <w:pgSz w:w="11906" w:h="16838"/>
      <w:pgMar w:top="1440" w:right="1440" w:bottom="1440" w:left="1440" w:header="706" w:footer="706" w:gutter="0"/>
      <w:pgNumType w:start="4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90D" w:rsidRDefault="00F5390D" w:rsidP="005323CF">
      <w:r>
        <w:separator/>
      </w:r>
    </w:p>
  </w:endnote>
  <w:endnote w:type="continuationSeparator" w:id="0">
    <w:p w:rsidR="00F5390D" w:rsidRDefault="00F5390D" w:rsidP="0053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XUSGUM+Interstate-LightCondense">
    <w:altName w:val="Interstate"/>
    <w:panose1 w:val="00000000000000000000"/>
    <w:charset w:val="00"/>
    <w:family w:val="swiss"/>
    <w:notTrueType/>
    <w:pitch w:val="default"/>
    <w:sig w:usb0="00000003" w:usb1="00000000" w:usb2="00000000" w:usb3="00000000" w:csb0="00000001" w:csb1="00000000"/>
  </w:font>
  <w:font w:name="WMIAGO+Interstate-BoldCondensed">
    <w:altName w:val="Interstate"/>
    <w:panose1 w:val="00000000000000000000"/>
    <w:charset w:val="00"/>
    <w:family w:val="swiss"/>
    <w:notTrueType/>
    <w:pitch w:val="default"/>
    <w:sig w:usb0="00000003" w:usb1="00000000" w:usb2="00000000" w:usb3="00000000" w:csb0="00000001" w:csb1="00000000"/>
  </w:font>
  <w:font w:name="OELEYE+Interstate-Light">
    <w:altName w:val="Interstate"/>
    <w:panose1 w:val="00000000000000000000"/>
    <w:charset w:val="00"/>
    <w:family w:val="swiss"/>
    <w:notTrueType/>
    <w:pitch w:val="default"/>
    <w:sig w:usb0="00000003" w:usb1="00000000" w:usb2="00000000" w:usb3="00000000" w:csb0="00000001" w:csb1="00000000"/>
  </w:font>
  <w:font w:name="Arial Mäori">
    <w:altName w:val="Arial"/>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16" w:rsidRPr="00FD2516" w:rsidRDefault="00BC1116">
    <w:pPr>
      <w:pStyle w:val="Footer"/>
      <w:rPr>
        <w:sz w:val="20"/>
        <w:szCs w:val="20"/>
      </w:rPr>
    </w:pPr>
    <w:r w:rsidRPr="00FD2516">
      <w:rPr>
        <w:rFonts w:cs="Arial"/>
        <w:sz w:val="20"/>
        <w:szCs w:val="20"/>
      </w:rPr>
      <w:t>©</w:t>
    </w:r>
    <w:r w:rsidR="003A4AC4">
      <w:rPr>
        <w:noProof/>
        <w:sz w:val="20"/>
        <w:szCs w:val="20"/>
        <w:lang w:eastAsia="en-GB"/>
      </w:rPr>
      <mc:AlternateContent>
        <mc:Choice Requires="wpg">
          <w:drawing>
            <wp:anchor distT="0" distB="0" distL="114300" distR="114300" simplePos="0" relativeHeight="251664384" behindDoc="0" locked="0" layoutInCell="1" allowOverlap="1">
              <wp:simplePos x="0" y="0"/>
              <wp:positionH relativeFrom="page">
                <wp:posOffset>-13970</wp:posOffset>
              </wp:positionH>
              <wp:positionV relativeFrom="bottomMargin">
                <wp:posOffset>1270</wp:posOffset>
              </wp:positionV>
              <wp:extent cx="6846570" cy="673100"/>
              <wp:effectExtent l="5080" t="10795" r="6350" b="11430"/>
              <wp:wrapNone/>
              <wp:docPr id="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6570" cy="673100"/>
                        <a:chOff x="15" y="14415"/>
                        <a:chExt cx="10658" cy="1060"/>
                      </a:xfrm>
                    </wpg:grpSpPr>
                    <wps:wsp>
                      <wps:cNvPr id="2" name="AutoShape 39"/>
                      <wps:cNvCnPr>
                        <a:cxnSpLocks noChangeShapeType="1"/>
                      </wps:cNvCnPr>
                      <wps:spPr bwMode="auto">
                        <a:xfrm>
                          <a:off x="15" y="14415"/>
                          <a:ext cx="10171" cy="1057"/>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3" name="Oval 40"/>
                      <wps:cNvSpPr>
                        <a:spLocks noChangeArrowheads="1"/>
                      </wps:cNvSpPr>
                      <wps:spPr bwMode="auto">
                        <a:xfrm>
                          <a:off x="9657" y="14459"/>
                          <a:ext cx="1016" cy="10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41"/>
                      <wps:cNvSpPr>
                        <a:spLocks noChangeArrowheads="1"/>
                      </wps:cNvSpPr>
                      <wps:spPr bwMode="auto">
                        <a:xfrm>
                          <a:off x="9733" y="14568"/>
                          <a:ext cx="908" cy="904"/>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Oval 42"/>
                      <wps:cNvSpPr>
                        <a:spLocks noChangeArrowheads="1"/>
                      </wps:cNvSpPr>
                      <wps:spPr bwMode="auto">
                        <a:xfrm>
                          <a:off x="9802" y="14688"/>
                          <a:ext cx="783" cy="784"/>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C1116" w:rsidRPr="000E6856" w:rsidRDefault="00E27E09">
                            <w:pPr>
                              <w:pStyle w:val="Header"/>
                              <w:jc w:val="center"/>
                              <w:rPr>
                                <w:color w:val="FFFFFF" w:themeColor="background1"/>
                                <w:sz w:val="21"/>
                                <w:szCs w:val="21"/>
                              </w:rPr>
                            </w:pPr>
                            <w:r w:rsidRPr="000E6856">
                              <w:rPr>
                                <w:sz w:val="21"/>
                                <w:szCs w:val="21"/>
                              </w:rPr>
                              <w:fldChar w:fldCharType="begin"/>
                            </w:r>
                            <w:r w:rsidR="00BC1116" w:rsidRPr="000E6856">
                              <w:rPr>
                                <w:sz w:val="21"/>
                                <w:szCs w:val="21"/>
                              </w:rPr>
                              <w:instrText xml:space="preserve"> PAGE   \* MERGEFORMAT </w:instrText>
                            </w:r>
                            <w:r w:rsidRPr="000E6856">
                              <w:rPr>
                                <w:sz w:val="21"/>
                                <w:szCs w:val="21"/>
                              </w:rPr>
                              <w:fldChar w:fldCharType="separate"/>
                            </w:r>
                            <w:r w:rsidR="003A4AC4" w:rsidRPr="003A4AC4">
                              <w:rPr>
                                <w:noProof/>
                                <w:color w:val="FFFFFF" w:themeColor="background1"/>
                                <w:sz w:val="21"/>
                                <w:szCs w:val="21"/>
                              </w:rPr>
                              <w:t>3</w:t>
                            </w:r>
                            <w:r w:rsidRPr="000E6856">
                              <w:rPr>
                                <w:sz w:val="21"/>
                                <w:szCs w:val="21"/>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9" style="position:absolute;margin-left:-1.1pt;margin-top:.1pt;width:539.1pt;height:53pt;z-index:251664384;mso-position-horizontal-relative:page;mso-position-vertical-relative:bottom-margin-area" coordorigin="15,14415" coordsize="1065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">
              <v:shapetype id="_x0000_t32" coordsize="21600,21600" o:spt="32" o:oned="t" path="m,l21600,21600e" filled="f">
                <v:path arrowok="t" fillok="f" o:connecttype="none"/>
                <o:lock v:ext="edit" shapetype="t"/>
              </v:shapetype>
              <v:shape id="AutoShape 39" o:spid="_x0000_s1030" type="#_x0000_t32" style="position:absolute;left:15;top:14415;width:10171;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AnK8QAAADaAAAADwAAAGRycy9kb3ducmV2LnhtbESPT2sCMRTE74V+h/AKvWlWEZXVrEih&#10;UOilrlJ6fG7e/tHNy5Kk69pPbwShx2FmfsOsN4NpRU/ON5YVTMYJCOLC6oYrBYf9+2gJwgdkja1l&#10;UnAlD5vs+WmNqbYX3lGfh0pECPsUFdQhdKmUvqjJoB/bjjh6pXUGQ5SuktrhJcJNK6dJMpcGG44L&#10;NXb0VlNxzn+NguNPmJ3In77Lvy+3nF3zz36bLJR6fRm2KxCBhvAffrQ/tIIp3K/EGy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8CcrxAAAANoAAAAPAAAAAAAAAAAA&#10;AAAAAKECAABkcnMvZG93bnJldi54bWxQSwUGAAAAAAQABAD5AAAAkgMAAAAA&#10;" strokecolor="#8fe3fb [1620]"/>
              <v:oval id="Oval 40" o:spid="_x0000_s1031" style="position:absolute;left:9657;top:14459;width:1016;height:1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FGj8IA&#10;AADaAAAADwAAAGRycy9kb3ducmV2LnhtbESPUWvCMBSF3wf7D+EOfJvJHIjrTMWJE/fk7PwBl+ba&#10;lDY3pYm2/nszGOzxcM75Dme5Gl0rrtSH2rOGl6kCQVx6U3Ol4fTz+bwAESKywdYzabhRgFX++LDE&#10;zPiBj3QtYiUShEOGGmyMXSZlKC05DFPfESfv7HuHMcm+kqbHIcFdK2dKzaXDmtOCxY42lsqmuDgN&#10;iuyxPZmdHA4f310o1ParfGu0njyN63cQkcb4H/5r742GV/i9km6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QUaPwgAAANoAAAAPAAAAAAAAAAAAAAAAAJgCAABkcnMvZG93&#10;bnJldi54bWxQSwUGAAAAAAQABAD1AAAAhwMAAAAA&#10;" fillcolor="#8fe3fb [1620]" stroked="f"/>
              <v:oval id="Oval 41" o:spid="_x0000_s1032" style="position:absolute;left:9733;top:14568;width:908;height: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4YZb0A&#10;AADaAAAADwAAAGRycy9kb3ducmV2LnhtbESPwQrCMBBE74L/EFbwIpoqolKNIorg1ar3pVnbYrOp&#10;TdTq1xtB8DjMzBtmsWpMKR5Uu8KyguEgAkGcWl1wpuB03PVnIJxH1lhaJgUvcrBatlsLjLV98oEe&#10;ic9EgLCLUUHufRVL6dKcDLqBrYiDd7G1QR9knUld4zPATSlHUTSRBgsOCzlWtMkpvSZ3o8CdN8Pd&#10;+T5NeDbG5K1vtDVpT6lup1nPQXhq/D/8a++1gjF8r4Qb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74YZb0AAADaAAAADwAAAAAAAAAAAAAAAACYAgAAZHJzL2Rvd25yZXYu&#10;eG1sUEsFBgAAAAAEAAQA9QAAAIIDAAAAAA==&#10;" fillcolor="#c7f1fd [820]" stroked="f"/>
              <v:oval id="Oval 42" o:spid="_x0000_s1033" style="position:absolute;left:9802;top:14688;width:783;height: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Q7KcMA&#10;AADaAAAADwAAAGRycy9kb3ducmV2LnhtbESPT4vCMBTE78J+h/AWvMiablFXqlFkWcGexD8Xb4/m&#10;2Rabl9pka/32RhA8DjO/GWa+7EwlWmpcaVnB9zACQZxZXXKu4HhYf01BOI+ssbJMCu7kYLn46M0x&#10;0fbGO2r3PhehhF2CCgrv60RKlxVk0A1tTRy8s20M+iCbXOoGb6HcVDKOook0WHJYKLCm34Kyy/7f&#10;KBhvx3HaRvnoeJr+xGn11w6uqVSq/9mtZiA8df4dftEbHTh4Xgk3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Q7KcMAAADaAAAADwAAAAAAAAAAAAAAAACYAgAAZHJzL2Rv&#10;d25yZXYueG1sUEsFBgAAAAAEAAQA9QAAAIgDAAAAAA==&#10;" fillcolor="#57d5f9 [2420]" stroked="f">
                <v:textbox>
                  <w:txbxContent>
                    <w:p w:rsidR="00BC1116" w:rsidRPr="000E6856" w:rsidRDefault="00E27E09">
                      <w:pPr>
                        <w:pStyle w:val="Header"/>
                        <w:jc w:val="center"/>
                        <w:rPr>
                          <w:color w:val="FFFFFF" w:themeColor="background1"/>
                          <w:sz w:val="21"/>
                          <w:szCs w:val="21"/>
                        </w:rPr>
                      </w:pPr>
                      <w:r w:rsidRPr="000E6856">
                        <w:rPr>
                          <w:sz w:val="21"/>
                          <w:szCs w:val="21"/>
                        </w:rPr>
                        <w:fldChar w:fldCharType="begin"/>
                      </w:r>
                      <w:r w:rsidR="00BC1116" w:rsidRPr="000E6856">
                        <w:rPr>
                          <w:sz w:val="21"/>
                          <w:szCs w:val="21"/>
                        </w:rPr>
                        <w:instrText xml:space="preserve"> PAGE   \* MERGEFORMAT </w:instrText>
                      </w:r>
                      <w:r w:rsidRPr="000E6856">
                        <w:rPr>
                          <w:sz w:val="21"/>
                          <w:szCs w:val="21"/>
                        </w:rPr>
                        <w:fldChar w:fldCharType="separate"/>
                      </w:r>
                      <w:r w:rsidR="003A4AC4" w:rsidRPr="003A4AC4">
                        <w:rPr>
                          <w:noProof/>
                          <w:color w:val="FFFFFF" w:themeColor="background1"/>
                          <w:sz w:val="21"/>
                          <w:szCs w:val="21"/>
                        </w:rPr>
                        <w:t>3</w:t>
                      </w:r>
                      <w:r w:rsidRPr="000E6856">
                        <w:rPr>
                          <w:sz w:val="21"/>
                          <w:szCs w:val="21"/>
                        </w:rPr>
                        <w:fldChar w:fldCharType="end"/>
                      </w:r>
                    </w:p>
                  </w:txbxContent>
                </v:textbox>
              </v:oval>
              <w10:wrap anchorx="page" anchory="margin"/>
            </v:group>
          </w:pict>
        </mc:Fallback>
      </mc:AlternateContent>
    </w:r>
    <w:r w:rsidRPr="00FD2516">
      <w:rPr>
        <w:sz w:val="20"/>
        <w:szCs w:val="20"/>
      </w:rPr>
      <w:t xml:space="preserve">  New Zealand Human Rights Commission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90D" w:rsidRDefault="00F5390D" w:rsidP="005323CF">
      <w:r>
        <w:separator/>
      </w:r>
    </w:p>
  </w:footnote>
  <w:footnote w:type="continuationSeparator" w:id="0">
    <w:p w:rsidR="00F5390D" w:rsidRDefault="00F5390D" w:rsidP="005323CF">
      <w:r>
        <w:continuationSeparator/>
      </w:r>
    </w:p>
  </w:footnote>
  <w:footnote w:id="1">
    <w:p w:rsidR="00BC1116" w:rsidRDefault="00BC1116" w:rsidP="003E69E7">
      <w:pPr>
        <w:pStyle w:val="FootnoteText"/>
      </w:pPr>
      <w:r>
        <w:rPr>
          <w:rStyle w:val="FootnoteReference"/>
        </w:rPr>
        <w:footnoteRef/>
      </w:r>
      <w:r>
        <w:t xml:space="preserve"> P278 </w:t>
      </w:r>
      <w:r>
        <w:rPr>
          <w:i/>
        </w:rPr>
        <w:t xml:space="preserve">Rights of Disabled People </w:t>
      </w:r>
      <w:r>
        <w:t>Human Rights in New Zealand 2010. Human Rights Commission</w:t>
      </w:r>
    </w:p>
  </w:footnote>
  <w:footnote w:id="2">
    <w:p w:rsidR="00BC1116" w:rsidRDefault="00BC1116" w:rsidP="003E69E7">
      <w:pPr>
        <w:pStyle w:val="FootnoteText"/>
      </w:pPr>
      <w:r>
        <w:rPr>
          <w:rStyle w:val="FootnoteReference"/>
        </w:rPr>
        <w:footnoteRef/>
      </w:r>
      <w:r>
        <w:t xml:space="preserve"> CRPD Article 27 (1) g</w:t>
      </w:r>
    </w:p>
  </w:footnote>
  <w:footnote w:id="3">
    <w:p w:rsidR="00BC1116" w:rsidRPr="0078171C" w:rsidRDefault="00BC1116" w:rsidP="003E69E7">
      <w:pPr>
        <w:pStyle w:val="FootnoteText"/>
      </w:pPr>
      <w:r w:rsidRPr="0078171C">
        <w:rPr>
          <w:rStyle w:val="FootnoteReference"/>
        </w:rPr>
        <w:footnoteRef/>
      </w:r>
      <w:r w:rsidRPr="0078171C">
        <w:t xml:space="preserve"> </w:t>
      </w:r>
      <w:hyperlink r:id="rId1" w:history="1">
        <w:r w:rsidRPr="0078171C">
          <w:rPr>
            <w:rStyle w:val="Hyperlink"/>
            <w:color w:val="auto"/>
          </w:rPr>
          <w:t>http://www.ssc.govt.nz/upload/downloadable_files/Enabling-Ability.pdf</w:t>
        </w:r>
      </w:hyperlink>
      <w:r w:rsidRPr="0078171C">
        <w:t xml:space="preserve"> </w:t>
      </w:r>
    </w:p>
  </w:footnote>
  <w:footnote w:id="4">
    <w:p w:rsidR="00BC1116" w:rsidRPr="0078171C" w:rsidRDefault="00BC1116" w:rsidP="003E69E7">
      <w:pPr>
        <w:pStyle w:val="FootnoteText"/>
      </w:pPr>
      <w:r w:rsidRPr="0078171C">
        <w:rPr>
          <w:rStyle w:val="FootnoteReference"/>
        </w:rPr>
        <w:footnoteRef/>
      </w:r>
      <w:r w:rsidRPr="0078171C">
        <w:t xml:space="preserve"> </w:t>
      </w:r>
      <w:hyperlink r:id="rId2" w:history="1">
        <w:r w:rsidRPr="0078171C">
          <w:rPr>
            <w:rStyle w:val="Hyperlink"/>
            <w:color w:val="auto"/>
          </w:rPr>
          <w:t>http://edn.org.nz/</w:t>
        </w:r>
      </w:hyperlink>
    </w:p>
    <w:p w:rsidR="00BC1116" w:rsidRDefault="00BC1116" w:rsidP="003E69E7">
      <w:pPr>
        <w:pStyle w:val="FootnoteText"/>
      </w:pPr>
    </w:p>
  </w:footnote>
  <w:footnote w:id="5">
    <w:p w:rsidR="00BC1116" w:rsidRDefault="00BC1116" w:rsidP="003E69E7">
      <w:pPr>
        <w:pStyle w:val="FootnoteText"/>
      </w:pPr>
      <w:r w:rsidRPr="00C82F13">
        <w:rPr>
          <w:rStyle w:val="FootnoteReference"/>
        </w:rPr>
        <w:footnoteRef/>
      </w:r>
      <w:r w:rsidRPr="00C82F13">
        <w:t xml:space="preserve"> Data provided by Department of Labour March 2011</w:t>
      </w:r>
    </w:p>
  </w:footnote>
  <w:footnote w:id="6">
    <w:p w:rsidR="00BC1116" w:rsidRDefault="00BC1116" w:rsidP="003E69E7">
      <w:pPr>
        <w:pStyle w:val="FootnoteText"/>
      </w:pPr>
      <w:r>
        <w:rPr>
          <w:rStyle w:val="FootnoteReference"/>
        </w:rPr>
        <w:footnoteRef/>
      </w:r>
      <w:r>
        <w:t xml:space="preserve"> ibid</w:t>
      </w:r>
    </w:p>
  </w:footnote>
  <w:footnote w:id="7">
    <w:p w:rsidR="00BC1116" w:rsidRDefault="00BC1116" w:rsidP="003E69E7">
      <w:pPr>
        <w:pStyle w:val="FootnoteText"/>
      </w:pPr>
      <w:r>
        <w:rPr>
          <w:rStyle w:val="FootnoteReference"/>
        </w:rPr>
        <w:footnoteRef/>
      </w:r>
      <w:r>
        <w:t xml:space="preserve"> Some people have more than one exemption </w:t>
      </w:r>
    </w:p>
  </w:footnote>
  <w:footnote w:id="8">
    <w:p w:rsidR="00BC1116" w:rsidRDefault="00BC1116" w:rsidP="003E69E7">
      <w:pPr>
        <w:pStyle w:val="FootnoteText"/>
      </w:pPr>
      <w:r>
        <w:rPr>
          <w:rStyle w:val="FootnoteReference"/>
        </w:rPr>
        <w:footnoteRef/>
      </w:r>
      <w:r>
        <w:t xml:space="preserve"> See </w:t>
      </w:r>
      <w:r>
        <w:rPr>
          <w:i/>
        </w:rPr>
        <w:t>Manager’s Guide: A best practice approach to working with disabled employees</w:t>
      </w:r>
      <w:r w:rsidR="00A47974">
        <w:rPr>
          <w:i/>
        </w:rPr>
        <w:t xml:space="preserve">.  </w:t>
      </w:r>
      <w:r>
        <w:t xml:space="preserve">Employers Forum on Disability and Workbridge 2007.  This guide has been adapted for New Zealand and is available from Workbridge or Employers’ Disability Network. </w:t>
      </w:r>
    </w:p>
  </w:footnote>
  <w:footnote w:id="9">
    <w:p w:rsidR="00BC1116" w:rsidRDefault="00BC1116" w:rsidP="003E69E7">
      <w:pPr>
        <w:pStyle w:val="FootnoteText"/>
      </w:pPr>
      <w:r>
        <w:rPr>
          <w:rStyle w:val="FootnoteReference"/>
        </w:rPr>
        <w:footnoteRef/>
      </w:r>
      <w:r>
        <w:t xml:space="preserve"> Oakley Browne, M.  A., Wells, J.  E., &amp; Scotts, K. M.  (Eds).  (2006).  </w:t>
      </w:r>
      <w:hyperlink r:id="rId3" w:tgtFrame="_blank" w:history="1">
        <w:r>
          <w:rPr>
            <w:rStyle w:val="Emphasis"/>
            <w:color w:val="0000FF"/>
            <w:u w:val="single"/>
          </w:rPr>
          <w:t>Te Rau Hinengaro: The New Zealand Mental Health Survey</w:t>
        </w:r>
        <w:r>
          <w:rPr>
            <w:rStyle w:val="Hyperlink"/>
          </w:rPr>
          <w:t>.</w:t>
        </w:r>
      </w:hyperlink>
      <w:r>
        <w:t xml:space="preserve"> Wellington: Ministry of Health.</w:t>
      </w:r>
    </w:p>
  </w:footnote>
  <w:footnote w:id="10">
    <w:p w:rsidR="00BC1116" w:rsidRDefault="00BC1116" w:rsidP="003E69E7">
      <w:pPr>
        <w:pStyle w:val="FootnoteText"/>
      </w:pPr>
      <w:r>
        <w:rPr>
          <w:rStyle w:val="FootnoteReference"/>
        </w:rPr>
        <w:footnoteRef/>
      </w:r>
      <w:r>
        <w:t xml:space="preserve"> Ibid</w:t>
      </w:r>
    </w:p>
  </w:footnote>
  <w:footnote w:id="11">
    <w:p w:rsidR="00BC1116" w:rsidRDefault="00BC1116" w:rsidP="003E69E7">
      <w:pPr>
        <w:pStyle w:val="FootnoteText"/>
      </w:pPr>
      <w:r>
        <w:rPr>
          <w:rStyle w:val="FootnoteReference"/>
        </w:rPr>
        <w:footnoteRef/>
      </w:r>
      <w:r>
        <w:t xml:space="preserve"> </w:t>
      </w:r>
      <w:r>
        <w:rPr>
          <w:i/>
        </w:rPr>
        <w:t xml:space="preserve">Taking the first step: A guidebook for job seekers with experience of mental health issues.  </w:t>
      </w:r>
      <w:r>
        <w:t xml:space="preserve">LEAP Like Minds Employment Advocacy Project 2005 </w:t>
      </w:r>
    </w:p>
  </w:footnote>
  <w:footnote w:id="12">
    <w:p w:rsidR="00BC1116" w:rsidRDefault="00BC1116" w:rsidP="003E69E7">
      <w:pPr>
        <w:pStyle w:val="FootnoteText"/>
      </w:pPr>
      <w:r>
        <w:rPr>
          <w:rStyle w:val="FootnoteReference"/>
          <w:color w:val="0D0D0D" w:themeColor="text1" w:themeTint="F2"/>
        </w:rPr>
        <w:footnoteRef/>
      </w:r>
      <w:r>
        <w:rPr>
          <w:color w:val="0D0D0D" w:themeColor="text1" w:themeTint="F2"/>
        </w:rPr>
        <w:t xml:space="preserve"> </w:t>
      </w:r>
      <w:hyperlink r:id="rId4" w:history="1">
        <w:r>
          <w:rPr>
            <w:rStyle w:val="Hyperlink"/>
            <w:color w:val="0D0D0D" w:themeColor="text1" w:themeTint="F2"/>
          </w:rPr>
          <w:t>http://dol.govt.nz/er/solvingproblems/keyprinciples/goodfaith.asp</w:t>
        </w:r>
      </w:hyperlink>
    </w:p>
  </w:footnote>
  <w:footnote w:id="13">
    <w:p w:rsidR="00BC1116" w:rsidRDefault="00BC1116" w:rsidP="003E69E7">
      <w:pPr>
        <w:pStyle w:val="FootnoteText"/>
      </w:pPr>
      <w:r>
        <w:rPr>
          <w:rStyle w:val="FootnoteReference"/>
        </w:rPr>
        <w:footnoteRef/>
      </w:r>
      <w:r>
        <w:t xml:space="preserve"> Imperial Enterprises Ltd v. Attwood [2002] 2 ERNZ 740.</w:t>
      </w:r>
    </w:p>
  </w:footnote>
  <w:footnote w:id="14">
    <w:p w:rsidR="00BC1116" w:rsidRPr="0078171C" w:rsidRDefault="00BC1116" w:rsidP="003E69E7">
      <w:pPr>
        <w:pStyle w:val="FootnoteText"/>
      </w:pPr>
      <w:r w:rsidRPr="0078171C">
        <w:rPr>
          <w:rStyle w:val="FootnoteReference"/>
        </w:rPr>
        <w:footnoteRef/>
      </w:r>
      <w:r w:rsidRPr="0078171C">
        <w:t xml:space="preserve"> </w:t>
      </w:r>
      <w:r w:rsidRPr="0078171C">
        <w:rPr>
          <w:rStyle w:val="A3"/>
          <w:i/>
          <w:iCs/>
          <w:sz w:val="20"/>
          <w:szCs w:val="20"/>
        </w:rPr>
        <w:t xml:space="preserve">Atley v Southland District Health Board </w:t>
      </w:r>
      <w:r w:rsidRPr="0078171C">
        <w:rPr>
          <w:rStyle w:val="A3"/>
          <w:sz w:val="20"/>
          <w:szCs w:val="20"/>
        </w:rPr>
        <w:t>(2009) 8 HRNZ 888; (2010) 9 NZELC 93,427.</w:t>
      </w:r>
    </w:p>
  </w:footnote>
  <w:footnote w:id="15">
    <w:p w:rsidR="00BC1116" w:rsidRDefault="00BC1116" w:rsidP="003E69E7">
      <w:pPr>
        <w:pStyle w:val="FootnoteText"/>
      </w:pPr>
      <w:r>
        <w:rPr>
          <w:rStyle w:val="FootnoteReference"/>
        </w:rPr>
        <w:footnoteRef/>
      </w:r>
      <w:r>
        <w:t xml:space="preserve"> Lidiard v New Zealand Fire Service Commission ERA Christchurch CA51/10, 8 March 2010.</w:t>
      </w:r>
    </w:p>
  </w:footnote>
  <w:footnote w:id="16">
    <w:p w:rsidR="00BC1116" w:rsidRPr="0082407A" w:rsidRDefault="00BC1116" w:rsidP="00554171">
      <w:pPr>
        <w:pStyle w:val="FootnoteText"/>
      </w:pPr>
      <w:r>
        <w:rPr>
          <w:rStyle w:val="FootnoteReference"/>
        </w:rPr>
        <w:footnoteRef/>
      </w:r>
      <w:r>
        <w:t xml:space="preserve"> This work is based on/includes Statistics New Zealand’s data which are licensed by </w:t>
      </w:r>
      <w:r>
        <w:rPr>
          <w:color w:val="0000FF"/>
          <w:u w:val="single"/>
        </w:rPr>
        <w:t>Statistics New Zealand</w:t>
      </w:r>
      <w:r>
        <w:t xml:space="preserve"> for re-use under the </w:t>
      </w:r>
      <w:r>
        <w:rPr>
          <w:color w:val="0000FF"/>
          <w:u w:val="single"/>
        </w:rPr>
        <w:t>Creative Commons Attribution-Noncommercial 3.0 New Zealand licence</w:t>
      </w:r>
      <w:r>
        <w:t xml:space="preserve">. </w:t>
      </w:r>
      <w:r w:rsidRPr="0082407A">
        <w:t>The data is from the Household Labour Force Survey December 2010</w:t>
      </w:r>
    </w:p>
  </w:footnote>
  <w:footnote w:id="17">
    <w:p w:rsidR="00BC1116" w:rsidRDefault="00BC1116" w:rsidP="00554171">
      <w:pPr>
        <w:pStyle w:val="FootnoteText"/>
      </w:pPr>
      <w:r w:rsidRPr="0082407A">
        <w:rPr>
          <w:rStyle w:val="FootnoteReference"/>
        </w:rPr>
        <w:footnoteRef/>
      </w:r>
      <w:r w:rsidRPr="0082407A">
        <w:t xml:space="preserve"> Statistics New Zealand Household Labour Force Survey 2010 December quarter Technical</w:t>
      </w:r>
      <w:r>
        <w:t xml:space="preserve"> notes</w:t>
      </w:r>
    </w:p>
  </w:footnote>
  <w:footnote w:id="18">
    <w:p w:rsidR="00BC1116" w:rsidRDefault="00BC1116" w:rsidP="00554171">
      <w:pPr>
        <w:pStyle w:val="FootnoteText"/>
      </w:pPr>
      <w:r>
        <w:rPr>
          <w:rStyle w:val="FootnoteReference"/>
        </w:rPr>
        <w:footnoteRef/>
      </w:r>
      <w:r>
        <w:t xml:space="preserve"> Ibid</w:t>
      </w:r>
    </w:p>
  </w:footnote>
  <w:footnote w:id="19">
    <w:p w:rsidR="00BC1116" w:rsidRPr="00FB1046" w:rsidRDefault="00BC1116" w:rsidP="00554171">
      <w:pPr>
        <w:jc w:val="both"/>
        <w:rPr>
          <w:rFonts w:cs="Arial"/>
          <w:sz w:val="20"/>
          <w:szCs w:val="20"/>
        </w:rPr>
      </w:pPr>
      <w:r w:rsidRPr="00FB1046">
        <w:rPr>
          <w:rStyle w:val="FootnoteReference"/>
          <w:sz w:val="20"/>
          <w:szCs w:val="20"/>
        </w:rPr>
        <w:footnoteRef/>
      </w:r>
      <w:r w:rsidRPr="00FB1046">
        <w:rPr>
          <w:rFonts w:cs="Arial"/>
          <w:sz w:val="20"/>
          <w:szCs w:val="20"/>
        </w:rPr>
        <w:t xml:space="preserve">Reproduced from the Department of Labour report on the Household Labour Force Survey </w:t>
      </w:r>
    </w:p>
    <w:p w:rsidR="00BC1116" w:rsidRDefault="00BC1116" w:rsidP="00554171">
      <w:pPr>
        <w:pStyle w:val="FootnoteText"/>
      </w:pPr>
    </w:p>
  </w:footnote>
  <w:footnote w:id="20">
    <w:p w:rsidR="00BC1116" w:rsidRDefault="00BC1116" w:rsidP="003252C6">
      <w:pPr>
        <w:pStyle w:val="FootnoteText"/>
        <w:ind w:right="26"/>
      </w:pPr>
      <w:r w:rsidRPr="003252C6">
        <w:rPr>
          <w:rStyle w:val="FootnoteReference"/>
        </w:rPr>
        <w:footnoteRef/>
      </w:r>
      <w:r w:rsidRPr="003252C6">
        <w:t xml:space="preserve"> http://www.hrc.co.nz/hrc_new/hrc/cms/files/documents/02-Dec-2010_15-51-46_HRNZ_10_DisabilityCh5.html</w:t>
      </w:r>
    </w:p>
  </w:footnote>
  <w:footnote w:id="21">
    <w:p w:rsidR="00BC1116" w:rsidRDefault="00BC1116" w:rsidP="003252C6">
      <w:r w:rsidRPr="00420B0D">
        <w:rPr>
          <w:rStyle w:val="FootnoteReference"/>
          <w:sz w:val="20"/>
          <w:szCs w:val="20"/>
        </w:rPr>
        <w:footnoteRef/>
      </w:r>
      <w:r w:rsidRPr="00420B0D">
        <w:rPr>
          <w:sz w:val="20"/>
          <w:szCs w:val="20"/>
        </w:rPr>
        <w:t xml:space="preserve"> Regional data separated for age and ethnicity was made available from Statistics New Zealand based on the HLFS survey information December 2010. Regional data was available by Auckland, Wa</w:t>
      </w:r>
      <w:r>
        <w:rPr>
          <w:sz w:val="20"/>
          <w:szCs w:val="20"/>
        </w:rPr>
        <w:t xml:space="preserve">ikato, Wellington, the rest </w:t>
      </w:r>
      <w:r w:rsidRPr="00420B0D">
        <w:rPr>
          <w:sz w:val="20"/>
          <w:szCs w:val="20"/>
        </w:rPr>
        <w:t xml:space="preserve"> of the North Isla</w:t>
      </w:r>
      <w:r>
        <w:rPr>
          <w:sz w:val="20"/>
          <w:szCs w:val="20"/>
        </w:rPr>
        <w:t>nd, Canterbury and the rest</w:t>
      </w:r>
      <w:r w:rsidRPr="00420B0D">
        <w:rPr>
          <w:sz w:val="20"/>
          <w:szCs w:val="20"/>
        </w:rPr>
        <w:t xml:space="preserve"> of the South Island. </w:t>
      </w:r>
    </w:p>
  </w:footnote>
  <w:footnote w:id="22">
    <w:p w:rsidR="00BC1116" w:rsidRDefault="00BC1116" w:rsidP="003252C6">
      <w:pPr>
        <w:pStyle w:val="FootnoteText"/>
      </w:pPr>
      <w:r>
        <w:rPr>
          <w:rStyle w:val="FootnoteReference"/>
        </w:rPr>
        <w:footnoteRef/>
      </w:r>
      <w:r>
        <w:t xml:space="preserve"> Estimates less than 1000 are suppressed (..S) as they are subject to sampling errors too high for most practical purposes</w:t>
      </w:r>
    </w:p>
  </w:footnote>
  <w:footnote w:id="23">
    <w:p w:rsidR="00BC1116" w:rsidRPr="00420B0D" w:rsidRDefault="00BC1116" w:rsidP="00554171">
      <w:pPr>
        <w:pStyle w:val="FootnoteText"/>
      </w:pPr>
      <w:r w:rsidRPr="003252C6">
        <w:rPr>
          <w:rStyle w:val="FootnoteReference"/>
        </w:rPr>
        <w:footnoteRef/>
      </w:r>
      <w:r w:rsidRPr="003252C6">
        <w:t xml:space="preserve"> Middle Eastern, Latin American and African</w:t>
      </w:r>
    </w:p>
    <w:p w:rsidR="00BC1116" w:rsidRDefault="00BC1116" w:rsidP="00554171">
      <w:pPr>
        <w:pStyle w:val="FootnoteText"/>
      </w:pPr>
    </w:p>
  </w:footnote>
  <w:footnote w:id="24">
    <w:p w:rsidR="00BC1116" w:rsidRPr="00420B0D" w:rsidRDefault="00BC1116" w:rsidP="00554171">
      <w:pPr>
        <w:pStyle w:val="FootnoteText"/>
        <w:jc w:val="both"/>
      </w:pPr>
      <w:r w:rsidRPr="002127F2">
        <w:rPr>
          <w:rStyle w:val="FootnoteReference"/>
        </w:rPr>
        <w:footnoteRef/>
      </w:r>
      <w:r w:rsidRPr="002127F2">
        <w:t xml:space="preserve"> http://www.dol.govt.nz/publications/lmr/youth/in-the-labour-market/youth-2009_07.asp</w:t>
      </w:r>
    </w:p>
  </w:footnote>
  <w:footnote w:id="25">
    <w:p w:rsidR="00BC1116" w:rsidRPr="006F0CE3" w:rsidRDefault="00BC1116" w:rsidP="00554171">
      <w:pPr>
        <w:jc w:val="both"/>
        <w:rPr>
          <w:sz w:val="20"/>
          <w:szCs w:val="20"/>
        </w:rPr>
      </w:pPr>
      <w:r w:rsidRPr="006F0CE3">
        <w:rPr>
          <w:rStyle w:val="FootnoteReference"/>
          <w:sz w:val="20"/>
          <w:szCs w:val="20"/>
        </w:rPr>
        <w:footnoteRef/>
      </w:r>
      <w:r w:rsidRPr="006F0CE3">
        <w:rPr>
          <w:sz w:val="20"/>
          <w:szCs w:val="20"/>
        </w:rPr>
        <w:t xml:space="preserve">The annual Income Survey from Statistics in New Zealand (June 2010) provides the following comparative pay data. </w:t>
      </w:r>
    </w:p>
  </w:footnote>
  <w:footnote w:id="26">
    <w:p w:rsidR="00BC1116" w:rsidRDefault="00BC1116" w:rsidP="00554171">
      <w:pPr>
        <w:pStyle w:val="FootnoteText"/>
      </w:pPr>
      <w:r>
        <w:rPr>
          <w:rStyle w:val="FootnoteReference"/>
        </w:rPr>
        <w:footnoteRef/>
      </w:r>
      <w:r>
        <w:t xml:space="preserve"> Ibid</w:t>
      </w:r>
    </w:p>
  </w:footnote>
  <w:footnote w:id="27">
    <w:p w:rsidR="00BC1116" w:rsidRDefault="00BC1116" w:rsidP="00554171">
      <w:pPr>
        <w:pStyle w:val="FootnoteText"/>
      </w:pPr>
      <w:r>
        <w:rPr>
          <w:rStyle w:val="FootnoteReference"/>
        </w:rPr>
        <w:footnoteRef/>
      </w:r>
      <w:r>
        <w:t xml:space="preserve"> Calculated by multiplying the percentage unemployed by the participation rate. </w:t>
      </w:r>
    </w:p>
  </w:footnote>
  <w:footnote w:id="28">
    <w:p w:rsidR="00BC1116" w:rsidRDefault="00BC1116" w:rsidP="00554171">
      <w:pPr>
        <w:pStyle w:val="FootnoteText"/>
      </w:pPr>
      <w:r>
        <w:rPr>
          <w:rStyle w:val="FootnoteReference"/>
        </w:rPr>
        <w:footnoteRef/>
      </w:r>
      <w:r>
        <w:t xml:space="preserve"> Other factors such as age may be at play here, for example are Europeans with no qualifications older on average than Māori workers with no </w:t>
      </w:r>
      <w:r w:rsidRPr="00332CC0">
        <w:t>qualifications?  Sampling</w:t>
      </w:r>
      <w:r>
        <w:t xml:space="preserve"> errors may also account for the difference. The issue needs further investigation.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16" w:rsidRDefault="00E27E09" w:rsidP="00040D3F">
    <w:pPr>
      <w:pStyle w:val="Header"/>
      <w:framePr w:wrap="around" w:vAnchor="text" w:hAnchor="margin" w:xAlign="right" w:y="1"/>
      <w:rPr>
        <w:rStyle w:val="PageNumber"/>
        <w:rFonts w:eastAsiaTheme="majorEastAsia"/>
      </w:rPr>
    </w:pPr>
    <w:r>
      <w:rPr>
        <w:rStyle w:val="PageNumber"/>
        <w:rFonts w:eastAsiaTheme="majorEastAsia"/>
      </w:rPr>
      <w:fldChar w:fldCharType="begin"/>
    </w:r>
    <w:r w:rsidR="00BC1116">
      <w:rPr>
        <w:rStyle w:val="PageNumber"/>
        <w:rFonts w:eastAsiaTheme="majorEastAsia"/>
      </w:rPr>
      <w:instrText xml:space="preserve">PAGE  </w:instrText>
    </w:r>
    <w:r>
      <w:rPr>
        <w:rStyle w:val="PageNumber"/>
        <w:rFonts w:eastAsiaTheme="majorEastAsia"/>
      </w:rPr>
      <w:fldChar w:fldCharType="separate"/>
    </w:r>
    <w:r w:rsidR="00BC1116">
      <w:rPr>
        <w:rStyle w:val="PageNumber"/>
        <w:rFonts w:eastAsiaTheme="majorEastAsia"/>
        <w:noProof/>
      </w:rPr>
      <w:t>38</w:t>
    </w:r>
    <w:r>
      <w:rPr>
        <w:rStyle w:val="PageNumber"/>
        <w:rFonts w:eastAsiaTheme="majorEastAsia"/>
      </w:rPr>
      <w:fldChar w:fldCharType="end"/>
    </w:r>
  </w:p>
  <w:p w:rsidR="00BC1116" w:rsidRDefault="00BC1116" w:rsidP="00040D3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16" w:rsidRDefault="00BC1116" w:rsidP="00040D3F">
    <w:pPr>
      <w:pStyle w:val="Header"/>
      <w:framePr w:wrap="around" w:vAnchor="text" w:hAnchor="margin" w:xAlign="right" w:y="1"/>
      <w:rPr>
        <w:rStyle w:val="PageNumber"/>
        <w:rFonts w:eastAsiaTheme="majorEastAsia"/>
      </w:rPr>
    </w:pPr>
  </w:p>
  <w:p w:rsidR="00BC1116" w:rsidRDefault="00BC1116" w:rsidP="00040D3F">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116" w:rsidRDefault="00BC11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8FA"/>
    <w:multiLevelType w:val="hybridMultilevel"/>
    <w:tmpl w:val="D974DDA8"/>
    <w:lvl w:ilvl="0" w:tplc="14090001">
      <w:start w:val="1"/>
      <w:numFmt w:val="bullet"/>
      <w:lvlText w:val=""/>
      <w:lvlJc w:val="left"/>
      <w:pPr>
        <w:ind w:left="-855" w:hanging="360"/>
      </w:pPr>
      <w:rPr>
        <w:rFonts w:ascii="Symbol" w:hAnsi="Symbol" w:hint="default"/>
      </w:rPr>
    </w:lvl>
    <w:lvl w:ilvl="1" w:tplc="14090003" w:tentative="1">
      <w:start w:val="1"/>
      <w:numFmt w:val="bullet"/>
      <w:lvlText w:val="o"/>
      <w:lvlJc w:val="left"/>
      <w:pPr>
        <w:ind w:left="-135" w:hanging="360"/>
      </w:pPr>
      <w:rPr>
        <w:rFonts w:ascii="Courier New" w:hAnsi="Courier New" w:cs="Courier New" w:hint="default"/>
      </w:rPr>
    </w:lvl>
    <w:lvl w:ilvl="2" w:tplc="14090005" w:tentative="1">
      <w:start w:val="1"/>
      <w:numFmt w:val="bullet"/>
      <w:lvlText w:val=""/>
      <w:lvlJc w:val="left"/>
      <w:pPr>
        <w:ind w:left="585" w:hanging="360"/>
      </w:pPr>
      <w:rPr>
        <w:rFonts w:ascii="Wingdings" w:hAnsi="Wingdings" w:hint="default"/>
      </w:rPr>
    </w:lvl>
    <w:lvl w:ilvl="3" w:tplc="14090001" w:tentative="1">
      <w:start w:val="1"/>
      <w:numFmt w:val="bullet"/>
      <w:lvlText w:val=""/>
      <w:lvlJc w:val="left"/>
      <w:pPr>
        <w:ind w:left="1305" w:hanging="360"/>
      </w:pPr>
      <w:rPr>
        <w:rFonts w:ascii="Symbol" w:hAnsi="Symbol" w:hint="default"/>
      </w:rPr>
    </w:lvl>
    <w:lvl w:ilvl="4" w:tplc="14090003" w:tentative="1">
      <w:start w:val="1"/>
      <w:numFmt w:val="bullet"/>
      <w:lvlText w:val="o"/>
      <w:lvlJc w:val="left"/>
      <w:pPr>
        <w:ind w:left="2025" w:hanging="360"/>
      </w:pPr>
      <w:rPr>
        <w:rFonts w:ascii="Courier New" w:hAnsi="Courier New" w:cs="Courier New" w:hint="default"/>
      </w:rPr>
    </w:lvl>
    <w:lvl w:ilvl="5" w:tplc="14090005" w:tentative="1">
      <w:start w:val="1"/>
      <w:numFmt w:val="bullet"/>
      <w:lvlText w:val=""/>
      <w:lvlJc w:val="left"/>
      <w:pPr>
        <w:ind w:left="2745" w:hanging="360"/>
      </w:pPr>
      <w:rPr>
        <w:rFonts w:ascii="Wingdings" w:hAnsi="Wingdings" w:hint="default"/>
      </w:rPr>
    </w:lvl>
    <w:lvl w:ilvl="6" w:tplc="14090001" w:tentative="1">
      <w:start w:val="1"/>
      <w:numFmt w:val="bullet"/>
      <w:lvlText w:val=""/>
      <w:lvlJc w:val="left"/>
      <w:pPr>
        <w:ind w:left="3465" w:hanging="360"/>
      </w:pPr>
      <w:rPr>
        <w:rFonts w:ascii="Symbol" w:hAnsi="Symbol" w:hint="default"/>
      </w:rPr>
    </w:lvl>
    <w:lvl w:ilvl="7" w:tplc="14090003" w:tentative="1">
      <w:start w:val="1"/>
      <w:numFmt w:val="bullet"/>
      <w:lvlText w:val="o"/>
      <w:lvlJc w:val="left"/>
      <w:pPr>
        <w:ind w:left="4185" w:hanging="360"/>
      </w:pPr>
      <w:rPr>
        <w:rFonts w:ascii="Courier New" w:hAnsi="Courier New" w:cs="Courier New" w:hint="default"/>
      </w:rPr>
    </w:lvl>
    <w:lvl w:ilvl="8" w:tplc="14090005" w:tentative="1">
      <w:start w:val="1"/>
      <w:numFmt w:val="bullet"/>
      <w:lvlText w:val=""/>
      <w:lvlJc w:val="left"/>
      <w:pPr>
        <w:ind w:left="4905" w:hanging="360"/>
      </w:pPr>
      <w:rPr>
        <w:rFonts w:ascii="Wingdings" w:hAnsi="Wingdings" w:hint="default"/>
      </w:rPr>
    </w:lvl>
  </w:abstractNum>
  <w:abstractNum w:abstractNumId="1">
    <w:nsid w:val="03F037DD"/>
    <w:multiLevelType w:val="hybridMultilevel"/>
    <w:tmpl w:val="CB4EF59E"/>
    <w:lvl w:ilvl="0" w:tplc="B2DA5CE2">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44509E3"/>
    <w:multiLevelType w:val="hybridMultilevel"/>
    <w:tmpl w:val="FC0630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067328FA"/>
    <w:multiLevelType w:val="hybridMultilevel"/>
    <w:tmpl w:val="910A8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8BC37F5"/>
    <w:multiLevelType w:val="hybridMultilevel"/>
    <w:tmpl w:val="0A12BFE4"/>
    <w:lvl w:ilvl="0" w:tplc="8908B210">
      <w:start w:val="1"/>
      <w:numFmt w:val="decimal"/>
      <w:lvlText w:val="%1."/>
      <w:lvlJc w:val="left"/>
      <w:pPr>
        <w:tabs>
          <w:tab w:val="num" w:pos="360"/>
        </w:tabs>
        <w:ind w:left="360" w:hanging="360"/>
      </w:pPr>
      <w:rPr>
        <w:rFonts w:hint="default"/>
        <w:b/>
      </w:rPr>
    </w:lvl>
    <w:lvl w:ilvl="1" w:tplc="E9CCC598">
      <w:start w:val="1"/>
      <w:numFmt w:val="decimal"/>
      <w:lvlText w:val="(%2)"/>
      <w:lvlJc w:val="left"/>
      <w:pPr>
        <w:tabs>
          <w:tab w:val="num" w:pos="360"/>
        </w:tabs>
        <w:ind w:left="360" w:hanging="360"/>
      </w:pPr>
      <w:rPr>
        <w:rFonts w:hint="default"/>
      </w:rPr>
    </w:lvl>
    <w:lvl w:ilvl="2" w:tplc="4DA41530">
      <w:start w:val="1"/>
      <w:numFmt w:val="lowerLetter"/>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0A7E2954"/>
    <w:multiLevelType w:val="hybridMultilevel"/>
    <w:tmpl w:val="6E1A50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0B282ED1"/>
    <w:multiLevelType w:val="hybridMultilevel"/>
    <w:tmpl w:val="899829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nsid w:val="0C763635"/>
    <w:multiLevelType w:val="hybridMultilevel"/>
    <w:tmpl w:val="E8B402F0"/>
    <w:lvl w:ilvl="0" w:tplc="40DEE908">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0C931EC9"/>
    <w:multiLevelType w:val="hybridMultilevel"/>
    <w:tmpl w:val="B0B24B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0D2D26DF"/>
    <w:multiLevelType w:val="hybridMultilevel"/>
    <w:tmpl w:val="31E6C652"/>
    <w:lvl w:ilvl="0" w:tplc="14090001">
      <w:start w:val="1"/>
      <w:numFmt w:val="bullet"/>
      <w:lvlText w:val=""/>
      <w:lvlJc w:val="left"/>
      <w:pPr>
        <w:ind w:left="360" w:hanging="360"/>
      </w:pPr>
      <w:rPr>
        <w:rFonts w:ascii="Symbol" w:hAnsi="Symbol" w:hint="default"/>
      </w:rPr>
    </w:lvl>
    <w:lvl w:ilvl="1" w:tplc="08D08AD6">
      <w:numFmt w:val="bullet"/>
      <w:lvlText w:val="•"/>
      <w:lvlJc w:val="left"/>
      <w:pPr>
        <w:ind w:left="1080" w:hanging="360"/>
      </w:pPr>
      <w:rPr>
        <w:rFonts w:ascii="Arial" w:eastAsiaTheme="minorHAnsi" w:hAnsi="Arial"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0E91002D"/>
    <w:multiLevelType w:val="hybridMultilevel"/>
    <w:tmpl w:val="01A6A474"/>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0F1E2DEA"/>
    <w:multiLevelType w:val="hybridMultilevel"/>
    <w:tmpl w:val="DD243380"/>
    <w:lvl w:ilvl="0" w:tplc="006C9476">
      <w:start w:val="1"/>
      <w:numFmt w:val="bullet"/>
      <w:lvlText w:val=""/>
      <w:lvlJc w:val="left"/>
      <w:pPr>
        <w:ind w:left="360" w:hanging="360"/>
      </w:pPr>
      <w:rPr>
        <w:rFonts w:ascii="Wingdings" w:hAnsi="Wingdings" w:hint="default"/>
        <w:sz w:val="32"/>
        <w:szCs w:val="3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16C41D3C"/>
    <w:multiLevelType w:val="hybridMultilevel"/>
    <w:tmpl w:val="BB0EBB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18C15E32"/>
    <w:multiLevelType w:val="hybridMultilevel"/>
    <w:tmpl w:val="8E561BF2"/>
    <w:lvl w:ilvl="0" w:tplc="D59053D0">
      <w:start w:val="1"/>
      <w:numFmt w:val="decimal"/>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25AD08F8"/>
    <w:multiLevelType w:val="hybridMultilevel"/>
    <w:tmpl w:val="934664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25B24DD0"/>
    <w:multiLevelType w:val="hybridMultilevel"/>
    <w:tmpl w:val="EFB490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26346244"/>
    <w:multiLevelType w:val="hybridMultilevel"/>
    <w:tmpl w:val="A2C6FC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295A1BB2"/>
    <w:multiLevelType w:val="hybridMultilevel"/>
    <w:tmpl w:val="4B904C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299E4B89"/>
    <w:multiLevelType w:val="hybridMultilevel"/>
    <w:tmpl w:val="F4D409C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29F01327"/>
    <w:multiLevelType w:val="hybridMultilevel"/>
    <w:tmpl w:val="B2EC9656"/>
    <w:lvl w:ilvl="0" w:tplc="F174432A">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2D4C6B90"/>
    <w:multiLevelType w:val="hybridMultilevel"/>
    <w:tmpl w:val="7AFED5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2DD15E42"/>
    <w:multiLevelType w:val="hybridMultilevel"/>
    <w:tmpl w:val="2D72EAFE"/>
    <w:lvl w:ilvl="0" w:tplc="AC4AFF10">
      <w:start w:val="1"/>
      <w:numFmt w:val="lowerLetter"/>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nsid w:val="35000F0F"/>
    <w:multiLevelType w:val="hybridMultilevel"/>
    <w:tmpl w:val="44FCE032"/>
    <w:lvl w:ilvl="0" w:tplc="7C72A0BE">
      <w:start w:val="1"/>
      <w:numFmt w:val="bullet"/>
      <w:lvlText w:val=""/>
      <w:lvlJc w:val="left"/>
      <w:pPr>
        <w:ind w:left="360" w:hanging="360"/>
      </w:pPr>
      <w:rPr>
        <w:rFonts w:ascii="Wingdings" w:hAnsi="Wingdings" w:hint="default"/>
        <w:sz w:val="32"/>
        <w:szCs w:val="3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37B732D7"/>
    <w:multiLevelType w:val="hybridMultilevel"/>
    <w:tmpl w:val="4D6CA9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nsid w:val="39621D49"/>
    <w:multiLevelType w:val="hybridMultilevel"/>
    <w:tmpl w:val="797AAA9E"/>
    <w:lvl w:ilvl="0" w:tplc="69425FFA">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nsid w:val="39D84A30"/>
    <w:multiLevelType w:val="hybridMultilevel"/>
    <w:tmpl w:val="B930DA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3A6442FF"/>
    <w:multiLevelType w:val="hybridMultilevel"/>
    <w:tmpl w:val="FCD074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nsid w:val="3C2F08EF"/>
    <w:multiLevelType w:val="hybridMultilevel"/>
    <w:tmpl w:val="14BEFF2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nsid w:val="3C9A0FF1"/>
    <w:multiLevelType w:val="hybridMultilevel"/>
    <w:tmpl w:val="2766D358"/>
    <w:lvl w:ilvl="0" w:tplc="BC084B36">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3E2665FF"/>
    <w:multiLevelType w:val="hybridMultilevel"/>
    <w:tmpl w:val="4E54769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nsid w:val="42155EB0"/>
    <w:multiLevelType w:val="hybridMultilevel"/>
    <w:tmpl w:val="C04A8956"/>
    <w:lvl w:ilvl="0" w:tplc="D41C419E">
      <w:start w:val="1"/>
      <w:numFmt w:val="decimal"/>
      <w:lvlText w:val="(%1)"/>
      <w:lvlJc w:val="left"/>
      <w:pPr>
        <w:tabs>
          <w:tab w:val="num" w:pos="1800"/>
        </w:tabs>
        <w:ind w:left="1800" w:hanging="360"/>
      </w:pPr>
      <w:rPr>
        <w:rFonts w:hint="default"/>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31">
    <w:nsid w:val="47C636FC"/>
    <w:multiLevelType w:val="hybridMultilevel"/>
    <w:tmpl w:val="37400A9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nsid w:val="4BF24C1F"/>
    <w:multiLevelType w:val="hybridMultilevel"/>
    <w:tmpl w:val="4A0E5A28"/>
    <w:lvl w:ilvl="0" w:tplc="E0D87F2A">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nsid w:val="4ED918C3"/>
    <w:multiLevelType w:val="hybridMultilevel"/>
    <w:tmpl w:val="A7F618B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4">
    <w:nsid w:val="4EED32B0"/>
    <w:multiLevelType w:val="hybridMultilevel"/>
    <w:tmpl w:val="804A0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F2F0267"/>
    <w:multiLevelType w:val="hybridMultilevel"/>
    <w:tmpl w:val="B51228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nsid w:val="505216D6"/>
    <w:multiLevelType w:val="hybridMultilevel"/>
    <w:tmpl w:val="59A2F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19579FA"/>
    <w:multiLevelType w:val="hybridMultilevel"/>
    <w:tmpl w:val="1F2096C6"/>
    <w:lvl w:ilvl="0" w:tplc="F3F8044A">
      <w:start w:val="1"/>
      <w:numFmt w:val="decimal"/>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nsid w:val="537C7368"/>
    <w:multiLevelType w:val="hybridMultilevel"/>
    <w:tmpl w:val="7DACC9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nsid w:val="5422762B"/>
    <w:multiLevelType w:val="hybridMultilevel"/>
    <w:tmpl w:val="462206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0">
    <w:nsid w:val="599032AE"/>
    <w:multiLevelType w:val="hybridMultilevel"/>
    <w:tmpl w:val="774C121E"/>
    <w:lvl w:ilvl="0" w:tplc="40DEE908">
      <w:start w:val="1"/>
      <w:numFmt w:val="bullet"/>
      <w:lvlText w:val=""/>
      <w:lvlJc w:val="left"/>
      <w:pPr>
        <w:ind w:left="360" w:hanging="360"/>
      </w:pPr>
      <w:rPr>
        <w:rFonts w:ascii="Symbol" w:hAnsi="Symbol" w:hint="default"/>
        <w:color w:val="000000" w:themeColor="text1"/>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nsid w:val="5B3C5211"/>
    <w:multiLevelType w:val="hybridMultilevel"/>
    <w:tmpl w:val="0D2A6CD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2">
    <w:nsid w:val="5D380A9F"/>
    <w:multiLevelType w:val="hybridMultilevel"/>
    <w:tmpl w:val="371CBE78"/>
    <w:lvl w:ilvl="0" w:tplc="9FC87C0E">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nsid w:val="60014D0B"/>
    <w:multiLevelType w:val="hybridMultilevel"/>
    <w:tmpl w:val="E1C6FC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nsid w:val="60137AAB"/>
    <w:multiLevelType w:val="hybridMultilevel"/>
    <w:tmpl w:val="7CFC30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nsid w:val="60253169"/>
    <w:multiLevelType w:val="hybridMultilevel"/>
    <w:tmpl w:val="7BF6F7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nsid w:val="644B6CD0"/>
    <w:multiLevelType w:val="hybridMultilevel"/>
    <w:tmpl w:val="7D14F4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nsid w:val="646B3241"/>
    <w:multiLevelType w:val="hybridMultilevel"/>
    <w:tmpl w:val="60503B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nsid w:val="659F5480"/>
    <w:multiLevelType w:val="hybridMultilevel"/>
    <w:tmpl w:val="8BB4E60E"/>
    <w:lvl w:ilvl="0" w:tplc="CAE683C4">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9">
    <w:nsid w:val="665B0D41"/>
    <w:multiLevelType w:val="hybridMultilevel"/>
    <w:tmpl w:val="47F261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nsid w:val="6CE02322"/>
    <w:multiLevelType w:val="hybridMultilevel"/>
    <w:tmpl w:val="CA247110"/>
    <w:lvl w:ilvl="0" w:tplc="4A889178">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1">
    <w:nsid w:val="6D2B50C0"/>
    <w:multiLevelType w:val="hybridMultilevel"/>
    <w:tmpl w:val="55562170"/>
    <w:lvl w:ilvl="0" w:tplc="1BE4CCA2">
      <w:start w:val="1"/>
      <w:numFmt w:val="lowerLetter"/>
      <w:lvlText w:val="(%1)"/>
      <w:lvlJc w:val="left"/>
      <w:pPr>
        <w:tabs>
          <w:tab w:val="num" w:pos="1440"/>
        </w:tabs>
        <w:ind w:left="1440" w:hanging="36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52">
    <w:nsid w:val="718B228C"/>
    <w:multiLevelType w:val="hybridMultilevel"/>
    <w:tmpl w:val="0B087786"/>
    <w:lvl w:ilvl="0" w:tplc="5E385EA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3">
    <w:nsid w:val="721437CB"/>
    <w:multiLevelType w:val="hybridMultilevel"/>
    <w:tmpl w:val="39A026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4">
    <w:nsid w:val="72FE58EB"/>
    <w:multiLevelType w:val="hybridMultilevel"/>
    <w:tmpl w:val="EABCE58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5">
    <w:nsid w:val="74EF5743"/>
    <w:multiLevelType w:val="hybridMultilevel"/>
    <w:tmpl w:val="35EADFE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6">
    <w:nsid w:val="79AD3510"/>
    <w:multiLevelType w:val="hybridMultilevel"/>
    <w:tmpl w:val="E25A52D8"/>
    <w:lvl w:ilvl="0" w:tplc="7FC8C36E">
      <w:start w:val="15"/>
      <w:numFmt w:val="decimal"/>
      <w:lvlText w:val="%1."/>
      <w:lvlJc w:val="left"/>
      <w:pPr>
        <w:ind w:left="0" w:hanging="360"/>
      </w:pPr>
      <w:rPr>
        <w:rFonts w:hint="default"/>
        <w:b/>
      </w:rPr>
    </w:lvl>
    <w:lvl w:ilvl="1" w:tplc="14090019" w:tentative="1">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57">
    <w:nsid w:val="7A074275"/>
    <w:multiLevelType w:val="multilevel"/>
    <w:tmpl w:val="9B96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CEB178C"/>
    <w:multiLevelType w:val="hybridMultilevel"/>
    <w:tmpl w:val="07C6955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9">
    <w:nsid w:val="7F8A2C80"/>
    <w:multiLevelType w:val="hybridMultilevel"/>
    <w:tmpl w:val="C016C14E"/>
    <w:lvl w:ilvl="0" w:tplc="14090001">
      <w:start w:val="1"/>
      <w:numFmt w:val="bullet"/>
      <w:lvlText w:val=""/>
      <w:lvlJc w:val="left"/>
      <w:pPr>
        <w:ind w:left="-305" w:hanging="360"/>
      </w:pPr>
      <w:rPr>
        <w:rFonts w:ascii="Symbol" w:hAnsi="Symbol" w:hint="default"/>
      </w:rPr>
    </w:lvl>
    <w:lvl w:ilvl="1" w:tplc="14090003" w:tentative="1">
      <w:start w:val="1"/>
      <w:numFmt w:val="bullet"/>
      <w:lvlText w:val="o"/>
      <w:lvlJc w:val="left"/>
      <w:pPr>
        <w:ind w:left="415" w:hanging="360"/>
      </w:pPr>
      <w:rPr>
        <w:rFonts w:ascii="Courier New" w:hAnsi="Courier New" w:cs="Courier New" w:hint="default"/>
      </w:rPr>
    </w:lvl>
    <w:lvl w:ilvl="2" w:tplc="14090005" w:tentative="1">
      <w:start w:val="1"/>
      <w:numFmt w:val="bullet"/>
      <w:lvlText w:val=""/>
      <w:lvlJc w:val="left"/>
      <w:pPr>
        <w:ind w:left="1135" w:hanging="360"/>
      </w:pPr>
      <w:rPr>
        <w:rFonts w:ascii="Wingdings" w:hAnsi="Wingdings" w:hint="default"/>
      </w:rPr>
    </w:lvl>
    <w:lvl w:ilvl="3" w:tplc="14090001" w:tentative="1">
      <w:start w:val="1"/>
      <w:numFmt w:val="bullet"/>
      <w:lvlText w:val=""/>
      <w:lvlJc w:val="left"/>
      <w:pPr>
        <w:ind w:left="1855" w:hanging="360"/>
      </w:pPr>
      <w:rPr>
        <w:rFonts w:ascii="Symbol" w:hAnsi="Symbol" w:hint="default"/>
      </w:rPr>
    </w:lvl>
    <w:lvl w:ilvl="4" w:tplc="14090003" w:tentative="1">
      <w:start w:val="1"/>
      <w:numFmt w:val="bullet"/>
      <w:lvlText w:val="o"/>
      <w:lvlJc w:val="left"/>
      <w:pPr>
        <w:ind w:left="2575" w:hanging="360"/>
      </w:pPr>
      <w:rPr>
        <w:rFonts w:ascii="Courier New" w:hAnsi="Courier New" w:cs="Courier New" w:hint="default"/>
      </w:rPr>
    </w:lvl>
    <w:lvl w:ilvl="5" w:tplc="14090005" w:tentative="1">
      <w:start w:val="1"/>
      <w:numFmt w:val="bullet"/>
      <w:lvlText w:val=""/>
      <w:lvlJc w:val="left"/>
      <w:pPr>
        <w:ind w:left="3295" w:hanging="360"/>
      </w:pPr>
      <w:rPr>
        <w:rFonts w:ascii="Wingdings" w:hAnsi="Wingdings" w:hint="default"/>
      </w:rPr>
    </w:lvl>
    <w:lvl w:ilvl="6" w:tplc="14090001" w:tentative="1">
      <w:start w:val="1"/>
      <w:numFmt w:val="bullet"/>
      <w:lvlText w:val=""/>
      <w:lvlJc w:val="left"/>
      <w:pPr>
        <w:ind w:left="4015" w:hanging="360"/>
      </w:pPr>
      <w:rPr>
        <w:rFonts w:ascii="Symbol" w:hAnsi="Symbol" w:hint="default"/>
      </w:rPr>
    </w:lvl>
    <w:lvl w:ilvl="7" w:tplc="14090003" w:tentative="1">
      <w:start w:val="1"/>
      <w:numFmt w:val="bullet"/>
      <w:lvlText w:val="o"/>
      <w:lvlJc w:val="left"/>
      <w:pPr>
        <w:ind w:left="4735" w:hanging="360"/>
      </w:pPr>
      <w:rPr>
        <w:rFonts w:ascii="Courier New" w:hAnsi="Courier New" w:cs="Courier New" w:hint="default"/>
      </w:rPr>
    </w:lvl>
    <w:lvl w:ilvl="8" w:tplc="14090005" w:tentative="1">
      <w:start w:val="1"/>
      <w:numFmt w:val="bullet"/>
      <w:lvlText w:val=""/>
      <w:lvlJc w:val="left"/>
      <w:pPr>
        <w:ind w:left="5455" w:hanging="360"/>
      </w:pPr>
      <w:rPr>
        <w:rFonts w:ascii="Wingdings" w:hAnsi="Wingdings" w:hint="default"/>
      </w:rPr>
    </w:lvl>
  </w:abstractNum>
  <w:abstractNum w:abstractNumId="60">
    <w:nsid w:val="7F9A155C"/>
    <w:multiLevelType w:val="hybridMultilevel"/>
    <w:tmpl w:val="3806C5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1">
    <w:nsid w:val="7FAA6F8E"/>
    <w:multiLevelType w:val="multilevel"/>
    <w:tmpl w:val="D4F8DF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2">
    <w:nsid w:val="7FB16E9C"/>
    <w:multiLevelType w:val="hybridMultilevel"/>
    <w:tmpl w:val="2A28C9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59"/>
  </w:num>
  <w:num w:numId="4">
    <w:abstractNumId w:val="33"/>
  </w:num>
  <w:num w:numId="5">
    <w:abstractNumId w:val="34"/>
  </w:num>
  <w:num w:numId="6">
    <w:abstractNumId w:val="8"/>
  </w:num>
  <w:num w:numId="7">
    <w:abstractNumId w:val="44"/>
  </w:num>
  <w:num w:numId="8">
    <w:abstractNumId w:val="36"/>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53"/>
  </w:num>
  <w:num w:numId="12">
    <w:abstractNumId w:val="45"/>
  </w:num>
  <w:num w:numId="13">
    <w:abstractNumId w:val="16"/>
  </w:num>
  <w:num w:numId="14">
    <w:abstractNumId w:val="43"/>
  </w:num>
  <w:num w:numId="15">
    <w:abstractNumId w:val="49"/>
  </w:num>
  <w:num w:numId="16">
    <w:abstractNumId w:val="29"/>
  </w:num>
  <w:num w:numId="17">
    <w:abstractNumId w:val="2"/>
  </w:num>
  <w:num w:numId="18">
    <w:abstractNumId w:val="41"/>
  </w:num>
  <w:num w:numId="19">
    <w:abstractNumId w:val="39"/>
  </w:num>
  <w:num w:numId="20">
    <w:abstractNumId w:val="14"/>
  </w:num>
  <w:num w:numId="21">
    <w:abstractNumId w:val="47"/>
  </w:num>
  <w:num w:numId="22">
    <w:abstractNumId w:val="5"/>
  </w:num>
  <w:num w:numId="23">
    <w:abstractNumId w:val="10"/>
  </w:num>
  <w:num w:numId="24">
    <w:abstractNumId w:val="26"/>
  </w:num>
  <w:num w:numId="25">
    <w:abstractNumId w:val="11"/>
  </w:num>
  <w:num w:numId="26">
    <w:abstractNumId w:val="22"/>
  </w:num>
  <w:num w:numId="27">
    <w:abstractNumId w:val="0"/>
  </w:num>
  <w:num w:numId="28">
    <w:abstractNumId w:val="4"/>
  </w:num>
  <w:num w:numId="29">
    <w:abstractNumId w:val="30"/>
  </w:num>
  <w:num w:numId="30">
    <w:abstractNumId w:val="19"/>
  </w:num>
  <w:num w:numId="31">
    <w:abstractNumId w:val="1"/>
  </w:num>
  <w:num w:numId="32">
    <w:abstractNumId w:val="24"/>
  </w:num>
  <w:num w:numId="33">
    <w:abstractNumId w:val="50"/>
  </w:num>
  <w:num w:numId="34">
    <w:abstractNumId w:val="52"/>
  </w:num>
  <w:num w:numId="35">
    <w:abstractNumId w:val="42"/>
  </w:num>
  <w:num w:numId="36">
    <w:abstractNumId w:val="37"/>
  </w:num>
  <w:num w:numId="37">
    <w:abstractNumId w:val="32"/>
  </w:num>
  <w:num w:numId="38">
    <w:abstractNumId w:val="13"/>
  </w:num>
  <w:num w:numId="39">
    <w:abstractNumId w:val="21"/>
  </w:num>
  <w:num w:numId="40">
    <w:abstractNumId w:val="28"/>
  </w:num>
  <w:num w:numId="41">
    <w:abstractNumId w:val="51"/>
  </w:num>
  <w:num w:numId="42">
    <w:abstractNumId w:val="56"/>
  </w:num>
  <w:num w:numId="43">
    <w:abstractNumId w:val="17"/>
  </w:num>
  <w:num w:numId="44">
    <w:abstractNumId w:val="15"/>
  </w:num>
  <w:num w:numId="4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num>
  <w:num w:numId="53">
    <w:abstractNumId w:val="12"/>
  </w:num>
  <w:num w:numId="54">
    <w:abstractNumId w:val="40"/>
  </w:num>
  <w:num w:numId="55">
    <w:abstractNumId w:val="38"/>
  </w:num>
  <w:num w:numId="56">
    <w:abstractNumId w:val="20"/>
  </w:num>
  <w:num w:numId="57">
    <w:abstractNumId w:val="23"/>
  </w:num>
  <w:num w:numId="58">
    <w:abstractNumId w:val="27"/>
  </w:num>
  <w:num w:numId="59">
    <w:abstractNumId w:val="57"/>
  </w:num>
  <w:num w:numId="60">
    <w:abstractNumId w:val="25"/>
  </w:num>
  <w:num w:numId="61">
    <w:abstractNumId w:val="3"/>
  </w:num>
  <w:num w:numId="62">
    <w:abstractNumId w:val="46"/>
  </w:num>
  <w:num w:numId="63">
    <w:abstractNumId w:val="54"/>
  </w:num>
  <w:num w:numId="64">
    <w:abstractNumId w:val="6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92">
      <o:colormenu v:ext="edit" strokecolor="none"/>
    </o:shapedefaults>
    <o:shapelayout v:ext="edit">
      <o:rules v:ext="edit">
        <o:r id="V:Rule2" type="connector" idref="#_x0000_s2087"/>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C8"/>
    <w:rsid w:val="0000586C"/>
    <w:rsid w:val="00005901"/>
    <w:rsid w:val="00016332"/>
    <w:rsid w:val="00022EE7"/>
    <w:rsid w:val="00033BBD"/>
    <w:rsid w:val="00033EA0"/>
    <w:rsid w:val="00040D3F"/>
    <w:rsid w:val="00046D13"/>
    <w:rsid w:val="00050566"/>
    <w:rsid w:val="00061B41"/>
    <w:rsid w:val="00064E1B"/>
    <w:rsid w:val="000730DB"/>
    <w:rsid w:val="00085BEB"/>
    <w:rsid w:val="0009685C"/>
    <w:rsid w:val="00097524"/>
    <w:rsid w:val="000B7BA0"/>
    <w:rsid w:val="000C2A0A"/>
    <w:rsid w:val="000D233D"/>
    <w:rsid w:val="000D518E"/>
    <w:rsid w:val="000E1190"/>
    <w:rsid w:val="000E6856"/>
    <w:rsid w:val="000F2061"/>
    <w:rsid w:val="000F2381"/>
    <w:rsid w:val="001125F7"/>
    <w:rsid w:val="00112CCE"/>
    <w:rsid w:val="00116B5A"/>
    <w:rsid w:val="0012092E"/>
    <w:rsid w:val="00122A7A"/>
    <w:rsid w:val="00136C7A"/>
    <w:rsid w:val="0014487C"/>
    <w:rsid w:val="00145507"/>
    <w:rsid w:val="00154A45"/>
    <w:rsid w:val="00162CD5"/>
    <w:rsid w:val="00163C51"/>
    <w:rsid w:val="0017024B"/>
    <w:rsid w:val="001A353E"/>
    <w:rsid w:val="001A36C6"/>
    <w:rsid w:val="001A6A31"/>
    <w:rsid w:val="001B0300"/>
    <w:rsid w:val="001B51AB"/>
    <w:rsid w:val="001B769E"/>
    <w:rsid w:val="001E236F"/>
    <w:rsid w:val="001E34CE"/>
    <w:rsid w:val="001F15A8"/>
    <w:rsid w:val="001F7212"/>
    <w:rsid w:val="00200B16"/>
    <w:rsid w:val="00204450"/>
    <w:rsid w:val="00207308"/>
    <w:rsid w:val="002127F2"/>
    <w:rsid w:val="002225F6"/>
    <w:rsid w:val="00223740"/>
    <w:rsid w:val="00223E25"/>
    <w:rsid w:val="0022685E"/>
    <w:rsid w:val="00232A28"/>
    <w:rsid w:val="002346DF"/>
    <w:rsid w:val="002368D0"/>
    <w:rsid w:val="00237C76"/>
    <w:rsid w:val="0024706A"/>
    <w:rsid w:val="00250980"/>
    <w:rsid w:val="00286635"/>
    <w:rsid w:val="00292FCB"/>
    <w:rsid w:val="00294200"/>
    <w:rsid w:val="00294202"/>
    <w:rsid w:val="002B3810"/>
    <w:rsid w:val="002D5BCE"/>
    <w:rsid w:val="002D6160"/>
    <w:rsid w:val="002E163B"/>
    <w:rsid w:val="002F1709"/>
    <w:rsid w:val="00304772"/>
    <w:rsid w:val="00311F07"/>
    <w:rsid w:val="0031511A"/>
    <w:rsid w:val="00324194"/>
    <w:rsid w:val="003252C6"/>
    <w:rsid w:val="00331F00"/>
    <w:rsid w:val="00347906"/>
    <w:rsid w:val="00356E0F"/>
    <w:rsid w:val="00364E8C"/>
    <w:rsid w:val="003671EF"/>
    <w:rsid w:val="00371EF6"/>
    <w:rsid w:val="00374FAC"/>
    <w:rsid w:val="00382E00"/>
    <w:rsid w:val="00385E71"/>
    <w:rsid w:val="00386766"/>
    <w:rsid w:val="00387BD2"/>
    <w:rsid w:val="003A4AC4"/>
    <w:rsid w:val="003B7271"/>
    <w:rsid w:val="003C1995"/>
    <w:rsid w:val="003C1C49"/>
    <w:rsid w:val="003E69E7"/>
    <w:rsid w:val="003E757D"/>
    <w:rsid w:val="003E7F1B"/>
    <w:rsid w:val="003F13AC"/>
    <w:rsid w:val="003F2CF4"/>
    <w:rsid w:val="003F6764"/>
    <w:rsid w:val="00400179"/>
    <w:rsid w:val="00407F24"/>
    <w:rsid w:val="00420B0D"/>
    <w:rsid w:val="00422C15"/>
    <w:rsid w:val="00425A22"/>
    <w:rsid w:val="00461F0D"/>
    <w:rsid w:val="00462B1D"/>
    <w:rsid w:val="00472B7F"/>
    <w:rsid w:val="004731D6"/>
    <w:rsid w:val="00475CE8"/>
    <w:rsid w:val="00486AE7"/>
    <w:rsid w:val="004A3257"/>
    <w:rsid w:val="004C07AE"/>
    <w:rsid w:val="004C2F6D"/>
    <w:rsid w:val="004D2DED"/>
    <w:rsid w:val="004D4FA2"/>
    <w:rsid w:val="004E3793"/>
    <w:rsid w:val="004E413D"/>
    <w:rsid w:val="004E5AF7"/>
    <w:rsid w:val="004E76D5"/>
    <w:rsid w:val="004F7950"/>
    <w:rsid w:val="00507CA5"/>
    <w:rsid w:val="005142C6"/>
    <w:rsid w:val="00523AAB"/>
    <w:rsid w:val="005323CF"/>
    <w:rsid w:val="00535476"/>
    <w:rsid w:val="005428D0"/>
    <w:rsid w:val="00554171"/>
    <w:rsid w:val="00566FA3"/>
    <w:rsid w:val="00583AA7"/>
    <w:rsid w:val="00585AF5"/>
    <w:rsid w:val="00585D41"/>
    <w:rsid w:val="00596ADE"/>
    <w:rsid w:val="00596FF9"/>
    <w:rsid w:val="00597450"/>
    <w:rsid w:val="005A69EA"/>
    <w:rsid w:val="005D2117"/>
    <w:rsid w:val="005D5F2C"/>
    <w:rsid w:val="005E207C"/>
    <w:rsid w:val="005E3E78"/>
    <w:rsid w:val="00605BE9"/>
    <w:rsid w:val="00611E8F"/>
    <w:rsid w:val="00626C63"/>
    <w:rsid w:val="0063258E"/>
    <w:rsid w:val="006410A8"/>
    <w:rsid w:val="00644C0B"/>
    <w:rsid w:val="00651381"/>
    <w:rsid w:val="006657F4"/>
    <w:rsid w:val="00666835"/>
    <w:rsid w:val="00672D9F"/>
    <w:rsid w:val="00680064"/>
    <w:rsid w:val="0068735E"/>
    <w:rsid w:val="00687574"/>
    <w:rsid w:val="006A08CB"/>
    <w:rsid w:val="006B52A7"/>
    <w:rsid w:val="006B58D2"/>
    <w:rsid w:val="006C2548"/>
    <w:rsid w:val="006C4C68"/>
    <w:rsid w:val="006D17BE"/>
    <w:rsid w:val="006D2A07"/>
    <w:rsid w:val="006D405D"/>
    <w:rsid w:val="006D5728"/>
    <w:rsid w:val="006E34F4"/>
    <w:rsid w:val="006F06F8"/>
    <w:rsid w:val="006F17C8"/>
    <w:rsid w:val="0070261F"/>
    <w:rsid w:val="00724D5C"/>
    <w:rsid w:val="00732414"/>
    <w:rsid w:val="00744E41"/>
    <w:rsid w:val="007474AB"/>
    <w:rsid w:val="00754BFB"/>
    <w:rsid w:val="00761E14"/>
    <w:rsid w:val="007672C3"/>
    <w:rsid w:val="0078171C"/>
    <w:rsid w:val="007A10CF"/>
    <w:rsid w:val="007A1A5B"/>
    <w:rsid w:val="007D4F08"/>
    <w:rsid w:val="007E2F39"/>
    <w:rsid w:val="007E7902"/>
    <w:rsid w:val="007F0B35"/>
    <w:rsid w:val="00815CC3"/>
    <w:rsid w:val="0082407A"/>
    <w:rsid w:val="008419D0"/>
    <w:rsid w:val="008457F0"/>
    <w:rsid w:val="00845A78"/>
    <w:rsid w:val="0085039D"/>
    <w:rsid w:val="0087697B"/>
    <w:rsid w:val="00881195"/>
    <w:rsid w:val="008B691A"/>
    <w:rsid w:val="008D2EB3"/>
    <w:rsid w:val="008D493E"/>
    <w:rsid w:val="008F2404"/>
    <w:rsid w:val="0090135C"/>
    <w:rsid w:val="00907C7B"/>
    <w:rsid w:val="00914921"/>
    <w:rsid w:val="00917818"/>
    <w:rsid w:val="0093419B"/>
    <w:rsid w:val="00947147"/>
    <w:rsid w:val="009512CA"/>
    <w:rsid w:val="00961FCE"/>
    <w:rsid w:val="009664A4"/>
    <w:rsid w:val="009732AF"/>
    <w:rsid w:val="00985113"/>
    <w:rsid w:val="0099177F"/>
    <w:rsid w:val="0099536C"/>
    <w:rsid w:val="00997B54"/>
    <w:rsid w:val="009A5612"/>
    <w:rsid w:val="009B12A0"/>
    <w:rsid w:val="009B324F"/>
    <w:rsid w:val="009B577C"/>
    <w:rsid w:val="009B7210"/>
    <w:rsid w:val="009E6FD2"/>
    <w:rsid w:val="009F03B2"/>
    <w:rsid w:val="009F1C6F"/>
    <w:rsid w:val="009F7EA7"/>
    <w:rsid w:val="00A020D9"/>
    <w:rsid w:val="00A12299"/>
    <w:rsid w:val="00A236CF"/>
    <w:rsid w:val="00A36AEE"/>
    <w:rsid w:val="00A377A0"/>
    <w:rsid w:val="00A47974"/>
    <w:rsid w:val="00A53524"/>
    <w:rsid w:val="00A55633"/>
    <w:rsid w:val="00A80D61"/>
    <w:rsid w:val="00A9099D"/>
    <w:rsid w:val="00A92F79"/>
    <w:rsid w:val="00AD1E7D"/>
    <w:rsid w:val="00AD745F"/>
    <w:rsid w:val="00AD788A"/>
    <w:rsid w:val="00AF2C8C"/>
    <w:rsid w:val="00AF30B5"/>
    <w:rsid w:val="00AF346D"/>
    <w:rsid w:val="00AF4C09"/>
    <w:rsid w:val="00B0113B"/>
    <w:rsid w:val="00B03EB4"/>
    <w:rsid w:val="00B22FCE"/>
    <w:rsid w:val="00B25D5D"/>
    <w:rsid w:val="00B37751"/>
    <w:rsid w:val="00B60DB9"/>
    <w:rsid w:val="00B61848"/>
    <w:rsid w:val="00B70A94"/>
    <w:rsid w:val="00B74F20"/>
    <w:rsid w:val="00B74FFB"/>
    <w:rsid w:val="00B839D1"/>
    <w:rsid w:val="00B94E0C"/>
    <w:rsid w:val="00BB6ED6"/>
    <w:rsid w:val="00BC1116"/>
    <w:rsid w:val="00BF0AEA"/>
    <w:rsid w:val="00C041CB"/>
    <w:rsid w:val="00C06D6A"/>
    <w:rsid w:val="00C1079B"/>
    <w:rsid w:val="00C17327"/>
    <w:rsid w:val="00C21A5A"/>
    <w:rsid w:val="00C230D7"/>
    <w:rsid w:val="00C24221"/>
    <w:rsid w:val="00C40154"/>
    <w:rsid w:val="00C4035F"/>
    <w:rsid w:val="00C55EB4"/>
    <w:rsid w:val="00C82F13"/>
    <w:rsid w:val="00C87BEA"/>
    <w:rsid w:val="00C918A4"/>
    <w:rsid w:val="00CB6549"/>
    <w:rsid w:val="00CC06AB"/>
    <w:rsid w:val="00CC264F"/>
    <w:rsid w:val="00CD2BD9"/>
    <w:rsid w:val="00CD352D"/>
    <w:rsid w:val="00CD7E8A"/>
    <w:rsid w:val="00CE7C72"/>
    <w:rsid w:val="00D14A47"/>
    <w:rsid w:val="00D151A1"/>
    <w:rsid w:val="00D2174C"/>
    <w:rsid w:val="00D31935"/>
    <w:rsid w:val="00D371F1"/>
    <w:rsid w:val="00D56F5C"/>
    <w:rsid w:val="00D57C88"/>
    <w:rsid w:val="00D62579"/>
    <w:rsid w:val="00D62735"/>
    <w:rsid w:val="00D640BA"/>
    <w:rsid w:val="00D7058E"/>
    <w:rsid w:val="00D70C73"/>
    <w:rsid w:val="00D91E11"/>
    <w:rsid w:val="00D9550A"/>
    <w:rsid w:val="00DA2BBB"/>
    <w:rsid w:val="00DB1409"/>
    <w:rsid w:val="00DC40BD"/>
    <w:rsid w:val="00DC65ED"/>
    <w:rsid w:val="00DD2C61"/>
    <w:rsid w:val="00DD69B2"/>
    <w:rsid w:val="00DE6153"/>
    <w:rsid w:val="00E00686"/>
    <w:rsid w:val="00E021DB"/>
    <w:rsid w:val="00E022D0"/>
    <w:rsid w:val="00E0286A"/>
    <w:rsid w:val="00E045F9"/>
    <w:rsid w:val="00E069D0"/>
    <w:rsid w:val="00E16461"/>
    <w:rsid w:val="00E27E09"/>
    <w:rsid w:val="00E46EC3"/>
    <w:rsid w:val="00E63DBF"/>
    <w:rsid w:val="00E678AA"/>
    <w:rsid w:val="00E72AE5"/>
    <w:rsid w:val="00E87628"/>
    <w:rsid w:val="00E907AB"/>
    <w:rsid w:val="00EA63CF"/>
    <w:rsid w:val="00EB04C6"/>
    <w:rsid w:val="00EB6320"/>
    <w:rsid w:val="00EB7830"/>
    <w:rsid w:val="00EC69B1"/>
    <w:rsid w:val="00ED4AE4"/>
    <w:rsid w:val="00ED601B"/>
    <w:rsid w:val="00EE2266"/>
    <w:rsid w:val="00EF2D73"/>
    <w:rsid w:val="00EF4BC8"/>
    <w:rsid w:val="00F0042A"/>
    <w:rsid w:val="00F065EE"/>
    <w:rsid w:val="00F26520"/>
    <w:rsid w:val="00F347E0"/>
    <w:rsid w:val="00F34980"/>
    <w:rsid w:val="00F50B41"/>
    <w:rsid w:val="00F5390D"/>
    <w:rsid w:val="00F53BD8"/>
    <w:rsid w:val="00F61963"/>
    <w:rsid w:val="00F65543"/>
    <w:rsid w:val="00F800B2"/>
    <w:rsid w:val="00FA7030"/>
    <w:rsid w:val="00FD0E92"/>
    <w:rsid w:val="00FD2516"/>
    <w:rsid w:val="00FD473C"/>
    <w:rsid w:val="00FD55B8"/>
    <w:rsid w:val="00FF56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92">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C8"/>
    <w:pPr>
      <w:spacing w:after="0" w:line="240" w:lineRule="auto"/>
    </w:pPr>
    <w:rPr>
      <w:rFonts w:ascii="Arial" w:eastAsia="Times New Roman" w:hAnsi="Arial" w:cs="Times New Roman"/>
      <w:sz w:val="24"/>
      <w:szCs w:val="24"/>
      <w:lang w:val="en-GB"/>
    </w:rPr>
  </w:style>
  <w:style w:type="paragraph" w:styleId="Heading1">
    <w:name w:val="heading 1"/>
    <w:basedOn w:val="Normal"/>
    <w:next w:val="Normal"/>
    <w:link w:val="Heading1Char"/>
    <w:uiPriority w:val="9"/>
    <w:qFormat/>
    <w:rsid w:val="00B25D5D"/>
    <w:pPr>
      <w:keepNext/>
      <w:keepLines/>
      <w:spacing w:before="480"/>
      <w:outlineLvl w:val="0"/>
    </w:pPr>
    <w:rPr>
      <w:rFonts w:asciiTheme="majorHAnsi" w:eastAsiaTheme="majorEastAsia" w:hAnsiTheme="majorHAnsi" w:cstheme="majorBidi"/>
      <w:b/>
      <w:bCs/>
      <w:color w:val="079EC9" w:themeColor="accent1" w:themeShade="BF"/>
      <w:sz w:val="28"/>
      <w:szCs w:val="28"/>
    </w:rPr>
  </w:style>
  <w:style w:type="paragraph" w:styleId="Heading2">
    <w:name w:val="heading 2"/>
    <w:basedOn w:val="Normal"/>
    <w:next w:val="Normal"/>
    <w:link w:val="Heading2Char"/>
    <w:uiPriority w:val="9"/>
    <w:semiHidden/>
    <w:unhideWhenUsed/>
    <w:qFormat/>
    <w:rsid w:val="00D14A47"/>
    <w:pPr>
      <w:keepNext/>
      <w:keepLines/>
      <w:spacing w:before="200"/>
      <w:outlineLvl w:val="1"/>
    </w:pPr>
    <w:rPr>
      <w:rFonts w:asciiTheme="majorHAnsi" w:eastAsiaTheme="majorEastAsia" w:hAnsiTheme="majorHAnsi" w:cstheme="majorBidi"/>
      <w:b/>
      <w:bCs/>
      <w:color w:val="20C8F7" w:themeColor="accent1"/>
      <w:sz w:val="26"/>
      <w:szCs w:val="26"/>
    </w:rPr>
  </w:style>
  <w:style w:type="paragraph" w:styleId="Heading3">
    <w:name w:val="heading 3"/>
    <w:basedOn w:val="Normal"/>
    <w:next w:val="Normal"/>
    <w:link w:val="Heading3Char"/>
    <w:uiPriority w:val="9"/>
    <w:semiHidden/>
    <w:unhideWhenUsed/>
    <w:qFormat/>
    <w:rsid w:val="0078171C"/>
    <w:pPr>
      <w:keepNext/>
      <w:keepLines/>
      <w:spacing w:before="200"/>
      <w:outlineLvl w:val="2"/>
    </w:pPr>
    <w:rPr>
      <w:rFonts w:asciiTheme="majorHAnsi" w:eastAsiaTheme="majorEastAsia" w:hAnsiTheme="majorHAnsi" w:cstheme="majorBidi"/>
      <w:b/>
      <w:bCs/>
      <w:color w:val="20C8F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7C8"/>
    <w:pPr>
      <w:ind w:left="720"/>
      <w:contextualSpacing/>
    </w:pPr>
  </w:style>
  <w:style w:type="character" w:customStyle="1" w:styleId="Heading1Char">
    <w:name w:val="Heading 1 Char"/>
    <w:basedOn w:val="DefaultParagraphFont"/>
    <w:link w:val="Heading1"/>
    <w:uiPriority w:val="9"/>
    <w:rsid w:val="00B25D5D"/>
    <w:rPr>
      <w:rFonts w:asciiTheme="majorHAnsi" w:eastAsiaTheme="majorEastAsia" w:hAnsiTheme="majorHAnsi" w:cstheme="majorBidi"/>
      <w:b/>
      <w:bCs/>
      <w:color w:val="079EC9" w:themeColor="accent1" w:themeShade="BF"/>
      <w:sz w:val="28"/>
      <w:szCs w:val="28"/>
      <w:lang w:val="en-GB"/>
    </w:rPr>
  </w:style>
  <w:style w:type="paragraph" w:styleId="TOCHeading">
    <w:name w:val="TOC Heading"/>
    <w:basedOn w:val="Heading1"/>
    <w:next w:val="Normal"/>
    <w:uiPriority w:val="39"/>
    <w:unhideWhenUsed/>
    <w:qFormat/>
    <w:rsid w:val="00B25D5D"/>
    <w:pPr>
      <w:spacing w:line="276" w:lineRule="auto"/>
      <w:outlineLvl w:val="9"/>
    </w:pPr>
    <w:rPr>
      <w:lang w:val="en-US"/>
    </w:rPr>
  </w:style>
  <w:style w:type="paragraph" w:styleId="TOC1">
    <w:name w:val="toc 1"/>
    <w:basedOn w:val="Normal"/>
    <w:next w:val="Normal"/>
    <w:autoRedefine/>
    <w:uiPriority w:val="39"/>
    <w:unhideWhenUsed/>
    <w:rsid w:val="00B25D5D"/>
    <w:pPr>
      <w:spacing w:after="100"/>
    </w:pPr>
  </w:style>
  <w:style w:type="character" w:styleId="Hyperlink">
    <w:name w:val="Hyperlink"/>
    <w:basedOn w:val="DefaultParagraphFont"/>
    <w:uiPriority w:val="99"/>
    <w:unhideWhenUsed/>
    <w:rsid w:val="00B25D5D"/>
    <w:rPr>
      <w:color w:val="E2D700" w:themeColor="hyperlink"/>
      <w:u w:val="single"/>
    </w:rPr>
  </w:style>
  <w:style w:type="table" w:styleId="MediumGrid3-Accent2">
    <w:name w:val="Medium Grid 3 Accent 2"/>
    <w:basedOn w:val="TableNormal"/>
    <w:uiPriority w:val="69"/>
    <w:rsid w:val="005323CF"/>
    <w:pPr>
      <w:spacing w:after="0" w:line="240" w:lineRule="auto"/>
    </w:pPr>
    <w:rPr>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6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6FF" w:themeFill="accent2" w:themeFillTint="7F"/>
      </w:tcPr>
    </w:tblStylePr>
  </w:style>
  <w:style w:type="paragraph" w:styleId="Header">
    <w:name w:val="header"/>
    <w:basedOn w:val="Normal"/>
    <w:link w:val="HeaderChar"/>
    <w:uiPriority w:val="99"/>
    <w:unhideWhenUsed/>
    <w:rsid w:val="005323CF"/>
    <w:pPr>
      <w:tabs>
        <w:tab w:val="center" w:pos="4513"/>
        <w:tab w:val="right" w:pos="9026"/>
      </w:tabs>
    </w:pPr>
  </w:style>
  <w:style w:type="character" w:customStyle="1" w:styleId="HeaderChar">
    <w:name w:val="Header Char"/>
    <w:basedOn w:val="DefaultParagraphFont"/>
    <w:link w:val="Header"/>
    <w:uiPriority w:val="99"/>
    <w:rsid w:val="005323CF"/>
    <w:rPr>
      <w:rFonts w:ascii="Arial" w:eastAsia="Times New Roman" w:hAnsi="Arial" w:cs="Times New Roman"/>
      <w:sz w:val="24"/>
      <w:szCs w:val="24"/>
      <w:lang w:val="en-GB"/>
    </w:rPr>
  </w:style>
  <w:style w:type="paragraph" w:styleId="Footer">
    <w:name w:val="footer"/>
    <w:basedOn w:val="Normal"/>
    <w:link w:val="FooterChar"/>
    <w:unhideWhenUsed/>
    <w:rsid w:val="005323CF"/>
    <w:pPr>
      <w:tabs>
        <w:tab w:val="center" w:pos="4513"/>
        <w:tab w:val="right" w:pos="9026"/>
      </w:tabs>
    </w:pPr>
  </w:style>
  <w:style w:type="character" w:customStyle="1" w:styleId="FooterChar">
    <w:name w:val="Footer Char"/>
    <w:basedOn w:val="DefaultParagraphFont"/>
    <w:link w:val="Footer"/>
    <w:rsid w:val="005323CF"/>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5323CF"/>
    <w:rPr>
      <w:rFonts w:ascii="Tahoma" w:hAnsi="Tahoma" w:cs="Tahoma"/>
      <w:sz w:val="16"/>
      <w:szCs w:val="16"/>
    </w:rPr>
  </w:style>
  <w:style w:type="character" w:customStyle="1" w:styleId="BalloonTextChar">
    <w:name w:val="Balloon Text Char"/>
    <w:basedOn w:val="DefaultParagraphFont"/>
    <w:link w:val="BalloonText"/>
    <w:uiPriority w:val="99"/>
    <w:semiHidden/>
    <w:rsid w:val="005323CF"/>
    <w:rPr>
      <w:rFonts w:ascii="Tahoma" w:eastAsia="Times New Roman" w:hAnsi="Tahoma" w:cs="Tahoma"/>
      <w:sz w:val="16"/>
      <w:szCs w:val="16"/>
      <w:lang w:val="en-GB"/>
    </w:rPr>
  </w:style>
  <w:style w:type="paragraph" w:styleId="NoSpacing">
    <w:name w:val="No Spacing"/>
    <w:link w:val="NoSpacingChar"/>
    <w:uiPriority w:val="1"/>
    <w:qFormat/>
    <w:rsid w:val="005323C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323CF"/>
    <w:rPr>
      <w:rFonts w:eastAsiaTheme="minorEastAsia"/>
      <w:lang w:val="en-US"/>
    </w:rPr>
  </w:style>
  <w:style w:type="paragraph" w:styleId="BodyText">
    <w:name w:val="Body Text"/>
    <w:basedOn w:val="Normal"/>
    <w:link w:val="BodyTextChar"/>
    <w:uiPriority w:val="99"/>
    <w:rsid w:val="00D14A47"/>
    <w:pPr>
      <w:spacing w:after="120"/>
      <w:jc w:val="both"/>
    </w:pPr>
    <w:rPr>
      <w:rFonts w:ascii="Times New Roman" w:hAnsi="Times New Roman"/>
      <w:lang w:val="en-NZ" w:eastAsia="en-NZ"/>
    </w:rPr>
  </w:style>
  <w:style w:type="character" w:customStyle="1" w:styleId="BodyTextChar">
    <w:name w:val="Body Text Char"/>
    <w:basedOn w:val="DefaultParagraphFont"/>
    <w:link w:val="BodyText"/>
    <w:uiPriority w:val="99"/>
    <w:rsid w:val="00D14A47"/>
    <w:rPr>
      <w:rFonts w:ascii="Times New Roman" w:eastAsia="Times New Roman" w:hAnsi="Times New Roman" w:cs="Times New Roman"/>
      <w:sz w:val="24"/>
      <w:szCs w:val="24"/>
      <w:lang w:eastAsia="en-NZ"/>
    </w:rPr>
  </w:style>
  <w:style w:type="paragraph" w:customStyle="1" w:styleId="Sectionheading">
    <w:name w:val="Section heading"/>
    <w:basedOn w:val="Heading2"/>
    <w:uiPriority w:val="99"/>
    <w:rsid w:val="00D14A47"/>
    <w:pPr>
      <w:keepLines w:val="0"/>
      <w:tabs>
        <w:tab w:val="num" w:pos="360"/>
      </w:tabs>
      <w:spacing w:before="240" w:after="60"/>
      <w:ind w:left="360" w:hanging="360"/>
    </w:pPr>
    <w:rPr>
      <w:rFonts w:ascii="Arial" w:eastAsia="Times New Roman" w:hAnsi="Arial" w:cs="Arial"/>
      <w:i/>
      <w:iCs/>
      <w:color w:val="auto"/>
      <w:lang w:val="en-NZ" w:eastAsia="en-NZ"/>
    </w:rPr>
  </w:style>
  <w:style w:type="character" w:customStyle="1" w:styleId="Heading2Char">
    <w:name w:val="Heading 2 Char"/>
    <w:basedOn w:val="DefaultParagraphFont"/>
    <w:link w:val="Heading2"/>
    <w:uiPriority w:val="9"/>
    <w:semiHidden/>
    <w:rsid w:val="00D14A47"/>
    <w:rPr>
      <w:rFonts w:asciiTheme="majorHAnsi" w:eastAsiaTheme="majorEastAsia" w:hAnsiTheme="majorHAnsi" w:cstheme="majorBidi"/>
      <w:b/>
      <w:bCs/>
      <w:color w:val="20C8F7" w:themeColor="accent1"/>
      <w:sz w:val="26"/>
      <w:szCs w:val="26"/>
      <w:lang w:val="en-GB"/>
    </w:rPr>
  </w:style>
  <w:style w:type="paragraph" w:styleId="FootnoteText">
    <w:name w:val="footnote text"/>
    <w:aliases w:val="Note de bas de page2,Текст сноски Знак"/>
    <w:basedOn w:val="Normal"/>
    <w:link w:val="FootnoteTextChar"/>
    <w:unhideWhenUsed/>
    <w:rsid w:val="00D14A47"/>
    <w:rPr>
      <w:rFonts w:eastAsiaTheme="minorHAnsi" w:cstheme="minorBidi"/>
      <w:sz w:val="20"/>
      <w:szCs w:val="20"/>
      <w:lang w:val="en-NZ"/>
    </w:rPr>
  </w:style>
  <w:style w:type="character" w:customStyle="1" w:styleId="FootnoteTextChar">
    <w:name w:val="Footnote Text Char"/>
    <w:aliases w:val="Note de bas de page2 Char,Текст сноски Знак Char"/>
    <w:basedOn w:val="DefaultParagraphFont"/>
    <w:link w:val="FootnoteText"/>
    <w:rsid w:val="00D14A47"/>
    <w:rPr>
      <w:rFonts w:ascii="Arial" w:hAnsi="Arial"/>
      <w:sz w:val="20"/>
      <w:szCs w:val="20"/>
    </w:rPr>
  </w:style>
  <w:style w:type="character" w:styleId="FootnoteReference">
    <w:name w:val="footnote reference"/>
    <w:basedOn w:val="DefaultParagraphFont"/>
    <w:uiPriority w:val="99"/>
    <w:unhideWhenUsed/>
    <w:rsid w:val="00D14A47"/>
    <w:rPr>
      <w:vertAlign w:val="superscript"/>
    </w:rPr>
  </w:style>
  <w:style w:type="table" w:styleId="TableGrid">
    <w:name w:val="Table Grid"/>
    <w:basedOn w:val="TableNormal"/>
    <w:uiPriority w:val="59"/>
    <w:rsid w:val="00D14A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4A47"/>
    <w:pPr>
      <w:autoSpaceDE w:val="0"/>
      <w:autoSpaceDN w:val="0"/>
      <w:adjustRightInd w:val="0"/>
      <w:spacing w:after="0" w:line="240" w:lineRule="auto"/>
    </w:pPr>
    <w:rPr>
      <w:rFonts w:ascii="Verdana" w:hAnsi="Verdana" w:cs="Verdana"/>
      <w:color w:val="000000"/>
      <w:sz w:val="24"/>
      <w:szCs w:val="24"/>
    </w:rPr>
  </w:style>
  <w:style w:type="table" w:styleId="MediumGrid1-Accent1">
    <w:name w:val="Medium Grid 1 Accent 1"/>
    <w:basedOn w:val="TableNormal"/>
    <w:uiPriority w:val="67"/>
    <w:rsid w:val="00D14A47"/>
    <w:pPr>
      <w:spacing w:after="0" w:line="240" w:lineRule="auto"/>
    </w:pPr>
    <w:tblPr>
      <w:tblStyleRowBandSize w:val="1"/>
      <w:tblStyleColBandSize w:val="1"/>
      <w:tblInd w:w="0" w:type="dxa"/>
      <w:tblBorders>
        <w:top w:val="single" w:sz="8" w:space="0" w:color="57D5F9" w:themeColor="accent1" w:themeTint="BF"/>
        <w:left w:val="single" w:sz="8" w:space="0" w:color="57D5F9" w:themeColor="accent1" w:themeTint="BF"/>
        <w:bottom w:val="single" w:sz="8" w:space="0" w:color="57D5F9" w:themeColor="accent1" w:themeTint="BF"/>
        <w:right w:val="single" w:sz="8" w:space="0" w:color="57D5F9" w:themeColor="accent1" w:themeTint="BF"/>
        <w:insideH w:val="single" w:sz="8" w:space="0" w:color="57D5F9" w:themeColor="accent1" w:themeTint="BF"/>
        <w:insideV w:val="single" w:sz="8" w:space="0" w:color="57D5F9" w:themeColor="accent1" w:themeTint="BF"/>
      </w:tblBorders>
      <w:tblCellMar>
        <w:top w:w="0" w:type="dxa"/>
        <w:left w:w="108" w:type="dxa"/>
        <w:bottom w:w="0" w:type="dxa"/>
        <w:right w:w="108" w:type="dxa"/>
      </w:tblCellMar>
    </w:tblPr>
    <w:tcPr>
      <w:shd w:val="clear" w:color="auto" w:fill="C7F1FD" w:themeFill="accent1" w:themeFillTint="3F"/>
    </w:tcPr>
    <w:tblStylePr w:type="firstRow">
      <w:rPr>
        <w:b/>
        <w:bCs/>
      </w:rPr>
    </w:tblStylePr>
    <w:tblStylePr w:type="lastRow">
      <w:rPr>
        <w:b/>
        <w:bCs/>
      </w:rPr>
      <w:tblPr/>
      <w:tcPr>
        <w:tcBorders>
          <w:top w:val="single" w:sz="18" w:space="0" w:color="57D5F9" w:themeColor="accent1" w:themeTint="BF"/>
        </w:tcBorders>
      </w:tcPr>
    </w:tblStylePr>
    <w:tblStylePr w:type="firstCol">
      <w:rPr>
        <w:b/>
        <w:bCs/>
      </w:rPr>
    </w:tblStylePr>
    <w:tblStylePr w:type="lastCol">
      <w:rPr>
        <w:b/>
        <w:bCs/>
      </w:rPr>
    </w:tblStylePr>
    <w:tblStylePr w:type="band1Vert">
      <w:tblPr/>
      <w:tcPr>
        <w:shd w:val="clear" w:color="auto" w:fill="8FE3FB" w:themeFill="accent1" w:themeFillTint="7F"/>
      </w:tcPr>
    </w:tblStylePr>
    <w:tblStylePr w:type="band1Horz">
      <w:tblPr/>
      <w:tcPr>
        <w:shd w:val="clear" w:color="auto" w:fill="8FE3FB" w:themeFill="accent1" w:themeFillTint="7F"/>
      </w:tcPr>
    </w:tblStylePr>
  </w:style>
  <w:style w:type="paragraph" w:styleId="NormalWeb">
    <w:name w:val="Normal (Web)"/>
    <w:basedOn w:val="Normal"/>
    <w:uiPriority w:val="99"/>
    <w:rsid w:val="00D14A47"/>
    <w:pPr>
      <w:spacing w:before="100" w:beforeAutospacing="1" w:after="100" w:afterAutospacing="1"/>
    </w:pPr>
    <w:rPr>
      <w:rFonts w:ascii="Times New Roman" w:hAnsi="Times New Roman"/>
      <w:color w:val="000000"/>
      <w:lang w:eastAsia="en-GB"/>
    </w:rPr>
  </w:style>
  <w:style w:type="paragraph" w:styleId="PlainText">
    <w:name w:val="Plain Text"/>
    <w:basedOn w:val="Normal"/>
    <w:link w:val="PlainTextChar"/>
    <w:uiPriority w:val="99"/>
    <w:unhideWhenUsed/>
    <w:rsid w:val="00D14A47"/>
    <w:rPr>
      <w:rFonts w:ascii="Consolas" w:eastAsiaTheme="minorHAnsi" w:hAnsi="Consolas" w:cstheme="minorBidi"/>
      <w:sz w:val="21"/>
      <w:szCs w:val="21"/>
      <w:lang w:val="en-NZ"/>
    </w:rPr>
  </w:style>
  <w:style w:type="character" w:customStyle="1" w:styleId="PlainTextChar">
    <w:name w:val="Plain Text Char"/>
    <w:basedOn w:val="DefaultParagraphFont"/>
    <w:link w:val="PlainText"/>
    <w:uiPriority w:val="99"/>
    <w:rsid w:val="00D14A47"/>
    <w:rPr>
      <w:rFonts w:ascii="Consolas" w:hAnsi="Consolas"/>
      <w:sz w:val="21"/>
      <w:szCs w:val="21"/>
    </w:rPr>
  </w:style>
  <w:style w:type="character" w:customStyle="1" w:styleId="A3">
    <w:name w:val="A3"/>
    <w:uiPriority w:val="99"/>
    <w:rsid w:val="006410A8"/>
    <w:rPr>
      <w:rFonts w:cs="Adobe Caslon Pro"/>
      <w:color w:val="000000"/>
      <w:sz w:val="12"/>
      <w:szCs w:val="12"/>
    </w:rPr>
  </w:style>
  <w:style w:type="table" w:styleId="MediumShading1-Accent5">
    <w:name w:val="Medium Shading 1 Accent 5"/>
    <w:basedOn w:val="TableNormal"/>
    <w:uiPriority w:val="63"/>
    <w:rsid w:val="006410A8"/>
    <w:pPr>
      <w:spacing w:after="0" w:line="240" w:lineRule="auto"/>
    </w:pPr>
    <w:rPr>
      <w:lang w:val="en-US"/>
    </w:rPr>
    <w:tblPr>
      <w:tblStyleRowBandSize w:val="1"/>
      <w:tblStyleColBandSize w:val="1"/>
      <w:tblInd w:w="0" w:type="dxa"/>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410A8"/>
    <w:pPr>
      <w:spacing w:after="0" w:line="240" w:lineRule="auto"/>
    </w:pPr>
    <w:tblPr>
      <w:tblStyleRowBandSize w:val="1"/>
      <w:tblStyleColBandSize w:val="1"/>
      <w:tblInd w:w="0" w:type="dxa"/>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shd w:val="clear" w:color="auto" w:fill="009DD9" w:themeFill="accent2"/>
      </w:tcPr>
    </w:tblStylePr>
    <w:tblStylePr w:type="lastRow">
      <w:pPr>
        <w:spacing w:before="0" w:after="0" w:line="240" w:lineRule="auto"/>
      </w:pPr>
      <w:rPr>
        <w:b/>
        <w:bCs/>
      </w:rPr>
      <w:tblPr/>
      <w:tcPr>
        <w:tcBorders>
          <w:top w:val="double" w:sz="6"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MediumGrid1-Accent5">
    <w:name w:val="Medium Grid 1 Accent 5"/>
    <w:basedOn w:val="TableNormal"/>
    <w:uiPriority w:val="67"/>
    <w:rsid w:val="00EB04C6"/>
    <w:pPr>
      <w:spacing w:after="0" w:line="240" w:lineRule="auto"/>
    </w:pPr>
    <w:rPr>
      <w:lang w:val="en-US"/>
    </w:rPr>
    <w:tblPr>
      <w:tblStyleRowBandSize w:val="1"/>
      <w:tblStyleColBandSize w:val="1"/>
      <w:tblInd w:w="0" w:type="dxa"/>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insideV w:val="single" w:sz="8" w:space="0" w:color="9CD789" w:themeColor="accent5" w:themeTint="BF"/>
      </w:tblBorders>
      <w:tblCellMar>
        <w:top w:w="0" w:type="dxa"/>
        <w:left w:w="108" w:type="dxa"/>
        <w:bottom w:w="0" w:type="dxa"/>
        <w:right w:w="108" w:type="dxa"/>
      </w:tblCellMar>
    </w:tblPr>
    <w:tcPr>
      <w:shd w:val="clear" w:color="auto" w:fill="DEF2D8" w:themeFill="accent5" w:themeFillTint="3F"/>
    </w:tcPr>
    <w:tblStylePr w:type="firstRow">
      <w:rPr>
        <w:b/>
        <w:bCs/>
      </w:rPr>
    </w:tblStylePr>
    <w:tblStylePr w:type="lastRow">
      <w:rPr>
        <w:b/>
        <w:bCs/>
      </w:rPr>
      <w:tblPr/>
      <w:tcPr>
        <w:tcBorders>
          <w:top w:val="single" w:sz="18" w:space="0" w:color="9CD789" w:themeColor="accent5" w:themeTint="BF"/>
        </w:tcBorders>
      </w:tcPr>
    </w:tblStylePr>
    <w:tblStylePr w:type="firstCol">
      <w:rPr>
        <w:b/>
        <w:bCs/>
      </w:rPr>
    </w:tblStylePr>
    <w:tblStylePr w:type="lastCol">
      <w:rPr>
        <w:b/>
        <w:bCs/>
      </w:r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MediumGrid1-Accent3">
    <w:name w:val="Medium Grid 1 Accent 3"/>
    <w:basedOn w:val="TableNormal"/>
    <w:uiPriority w:val="67"/>
    <w:rsid w:val="00EB04C6"/>
    <w:pPr>
      <w:spacing w:after="0" w:line="240" w:lineRule="auto"/>
    </w:pPr>
    <w:tblPr>
      <w:tblStyleRowBandSize w:val="1"/>
      <w:tblStyleColBandSize w:val="1"/>
      <w:tblInd w:w="0" w:type="dxa"/>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insideV w:val="single" w:sz="8" w:space="0" w:color="35EBF4" w:themeColor="accent3" w:themeTint="BF"/>
      </w:tblBorders>
      <w:tblCellMar>
        <w:top w:w="0" w:type="dxa"/>
        <w:left w:w="108" w:type="dxa"/>
        <w:bottom w:w="0" w:type="dxa"/>
        <w:right w:w="108" w:type="dxa"/>
      </w:tblCellMar>
    </w:tblPr>
    <w:tcPr>
      <w:shd w:val="clear" w:color="auto" w:fill="BCF8FB" w:themeFill="accent3" w:themeFillTint="3F"/>
    </w:tcPr>
    <w:tblStylePr w:type="firstRow">
      <w:rPr>
        <w:b/>
        <w:bCs/>
      </w:rPr>
    </w:tblStylePr>
    <w:tblStylePr w:type="lastRow">
      <w:rPr>
        <w:b/>
        <w:bCs/>
      </w:rPr>
      <w:tblPr/>
      <w:tcPr>
        <w:tcBorders>
          <w:top w:val="single" w:sz="18" w:space="0" w:color="35EBF4" w:themeColor="accent3" w:themeTint="BF"/>
        </w:tcBorders>
      </w:tcPr>
    </w:tblStylePr>
    <w:tblStylePr w:type="firstCol">
      <w:rPr>
        <w:b/>
        <w:bCs/>
      </w:rPr>
    </w:tblStylePr>
    <w:tblStylePr w:type="lastCol">
      <w:rPr>
        <w:b/>
        <w:bCs/>
      </w:r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MediumGrid1-Accent2">
    <w:name w:val="Medium Grid 1 Accent 2"/>
    <w:basedOn w:val="TableNormal"/>
    <w:uiPriority w:val="67"/>
    <w:rsid w:val="00EB04C6"/>
    <w:pPr>
      <w:spacing w:after="0" w:line="240" w:lineRule="auto"/>
    </w:pPr>
    <w:tblPr>
      <w:tblStyleRowBandSize w:val="1"/>
      <w:tblStyleColBandSize w:val="1"/>
      <w:tblInd w:w="0" w:type="dxa"/>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insideV w:val="single" w:sz="8" w:space="0" w:color="23C1FF" w:themeColor="accent2" w:themeTint="BF"/>
      </w:tblBorders>
      <w:tblCellMar>
        <w:top w:w="0" w:type="dxa"/>
        <w:left w:w="108" w:type="dxa"/>
        <w:bottom w:w="0" w:type="dxa"/>
        <w:right w:w="108" w:type="dxa"/>
      </w:tblCellMar>
    </w:tblPr>
    <w:tcPr>
      <w:shd w:val="clear" w:color="auto" w:fill="B6EAFF" w:themeFill="accent2" w:themeFillTint="3F"/>
    </w:tcPr>
    <w:tblStylePr w:type="firstRow">
      <w:rPr>
        <w:b/>
        <w:bCs/>
      </w:rPr>
    </w:tblStylePr>
    <w:tblStylePr w:type="lastRow">
      <w:rPr>
        <w:b/>
        <w:bCs/>
      </w:rPr>
      <w:tblPr/>
      <w:tcPr>
        <w:tcBorders>
          <w:top w:val="single" w:sz="18" w:space="0" w:color="23C1FF" w:themeColor="accent2" w:themeTint="BF"/>
        </w:tcBorders>
      </w:tcPr>
    </w:tblStylePr>
    <w:tblStylePr w:type="firstCol">
      <w:rPr>
        <w:b/>
        <w:bCs/>
      </w:rPr>
    </w:tblStylePr>
    <w:tblStylePr w:type="lastCol">
      <w:rPr>
        <w:b/>
        <w:bCs/>
      </w:r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character" w:customStyle="1" w:styleId="highlightedsearchterm">
    <w:name w:val="highlightedsearchterm"/>
    <w:basedOn w:val="DefaultParagraphFont"/>
    <w:rsid w:val="0000586C"/>
  </w:style>
  <w:style w:type="paragraph" w:customStyle="1" w:styleId="Pa14">
    <w:name w:val="Pa14"/>
    <w:basedOn w:val="Default"/>
    <w:next w:val="Default"/>
    <w:rsid w:val="00523AAB"/>
    <w:pPr>
      <w:spacing w:after="440" w:line="171" w:lineRule="atLeast"/>
    </w:pPr>
    <w:rPr>
      <w:rFonts w:ascii="XUSGUM+Interstate-LightCondense" w:eastAsia="Times New Roman" w:hAnsi="XUSGUM+Interstate-LightCondense" w:cs="Times New Roman"/>
      <w:color w:val="auto"/>
      <w:lang w:val="en-GB" w:eastAsia="en-GB"/>
    </w:rPr>
  </w:style>
  <w:style w:type="character" w:customStyle="1" w:styleId="A23">
    <w:name w:val="A23"/>
    <w:rsid w:val="00523AAB"/>
    <w:rPr>
      <w:rFonts w:ascii="WMIAGO+Interstate-BoldCondensed" w:hAnsi="WMIAGO+Interstate-BoldCondensed" w:cs="WMIAGO+Interstate-BoldCondensed"/>
      <w:color w:val="000000"/>
    </w:rPr>
  </w:style>
  <w:style w:type="character" w:customStyle="1" w:styleId="A24">
    <w:name w:val="A24"/>
    <w:rsid w:val="00523AAB"/>
    <w:rPr>
      <w:rFonts w:cs="XUSGUM+Interstate-LightCondense"/>
      <w:color w:val="000000"/>
      <w:sz w:val="57"/>
      <w:szCs w:val="57"/>
    </w:rPr>
  </w:style>
  <w:style w:type="character" w:customStyle="1" w:styleId="A25">
    <w:name w:val="A25"/>
    <w:rsid w:val="00523AAB"/>
    <w:rPr>
      <w:rFonts w:ascii="OELEYE+Interstate-Light" w:hAnsi="OELEYE+Interstate-Light" w:cs="OELEYE+Interstate-Light"/>
      <w:color w:val="000000"/>
    </w:rPr>
  </w:style>
  <w:style w:type="paragraph" w:customStyle="1" w:styleId="Pa17">
    <w:name w:val="Pa17"/>
    <w:basedOn w:val="Default"/>
    <w:next w:val="Default"/>
    <w:rsid w:val="00523AAB"/>
    <w:pPr>
      <w:spacing w:after="200" w:line="171" w:lineRule="atLeast"/>
    </w:pPr>
    <w:rPr>
      <w:rFonts w:ascii="XUSGUM+Interstate-LightCondense" w:eastAsia="Times New Roman" w:hAnsi="XUSGUM+Interstate-LightCondense" w:cs="Times New Roman"/>
      <w:color w:val="auto"/>
      <w:lang w:val="en-GB" w:eastAsia="en-GB"/>
    </w:rPr>
  </w:style>
  <w:style w:type="table" w:styleId="MediumGrid3-Accent1">
    <w:name w:val="Medium Grid 3 Accent 1"/>
    <w:basedOn w:val="TableNormal"/>
    <w:uiPriority w:val="69"/>
    <w:rsid w:val="00B70A94"/>
    <w:pPr>
      <w:spacing w:after="0" w:line="240" w:lineRule="auto"/>
    </w:pPr>
    <w:rPr>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7F1F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C8F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C8F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C8F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C8F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E3F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E3FB" w:themeFill="accent1" w:themeFillTint="7F"/>
      </w:tcPr>
    </w:tblStylePr>
  </w:style>
  <w:style w:type="character" w:styleId="IntenseEmphasis">
    <w:name w:val="Intense Emphasis"/>
    <w:basedOn w:val="DefaultParagraphFont"/>
    <w:uiPriority w:val="21"/>
    <w:qFormat/>
    <w:rsid w:val="00B70A94"/>
    <w:rPr>
      <w:b/>
      <w:bCs/>
      <w:i/>
      <w:iCs/>
      <w:color w:val="20C8F7" w:themeColor="accent1"/>
    </w:rPr>
  </w:style>
  <w:style w:type="table" w:customStyle="1" w:styleId="MediumShading1-Accent11">
    <w:name w:val="Medium Shading 1 - Accent 11"/>
    <w:basedOn w:val="TableNormal"/>
    <w:uiPriority w:val="63"/>
    <w:rsid w:val="00BB6ED6"/>
    <w:pPr>
      <w:spacing w:after="0" w:line="240" w:lineRule="auto"/>
    </w:pPr>
    <w:rPr>
      <w:lang w:val="en-US"/>
    </w:rPr>
    <w:tblPr>
      <w:tblStyleRowBandSize w:val="1"/>
      <w:tblStyleColBandSize w:val="1"/>
      <w:tblInd w:w="0" w:type="dxa"/>
      <w:tblBorders>
        <w:top w:val="single" w:sz="8" w:space="0" w:color="57D5F9" w:themeColor="accent1" w:themeTint="BF"/>
        <w:left w:val="single" w:sz="8" w:space="0" w:color="57D5F9" w:themeColor="accent1" w:themeTint="BF"/>
        <w:bottom w:val="single" w:sz="8" w:space="0" w:color="57D5F9" w:themeColor="accent1" w:themeTint="BF"/>
        <w:right w:val="single" w:sz="8" w:space="0" w:color="57D5F9" w:themeColor="accent1" w:themeTint="BF"/>
        <w:insideH w:val="single" w:sz="8" w:space="0" w:color="57D5F9"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7D5F9" w:themeColor="accent1" w:themeTint="BF"/>
          <w:left w:val="single" w:sz="8" w:space="0" w:color="57D5F9" w:themeColor="accent1" w:themeTint="BF"/>
          <w:bottom w:val="single" w:sz="8" w:space="0" w:color="57D5F9" w:themeColor="accent1" w:themeTint="BF"/>
          <w:right w:val="single" w:sz="8" w:space="0" w:color="57D5F9" w:themeColor="accent1" w:themeTint="BF"/>
          <w:insideH w:val="nil"/>
          <w:insideV w:val="nil"/>
        </w:tcBorders>
        <w:shd w:val="clear" w:color="auto" w:fill="20C8F7" w:themeFill="accent1"/>
      </w:tcPr>
    </w:tblStylePr>
    <w:tblStylePr w:type="lastRow">
      <w:pPr>
        <w:spacing w:before="0" w:after="0" w:line="240" w:lineRule="auto"/>
      </w:pPr>
      <w:rPr>
        <w:b/>
        <w:bCs/>
      </w:rPr>
      <w:tblPr/>
      <w:tcPr>
        <w:tcBorders>
          <w:top w:val="double" w:sz="6" w:space="0" w:color="57D5F9" w:themeColor="accent1" w:themeTint="BF"/>
          <w:left w:val="single" w:sz="8" w:space="0" w:color="57D5F9" w:themeColor="accent1" w:themeTint="BF"/>
          <w:bottom w:val="single" w:sz="8" w:space="0" w:color="57D5F9" w:themeColor="accent1" w:themeTint="BF"/>
          <w:right w:val="single" w:sz="8" w:space="0" w:color="57D5F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F1FD" w:themeFill="accent1" w:themeFillTint="3F"/>
      </w:tcPr>
    </w:tblStylePr>
    <w:tblStylePr w:type="band1Horz">
      <w:tblPr/>
      <w:tcPr>
        <w:tcBorders>
          <w:insideH w:val="nil"/>
          <w:insideV w:val="nil"/>
        </w:tcBorders>
        <w:shd w:val="clear" w:color="auto" w:fill="C7F1FD" w:themeFill="accent1"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0D518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DD9" w:themeFill="accent2"/>
      </w:tcPr>
    </w:tblStylePr>
    <w:tblStylePr w:type="lastCol">
      <w:rPr>
        <w:b/>
        <w:bCs/>
        <w:color w:val="FFFFFF" w:themeColor="background1"/>
      </w:rPr>
      <w:tblPr/>
      <w:tcPr>
        <w:tcBorders>
          <w:left w:val="nil"/>
          <w:right w:val="nil"/>
          <w:insideH w:val="nil"/>
          <w:insideV w:val="nil"/>
        </w:tcBorders>
        <w:shd w:val="clear" w:color="auto" w:fill="009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rsid w:val="00294202"/>
  </w:style>
  <w:style w:type="character" w:customStyle="1" w:styleId="Heading3Char">
    <w:name w:val="Heading 3 Char"/>
    <w:basedOn w:val="DefaultParagraphFont"/>
    <w:link w:val="Heading3"/>
    <w:uiPriority w:val="9"/>
    <w:semiHidden/>
    <w:rsid w:val="0078171C"/>
    <w:rPr>
      <w:rFonts w:asciiTheme="majorHAnsi" w:eastAsiaTheme="majorEastAsia" w:hAnsiTheme="majorHAnsi" w:cstheme="majorBidi"/>
      <w:b/>
      <w:bCs/>
      <w:color w:val="20C8F7" w:themeColor="accent1"/>
      <w:sz w:val="24"/>
      <w:szCs w:val="24"/>
      <w:lang w:val="en-GB"/>
    </w:rPr>
  </w:style>
  <w:style w:type="character" w:styleId="Emphasis">
    <w:name w:val="Emphasis"/>
    <w:basedOn w:val="DefaultParagraphFont"/>
    <w:uiPriority w:val="20"/>
    <w:qFormat/>
    <w:rsid w:val="0078171C"/>
    <w:rPr>
      <w:i/>
      <w:iCs/>
    </w:rPr>
  </w:style>
  <w:style w:type="table" w:customStyle="1" w:styleId="MediumShading1-Accent110">
    <w:name w:val="Medium Shading 1 - Accent 11"/>
    <w:basedOn w:val="TableNormal"/>
    <w:uiPriority w:val="63"/>
    <w:rsid w:val="00061B41"/>
    <w:pPr>
      <w:spacing w:after="0" w:line="240" w:lineRule="auto"/>
    </w:pPr>
    <w:rPr>
      <w:lang w:val="en-US"/>
    </w:rPr>
    <w:tblPr>
      <w:tblStyleRowBandSize w:val="1"/>
      <w:tblStyleColBandSize w:val="1"/>
      <w:tblInd w:w="0" w:type="dxa"/>
      <w:tblBorders>
        <w:top w:val="single" w:sz="8" w:space="0" w:color="57D5F9" w:themeColor="accent1" w:themeTint="BF"/>
        <w:left w:val="single" w:sz="8" w:space="0" w:color="57D5F9" w:themeColor="accent1" w:themeTint="BF"/>
        <w:bottom w:val="single" w:sz="8" w:space="0" w:color="57D5F9" w:themeColor="accent1" w:themeTint="BF"/>
        <w:right w:val="single" w:sz="8" w:space="0" w:color="57D5F9" w:themeColor="accent1" w:themeTint="BF"/>
        <w:insideH w:val="single" w:sz="8" w:space="0" w:color="57D5F9"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7D5F9" w:themeColor="accent1" w:themeTint="BF"/>
          <w:left w:val="single" w:sz="8" w:space="0" w:color="57D5F9" w:themeColor="accent1" w:themeTint="BF"/>
          <w:bottom w:val="single" w:sz="8" w:space="0" w:color="57D5F9" w:themeColor="accent1" w:themeTint="BF"/>
          <w:right w:val="single" w:sz="8" w:space="0" w:color="57D5F9" w:themeColor="accent1" w:themeTint="BF"/>
          <w:insideH w:val="nil"/>
          <w:insideV w:val="nil"/>
        </w:tcBorders>
        <w:shd w:val="clear" w:color="auto" w:fill="20C8F7" w:themeFill="accent1"/>
      </w:tcPr>
    </w:tblStylePr>
    <w:tblStylePr w:type="lastRow">
      <w:pPr>
        <w:spacing w:before="0" w:after="0" w:line="240" w:lineRule="auto"/>
      </w:pPr>
      <w:rPr>
        <w:b/>
        <w:bCs/>
      </w:rPr>
      <w:tblPr/>
      <w:tcPr>
        <w:tcBorders>
          <w:top w:val="double" w:sz="6" w:space="0" w:color="57D5F9" w:themeColor="accent1" w:themeTint="BF"/>
          <w:left w:val="single" w:sz="8" w:space="0" w:color="57D5F9" w:themeColor="accent1" w:themeTint="BF"/>
          <w:bottom w:val="single" w:sz="8" w:space="0" w:color="57D5F9" w:themeColor="accent1" w:themeTint="BF"/>
          <w:right w:val="single" w:sz="8" w:space="0" w:color="57D5F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F1FD" w:themeFill="accent1" w:themeFillTint="3F"/>
      </w:tcPr>
    </w:tblStylePr>
    <w:tblStylePr w:type="band1Horz">
      <w:tblPr/>
      <w:tcPr>
        <w:tcBorders>
          <w:insideH w:val="nil"/>
          <w:insideV w:val="nil"/>
        </w:tcBorders>
        <w:shd w:val="clear" w:color="auto" w:fill="C7F1FD"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046D13"/>
    <w:rPr>
      <w:color w:val="85DFD0" w:themeColor="followedHyperlink"/>
      <w:u w:val="single"/>
    </w:rPr>
  </w:style>
  <w:style w:type="character" w:styleId="Strong">
    <w:name w:val="Strong"/>
    <w:basedOn w:val="DefaultParagraphFont"/>
    <w:qFormat/>
    <w:rsid w:val="006513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7C8"/>
    <w:pPr>
      <w:spacing w:after="0" w:line="240" w:lineRule="auto"/>
    </w:pPr>
    <w:rPr>
      <w:rFonts w:ascii="Arial" w:eastAsia="Times New Roman" w:hAnsi="Arial" w:cs="Times New Roman"/>
      <w:sz w:val="24"/>
      <w:szCs w:val="24"/>
      <w:lang w:val="en-GB"/>
    </w:rPr>
  </w:style>
  <w:style w:type="paragraph" w:styleId="Heading1">
    <w:name w:val="heading 1"/>
    <w:basedOn w:val="Normal"/>
    <w:next w:val="Normal"/>
    <w:link w:val="Heading1Char"/>
    <w:uiPriority w:val="9"/>
    <w:qFormat/>
    <w:rsid w:val="00B25D5D"/>
    <w:pPr>
      <w:keepNext/>
      <w:keepLines/>
      <w:spacing w:before="480"/>
      <w:outlineLvl w:val="0"/>
    </w:pPr>
    <w:rPr>
      <w:rFonts w:asciiTheme="majorHAnsi" w:eastAsiaTheme="majorEastAsia" w:hAnsiTheme="majorHAnsi" w:cstheme="majorBidi"/>
      <w:b/>
      <w:bCs/>
      <w:color w:val="079EC9" w:themeColor="accent1" w:themeShade="BF"/>
      <w:sz w:val="28"/>
      <w:szCs w:val="28"/>
    </w:rPr>
  </w:style>
  <w:style w:type="paragraph" w:styleId="Heading2">
    <w:name w:val="heading 2"/>
    <w:basedOn w:val="Normal"/>
    <w:next w:val="Normal"/>
    <w:link w:val="Heading2Char"/>
    <w:uiPriority w:val="9"/>
    <w:semiHidden/>
    <w:unhideWhenUsed/>
    <w:qFormat/>
    <w:rsid w:val="00D14A47"/>
    <w:pPr>
      <w:keepNext/>
      <w:keepLines/>
      <w:spacing w:before="200"/>
      <w:outlineLvl w:val="1"/>
    </w:pPr>
    <w:rPr>
      <w:rFonts w:asciiTheme="majorHAnsi" w:eastAsiaTheme="majorEastAsia" w:hAnsiTheme="majorHAnsi" w:cstheme="majorBidi"/>
      <w:b/>
      <w:bCs/>
      <w:color w:val="20C8F7" w:themeColor="accent1"/>
      <w:sz w:val="26"/>
      <w:szCs w:val="26"/>
    </w:rPr>
  </w:style>
  <w:style w:type="paragraph" w:styleId="Heading3">
    <w:name w:val="heading 3"/>
    <w:basedOn w:val="Normal"/>
    <w:next w:val="Normal"/>
    <w:link w:val="Heading3Char"/>
    <w:uiPriority w:val="9"/>
    <w:semiHidden/>
    <w:unhideWhenUsed/>
    <w:qFormat/>
    <w:rsid w:val="0078171C"/>
    <w:pPr>
      <w:keepNext/>
      <w:keepLines/>
      <w:spacing w:before="200"/>
      <w:outlineLvl w:val="2"/>
    </w:pPr>
    <w:rPr>
      <w:rFonts w:asciiTheme="majorHAnsi" w:eastAsiaTheme="majorEastAsia" w:hAnsiTheme="majorHAnsi" w:cstheme="majorBidi"/>
      <w:b/>
      <w:bCs/>
      <w:color w:val="20C8F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7C8"/>
    <w:pPr>
      <w:ind w:left="720"/>
      <w:contextualSpacing/>
    </w:pPr>
  </w:style>
  <w:style w:type="character" w:customStyle="1" w:styleId="Heading1Char">
    <w:name w:val="Heading 1 Char"/>
    <w:basedOn w:val="DefaultParagraphFont"/>
    <w:link w:val="Heading1"/>
    <w:uiPriority w:val="9"/>
    <w:rsid w:val="00B25D5D"/>
    <w:rPr>
      <w:rFonts w:asciiTheme="majorHAnsi" w:eastAsiaTheme="majorEastAsia" w:hAnsiTheme="majorHAnsi" w:cstheme="majorBidi"/>
      <w:b/>
      <w:bCs/>
      <w:color w:val="079EC9" w:themeColor="accent1" w:themeShade="BF"/>
      <w:sz w:val="28"/>
      <w:szCs w:val="28"/>
      <w:lang w:val="en-GB"/>
    </w:rPr>
  </w:style>
  <w:style w:type="paragraph" w:styleId="TOCHeading">
    <w:name w:val="TOC Heading"/>
    <w:basedOn w:val="Heading1"/>
    <w:next w:val="Normal"/>
    <w:uiPriority w:val="39"/>
    <w:unhideWhenUsed/>
    <w:qFormat/>
    <w:rsid w:val="00B25D5D"/>
    <w:pPr>
      <w:spacing w:line="276" w:lineRule="auto"/>
      <w:outlineLvl w:val="9"/>
    </w:pPr>
    <w:rPr>
      <w:lang w:val="en-US"/>
    </w:rPr>
  </w:style>
  <w:style w:type="paragraph" w:styleId="TOC1">
    <w:name w:val="toc 1"/>
    <w:basedOn w:val="Normal"/>
    <w:next w:val="Normal"/>
    <w:autoRedefine/>
    <w:uiPriority w:val="39"/>
    <w:unhideWhenUsed/>
    <w:rsid w:val="00B25D5D"/>
    <w:pPr>
      <w:spacing w:after="100"/>
    </w:pPr>
  </w:style>
  <w:style w:type="character" w:styleId="Hyperlink">
    <w:name w:val="Hyperlink"/>
    <w:basedOn w:val="DefaultParagraphFont"/>
    <w:uiPriority w:val="99"/>
    <w:unhideWhenUsed/>
    <w:rsid w:val="00B25D5D"/>
    <w:rPr>
      <w:color w:val="E2D700" w:themeColor="hyperlink"/>
      <w:u w:val="single"/>
    </w:rPr>
  </w:style>
  <w:style w:type="table" w:styleId="MediumGrid3-Accent2">
    <w:name w:val="Medium Grid 3 Accent 2"/>
    <w:basedOn w:val="TableNormal"/>
    <w:uiPriority w:val="69"/>
    <w:rsid w:val="005323CF"/>
    <w:pPr>
      <w:spacing w:after="0" w:line="240" w:lineRule="auto"/>
    </w:pPr>
    <w:rPr>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6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6FF" w:themeFill="accent2" w:themeFillTint="7F"/>
      </w:tcPr>
    </w:tblStylePr>
  </w:style>
  <w:style w:type="paragraph" w:styleId="Header">
    <w:name w:val="header"/>
    <w:basedOn w:val="Normal"/>
    <w:link w:val="HeaderChar"/>
    <w:uiPriority w:val="99"/>
    <w:unhideWhenUsed/>
    <w:rsid w:val="005323CF"/>
    <w:pPr>
      <w:tabs>
        <w:tab w:val="center" w:pos="4513"/>
        <w:tab w:val="right" w:pos="9026"/>
      </w:tabs>
    </w:pPr>
  </w:style>
  <w:style w:type="character" w:customStyle="1" w:styleId="HeaderChar">
    <w:name w:val="Header Char"/>
    <w:basedOn w:val="DefaultParagraphFont"/>
    <w:link w:val="Header"/>
    <w:uiPriority w:val="99"/>
    <w:rsid w:val="005323CF"/>
    <w:rPr>
      <w:rFonts w:ascii="Arial" w:eastAsia="Times New Roman" w:hAnsi="Arial" w:cs="Times New Roman"/>
      <w:sz w:val="24"/>
      <w:szCs w:val="24"/>
      <w:lang w:val="en-GB"/>
    </w:rPr>
  </w:style>
  <w:style w:type="paragraph" w:styleId="Footer">
    <w:name w:val="footer"/>
    <w:basedOn w:val="Normal"/>
    <w:link w:val="FooterChar"/>
    <w:unhideWhenUsed/>
    <w:rsid w:val="005323CF"/>
    <w:pPr>
      <w:tabs>
        <w:tab w:val="center" w:pos="4513"/>
        <w:tab w:val="right" w:pos="9026"/>
      </w:tabs>
    </w:pPr>
  </w:style>
  <w:style w:type="character" w:customStyle="1" w:styleId="FooterChar">
    <w:name w:val="Footer Char"/>
    <w:basedOn w:val="DefaultParagraphFont"/>
    <w:link w:val="Footer"/>
    <w:rsid w:val="005323CF"/>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5323CF"/>
    <w:rPr>
      <w:rFonts w:ascii="Tahoma" w:hAnsi="Tahoma" w:cs="Tahoma"/>
      <w:sz w:val="16"/>
      <w:szCs w:val="16"/>
    </w:rPr>
  </w:style>
  <w:style w:type="character" w:customStyle="1" w:styleId="BalloonTextChar">
    <w:name w:val="Balloon Text Char"/>
    <w:basedOn w:val="DefaultParagraphFont"/>
    <w:link w:val="BalloonText"/>
    <w:uiPriority w:val="99"/>
    <w:semiHidden/>
    <w:rsid w:val="005323CF"/>
    <w:rPr>
      <w:rFonts w:ascii="Tahoma" w:eastAsia="Times New Roman" w:hAnsi="Tahoma" w:cs="Tahoma"/>
      <w:sz w:val="16"/>
      <w:szCs w:val="16"/>
      <w:lang w:val="en-GB"/>
    </w:rPr>
  </w:style>
  <w:style w:type="paragraph" w:styleId="NoSpacing">
    <w:name w:val="No Spacing"/>
    <w:link w:val="NoSpacingChar"/>
    <w:uiPriority w:val="1"/>
    <w:qFormat/>
    <w:rsid w:val="005323C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323CF"/>
    <w:rPr>
      <w:rFonts w:eastAsiaTheme="minorEastAsia"/>
      <w:lang w:val="en-US"/>
    </w:rPr>
  </w:style>
  <w:style w:type="paragraph" w:styleId="BodyText">
    <w:name w:val="Body Text"/>
    <w:basedOn w:val="Normal"/>
    <w:link w:val="BodyTextChar"/>
    <w:uiPriority w:val="99"/>
    <w:rsid w:val="00D14A47"/>
    <w:pPr>
      <w:spacing w:after="120"/>
      <w:jc w:val="both"/>
    </w:pPr>
    <w:rPr>
      <w:rFonts w:ascii="Times New Roman" w:hAnsi="Times New Roman"/>
      <w:lang w:val="en-NZ" w:eastAsia="en-NZ"/>
    </w:rPr>
  </w:style>
  <w:style w:type="character" w:customStyle="1" w:styleId="BodyTextChar">
    <w:name w:val="Body Text Char"/>
    <w:basedOn w:val="DefaultParagraphFont"/>
    <w:link w:val="BodyText"/>
    <w:uiPriority w:val="99"/>
    <w:rsid w:val="00D14A47"/>
    <w:rPr>
      <w:rFonts w:ascii="Times New Roman" w:eastAsia="Times New Roman" w:hAnsi="Times New Roman" w:cs="Times New Roman"/>
      <w:sz w:val="24"/>
      <w:szCs w:val="24"/>
      <w:lang w:eastAsia="en-NZ"/>
    </w:rPr>
  </w:style>
  <w:style w:type="paragraph" w:customStyle="1" w:styleId="Sectionheading">
    <w:name w:val="Section heading"/>
    <w:basedOn w:val="Heading2"/>
    <w:uiPriority w:val="99"/>
    <w:rsid w:val="00D14A47"/>
    <w:pPr>
      <w:keepLines w:val="0"/>
      <w:tabs>
        <w:tab w:val="num" w:pos="360"/>
      </w:tabs>
      <w:spacing w:before="240" w:after="60"/>
      <w:ind w:left="360" w:hanging="360"/>
    </w:pPr>
    <w:rPr>
      <w:rFonts w:ascii="Arial" w:eastAsia="Times New Roman" w:hAnsi="Arial" w:cs="Arial"/>
      <w:i/>
      <w:iCs/>
      <w:color w:val="auto"/>
      <w:lang w:val="en-NZ" w:eastAsia="en-NZ"/>
    </w:rPr>
  </w:style>
  <w:style w:type="character" w:customStyle="1" w:styleId="Heading2Char">
    <w:name w:val="Heading 2 Char"/>
    <w:basedOn w:val="DefaultParagraphFont"/>
    <w:link w:val="Heading2"/>
    <w:uiPriority w:val="9"/>
    <w:semiHidden/>
    <w:rsid w:val="00D14A47"/>
    <w:rPr>
      <w:rFonts w:asciiTheme="majorHAnsi" w:eastAsiaTheme="majorEastAsia" w:hAnsiTheme="majorHAnsi" w:cstheme="majorBidi"/>
      <w:b/>
      <w:bCs/>
      <w:color w:val="20C8F7" w:themeColor="accent1"/>
      <w:sz w:val="26"/>
      <w:szCs w:val="26"/>
      <w:lang w:val="en-GB"/>
    </w:rPr>
  </w:style>
  <w:style w:type="paragraph" w:styleId="FootnoteText">
    <w:name w:val="footnote text"/>
    <w:aliases w:val="Note de bas de page2,Текст сноски Знак"/>
    <w:basedOn w:val="Normal"/>
    <w:link w:val="FootnoteTextChar"/>
    <w:unhideWhenUsed/>
    <w:rsid w:val="00D14A47"/>
    <w:rPr>
      <w:rFonts w:eastAsiaTheme="minorHAnsi" w:cstheme="minorBidi"/>
      <w:sz w:val="20"/>
      <w:szCs w:val="20"/>
      <w:lang w:val="en-NZ"/>
    </w:rPr>
  </w:style>
  <w:style w:type="character" w:customStyle="1" w:styleId="FootnoteTextChar">
    <w:name w:val="Footnote Text Char"/>
    <w:aliases w:val="Note de bas de page2 Char,Текст сноски Знак Char"/>
    <w:basedOn w:val="DefaultParagraphFont"/>
    <w:link w:val="FootnoteText"/>
    <w:rsid w:val="00D14A47"/>
    <w:rPr>
      <w:rFonts w:ascii="Arial" w:hAnsi="Arial"/>
      <w:sz w:val="20"/>
      <w:szCs w:val="20"/>
    </w:rPr>
  </w:style>
  <w:style w:type="character" w:styleId="FootnoteReference">
    <w:name w:val="footnote reference"/>
    <w:basedOn w:val="DefaultParagraphFont"/>
    <w:uiPriority w:val="99"/>
    <w:unhideWhenUsed/>
    <w:rsid w:val="00D14A47"/>
    <w:rPr>
      <w:vertAlign w:val="superscript"/>
    </w:rPr>
  </w:style>
  <w:style w:type="table" w:styleId="TableGrid">
    <w:name w:val="Table Grid"/>
    <w:basedOn w:val="TableNormal"/>
    <w:uiPriority w:val="59"/>
    <w:rsid w:val="00D14A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14A47"/>
    <w:pPr>
      <w:autoSpaceDE w:val="0"/>
      <w:autoSpaceDN w:val="0"/>
      <w:adjustRightInd w:val="0"/>
      <w:spacing w:after="0" w:line="240" w:lineRule="auto"/>
    </w:pPr>
    <w:rPr>
      <w:rFonts w:ascii="Verdana" w:hAnsi="Verdana" w:cs="Verdana"/>
      <w:color w:val="000000"/>
      <w:sz w:val="24"/>
      <w:szCs w:val="24"/>
    </w:rPr>
  </w:style>
  <w:style w:type="table" w:styleId="MediumGrid1-Accent1">
    <w:name w:val="Medium Grid 1 Accent 1"/>
    <w:basedOn w:val="TableNormal"/>
    <w:uiPriority w:val="67"/>
    <w:rsid w:val="00D14A47"/>
    <w:pPr>
      <w:spacing w:after="0" w:line="240" w:lineRule="auto"/>
    </w:pPr>
    <w:tblPr>
      <w:tblStyleRowBandSize w:val="1"/>
      <w:tblStyleColBandSize w:val="1"/>
      <w:tblInd w:w="0" w:type="dxa"/>
      <w:tblBorders>
        <w:top w:val="single" w:sz="8" w:space="0" w:color="57D5F9" w:themeColor="accent1" w:themeTint="BF"/>
        <w:left w:val="single" w:sz="8" w:space="0" w:color="57D5F9" w:themeColor="accent1" w:themeTint="BF"/>
        <w:bottom w:val="single" w:sz="8" w:space="0" w:color="57D5F9" w:themeColor="accent1" w:themeTint="BF"/>
        <w:right w:val="single" w:sz="8" w:space="0" w:color="57D5F9" w:themeColor="accent1" w:themeTint="BF"/>
        <w:insideH w:val="single" w:sz="8" w:space="0" w:color="57D5F9" w:themeColor="accent1" w:themeTint="BF"/>
        <w:insideV w:val="single" w:sz="8" w:space="0" w:color="57D5F9" w:themeColor="accent1" w:themeTint="BF"/>
      </w:tblBorders>
      <w:tblCellMar>
        <w:top w:w="0" w:type="dxa"/>
        <w:left w:w="108" w:type="dxa"/>
        <w:bottom w:w="0" w:type="dxa"/>
        <w:right w:w="108" w:type="dxa"/>
      </w:tblCellMar>
    </w:tblPr>
    <w:tcPr>
      <w:shd w:val="clear" w:color="auto" w:fill="C7F1FD" w:themeFill="accent1" w:themeFillTint="3F"/>
    </w:tcPr>
    <w:tblStylePr w:type="firstRow">
      <w:rPr>
        <w:b/>
        <w:bCs/>
      </w:rPr>
    </w:tblStylePr>
    <w:tblStylePr w:type="lastRow">
      <w:rPr>
        <w:b/>
        <w:bCs/>
      </w:rPr>
      <w:tblPr/>
      <w:tcPr>
        <w:tcBorders>
          <w:top w:val="single" w:sz="18" w:space="0" w:color="57D5F9" w:themeColor="accent1" w:themeTint="BF"/>
        </w:tcBorders>
      </w:tcPr>
    </w:tblStylePr>
    <w:tblStylePr w:type="firstCol">
      <w:rPr>
        <w:b/>
        <w:bCs/>
      </w:rPr>
    </w:tblStylePr>
    <w:tblStylePr w:type="lastCol">
      <w:rPr>
        <w:b/>
        <w:bCs/>
      </w:rPr>
    </w:tblStylePr>
    <w:tblStylePr w:type="band1Vert">
      <w:tblPr/>
      <w:tcPr>
        <w:shd w:val="clear" w:color="auto" w:fill="8FE3FB" w:themeFill="accent1" w:themeFillTint="7F"/>
      </w:tcPr>
    </w:tblStylePr>
    <w:tblStylePr w:type="band1Horz">
      <w:tblPr/>
      <w:tcPr>
        <w:shd w:val="clear" w:color="auto" w:fill="8FE3FB" w:themeFill="accent1" w:themeFillTint="7F"/>
      </w:tcPr>
    </w:tblStylePr>
  </w:style>
  <w:style w:type="paragraph" w:styleId="NormalWeb">
    <w:name w:val="Normal (Web)"/>
    <w:basedOn w:val="Normal"/>
    <w:uiPriority w:val="99"/>
    <w:rsid w:val="00D14A47"/>
    <w:pPr>
      <w:spacing w:before="100" w:beforeAutospacing="1" w:after="100" w:afterAutospacing="1"/>
    </w:pPr>
    <w:rPr>
      <w:rFonts w:ascii="Times New Roman" w:hAnsi="Times New Roman"/>
      <w:color w:val="000000"/>
      <w:lang w:eastAsia="en-GB"/>
    </w:rPr>
  </w:style>
  <w:style w:type="paragraph" w:styleId="PlainText">
    <w:name w:val="Plain Text"/>
    <w:basedOn w:val="Normal"/>
    <w:link w:val="PlainTextChar"/>
    <w:uiPriority w:val="99"/>
    <w:unhideWhenUsed/>
    <w:rsid w:val="00D14A47"/>
    <w:rPr>
      <w:rFonts w:ascii="Consolas" w:eastAsiaTheme="minorHAnsi" w:hAnsi="Consolas" w:cstheme="minorBidi"/>
      <w:sz w:val="21"/>
      <w:szCs w:val="21"/>
      <w:lang w:val="en-NZ"/>
    </w:rPr>
  </w:style>
  <w:style w:type="character" w:customStyle="1" w:styleId="PlainTextChar">
    <w:name w:val="Plain Text Char"/>
    <w:basedOn w:val="DefaultParagraphFont"/>
    <w:link w:val="PlainText"/>
    <w:uiPriority w:val="99"/>
    <w:rsid w:val="00D14A47"/>
    <w:rPr>
      <w:rFonts w:ascii="Consolas" w:hAnsi="Consolas"/>
      <w:sz w:val="21"/>
      <w:szCs w:val="21"/>
    </w:rPr>
  </w:style>
  <w:style w:type="character" w:customStyle="1" w:styleId="A3">
    <w:name w:val="A3"/>
    <w:uiPriority w:val="99"/>
    <w:rsid w:val="006410A8"/>
    <w:rPr>
      <w:rFonts w:cs="Adobe Caslon Pro"/>
      <w:color w:val="000000"/>
      <w:sz w:val="12"/>
      <w:szCs w:val="12"/>
    </w:rPr>
  </w:style>
  <w:style w:type="table" w:styleId="MediumShading1-Accent5">
    <w:name w:val="Medium Shading 1 Accent 5"/>
    <w:basedOn w:val="TableNormal"/>
    <w:uiPriority w:val="63"/>
    <w:rsid w:val="006410A8"/>
    <w:pPr>
      <w:spacing w:after="0" w:line="240" w:lineRule="auto"/>
    </w:pPr>
    <w:rPr>
      <w:lang w:val="en-US"/>
    </w:rPr>
    <w:tblPr>
      <w:tblStyleRowBandSize w:val="1"/>
      <w:tblStyleColBandSize w:val="1"/>
      <w:tblInd w:w="0" w:type="dxa"/>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410A8"/>
    <w:pPr>
      <w:spacing w:after="0" w:line="240" w:lineRule="auto"/>
    </w:pPr>
    <w:tblPr>
      <w:tblStyleRowBandSize w:val="1"/>
      <w:tblStyleColBandSize w:val="1"/>
      <w:tblInd w:w="0" w:type="dxa"/>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shd w:val="clear" w:color="auto" w:fill="009DD9" w:themeFill="accent2"/>
      </w:tcPr>
    </w:tblStylePr>
    <w:tblStylePr w:type="lastRow">
      <w:pPr>
        <w:spacing w:before="0" w:after="0" w:line="240" w:lineRule="auto"/>
      </w:pPr>
      <w:rPr>
        <w:b/>
        <w:bCs/>
      </w:rPr>
      <w:tblPr/>
      <w:tcPr>
        <w:tcBorders>
          <w:top w:val="double" w:sz="6"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AFF" w:themeFill="accent2" w:themeFillTint="3F"/>
      </w:tcPr>
    </w:tblStylePr>
    <w:tblStylePr w:type="band1Horz">
      <w:tblPr/>
      <w:tcPr>
        <w:tcBorders>
          <w:insideH w:val="nil"/>
          <w:insideV w:val="nil"/>
        </w:tcBorders>
        <w:shd w:val="clear" w:color="auto" w:fill="B6EAFF" w:themeFill="accent2" w:themeFillTint="3F"/>
      </w:tcPr>
    </w:tblStylePr>
    <w:tblStylePr w:type="band2Horz">
      <w:tblPr/>
      <w:tcPr>
        <w:tcBorders>
          <w:insideH w:val="nil"/>
          <w:insideV w:val="nil"/>
        </w:tcBorders>
      </w:tcPr>
    </w:tblStylePr>
  </w:style>
  <w:style w:type="table" w:styleId="MediumGrid1-Accent5">
    <w:name w:val="Medium Grid 1 Accent 5"/>
    <w:basedOn w:val="TableNormal"/>
    <w:uiPriority w:val="67"/>
    <w:rsid w:val="00EB04C6"/>
    <w:pPr>
      <w:spacing w:after="0" w:line="240" w:lineRule="auto"/>
    </w:pPr>
    <w:rPr>
      <w:lang w:val="en-US"/>
    </w:rPr>
    <w:tblPr>
      <w:tblStyleRowBandSize w:val="1"/>
      <w:tblStyleColBandSize w:val="1"/>
      <w:tblInd w:w="0" w:type="dxa"/>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insideV w:val="single" w:sz="8" w:space="0" w:color="9CD789" w:themeColor="accent5" w:themeTint="BF"/>
      </w:tblBorders>
      <w:tblCellMar>
        <w:top w:w="0" w:type="dxa"/>
        <w:left w:w="108" w:type="dxa"/>
        <w:bottom w:w="0" w:type="dxa"/>
        <w:right w:w="108" w:type="dxa"/>
      </w:tblCellMar>
    </w:tblPr>
    <w:tcPr>
      <w:shd w:val="clear" w:color="auto" w:fill="DEF2D8" w:themeFill="accent5" w:themeFillTint="3F"/>
    </w:tcPr>
    <w:tblStylePr w:type="firstRow">
      <w:rPr>
        <w:b/>
        <w:bCs/>
      </w:rPr>
    </w:tblStylePr>
    <w:tblStylePr w:type="lastRow">
      <w:rPr>
        <w:b/>
        <w:bCs/>
      </w:rPr>
      <w:tblPr/>
      <w:tcPr>
        <w:tcBorders>
          <w:top w:val="single" w:sz="18" w:space="0" w:color="9CD789" w:themeColor="accent5" w:themeTint="BF"/>
        </w:tcBorders>
      </w:tcPr>
    </w:tblStylePr>
    <w:tblStylePr w:type="firstCol">
      <w:rPr>
        <w:b/>
        <w:bCs/>
      </w:rPr>
    </w:tblStylePr>
    <w:tblStylePr w:type="lastCol">
      <w:rPr>
        <w:b/>
        <w:bCs/>
      </w:r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MediumGrid1-Accent3">
    <w:name w:val="Medium Grid 1 Accent 3"/>
    <w:basedOn w:val="TableNormal"/>
    <w:uiPriority w:val="67"/>
    <w:rsid w:val="00EB04C6"/>
    <w:pPr>
      <w:spacing w:after="0" w:line="240" w:lineRule="auto"/>
    </w:pPr>
    <w:tblPr>
      <w:tblStyleRowBandSize w:val="1"/>
      <w:tblStyleColBandSize w:val="1"/>
      <w:tblInd w:w="0" w:type="dxa"/>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insideV w:val="single" w:sz="8" w:space="0" w:color="35EBF4" w:themeColor="accent3" w:themeTint="BF"/>
      </w:tblBorders>
      <w:tblCellMar>
        <w:top w:w="0" w:type="dxa"/>
        <w:left w:w="108" w:type="dxa"/>
        <w:bottom w:w="0" w:type="dxa"/>
        <w:right w:w="108" w:type="dxa"/>
      </w:tblCellMar>
    </w:tblPr>
    <w:tcPr>
      <w:shd w:val="clear" w:color="auto" w:fill="BCF8FB" w:themeFill="accent3" w:themeFillTint="3F"/>
    </w:tcPr>
    <w:tblStylePr w:type="firstRow">
      <w:rPr>
        <w:b/>
        <w:bCs/>
      </w:rPr>
    </w:tblStylePr>
    <w:tblStylePr w:type="lastRow">
      <w:rPr>
        <w:b/>
        <w:bCs/>
      </w:rPr>
      <w:tblPr/>
      <w:tcPr>
        <w:tcBorders>
          <w:top w:val="single" w:sz="18" w:space="0" w:color="35EBF4" w:themeColor="accent3" w:themeTint="BF"/>
        </w:tcBorders>
      </w:tcPr>
    </w:tblStylePr>
    <w:tblStylePr w:type="firstCol">
      <w:rPr>
        <w:b/>
        <w:bCs/>
      </w:rPr>
    </w:tblStylePr>
    <w:tblStylePr w:type="lastCol">
      <w:rPr>
        <w:b/>
        <w:bCs/>
      </w:r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MediumGrid1-Accent2">
    <w:name w:val="Medium Grid 1 Accent 2"/>
    <w:basedOn w:val="TableNormal"/>
    <w:uiPriority w:val="67"/>
    <w:rsid w:val="00EB04C6"/>
    <w:pPr>
      <w:spacing w:after="0" w:line="240" w:lineRule="auto"/>
    </w:pPr>
    <w:tblPr>
      <w:tblStyleRowBandSize w:val="1"/>
      <w:tblStyleColBandSize w:val="1"/>
      <w:tblInd w:w="0" w:type="dxa"/>
      <w:tblBorders>
        <w:top w:val="single" w:sz="8" w:space="0" w:color="23C1FF" w:themeColor="accent2" w:themeTint="BF"/>
        <w:left w:val="single" w:sz="8" w:space="0" w:color="23C1FF" w:themeColor="accent2" w:themeTint="BF"/>
        <w:bottom w:val="single" w:sz="8" w:space="0" w:color="23C1FF" w:themeColor="accent2" w:themeTint="BF"/>
        <w:right w:val="single" w:sz="8" w:space="0" w:color="23C1FF" w:themeColor="accent2" w:themeTint="BF"/>
        <w:insideH w:val="single" w:sz="8" w:space="0" w:color="23C1FF" w:themeColor="accent2" w:themeTint="BF"/>
        <w:insideV w:val="single" w:sz="8" w:space="0" w:color="23C1FF" w:themeColor="accent2" w:themeTint="BF"/>
      </w:tblBorders>
      <w:tblCellMar>
        <w:top w:w="0" w:type="dxa"/>
        <w:left w:w="108" w:type="dxa"/>
        <w:bottom w:w="0" w:type="dxa"/>
        <w:right w:w="108" w:type="dxa"/>
      </w:tblCellMar>
    </w:tblPr>
    <w:tcPr>
      <w:shd w:val="clear" w:color="auto" w:fill="B6EAFF" w:themeFill="accent2" w:themeFillTint="3F"/>
    </w:tcPr>
    <w:tblStylePr w:type="firstRow">
      <w:rPr>
        <w:b/>
        <w:bCs/>
      </w:rPr>
    </w:tblStylePr>
    <w:tblStylePr w:type="lastRow">
      <w:rPr>
        <w:b/>
        <w:bCs/>
      </w:rPr>
      <w:tblPr/>
      <w:tcPr>
        <w:tcBorders>
          <w:top w:val="single" w:sz="18" w:space="0" w:color="23C1FF" w:themeColor="accent2" w:themeTint="BF"/>
        </w:tcBorders>
      </w:tcPr>
    </w:tblStylePr>
    <w:tblStylePr w:type="firstCol">
      <w:rPr>
        <w:b/>
        <w:bCs/>
      </w:rPr>
    </w:tblStylePr>
    <w:tblStylePr w:type="lastCol">
      <w:rPr>
        <w:b/>
        <w:bCs/>
      </w:rPr>
    </w:tblStylePr>
    <w:tblStylePr w:type="band1Vert">
      <w:tblPr/>
      <w:tcPr>
        <w:shd w:val="clear" w:color="auto" w:fill="6DD6FF" w:themeFill="accent2" w:themeFillTint="7F"/>
      </w:tcPr>
    </w:tblStylePr>
    <w:tblStylePr w:type="band1Horz">
      <w:tblPr/>
      <w:tcPr>
        <w:shd w:val="clear" w:color="auto" w:fill="6DD6FF" w:themeFill="accent2" w:themeFillTint="7F"/>
      </w:tcPr>
    </w:tblStylePr>
  </w:style>
  <w:style w:type="character" w:customStyle="1" w:styleId="highlightedsearchterm">
    <w:name w:val="highlightedsearchterm"/>
    <w:basedOn w:val="DefaultParagraphFont"/>
    <w:rsid w:val="0000586C"/>
  </w:style>
  <w:style w:type="paragraph" w:customStyle="1" w:styleId="Pa14">
    <w:name w:val="Pa14"/>
    <w:basedOn w:val="Default"/>
    <w:next w:val="Default"/>
    <w:rsid w:val="00523AAB"/>
    <w:pPr>
      <w:spacing w:after="440" w:line="171" w:lineRule="atLeast"/>
    </w:pPr>
    <w:rPr>
      <w:rFonts w:ascii="XUSGUM+Interstate-LightCondense" w:eastAsia="Times New Roman" w:hAnsi="XUSGUM+Interstate-LightCondense" w:cs="Times New Roman"/>
      <w:color w:val="auto"/>
      <w:lang w:val="en-GB" w:eastAsia="en-GB"/>
    </w:rPr>
  </w:style>
  <w:style w:type="character" w:customStyle="1" w:styleId="A23">
    <w:name w:val="A23"/>
    <w:rsid w:val="00523AAB"/>
    <w:rPr>
      <w:rFonts w:ascii="WMIAGO+Interstate-BoldCondensed" w:hAnsi="WMIAGO+Interstate-BoldCondensed" w:cs="WMIAGO+Interstate-BoldCondensed"/>
      <w:color w:val="000000"/>
    </w:rPr>
  </w:style>
  <w:style w:type="character" w:customStyle="1" w:styleId="A24">
    <w:name w:val="A24"/>
    <w:rsid w:val="00523AAB"/>
    <w:rPr>
      <w:rFonts w:cs="XUSGUM+Interstate-LightCondense"/>
      <w:color w:val="000000"/>
      <w:sz w:val="57"/>
      <w:szCs w:val="57"/>
    </w:rPr>
  </w:style>
  <w:style w:type="character" w:customStyle="1" w:styleId="A25">
    <w:name w:val="A25"/>
    <w:rsid w:val="00523AAB"/>
    <w:rPr>
      <w:rFonts w:ascii="OELEYE+Interstate-Light" w:hAnsi="OELEYE+Interstate-Light" w:cs="OELEYE+Interstate-Light"/>
      <w:color w:val="000000"/>
    </w:rPr>
  </w:style>
  <w:style w:type="paragraph" w:customStyle="1" w:styleId="Pa17">
    <w:name w:val="Pa17"/>
    <w:basedOn w:val="Default"/>
    <w:next w:val="Default"/>
    <w:rsid w:val="00523AAB"/>
    <w:pPr>
      <w:spacing w:after="200" w:line="171" w:lineRule="atLeast"/>
    </w:pPr>
    <w:rPr>
      <w:rFonts w:ascii="XUSGUM+Interstate-LightCondense" w:eastAsia="Times New Roman" w:hAnsi="XUSGUM+Interstate-LightCondense" w:cs="Times New Roman"/>
      <w:color w:val="auto"/>
      <w:lang w:val="en-GB" w:eastAsia="en-GB"/>
    </w:rPr>
  </w:style>
  <w:style w:type="table" w:styleId="MediumGrid3-Accent1">
    <w:name w:val="Medium Grid 3 Accent 1"/>
    <w:basedOn w:val="TableNormal"/>
    <w:uiPriority w:val="69"/>
    <w:rsid w:val="00B70A94"/>
    <w:pPr>
      <w:spacing w:after="0" w:line="240" w:lineRule="auto"/>
    </w:pPr>
    <w:rPr>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7F1F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C8F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C8F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C8F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C8F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E3F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E3FB" w:themeFill="accent1" w:themeFillTint="7F"/>
      </w:tcPr>
    </w:tblStylePr>
  </w:style>
  <w:style w:type="character" w:styleId="IntenseEmphasis">
    <w:name w:val="Intense Emphasis"/>
    <w:basedOn w:val="DefaultParagraphFont"/>
    <w:uiPriority w:val="21"/>
    <w:qFormat/>
    <w:rsid w:val="00B70A94"/>
    <w:rPr>
      <w:b/>
      <w:bCs/>
      <w:i/>
      <w:iCs/>
      <w:color w:val="20C8F7" w:themeColor="accent1"/>
    </w:rPr>
  </w:style>
  <w:style w:type="table" w:customStyle="1" w:styleId="MediumShading1-Accent11">
    <w:name w:val="Medium Shading 1 - Accent 11"/>
    <w:basedOn w:val="TableNormal"/>
    <w:uiPriority w:val="63"/>
    <w:rsid w:val="00BB6ED6"/>
    <w:pPr>
      <w:spacing w:after="0" w:line="240" w:lineRule="auto"/>
    </w:pPr>
    <w:rPr>
      <w:lang w:val="en-US"/>
    </w:rPr>
    <w:tblPr>
      <w:tblStyleRowBandSize w:val="1"/>
      <w:tblStyleColBandSize w:val="1"/>
      <w:tblInd w:w="0" w:type="dxa"/>
      <w:tblBorders>
        <w:top w:val="single" w:sz="8" w:space="0" w:color="57D5F9" w:themeColor="accent1" w:themeTint="BF"/>
        <w:left w:val="single" w:sz="8" w:space="0" w:color="57D5F9" w:themeColor="accent1" w:themeTint="BF"/>
        <w:bottom w:val="single" w:sz="8" w:space="0" w:color="57D5F9" w:themeColor="accent1" w:themeTint="BF"/>
        <w:right w:val="single" w:sz="8" w:space="0" w:color="57D5F9" w:themeColor="accent1" w:themeTint="BF"/>
        <w:insideH w:val="single" w:sz="8" w:space="0" w:color="57D5F9"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7D5F9" w:themeColor="accent1" w:themeTint="BF"/>
          <w:left w:val="single" w:sz="8" w:space="0" w:color="57D5F9" w:themeColor="accent1" w:themeTint="BF"/>
          <w:bottom w:val="single" w:sz="8" w:space="0" w:color="57D5F9" w:themeColor="accent1" w:themeTint="BF"/>
          <w:right w:val="single" w:sz="8" w:space="0" w:color="57D5F9" w:themeColor="accent1" w:themeTint="BF"/>
          <w:insideH w:val="nil"/>
          <w:insideV w:val="nil"/>
        </w:tcBorders>
        <w:shd w:val="clear" w:color="auto" w:fill="20C8F7" w:themeFill="accent1"/>
      </w:tcPr>
    </w:tblStylePr>
    <w:tblStylePr w:type="lastRow">
      <w:pPr>
        <w:spacing w:before="0" w:after="0" w:line="240" w:lineRule="auto"/>
      </w:pPr>
      <w:rPr>
        <w:b/>
        <w:bCs/>
      </w:rPr>
      <w:tblPr/>
      <w:tcPr>
        <w:tcBorders>
          <w:top w:val="double" w:sz="6" w:space="0" w:color="57D5F9" w:themeColor="accent1" w:themeTint="BF"/>
          <w:left w:val="single" w:sz="8" w:space="0" w:color="57D5F9" w:themeColor="accent1" w:themeTint="BF"/>
          <w:bottom w:val="single" w:sz="8" w:space="0" w:color="57D5F9" w:themeColor="accent1" w:themeTint="BF"/>
          <w:right w:val="single" w:sz="8" w:space="0" w:color="57D5F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F1FD" w:themeFill="accent1" w:themeFillTint="3F"/>
      </w:tcPr>
    </w:tblStylePr>
    <w:tblStylePr w:type="band1Horz">
      <w:tblPr/>
      <w:tcPr>
        <w:tcBorders>
          <w:insideH w:val="nil"/>
          <w:insideV w:val="nil"/>
        </w:tcBorders>
        <w:shd w:val="clear" w:color="auto" w:fill="C7F1FD" w:themeFill="accent1"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rsid w:val="000D518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DD9" w:themeFill="accent2"/>
      </w:tcPr>
    </w:tblStylePr>
    <w:tblStylePr w:type="lastCol">
      <w:rPr>
        <w:b/>
        <w:bCs/>
        <w:color w:val="FFFFFF" w:themeColor="background1"/>
      </w:rPr>
      <w:tblPr/>
      <w:tcPr>
        <w:tcBorders>
          <w:left w:val="nil"/>
          <w:right w:val="nil"/>
          <w:insideH w:val="nil"/>
          <w:insideV w:val="nil"/>
        </w:tcBorders>
        <w:shd w:val="clear" w:color="auto" w:fill="009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rsid w:val="00294202"/>
  </w:style>
  <w:style w:type="character" w:customStyle="1" w:styleId="Heading3Char">
    <w:name w:val="Heading 3 Char"/>
    <w:basedOn w:val="DefaultParagraphFont"/>
    <w:link w:val="Heading3"/>
    <w:uiPriority w:val="9"/>
    <w:semiHidden/>
    <w:rsid w:val="0078171C"/>
    <w:rPr>
      <w:rFonts w:asciiTheme="majorHAnsi" w:eastAsiaTheme="majorEastAsia" w:hAnsiTheme="majorHAnsi" w:cstheme="majorBidi"/>
      <w:b/>
      <w:bCs/>
      <w:color w:val="20C8F7" w:themeColor="accent1"/>
      <w:sz w:val="24"/>
      <w:szCs w:val="24"/>
      <w:lang w:val="en-GB"/>
    </w:rPr>
  </w:style>
  <w:style w:type="character" w:styleId="Emphasis">
    <w:name w:val="Emphasis"/>
    <w:basedOn w:val="DefaultParagraphFont"/>
    <w:uiPriority w:val="20"/>
    <w:qFormat/>
    <w:rsid w:val="0078171C"/>
    <w:rPr>
      <w:i/>
      <w:iCs/>
    </w:rPr>
  </w:style>
  <w:style w:type="table" w:customStyle="1" w:styleId="MediumShading1-Accent110">
    <w:name w:val="Medium Shading 1 - Accent 11"/>
    <w:basedOn w:val="TableNormal"/>
    <w:uiPriority w:val="63"/>
    <w:rsid w:val="00061B41"/>
    <w:pPr>
      <w:spacing w:after="0" w:line="240" w:lineRule="auto"/>
    </w:pPr>
    <w:rPr>
      <w:lang w:val="en-US"/>
    </w:rPr>
    <w:tblPr>
      <w:tblStyleRowBandSize w:val="1"/>
      <w:tblStyleColBandSize w:val="1"/>
      <w:tblInd w:w="0" w:type="dxa"/>
      <w:tblBorders>
        <w:top w:val="single" w:sz="8" w:space="0" w:color="57D5F9" w:themeColor="accent1" w:themeTint="BF"/>
        <w:left w:val="single" w:sz="8" w:space="0" w:color="57D5F9" w:themeColor="accent1" w:themeTint="BF"/>
        <w:bottom w:val="single" w:sz="8" w:space="0" w:color="57D5F9" w:themeColor="accent1" w:themeTint="BF"/>
        <w:right w:val="single" w:sz="8" w:space="0" w:color="57D5F9" w:themeColor="accent1" w:themeTint="BF"/>
        <w:insideH w:val="single" w:sz="8" w:space="0" w:color="57D5F9"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7D5F9" w:themeColor="accent1" w:themeTint="BF"/>
          <w:left w:val="single" w:sz="8" w:space="0" w:color="57D5F9" w:themeColor="accent1" w:themeTint="BF"/>
          <w:bottom w:val="single" w:sz="8" w:space="0" w:color="57D5F9" w:themeColor="accent1" w:themeTint="BF"/>
          <w:right w:val="single" w:sz="8" w:space="0" w:color="57D5F9" w:themeColor="accent1" w:themeTint="BF"/>
          <w:insideH w:val="nil"/>
          <w:insideV w:val="nil"/>
        </w:tcBorders>
        <w:shd w:val="clear" w:color="auto" w:fill="20C8F7" w:themeFill="accent1"/>
      </w:tcPr>
    </w:tblStylePr>
    <w:tblStylePr w:type="lastRow">
      <w:pPr>
        <w:spacing w:before="0" w:after="0" w:line="240" w:lineRule="auto"/>
      </w:pPr>
      <w:rPr>
        <w:b/>
        <w:bCs/>
      </w:rPr>
      <w:tblPr/>
      <w:tcPr>
        <w:tcBorders>
          <w:top w:val="double" w:sz="6" w:space="0" w:color="57D5F9" w:themeColor="accent1" w:themeTint="BF"/>
          <w:left w:val="single" w:sz="8" w:space="0" w:color="57D5F9" w:themeColor="accent1" w:themeTint="BF"/>
          <w:bottom w:val="single" w:sz="8" w:space="0" w:color="57D5F9" w:themeColor="accent1" w:themeTint="BF"/>
          <w:right w:val="single" w:sz="8" w:space="0" w:color="57D5F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F1FD" w:themeFill="accent1" w:themeFillTint="3F"/>
      </w:tcPr>
    </w:tblStylePr>
    <w:tblStylePr w:type="band1Horz">
      <w:tblPr/>
      <w:tcPr>
        <w:tcBorders>
          <w:insideH w:val="nil"/>
          <w:insideV w:val="nil"/>
        </w:tcBorders>
        <w:shd w:val="clear" w:color="auto" w:fill="C7F1FD"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046D13"/>
    <w:rPr>
      <w:color w:val="85DFD0" w:themeColor="followedHyperlink"/>
      <w:u w:val="single"/>
    </w:rPr>
  </w:style>
  <w:style w:type="character" w:styleId="Strong">
    <w:name w:val="Strong"/>
    <w:basedOn w:val="DefaultParagraphFont"/>
    <w:qFormat/>
    <w:rsid w:val="006513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52990">
      <w:bodyDiv w:val="1"/>
      <w:marLeft w:val="0"/>
      <w:marRight w:val="0"/>
      <w:marTop w:val="0"/>
      <w:marBottom w:val="0"/>
      <w:divBdr>
        <w:top w:val="none" w:sz="0" w:space="0" w:color="auto"/>
        <w:left w:val="none" w:sz="0" w:space="0" w:color="auto"/>
        <w:bottom w:val="none" w:sz="0" w:space="0" w:color="auto"/>
        <w:right w:val="none" w:sz="0" w:space="0" w:color="auto"/>
      </w:divBdr>
      <w:divsChild>
        <w:div w:id="171723628">
          <w:marLeft w:val="0"/>
          <w:marRight w:val="0"/>
          <w:marTop w:val="100"/>
          <w:marBottom w:val="100"/>
          <w:divBdr>
            <w:top w:val="none" w:sz="0" w:space="0" w:color="auto"/>
            <w:left w:val="none" w:sz="0" w:space="0" w:color="auto"/>
            <w:bottom w:val="none" w:sz="0" w:space="0" w:color="auto"/>
            <w:right w:val="none" w:sz="0" w:space="0" w:color="auto"/>
          </w:divBdr>
          <w:divsChild>
            <w:div w:id="737481676">
              <w:marLeft w:val="0"/>
              <w:marRight w:val="0"/>
              <w:marTop w:val="0"/>
              <w:marBottom w:val="0"/>
              <w:divBdr>
                <w:top w:val="none" w:sz="0" w:space="0" w:color="auto"/>
                <w:left w:val="none" w:sz="0" w:space="0" w:color="auto"/>
                <w:bottom w:val="none" w:sz="0" w:space="0" w:color="auto"/>
                <w:right w:val="none" w:sz="0" w:space="0" w:color="auto"/>
              </w:divBdr>
              <w:divsChild>
                <w:div w:id="673799135">
                  <w:marLeft w:val="0"/>
                  <w:marRight w:val="0"/>
                  <w:marTop w:val="0"/>
                  <w:marBottom w:val="0"/>
                  <w:divBdr>
                    <w:top w:val="none" w:sz="0" w:space="0" w:color="auto"/>
                    <w:left w:val="none" w:sz="0" w:space="0" w:color="auto"/>
                    <w:bottom w:val="none" w:sz="0" w:space="0" w:color="auto"/>
                    <w:right w:val="none" w:sz="0" w:space="0" w:color="auto"/>
                  </w:divBdr>
                  <w:divsChild>
                    <w:div w:id="1753237703">
                      <w:marLeft w:val="0"/>
                      <w:marRight w:val="0"/>
                      <w:marTop w:val="0"/>
                      <w:marBottom w:val="0"/>
                      <w:divBdr>
                        <w:top w:val="none" w:sz="0" w:space="0" w:color="auto"/>
                        <w:left w:val="none" w:sz="0" w:space="0" w:color="auto"/>
                        <w:bottom w:val="none" w:sz="0" w:space="0" w:color="auto"/>
                        <w:right w:val="none" w:sz="0" w:space="0" w:color="auto"/>
                      </w:divBdr>
                      <w:divsChild>
                        <w:div w:id="1080448782">
                          <w:marLeft w:val="0"/>
                          <w:marRight w:val="0"/>
                          <w:marTop w:val="0"/>
                          <w:marBottom w:val="0"/>
                          <w:divBdr>
                            <w:top w:val="none" w:sz="0" w:space="0" w:color="auto"/>
                            <w:left w:val="none" w:sz="0" w:space="0" w:color="auto"/>
                            <w:bottom w:val="none" w:sz="0" w:space="0" w:color="auto"/>
                            <w:right w:val="none" w:sz="0" w:space="0" w:color="auto"/>
                          </w:divBdr>
                          <w:divsChild>
                            <w:div w:id="2081443564">
                              <w:marLeft w:val="0"/>
                              <w:marRight w:val="0"/>
                              <w:marTop w:val="0"/>
                              <w:marBottom w:val="0"/>
                              <w:divBdr>
                                <w:top w:val="none" w:sz="0" w:space="0" w:color="auto"/>
                                <w:left w:val="none" w:sz="0" w:space="0" w:color="auto"/>
                                <w:bottom w:val="none" w:sz="0" w:space="0" w:color="auto"/>
                                <w:right w:val="none" w:sz="0" w:space="0" w:color="auto"/>
                              </w:divBdr>
                              <w:divsChild>
                                <w:div w:id="999504813">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558676">
      <w:bodyDiv w:val="1"/>
      <w:marLeft w:val="0"/>
      <w:marRight w:val="0"/>
      <w:marTop w:val="0"/>
      <w:marBottom w:val="0"/>
      <w:divBdr>
        <w:top w:val="none" w:sz="0" w:space="0" w:color="auto"/>
        <w:left w:val="none" w:sz="0" w:space="0" w:color="auto"/>
        <w:bottom w:val="none" w:sz="0" w:space="0" w:color="auto"/>
        <w:right w:val="none" w:sz="0" w:space="0" w:color="auto"/>
      </w:divBdr>
      <w:divsChild>
        <w:div w:id="2129274303">
          <w:marLeft w:val="0"/>
          <w:marRight w:val="0"/>
          <w:marTop w:val="0"/>
          <w:marBottom w:val="0"/>
          <w:divBdr>
            <w:top w:val="none" w:sz="0" w:space="0" w:color="auto"/>
            <w:left w:val="none" w:sz="0" w:space="0" w:color="auto"/>
            <w:bottom w:val="none" w:sz="0" w:space="0" w:color="auto"/>
            <w:right w:val="none" w:sz="0" w:space="0" w:color="auto"/>
          </w:divBdr>
          <w:divsChild>
            <w:div w:id="1712344436">
              <w:marLeft w:val="0"/>
              <w:marRight w:val="0"/>
              <w:marTop w:val="0"/>
              <w:marBottom w:val="0"/>
              <w:divBdr>
                <w:top w:val="none" w:sz="0" w:space="0" w:color="auto"/>
                <w:left w:val="none" w:sz="0" w:space="0" w:color="auto"/>
                <w:bottom w:val="none" w:sz="0" w:space="0" w:color="auto"/>
                <w:right w:val="none" w:sz="0" w:space="0" w:color="auto"/>
              </w:divBdr>
              <w:divsChild>
                <w:div w:id="515995706">
                  <w:marLeft w:val="0"/>
                  <w:marRight w:val="0"/>
                  <w:marTop w:val="0"/>
                  <w:marBottom w:val="0"/>
                  <w:divBdr>
                    <w:top w:val="none" w:sz="0" w:space="0" w:color="auto"/>
                    <w:left w:val="none" w:sz="0" w:space="0" w:color="auto"/>
                    <w:bottom w:val="none" w:sz="0" w:space="0" w:color="auto"/>
                    <w:right w:val="none" w:sz="0" w:space="0" w:color="auto"/>
                  </w:divBdr>
                  <w:divsChild>
                    <w:div w:id="1815217052">
                      <w:marLeft w:val="0"/>
                      <w:marRight w:val="0"/>
                      <w:marTop w:val="0"/>
                      <w:marBottom w:val="0"/>
                      <w:divBdr>
                        <w:top w:val="none" w:sz="0" w:space="0" w:color="auto"/>
                        <w:left w:val="none" w:sz="0" w:space="0" w:color="auto"/>
                        <w:bottom w:val="none" w:sz="0" w:space="0" w:color="auto"/>
                        <w:right w:val="none" w:sz="0" w:space="0" w:color="auto"/>
                      </w:divBdr>
                    </w:div>
                    <w:div w:id="221868176">
                      <w:marLeft w:val="0"/>
                      <w:marRight w:val="0"/>
                      <w:marTop w:val="0"/>
                      <w:marBottom w:val="0"/>
                      <w:divBdr>
                        <w:top w:val="none" w:sz="0" w:space="0" w:color="auto"/>
                        <w:left w:val="none" w:sz="0" w:space="0" w:color="auto"/>
                        <w:bottom w:val="none" w:sz="0" w:space="0" w:color="auto"/>
                        <w:right w:val="none" w:sz="0" w:space="0" w:color="auto"/>
                      </w:divBdr>
                    </w:div>
                    <w:div w:id="2091002541">
                      <w:marLeft w:val="0"/>
                      <w:marRight w:val="0"/>
                      <w:marTop w:val="0"/>
                      <w:marBottom w:val="0"/>
                      <w:divBdr>
                        <w:top w:val="none" w:sz="0" w:space="0" w:color="auto"/>
                        <w:left w:val="none" w:sz="0" w:space="0" w:color="auto"/>
                        <w:bottom w:val="none" w:sz="0" w:space="0" w:color="auto"/>
                        <w:right w:val="none" w:sz="0" w:space="0" w:color="auto"/>
                      </w:divBdr>
                    </w:div>
                    <w:div w:id="915473640">
                      <w:marLeft w:val="0"/>
                      <w:marRight w:val="0"/>
                      <w:marTop w:val="0"/>
                      <w:marBottom w:val="0"/>
                      <w:divBdr>
                        <w:top w:val="none" w:sz="0" w:space="0" w:color="auto"/>
                        <w:left w:val="none" w:sz="0" w:space="0" w:color="auto"/>
                        <w:bottom w:val="none" w:sz="0" w:space="0" w:color="auto"/>
                        <w:right w:val="none" w:sz="0" w:space="0" w:color="auto"/>
                      </w:divBdr>
                    </w:div>
                    <w:div w:id="941647451">
                      <w:marLeft w:val="0"/>
                      <w:marRight w:val="0"/>
                      <w:marTop w:val="0"/>
                      <w:marBottom w:val="0"/>
                      <w:divBdr>
                        <w:top w:val="none" w:sz="0" w:space="0" w:color="auto"/>
                        <w:left w:val="none" w:sz="0" w:space="0" w:color="auto"/>
                        <w:bottom w:val="none" w:sz="0" w:space="0" w:color="auto"/>
                        <w:right w:val="none" w:sz="0" w:space="0" w:color="auto"/>
                      </w:divBdr>
                    </w:div>
                    <w:div w:id="1685479513">
                      <w:marLeft w:val="0"/>
                      <w:marRight w:val="0"/>
                      <w:marTop w:val="0"/>
                      <w:marBottom w:val="0"/>
                      <w:divBdr>
                        <w:top w:val="none" w:sz="0" w:space="0" w:color="auto"/>
                        <w:left w:val="none" w:sz="0" w:space="0" w:color="auto"/>
                        <w:bottom w:val="none" w:sz="0" w:space="0" w:color="auto"/>
                        <w:right w:val="none" w:sz="0" w:space="0" w:color="auto"/>
                      </w:divBdr>
                    </w:div>
                    <w:div w:id="12168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94934">
      <w:bodyDiv w:val="1"/>
      <w:marLeft w:val="0"/>
      <w:marRight w:val="0"/>
      <w:marTop w:val="0"/>
      <w:marBottom w:val="0"/>
      <w:divBdr>
        <w:top w:val="none" w:sz="0" w:space="0" w:color="auto"/>
        <w:left w:val="none" w:sz="0" w:space="0" w:color="auto"/>
        <w:bottom w:val="none" w:sz="0" w:space="0" w:color="auto"/>
        <w:right w:val="none" w:sz="0" w:space="0" w:color="auto"/>
      </w:divBdr>
      <w:divsChild>
        <w:div w:id="857424878">
          <w:marLeft w:val="0"/>
          <w:marRight w:val="0"/>
          <w:marTop w:val="0"/>
          <w:marBottom w:val="0"/>
          <w:divBdr>
            <w:top w:val="none" w:sz="0" w:space="0" w:color="auto"/>
            <w:left w:val="none" w:sz="0" w:space="0" w:color="auto"/>
            <w:bottom w:val="none" w:sz="0" w:space="0" w:color="auto"/>
            <w:right w:val="none" w:sz="0" w:space="0" w:color="auto"/>
          </w:divBdr>
          <w:divsChild>
            <w:div w:id="1069570039">
              <w:marLeft w:val="0"/>
              <w:marRight w:val="0"/>
              <w:marTop w:val="0"/>
              <w:marBottom w:val="0"/>
              <w:divBdr>
                <w:top w:val="none" w:sz="0" w:space="0" w:color="auto"/>
                <w:left w:val="none" w:sz="0" w:space="0" w:color="auto"/>
                <w:bottom w:val="none" w:sz="0" w:space="0" w:color="auto"/>
                <w:right w:val="none" w:sz="0" w:space="0" w:color="auto"/>
              </w:divBdr>
              <w:divsChild>
                <w:div w:id="564609434">
                  <w:marLeft w:val="0"/>
                  <w:marRight w:val="0"/>
                  <w:marTop w:val="0"/>
                  <w:marBottom w:val="0"/>
                  <w:divBdr>
                    <w:top w:val="none" w:sz="0" w:space="0" w:color="auto"/>
                    <w:left w:val="none" w:sz="0" w:space="0" w:color="auto"/>
                    <w:bottom w:val="none" w:sz="0" w:space="0" w:color="auto"/>
                    <w:right w:val="none" w:sz="0" w:space="0" w:color="auto"/>
                  </w:divBdr>
                  <w:divsChild>
                    <w:div w:id="2005430331">
                      <w:marLeft w:val="0"/>
                      <w:marRight w:val="0"/>
                      <w:marTop w:val="0"/>
                      <w:marBottom w:val="0"/>
                      <w:divBdr>
                        <w:top w:val="none" w:sz="0" w:space="0" w:color="auto"/>
                        <w:left w:val="none" w:sz="0" w:space="0" w:color="auto"/>
                        <w:bottom w:val="none" w:sz="0" w:space="0" w:color="auto"/>
                        <w:right w:val="none" w:sz="0" w:space="0" w:color="auto"/>
                      </w:divBdr>
                      <w:divsChild>
                        <w:div w:id="260114499">
                          <w:marLeft w:val="0"/>
                          <w:marRight w:val="0"/>
                          <w:marTop w:val="0"/>
                          <w:marBottom w:val="0"/>
                          <w:divBdr>
                            <w:top w:val="none" w:sz="0" w:space="0" w:color="auto"/>
                            <w:left w:val="none" w:sz="0" w:space="0" w:color="auto"/>
                            <w:bottom w:val="none" w:sz="0" w:space="0" w:color="auto"/>
                            <w:right w:val="none" w:sz="0" w:space="0" w:color="auto"/>
                          </w:divBdr>
                          <w:divsChild>
                            <w:div w:id="3003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641116">
      <w:bodyDiv w:val="1"/>
      <w:marLeft w:val="0"/>
      <w:marRight w:val="0"/>
      <w:marTop w:val="0"/>
      <w:marBottom w:val="0"/>
      <w:divBdr>
        <w:top w:val="none" w:sz="0" w:space="0" w:color="auto"/>
        <w:left w:val="none" w:sz="0" w:space="0" w:color="auto"/>
        <w:bottom w:val="none" w:sz="0" w:space="0" w:color="auto"/>
        <w:right w:val="none" w:sz="0" w:space="0" w:color="auto"/>
      </w:divBdr>
      <w:divsChild>
        <w:div w:id="1466661330">
          <w:marLeft w:val="0"/>
          <w:marRight w:val="0"/>
          <w:marTop w:val="0"/>
          <w:marBottom w:val="0"/>
          <w:divBdr>
            <w:top w:val="none" w:sz="0" w:space="0" w:color="auto"/>
            <w:left w:val="none" w:sz="0" w:space="0" w:color="auto"/>
            <w:bottom w:val="none" w:sz="0" w:space="0" w:color="auto"/>
            <w:right w:val="none" w:sz="0" w:space="0" w:color="auto"/>
          </w:divBdr>
          <w:divsChild>
            <w:div w:id="257833810">
              <w:marLeft w:val="0"/>
              <w:marRight w:val="0"/>
              <w:marTop w:val="0"/>
              <w:marBottom w:val="0"/>
              <w:divBdr>
                <w:top w:val="none" w:sz="0" w:space="0" w:color="auto"/>
                <w:left w:val="none" w:sz="0" w:space="0" w:color="auto"/>
                <w:bottom w:val="none" w:sz="0" w:space="0" w:color="auto"/>
                <w:right w:val="none" w:sz="0" w:space="0" w:color="auto"/>
              </w:divBdr>
              <w:divsChild>
                <w:div w:id="566383265">
                  <w:marLeft w:val="0"/>
                  <w:marRight w:val="0"/>
                  <w:marTop w:val="0"/>
                  <w:marBottom w:val="0"/>
                  <w:divBdr>
                    <w:top w:val="none" w:sz="0" w:space="0" w:color="auto"/>
                    <w:left w:val="none" w:sz="0" w:space="0" w:color="auto"/>
                    <w:bottom w:val="none" w:sz="0" w:space="0" w:color="auto"/>
                    <w:right w:val="none" w:sz="0" w:space="0" w:color="auto"/>
                  </w:divBdr>
                  <w:divsChild>
                    <w:div w:id="9653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9040">
      <w:bodyDiv w:val="1"/>
      <w:marLeft w:val="0"/>
      <w:marRight w:val="0"/>
      <w:marTop w:val="0"/>
      <w:marBottom w:val="0"/>
      <w:divBdr>
        <w:top w:val="none" w:sz="0" w:space="0" w:color="auto"/>
        <w:left w:val="none" w:sz="0" w:space="0" w:color="auto"/>
        <w:bottom w:val="none" w:sz="0" w:space="0" w:color="auto"/>
        <w:right w:val="none" w:sz="0" w:space="0" w:color="auto"/>
      </w:divBdr>
      <w:divsChild>
        <w:div w:id="1306159793">
          <w:marLeft w:val="0"/>
          <w:marRight w:val="0"/>
          <w:marTop w:val="0"/>
          <w:marBottom w:val="0"/>
          <w:divBdr>
            <w:top w:val="none" w:sz="0" w:space="0" w:color="auto"/>
            <w:left w:val="none" w:sz="0" w:space="0" w:color="auto"/>
            <w:bottom w:val="none" w:sz="0" w:space="0" w:color="auto"/>
            <w:right w:val="none" w:sz="0" w:space="0" w:color="auto"/>
          </w:divBdr>
          <w:divsChild>
            <w:div w:id="1750350133">
              <w:marLeft w:val="0"/>
              <w:marRight w:val="0"/>
              <w:marTop w:val="0"/>
              <w:marBottom w:val="0"/>
              <w:divBdr>
                <w:top w:val="none" w:sz="0" w:space="0" w:color="auto"/>
                <w:left w:val="none" w:sz="0" w:space="0" w:color="auto"/>
                <w:bottom w:val="none" w:sz="0" w:space="0" w:color="auto"/>
                <w:right w:val="none" w:sz="0" w:space="0" w:color="auto"/>
              </w:divBdr>
              <w:divsChild>
                <w:div w:id="1768188197">
                  <w:marLeft w:val="0"/>
                  <w:marRight w:val="0"/>
                  <w:marTop w:val="0"/>
                  <w:marBottom w:val="0"/>
                  <w:divBdr>
                    <w:top w:val="none" w:sz="0" w:space="0" w:color="auto"/>
                    <w:left w:val="none" w:sz="0" w:space="0" w:color="auto"/>
                    <w:bottom w:val="none" w:sz="0" w:space="0" w:color="auto"/>
                    <w:right w:val="none" w:sz="0" w:space="0" w:color="auto"/>
                  </w:divBdr>
                  <w:divsChild>
                    <w:div w:id="1235582831">
                      <w:marLeft w:val="0"/>
                      <w:marRight w:val="0"/>
                      <w:marTop w:val="0"/>
                      <w:marBottom w:val="0"/>
                      <w:divBdr>
                        <w:top w:val="none" w:sz="0" w:space="0" w:color="auto"/>
                        <w:left w:val="none" w:sz="0" w:space="0" w:color="auto"/>
                        <w:bottom w:val="none" w:sz="0" w:space="0" w:color="auto"/>
                        <w:right w:val="none" w:sz="0" w:space="0" w:color="auto"/>
                      </w:divBdr>
                      <w:divsChild>
                        <w:div w:id="4276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371389">
      <w:bodyDiv w:val="1"/>
      <w:marLeft w:val="0"/>
      <w:marRight w:val="0"/>
      <w:marTop w:val="0"/>
      <w:marBottom w:val="0"/>
      <w:divBdr>
        <w:top w:val="none" w:sz="0" w:space="0" w:color="auto"/>
        <w:left w:val="none" w:sz="0" w:space="0" w:color="auto"/>
        <w:bottom w:val="none" w:sz="0" w:space="0" w:color="auto"/>
        <w:right w:val="none" w:sz="0" w:space="0" w:color="auto"/>
      </w:divBdr>
    </w:div>
    <w:div w:id="915088173">
      <w:bodyDiv w:val="1"/>
      <w:marLeft w:val="0"/>
      <w:marRight w:val="0"/>
      <w:marTop w:val="0"/>
      <w:marBottom w:val="0"/>
      <w:divBdr>
        <w:top w:val="none" w:sz="0" w:space="0" w:color="auto"/>
        <w:left w:val="none" w:sz="0" w:space="0" w:color="auto"/>
        <w:bottom w:val="none" w:sz="0" w:space="0" w:color="auto"/>
        <w:right w:val="none" w:sz="0" w:space="0" w:color="auto"/>
      </w:divBdr>
    </w:div>
    <w:div w:id="1073241467">
      <w:bodyDiv w:val="1"/>
      <w:marLeft w:val="0"/>
      <w:marRight w:val="0"/>
      <w:marTop w:val="0"/>
      <w:marBottom w:val="0"/>
      <w:divBdr>
        <w:top w:val="none" w:sz="0" w:space="0" w:color="auto"/>
        <w:left w:val="none" w:sz="0" w:space="0" w:color="auto"/>
        <w:bottom w:val="none" w:sz="0" w:space="0" w:color="auto"/>
        <w:right w:val="none" w:sz="0" w:space="0" w:color="auto"/>
      </w:divBdr>
    </w:div>
    <w:div w:id="1328052441">
      <w:bodyDiv w:val="1"/>
      <w:marLeft w:val="0"/>
      <w:marRight w:val="0"/>
      <w:marTop w:val="0"/>
      <w:marBottom w:val="0"/>
      <w:divBdr>
        <w:top w:val="none" w:sz="0" w:space="0" w:color="auto"/>
        <w:left w:val="none" w:sz="0" w:space="0" w:color="auto"/>
        <w:bottom w:val="none" w:sz="0" w:space="0" w:color="auto"/>
        <w:right w:val="none" w:sz="0" w:space="0" w:color="auto"/>
      </w:divBdr>
    </w:div>
    <w:div w:id="1537500283">
      <w:bodyDiv w:val="1"/>
      <w:marLeft w:val="0"/>
      <w:marRight w:val="0"/>
      <w:marTop w:val="0"/>
      <w:marBottom w:val="0"/>
      <w:divBdr>
        <w:top w:val="none" w:sz="0" w:space="0" w:color="auto"/>
        <w:left w:val="none" w:sz="0" w:space="0" w:color="auto"/>
        <w:bottom w:val="none" w:sz="0" w:space="0" w:color="auto"/>
        <w:right w:val="none" w:sz="0" w:space="0" w:color="auto"/>
      </w:divBdr>
    </w:div>
    <w:div w:id="201191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eon.org.nz" TargetMode="External"/><Relationship Id="rId21" Type="http://schemas.openxmlformats.org/officeDocument/2006/relationships/diagramData" Target="diagrams/data1.xml"/><Relationship Id="rId34" Type="http://schemas.openxmlformats.org/officeDocument/2006/relationships/hyperlink" Target="http://www.dpa.org.nz/" TargetMode="External"/><Relationship Id="rId42" Type="http://schemas.openxmlformats.org/officeDocument/2006/relationships/hyperlink" Target="http://www.neon.org.nz/trackingequalityatwork" TargetMode="External"/><Relationship Id="rId47" Type="http://schemas.openxmlformats.org/officeDocument/2006/relationships/hyperlink" Target="http://www.dol.govt.nz/er/pay/exemptions/disabilitiesemployers.asp" TargetMode="External"/><Relationship Id="rId50" Type="http://schemas.openxmlformats.org/officeDocument/2006/relationships/hyperlink" Target="http://www.eeotrust.org.nz/toolkits/disability.cfm" TargetMode="External"/><Relationship Id="rId55" Type="http://schemas.openxmlformats.org/officeDocument/2006/relationships/hyperlink" Target="http://www.workbridge.co.nz/?page=1331" TargetMode="External"/><Relationship Id="rId63"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judym@hrc.co.nz" TargetMode="External"/><Relationship Id="rId29" Type="http://schemas.openxmlformats.org/officeDocument/2006/relationships/hyperlink" Target="http://www.hrc.co.nz/hrc_new/hrc/cms/files/documents/15-Dec-2010_12-41-59_Chapter_17pp258-279.pdf" TargetMode="External"/><Relationship Id="rId11" Type="http://schemas.openxmlformats.org/officeDocument/2006/relationships/hyperlink" Target="http://www.hrc.co.nz" TargetMode="External"/><Relationship Id="rId24" Type="http://schemas.openxmlformats.org/officeDocument/2006/relationships/diagramColors" Target="diagrams/colors1.xml"/><Relationship Id="rId32" Type="http://schemas.openxmlformats.org/officeDocument/2006/relationships/hyperlink" Target="http://www.dol.govt.nz/er/pay/exemptions/disabilitiesemployers.asp" TargetMode="External"/><Relationship Id="rId37" Type="http://schemas.openxmlformats.org/officeDocument/2006/relationships/hyperlink" Target="http://www.msd.govt.nz/what-we-can-do/disability-services/mainstream/" TargetMode="External"/><Relationship Id="rId40" Type="http://schemas.openxmlformats.org/officeDocument/2006/relationships/hyperlink" Target="http://www.workbridge.co.nz/?page=1331" TargetMode="External"/><Relationship Id="rId45" Type="http://schemas.openxmlformats.org/officeDocument/2006/relationships/hyperlink" Target="http://www.ccsdisabilityaction.org.nz/" TargetMode="External"/><Relationship Id="rId53" Type="http://schemas.openxmlformats.org/officeDocument/2006/relationships/hyperlink" Target="http://www.odi.govt.nz/about-us/index.html" TargetMode="External"/><Relationship Id="rId58" Type="http://schemas.openxmlformats.org/officeDocument/2006/relationships/header" Target="header3.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mailto:moanae@hrc.co.nz" TargetMode="External"/><Relationship Id="rId14" Type="http://schemas.openxmlformats.org/officeDocument/2006/relationships/hyperlink" Target="http://www.neon.org.nz" TargetMode="External"/><Relationship Id="rId22" Type="http://schemas.openxmlformats.org/officeDocument/2006/relationships/diagramLayout" Target="diagrams/layout1.xml"/><Relationship Id="rId27" Type="http://schemas.openxmlformats.org/officeDocument/2006/relationships/hyperlink" Target="http://www.neon.org.nz/trackingequalityatwork" TargetMode="External"/><Relationship Id="rId30" Type="http://schemas.openxmlformats.org/officeDocument/2006/relationships/hyperlink" Target="http://www.ccsdisabilityaction.org.nz/" TargetMode="External"/><Relationship Id="rId35" Type="http://schemas.openxmlformats.org/officeDocument/2006/relationships/hyperlink" Target="http://www.eeotrust.org.nz/toolkits/disability.cfm" TargetMode="External"/><Relationship Id="rId43" Type="http://schemas.openxmlformats.org/officeDocument/2006/relationships/hyperlink" Target="http://www.hrc.co.nz/disabled-people/" TargetMode="External"/><Relationship Id="rId48" Type="http://schemas.openxmlformats.org/officeDocument/2006/relationships/hyperlink" Target="http://www.nzdsn.org.nz/Blogs/147/60/disabled-people-in-employment-paper-presents-the-way-forward/" TargetMode="External"/><Relationship Id="rId56" Type="http://schemas.openxmlformats.org/officeDocument/2006/relationships/header" Target="header1.xml"/><Relationship Id="rId64" Type="http://schemas.openxmlformats.org/officeDocument/2006/relationships/customXml" Target="../customXml/item3.xml"/><Relationship Id="rId8" Type="http://schemas.openxmlformats.org/officeDocument/2006/relationships/endnotes" Target="endnotes.xml"/><Relationship Id="rId51" Type="http://schemas.openxmlformats.org/officeDocument/2006/relationships/hyperlink" Target="http://www.edn.org.nz/"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emilias@hrc.co.nz" TargetMode="External"/><Relationship Id="rId25" Type="http://schemas.microsoft.com/office/2007/relationships/diagramDrawing" Target="diagrams/drawing1.xml"/><Relationship Id="rId33" Type="http://schemas.openxmlformats.org/officeDocument/2006/relationships/hyperlink" Target="http://www.nzdsn.org.nz/Blogs/147/60/disabled-people-in-employment-paper-presents-the-way-forward/" TargetMode="External"/><Relationship Id="rId38" Type="http://schemas.openxmlformats.org/officeDocument/2006/relationships/hyperlink" Target="http://www.odi.govt.nz/about-us/index.html" TargetMode="External"/><Relationship Id="rId46" Type="http://schemas.openxmlformats.org/officeDocument/2006/relationships/hyperlink" Target="http://www.deaf.co.nz/" TargetMode="External"/><Relationship Id="rId59" Type="http://schemas.openxmlformats.org/officeDocument/2006/relationships/image" Target="media/image4.jpeg"/><Relationship Id="rId20" Type="http://schemas.openxmlformats.org/officeDocument/2006/relationships/image" Target="media/image3.jpeg"/><Relationship Id="rId41" Type="http://schemas.openxmlformats.org/officeDocument/2006/relationships/hyperlink" Target="http://www.neon.org.nz" TargetMode="External"/><Relationship Id="rId54" Type="http://schemas.openxmlformats.org/officeDocument/2006/relationships/hyperlink" Target="http://www.peoplefirst.org.nz/Resources/tabid/81/Default.asp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neon.org.nz/trackingequalityatwork/" TargetMode="External"/><Relationship Id="rId23" Type="http://schemas.openxmlformats.org/officeDocument/2006/relationships/diagramQuickStyle" Target="diagrams/quickStyle1.xml"/><Relationship Id="rId28" Type="http://schemas.openxmlformats.org/officeDocument/2006/relationships/hyperlink" Target="http://www.hrc.co.nz/disabled-people/" TargetMode="External"/><Relationship Id="rId36" Type="http://schemas.openxmlformats.org/officeDocument/2006/relationships/hyperlink" Target="http://www.edn.org.nz/" TargetMode="External"/><Relationship Id="rId49" Type="http://schemas.openxmlformats.org/officeDocument/2006/relationships/hyperlink" Target="http://www.dpa.org.nz/" TargetMode="External"/><Relationship Id="rId57" Type="http://schemas.openxmlformats.org/officeDocument/2006/relationships/header" Target="header2.xml"/><Relationship Id="rId10" Type="http://schemas.openxmlformats.org/officeDocument/2006/relationships/image" Target="cid:582853A3-81DB-4F2B-AEA3-356062689CF0" TargetMode="External"/><Relationship Id="rId31" Type="http://schemas.openxmlformats.org/officeDocument/2006/relationships/hyperlink" Target="http://www.deaf.co.nz/" TargetMode="External"/><Relationship Id="rId44" Type="http://schemas.openxmlformats.org/officeDocument/2006/relationships/hyperlink" Target="http://www.hrc.co.nz/hrc_new/hrc/cms/files/documents/15-Dec-2010_12-41-59_Chapter_17pp258-279.pdf" TargetMode="External"/><Relationship Id="rId52" Type="http://schemas.openxmlformats.org/officeDocument/2006/relationships/hyperlink" Target="http://www.msd.govt.nz/what-we-can-do/disability-services/mainstream/" TargetMode="External"/><Relationship Id="rId60" Type="http://schemas.openxmlformats.org/officeDocument/2006/relationships/image" Target="cid:4E102F70-8444-41FA-A7F5-628B9FEA11F5" TargetMode="External"/><Relationship Id="rId65"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hyperlink" Target="mailto:sueo@hrc.co.nz" TargetMode="External"/><Relationship Id="rId39" Type="http://schemas.openxmlformats.org/officeDocument/2006/relationships/hyperlink" Target="http://www.peoplefirst.org.nz/Resources/tabid/81/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oh.govt.nz/moh.nsf/0be8e7db8a296549cc25706c0082ec0d/4b07b735bdad91f4cc2571e800720015?OpenDocument" TargetMode="External"/><Relationship Id="rId2" Type="http://schemas.openxmlformats.org/officeDocument/2006/relationships/hyperlink" Target="http://edn.org.nz/" TargetMode="External"/><Relationship Id="rId1" Type="http://schemas.openxmlformats.org/officeDocument/2006/relationships/hyperlink" Target="http://www.ssc.govt.nz/upload/downloadable_files/Enabling-Ability.pdf" TargetMode="External"/><Relationship Id="rId4" Type="http://schemas.openxmlformats.org/officeDocument/2006/relationships/hyperlink" Target="http://dol.govt.nz/er/solvingproblems/keyprinciples/goodfaith.as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F272CF-9320-4F81-9524-5B618E24B99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NZ"/>
        </a:p>
      </dgm:t>
    </dgm:pt>
    <dgm:pt modelId="{89ACAF8F-365A-4E85-8AE2-88E5E528D662}">
      <dgm:prSet phldrT="[Text]"/>
      <dgm:spPr/>
      <dgm:t>
        <a:bodyPr/>
        <a:lstStyle/>
        <a:p>
          <a:r>
            <a:rPr lang="en-NZ"/>
            <a:t>Working age population 3,457,600* </a:t>
          </a:r>
        </a:p>
        <a:p>
          <a:r>
            <a:rPr lang="en-NZ"/>
            <a:t>15 years and over</a:t>
          </a:r>
        </a:p>
      </dgm:t>
    </dgm:pt>
    <dgm:pt modelId="{C5E33A67-1599-436F-9305-0E1F942F9EF5}" type="parTrans" cxnId="{08745F19-D898-414C-8C35-DD671F49BB94}">
      <dgm:prSet/>
      <dgm:spPr/>
      <dgm:t>
        <a:bodyPr/>
        <a:lstStyle/>
        <a:p>
          <a:endParaRPr lang="en-NZ"/>
        </a:p>
      </dgm:t>
    </dgm:pt>
    <dgm:pt modelId="{AB1C07C3-F5EA-4C7E-91A9-8CAD62EF68F5}" type="sibTrans" cxnId="{08745F19-D898-414C-8C35-DD671F49BB94}">
      <dgm:prSet/>
      <dgm:spPr/>
      <dgm:t>
        <a:bodyPr/>
        <a:lstStyle/>
        <a:p>
          <a:endParaRPr lang="en-NZ"/>
        </a:p>
      </dgm:t>
    </dgm:pt>
    <dgm:pt modelId="{B044BA07-A385-4BED-820F-FC4DF5E0BF56}">
      <dgm:prSet phldrT="[Text]"/>
      <dgm:spPr/>
      <dgm:t>
        <a:bodyPr/>
        <a:lstStyle/>
        <a:p>
          <a:r>
            <a:rPr lang="en-NZ"/>
            <a:t>Labour force</a:t>
          </a:r>
        </a:p>
        <a:p>
          <a:r>
            <a:rPr lang="en-NZ"/>
            <a:t>2,369,000</a:t>
          </a:r>
        </a:p>
        <a:p>
          <a:r>
            <a:rPr lang="en-NZ"/>
            <a:t>68.7%</a:t>
          </a:r>
        </a:p>
      </dgm:t>
    </dgm:pt>
    <dgm:pt modelId="{CC780FB3-51FC-4370-B520-D47C84578133}" type="parTrans" cxnId="{61408829-149F-466D-BBCB-2B5F7CA0E8AE}">
      <dgm:prSet/>
      <dgm:spPr/>
      <dgm:t>
        <a:bodyPr/>
        <a:lstStyle/>
        <a:p>
          <a:endParaRPr lang="en-NZ"/>
        </a:p>
      </dgm:t>
    </dgm:pt>
    <dgm:pt modelId="{57FC8830-17D6-4BBB-ACB7-9E823875830E}" type="sibTrans" cxnId="{61408829-149F-466D-BBCB-2B5F7CA0E8AE}">
      <dgm:prSet/>
      <dgm:spPr/>
      <dgm:t>
        <a:bodyPr/>
        <a:lstStyle/>
        <a:p>
          <a:endParaRPr lang="en-NZ"/>
        </a:p>
      </dgm:t>
    </dgm:pt>
    <dgm:pt modelId="{E5681BA6-6463-4DC8-B1D6-501F858D289C}">
      <dgm:prSet phldrT="[Text]"/>
      <dgm:spPr/>
      <dgm:t>
        <a:bodyPr/>
        <a:lstStyle/>
        <a:p>
          <a:r>
            <a:rPr lang="en-NZ"/>
            <a:t>Employed</a:t>
          </a:r>
        </a:p>
        <a:p>
          <a:r>
            <a:rPr lang="en-NZ"/>
            <a:t>2,214,000</a:t>
          </a:r>
        </a:p>
        <a:p>
          <a:r>
            <a:rPr lang="en-NZ"/>
            <a:t>93.5%</a:t>
          </a:r>
        </a:p>
      </dgm:t>
    </dgm:pt>
    <dgm:pt modelId="{77936E3C-CA53-4E5E-BC72-3C56E468D755}" type="parTrans" cxnId="{95AF788F-8D88-4A2B-9D86-C38E89FD46A4}">
      <dgm:prSet/>
      <dgm:spPr/>
      <dgm:t>
        <a:bodyPr/>
        <a:lstStyle/>
        <a:p>
          <a:endParaRPr lang="en-NZ"/>
        </a:p>
      </dgm:t>
    </dgm:pt>
    <dgm:pt modelId="{133087D0-A65E-4B7A-8FD1-B1688331DA49}" type="sibTrans" cxnId="{95AF788F-8D88-4A2B-9D86-C38E89FD46A4}">
      <dgm:prSet/>
      <dgm:spPr/>
      <dgm:t>
        <a:bodyPr/>
        <a:lstStyle/>
        <a:p>
          <a:endParaRPr lang="en-NZ"/>
        </a:p>
      </dgm:t>
    </dgm:pt>
    <dgm:pt modelId="{AFF18947-2C5B-470B-9C05-78E4BB5E1304}">
      <dgm:prSet phldrT="[Text]"/>
      <dgm:spPr/>
      <dgm:t>
        <a:bodyPr/>
        <a:lstStyle/>
        <a:p>
          <a:r>
            <a:rPr lang="en-NZ"/>
            <a:t>Unemployed</a:t>
          </a:r>
        </a:p>
        <a:p>
          <a:r>
            <a:rPr lang="en-NZ"/>
            <a:t>155,000</a:t>
          </a:r>
        </a:p>
        <a:p>
          <a:r>
            <a:rPr lang="en-NZ"/>
            <a:t>6.6%</a:t>
          </a:r>
        </a:p>
      </dgm:t>
    </dgm:pt>
    <dgm:pt modelId="{89DF629A-57C6-4C51-9F6A-E5FFE302C8FF}" type="parTrans" cxnId="{97B41C2D-5D84-481E-8568-E707B00693FC}">
      <dgm:prSet/>
      <dgm:spPr/>
      <dgm:t>
        <a:bodyPr/>
        <a:lstStyle/>
        <a:p>
          <a:endParaRPr lang="en-NZ"/>
        </a:p>
      </dgm:t>
    </dgm:pt>
    <dgm:pt modelId="{8A14543E-3C76-4BF2-A5D5-0086D2E61480}" type="sibTrans" cxnId="{97B41C2D-5D84-481E-8568-E707B00693FC}">
      <dgm:prSet/>
      <dgm:spPr/>
      <dgm:t>
        <a:bodyPr/>
        <a:lstStyle/>
        <a:p>
          <a:endParaRPr lang="en-NZ"/>
        </a:p>
      </dgm:t>
    </dgm:pt>
    <dgm:pt modelId="{F1F0F355-BA4D-4C92-895C-51B94B408437}">
      <dgm:prSet phldrT="[Text]"/>
      <dgm:spPr/>
      <dgm:t>
        <a:bodyPr/>
        <a:lstStyle/>
        <a:p>
          <a:r>
            <a:rPr lang="en-NZ"/>
            <a:t>Not in the labour force</a:t>
          </a:r>
        </a:p>
        <a:p>
          <a:r>
            <a:rPr lang="en-NZ"/>
            <a:t>1,081,000</a:t>
          </a:r>
        </a:p>
        <a:p>
          <a:r>
            <a:rPr lang="en-NZ"/>
            <a:t>31.3%</a:t>
          </a:r>
        </a:p>
      </dgm:t>
    </dgm:pt>
    <dgm:pt modelId="{BDA52518-0890-4DE4-B2AF-7A1902CD9A4A}" type="parTrans" cxnId="{EBE22922-C686-489B-A504-D4E93BF9864F}">
      <dgm:prSet/>
      <dgm:spPr/>
      <dgm:t>
        <a:bodyPr/>
        <a:lstStyle/>
        <a:p>
          <a:endParaRPr lang="en-NZ"/>
        </a:p>
      </dgm:t>
    </dgm:pt>
    <dgm:pt modelId="{1C27C697-953D-4CC3-9BD2-92E636778C35}" type="sibTrans" cxnId="{EBE22922-C686-489B-A504-D4E93BF9864F}">
      <dgm:prSet/>
      <dgm:spPr/>
      <dgm:t>
        <a:bodyPr/>
        <a:lstStyle/>
        <a:p>
          <a:endParaRPr lang="en-NZ"/>
        </a:p>
      </dgm:t>
    </dgm:pt>
    <dgm:pt modelId="{AF0204BF-EC52-4554-BF3E-19B891759722}">
      <dgm:prSet/>
      <dgm:spPr/>
      <dgm:t>
        <a:bodyPr/>
        <a:lstStyle/>
        <a:p>
          <a:r>
            <a:rPr lang="en-NZ"/>
            <a:t>Full-time</a:t>
          </a:r>
        </a:p>
        <a:p>
          <a:r>
            <a:rPr lang="en-NZ"/>
            <a:t>1,707,000</a:t>
          </a:r>
        </a:p>
        <a:p>
          <a:r>
            <a:rPr lang="en-NZ"/>
            <a:t>77.2%</a:t>
          </a:r>
        </a:p>
      </dgm:t>
    </dgm:pt>
    <dgm:pt modelId="{720DFEA0-8D33-4208-8F0F-5468C8807A11}" type="parTrans" cxnId="{FD5ED015-DD6F-4CDB-850C-C1FD5C293CB9}">
      <dgm:prSet/>
      <dgm:spPr/>
      <dgm:t>
        <a:bodyPr/>
        <a:lstStyle/>
        <a:p>
          <a:endParaRPr lang="en-NZ"/>
        </a:p>
      </dgm:t>
    </dgm:pt>
    <dgm:pt modelId="{06C9E12F-1DB6-4D9A-B524-FA95CD9FD34D}" type="sibTrans" cxnId="{FD5ED015-DD6F-4CDB-850C-C1FD5C293CB9}">
      <dgm:prSet/>
      <dgm:spPr/>
      <dgm:t>
        <a:bodyPr/>
        <a:lstStyle/>
        <a:p>
          <a:endParaRPr lang="en-NZ"/>
        </a:p>
      </dgm:t>
    </dgm:pt>
    <dgm:pt modelId="{A48C3574-09C5-4146-8533-980AA7C53A36}">
      <dgm:prSet/>
      <dgm:spPr/>
      <dgm:t>
        <a:bodyPr/>
        <a:lstStyle/>
        <a:p>
          <a:r>
            <a:rPr lang="en-NZ"/>
            <a:t>Part-time</a:t>
          </a:r>
        </a:p>
        <a:p>
          <a:r>
            <a:rPr lang="en-NZ"/>
            <a:t>505,000</a:t>
          </a:r>
        </a:p>
        <a:p>
          <a:r>
            <a:rPr lang="en-NZ"/>
            <a:t>22.8%</a:t>
          </a:r>
        </a:p>
      </dgm:t>
    </dgm:pt>
    <dgm:pt modelId="{9359658C-BFFE-430D-8C1B-EC418F5BC6C3}" type="parTrans" cxnId="{97704D5D-F397-4AFD-A4C8-31BBA9E77DC8}">
      <dgm:prSet/>
      <dgm:spPr/>
      <dgm:t>
        <a:bodyPr/>
        <a:lstStyle/>
        <a:p>
          <a:endParaRPr lang="en-NZ"/>
        </a:p>
      </dgm:t>
    </dgm:pt>
    <dgm:pt modelId="{B76AEC29-9730-41EC-8910-13E2E9A2CD38}" type="sibTrans" cxnId="{97704D5D-F397-4AFD-A4C8-31BBA9E77DC8}">
      <dgm:prSet/>
      <dgm:spPr/>
      <dgm:t>
        <a:bodyPr/>
        <a:lstStyle/>
        <a:p>
          <a:endParaRPr lang="en-NZ"/>
        </a:p>
      </dgm:t>
    </dgm:pt>
    <dgm:pt modelId="{55D2D48F-5742-4CAB-875A-7B1A754DFC64}" type="pres">
      <dgm:prSet presAssocID="{34F272CF-9320-4F81-9524-5B618E24B99B}" presName="hierChild1" presStyleCnt="0">
        <dgm:presLayoutVars>
          <dgm:chPref val="1"/>
          <dgm:dir/>
          <dgm:animOne val="branch"/>
          <dgm:animLvl val="lvl"/>
          <dgm:resizeHandles/>
        </dgm:presLayoutVars>
      </dgm:prSet>
      <dgm:spPr/>
      <dgm:t>
        <a:bodyPr/>
        <a:lstStyle/>
        <a:p>
          <a:endParaRPr lang="en-NZ"/>
        </a:p>
      </dgm:t>
    </dgm:pt>
    <dgm:pt modelId="{0AAF4152-6F37-4491-94E3-488E7D7D9C0B}" type="pres">
      <dgm:prSet presAssocID="{89ACAF8F-365A-4E85-8AE2-88E5E528D662}" presName="hierRoot1" presStyleCnt="0"/>
      <dgm:spPr/>
    </dgm:pt>
    <dgm:pt modelId="{9C5292F9-8A29-48C0-8913-04A9EE0D6D50}" type="pres">
      <dgm:prSet presAssocID="{89ACAF8F-365A-4E85-8AE2-88E5E528D662}" presName="composite" presStyleCnt="0"/>
      <dgm:spPr/>
    </dgm:pt>
    <dgm:pt modelId="{8062C0B2-CE42-4FD4-82DF-C4ED939848E2}" type="pres">
      <dgm:prSet presAssocID="{89ACAF8F-365A-4E85-8AE2-88E5E528D662}" presName="background" presStyleLbl="node0" presStyleIdx="0" presStyleCnt="1"/>
      <dgm:spPr/>
    </dgm:pt>
    <dgm:pt modelId="{79765AC4-AD39-451A-A9DE-81888EEC2F5C}" type="pres">
      <dgm:prSet presAssocID="{89ACAF8F-365A-4E85-8AE2-88E5E528D662}" presName="text" presStyleLbl="fgAcc0" presStyleIdx="0" presStyleCnt="1">
        <dgm:presLayoutVars>
          <dgm:chPref val="3"/>
        </dgm:presLayoutVars>
      </dgm:prSet>
      <dgm:spPr/>
      <dgm:t>
        <a:bodyPr/>
        <a:lstStyle/>
        <a:p>
          <a:endParaRPr lang="en-NZ"/>
        </a:p>
      </dgm:t>
    </dgm:pt>
    <dgm:pt modelId="{3BB081C5-C12D-4C3F-8325-C6478DE844FA}" type="pres">
      <dgm:prSet presAssocID="{89ACAF8F-365A-4E85-8AE2-88E5E528D662}" presName="hierChild2" presStyleCnt="0"/>
      <dgm:spPr/>
    </dgm:pt>
    <dgm:pt modelId="{A3E04A09-4917-44EB-B83C-09A436281391}" type="pres">
      <dgm:prSet presAssocID="{CC780FB3-51FC-4370-B520-D47C84578133}" presName="Name10" presStyleLbl="parChTrans1D2" presStyleIdx="0" presStyleCnt="2"/>
      <dgm:spPr/>
      <dgm:t>
        <a:bodyPr/>
        <a:lstStyle/>
        <a:p>
          <a:endParaRPr lang="en-NZ"/>
        </a:p>
      </dgm:t>
    </dgm:pt>
    <dgm:pt modelId="{A9456D78-5E9D-4404-9C02-9A46F059BBE0}" type="pres">
      <dgm:prSet presAssocID="{B044BA07-A385-4BED-820F-FC4DF5E0BF56}" presName="hierRoot2" presStyleCnt="0"/>
      <dgm:spPr/>
    </dgm:pt>
    <dgm:pt modelId="{5C3D51D8-E6C5-42BC-9F98-50ED837D9928}" type="pres">
      <dgm:prSet presAssocID="{B044BA07-A385-4BED-820F-FC4DF5E0BF56}" presName="composite2" presStyleCnt="0"/>
      <dgm:spPr/>
    </dgm:pt>
    <dgm:pt modelId="{A63794EE-28E1-4C1A-A871-B9D89E4C1A8E}" type="pres">
      <dgm:prSet presAssocID="{B044BA07-A385-4BED-820F-FC4DF5E0BF56}" presName="background2" presStyleLbl="node2" presStyleIdx="0" presStyleCnt="2"/>
      <dgm:spPr/>
    </dgm:pt>
    <dgm:pt modelId="{938E1C2A-BE8C-4EBC-B727-D815DB3CA410}" type="pres">
      <dgm:prSet presAssocID="{B044BA07-A385-4BED-820F-FC4DF5E0BF56}" presName="text2" presStyleLbl="fgAcc2" presStyleIdx="0" presStyleCnt="2">
        <dgm:presLayoutVars>
          <dgm:chPref val="3"/>
        </dgm:presLayoutVars>
      </dgm:prSet>
      <dgm:spPr/>
      <dgm:t>
        <a:bodyPr/>
        <a:lstStyle/>
        <a:p>
          <a:endParaRPr lang="en-NZ"/>
        </a:p>
      </dgm:t>
    </dgm:pt>
    <dgm:pt modelId="{C5CA40ED-3B0E-4C8E-9C20-8E1276133188}" type="pres">
      <dgm:prSet presAssocID="{B044BA07-A385-4BED-820F-FC4DF5E0BF56}" presName="hierChild3" presStyleCnt="0"/>
      <dgm:spPr/>
    </dgm:pt>
    <dgm:pt modelId="{D0D6D336-685C-4830-A121-7D9E5C697D30}" type="pres">
      <dgm:prSet presAssocID="{77936E3C-CA53-4E5E-BC72-3C56E468D755}" presName="Name17" presStyleLbl="parChTrans1D3" presStyleIdx="0" presStyleCnt="2"/>
      <dgm:spPr/>
      <dgm:t>
        <a:bodyPr/>
        <a:lstStyle/>
        <a:p>
          <a:endParaRPr lang="en-NZ"/>
        </a:p>
      </dgm:t>
    </dgm:pt>
    <dgm:pt modelId="{7F90F61E-C026-4F4F-BA08-A7F194A3F08F}" type="pres">
      <dgm:prSet presAssocID="{E5681BA6-6463-4DC8-B1D6-501F858D289C}" presName="hierRoot3" presStyleCnt="0"/>
      <dgm:spPr/>
    </dgm:pt>
    <dgm:pt modelId="{BC2229C7-8904-448A-8536-21AEE9AD764C}" type="pres">
      <dgm:prSet presAssocID="{E5681BA6-6463-4DC8-B1D6-501F858D289C}" presName="composite3" presStyleCnt="0"/>
      <dgm:spPr/>
    </dgm:pt>
    <dgm:pt modelId="{E9CFD844-E414-41BC-BF4E-09529A9FD7BC}" type="pres">
      <dgm:prSet presAssocID="{E5681BA6-6463-4DC8-B1D6-501F858D289C}" presName="background3" presStyleLbl="node3" presStyleIdx="0" presStyleCnt="2"/>
      <dgm:spPr/>
    </dgm:pt>
    <dgm:pt modelId="{63C2C476-57E1-4C86-BD0B-F12A0E072AB2}" type="pres">
      <dgm:prSet presAssocID="{E5681BA6-6463-4DC8-B1D6-501F858D289C}" presName="text3" presStyleLbl="fgAcc3" presStyleIdx="0" presStyleCnt="2" custLinFactNeighborY="29">
        <dgm:presLayoutVars>
          <dgm:chPref val="3"/>
        </dgm:presLayoutVars>
      </dgm:prSet>
      <dgm:spPr/>
      <dgm:t>
        <a:bodyPr/>
        <a:lstStyle/>
        <a:p>
          <a:endParaRPr lang="en-NZ"/>
        </a:p>
      </dgm:t>
    </dgm:pt>
    <dgm:pt modelId="{F76F3E19-E8BE-4B30-94D4-DF3F7440CFE9}" type="pres">
      <dgm:prSet presAssocID="{E5681BA6-6463-4DC8-B1D6-501F858D289C}" presName="hierChild4" presStyleCnt="0"/>
      <dgm:spPr/>
    </dgm:pt>
    <dgm:pt modelId="{6F9459BE-859F-43B0-85E7-8624D62F83FF}" type="pres">
      <dgm:prSet presAssocID="{720DFEA0-8D33-4208-8F0F-5468C8807A11}" presName="Name23" presStyleLbl="parChTrans1D4" presStyleIdx="0" presStyleCnt="2"/>
      <dgm:spPr/>
      <dgm:t>
        <a:bodyPr/>
        <a:lstStyle/>
        <a:p>
          <a:endParaRPr lang="en-NZ"/>
        </a:p>
      </dgm:t>
    </dgm:pt>
    <dgm:pt modelId="{8A9C0103-59A4-455A-9003-2D4E724B82CF}" type="pres">
      <dgm:prSet presAssocID="{AF0204BF-EC52-4554-BF3E-19B891759722}" presName="hierRoot4" presStyleCnt="0"/>
      <dgm:spPr/>
    </dgm:pt>
    <dgm:pt modelId="{DCFA1DB3-97D8-453A-8C51-4F25CD5B3BD6}" type="pres">
      <dgm:prSet presAssocID="{AF0204BF-EC52-4554-BF3E-19B891759722}" presName="composite4" presStyleCnt="0"/>
      <dgm:spPr/>
    </dgm:pt>
    <dgm:pt modelId="{AC6D87F6-208F-44F7-BABD-DB2D6F2C1606}" type="pres">
      <dgm:prSet presAssocID="{AF0204BF-EC52-4554-BF3E-19B891759722}" presName="background4" presStyleLbl="node4" presStyleIdx="0" presStyleCnt="2"/>
      <dgm:spPr/>
    </dgm:pt>
    <dgm:pt modelId="{0631D942-1C1A-406D-AE7E-F67979E3B66F}" type="pres">
      <dgm:prSet presAssocID="{AF0204BF-EC52-4554-BF3E-19B891759722}" presName="text4" presStyleLbl="fgAcc4" presStyleIdx="0" presStyleCnt="2" custLinFactNeighborY="99">
        <dgm:presLayoutVars>
          <dgm:chPref val="3"/>
        </dgm:presLayoutVars>
      </dgm:prSet>
      <dgm:spPr/>
      <dgm:t>
        <a:bodyPr/>
        <a:lstStyle/>
        <a:p>
          <a:endParaRPr lang="en-NZ"/>
        </a:p>
      </dgm:t>
    </dgm:pt>
    <dgm:pt modelId="{E2D3D4E7-B3D6-4BB8-BDD1-90AC53FC399B}" type="pres">
      <dgm:prSet presAssocID="{AF0204BF-EC52-4554-BF3E-19B891759722}" presName="hierChild5" presStyleCnt="0"/>
      <dgm:spPr/>
    </dgm:pt>
    <dgm:pt modelId="{37EC6DD3-8976-44B2-98C8-F16C9DB3C974}" type="pres">
      <dgm:prSet presAssocID="{9359658C-BFFE-430D-8C1B-EC418F5BC6C3}" presName="Name23" presStyleLbl="parChTrans1D4" presStyleIdx="1" presStyleCnt="2"/>
      <dgm:spPr/>
      <dgm:t>
        <a:bodyPr/>
        <a:lstStyle/>
        <a:p>
          <a:endParaRPr lang="en-NZ"/>
        </a:p>
      </dgm:t>
    </dgm:pt>
    <dgm:pt modelId="{CADC005F-A694-491C-A0DE-491A248B5174}" type="pres">
      <dgm:prSet presAssocID="{A48C3574-09C5-4146-8533-980AA7C53A36}" presName="hierRoot4" presStyleCnt="0"/>
      <dgm:spPr/>
    </dgm:pt>
    <dgm:pt modelId="{12102131-9460-4DBC-AAE6-A6ED53287A90}" type="pres">
      <dgm:prSet presAssocID="{A48C3574-09C5-4146-8533-980AA7C53A36}" presName="composite4" presStyleCnt="0"/>
      <dgm:spPr/>
    </dgm:pt>
    <dgm:pt modelId="{D617858E-B49C-448F-8BA3-21D4BC5F4A5E}" type="pres">
      <dgm:prSet presAssocID="{A48C3574-09C5-4146-8533-980AA7C53A36}" presName="background4" presStyleLbl="node4" presStyleIdx="1" presStyleCnt="2"/>
      <dgm:spPr/>
      <dgm:t>
        <a:bodyPr/>
        <a:lstStyle/>
        <a:p>
          <a:endParaRPr lang="en-NZ"/>
        </a:p>
      </dgm:t>
    </dgm:pt>
    <dgm:pt modelId="{29B1894D-267C-4AC3-A29B-9F061F00A64F}" type="pres">
      <dgm:prSet presAssocID="{A48C3574-09C5-4146-8533-980AA7C53A36}" presName="text4" presStyleLbl="fgAcc4" presStyleIdx="1" presStyleCnt="2">
        <dgm:presLayoutVars>
          <dgm:chPref val="3"/>
        </dgm:presLayoutVars>
      </dgm:prSet>
      <dgm:spPr/>
      <dgm:t>
        <a:bodyPr/>
        <a:lstStyle/>
        <a:p>
          <a:endParaRPr lang="en-NZ"/>
        </a:p>
      </dgm:t>
    </dgm:pt>
    <dgm:pt modelId="{BEB94559-84AE-4970-A8EB-B592AB3A71B3}" type="pres">
      <dgm:prSet presAssocID="{A48C3574-09C5-4146-8533-980AA7C53A36}" presName="hierChild5" presStyleCnt="0"/>
      <dgm:spPr/>
    </dgm:pt>
    <dgm:pt modelId="{D160B837-CE4C-4F69-AEDC-EB1C4997EEC1}" type="pres">
      <dgm:prSet presAssocID="{89DF629A-57C6-4C51-9F6A-E5FFE302C8FF}" presName="Name17" presStyleLbl="parChTrans1D3" presStyleIdx="1" presStyleCnt="2"/>
      <dgm:spPr/>
      <dgm:t>
        <a:bodyPr/>
        <a:lstStyle/>
        <a:p>
          <a:endParaRPr lang="en-NZ"/>
        </a:p>
      </dgm:t>
    </dgm:pt>
    <dgm:pt modelId="{44F09470-ECC6-4C41-9C63-03678B5D7502}" type="pres">
      <dgm:prSet presAssocID="{AFF18947-2C5B-470B-9C05-78E4BB5E1304}" presName="hierRoot3" presStyleCnt="0"/>
      <dgm:spPr/>
    </dgm:pt>
    <dgm:pt modelId="{A6F76675-6B3C-4B03-A33A-7847E3FE810A}" type="pres">
      <dgm:prSet presAssocID="{AFF18947-2C5B-470B-9C05-78E4BB5E1304}" presName="composite3" presStyleCnt="0"/>
      <dgm:spPr/>
    </dgm:pt>
    <dgm:pt modelId="{9F30B526-1087-4E81-AA87-2968201A967D}" type="pres">
      <dgm:prSet presAssocID="{AFF18947-2C5B-470B-9C05-78E4BB5E1304}" presName="background3" presStyleLbl="node3" presStyleIdx="1" presStyleCnt="2"/>
      <dgm:spPr/>
    </dgm:pt>
    <dgm:pt modelId="{DA91F7E1-10CC-4DAC-A0B8-E2A277E1C5E6}" type="pres">
      <dgm:prSet presAssocID="{AFF18947-2C5B-470B-9C05-78E4BB5E1304}" presName="text3" presStyleLbl="fgAcc3" presStyleIdx="1" presStyleCnt="2">
        <dgm:presLayoutVars>
          <dgm:chPref val="3"/>
        </dgm:presLayoutVars>
      </dgm:prSet>
      <dgm:spPr/>
      <dgm:t>
        <a:bodyPr/>
        <a:lstStyle/>
        <a:p>
          <a:endParaRPr lang="en-NZ"/>
        </a:p>
      </dgm:t>
    </dgm:pt>
    <dgm:pt modelId="{6AD66CFB-4C02-4288-990D-27111A8DCF6A}" type="pres">
      <dgm:prSet presAssocID="{AFF18947-2C5B-470B-9C05-78E4BB5E1304}" presName="hierChild4" presStyleCnt="0"/>
      <dgm:spPr/>
    </dgm:pt>
    <dgm:pt modelId="{3C1FB154-5385-4FBB-BB2E-259E4A7D52B8}" type="pres">
      <dgm:prSet presAssocID="{BDA52518-0890-4DE4-B2AF-7A1902CD9A4A}" presName="Name10" presStyleLbl="parChTrans1D2" presStyleIdx="1" presStyleCnt="2"/>
      <dgm:spPr/>
      <dgm:t>
        <a:bodyPr/>
        <a:lstStyle/>
        <a:p>
          <a:endParaRPr lang="en-NZ"/>
        </a:p>
      </dgm:t>
    </dgm:pt>
    <dgm:pt modelId="{B3C5FC24-2CB8-4807-9F0D-4CEB48925491}" type="pres">
      <dgm:prSet presAssocID="{F1F0F355-BA4D-4C92-895C-51B94B408437}" presName="hierRoot2" presStyleCnt="0"/>
      <dgm:spPr/>
    </dgm:pt>
    <dgm:pt modelId="{5A63EE19-21F5-48F4-8D29-C7AC15A22C4E}" type="pres">
      <dgm:prSet presAssocID="{F1F0F355-BA4D-4C92-895C-51B94B408437}" presName="composite2" presStyleCnt="0"/>
      <dgm:spPr/>
    </dgm:pt>
    <dgm:pt modelId="{BF4762E1-7DC9-4896-9420-06DA3B25D6DB}" type="pres">
      <dgm:prSet presAssocID="{F1F0F355-BA4D-4C92-895C-51B94B408437}" presName="background2" presStyleLbl="node2" presStyleIdx="1" presStyleCnt="2"/>
      <dgm:spPr/>
    </dgm:pt>
    <dgm:pt modelId="{BFBDCB10-6290-4FA6-B505-282892AD2299}" type="pres">
      <dgm:prSet presAssocID="{F1F0F355-BA4D-4C92-895C-51B94B408437}" presName="text2" presStyleLbl="fgAcc2" presStyleIdx="1" presStyleCnt="2">
        <dgm:presLayoutVars>
          <dgm:chPref val="3"/>
        </dgm:presLayoutVars>
      </dgm:prSet>
      <dgm:spPr/>
      <dgm:t>
        <a:bodyPr/>
        <a:lstStyle/>
        <a:p>
          <a:endParaRPr lang="en-NZ"/>
        </a:p>
      </dgm:t>
    </dgm:pt>
    <dgm:pt modelId="{B3BBDC7E-4D6B-4AAC-91B6-8EE8E22A7B9C}" type="pres">
      <dgm:prSet presAssocID="{F1F0F355-BA4D-4C92-895C-51B94B408437}" presName="hierChild3" presStyleCnt="0"/>
      <dgm:spPr/>
    </dgm:pt>
  </dgm:ptLst>
  <dgm:cxnLst>
    <dgm:cxn modelId="{97704D5D-F397-4AFD-A4C8-31BBA9E77DC8}" srcId="{E5681BA6-6463-4DC8-B1D6-501F858D289C}" destId="{A48C3574-09C5-4146-8533-980AA7C53A36}" srcOrd="1" destOrd="0" parTransId="{9359658C-BFFE-430D-8C1B-EC418F5BC6C3}" sibTransId="{B76AEC29-9730-41EC-8910-13E2E9A2CD38}"/>
    <dgm:cxn modelId="{B219722D-B6C0-4CFC-850C-12410F92A7A4}" type="presOf" srcId="{AFF18947-2C5B-470B-9C05-78E4BB5E1304}" destId="{DA91F7E1-10CC-4DAC-A0B8-E2A277E1C5E6}" srcOrd="0" destOrd="0" presId="urn:microsoft.com/office/officeart/2005/8/layout/hierarchy1"/>
    <dgm:cxn modelId="{B0B44169-F905-4818-A219-C74B9658C95E}" type="presOf" srcId="{CC780FB3-51FC-4370-B520-D47C84578133}" destId="{A3E04A09-4917-44EB-B83C-09A436281391}" srcOrd="0" destOrd="0" presId="urn:microsoft.com/office/officeart/2005/8/layout/hierarchy1"/>
    <dgm:cxn modelId="{C0421F3C-200E-4AE6-85CC-83B452914C93}" type="presOf" srcId="{89DF629A-57C6-4C51-9F6A-E5FFE302C8FF}" destId="{D160B837-CE4C-4F69-AEDC-EB1C4997EEC1}" srcOrd="0" destOrd="0" presId="urn:microsoft.com/office/officeart/2005/8/layout/hierarchy1"/>
    <dgm:cxn modelId="{132DD468-907A-4019-A718-0C8198081BCC}" type="presOf" srcId="{F1F0F355-BA4D-4C92-895C-51B94B408437}" destId="{BFBDCB10-6290-4FA6-B505-282892AD2299}" srcOrd="0" destOrd="0" presId="urn:microsoft.com/office/officeart/2005/8/layout/hierarchy1"/>
    <dgm:cxn modelId="{08745F19-D898-414C-8C35-DD671F49BB94}" srcId="{34F272CF-9320-4F81-9524-5B618E24B99B}" destId="{89ACAF8F-365A-4E85-8AE2-88E5E528D662}" srcOrd="0" destOrd="0" parTransId="{C5E33A67-1599-436F-9305-0E1F942F9EF5}" sibTransId="{AB1C07C3-F5EA-4C7E-91A9-8CAD62EF68F5}"/>
    <dgm:cxn modelId="{1E302A19-79BE-40E5-B0FB-991468177754}" type="presOf" srcId="{A48C3574-09C5-4146-8533-980AA7C53A36}" destId="{29B1894D-267C-4AC3-A29B-9F061F00A64F}" srcOrd="0" destOrd="0" presId="urn:microsoft.com/office/officeart/2005/8/layout/hierarchy1"/>
    <dgm:cxn modelId="{EEBAC083-C517-4406-A830-B4E975E0372A}" type="presOf" srcId="{720DFEA0-8D33-4208-8F0F-5468C8807A11}" destId="{6F9459BE-859F-43B0-85E7-8624D62F83FF}" srcOrd="0" destOrd="0" presId="urn:microsoft.com/office/officeart/2005/8/layout/hierarchy1"/>
    <dgm:cxn modelId="{0002C9FF-7787-4C98-8161-C52D27C90FD3}" type="presOf" srcId="{34F272CF-9320-4F81-9524-5B618E24B99B}" destId="{55D2D48F-5742-4CAB-875A-7B1A754DFC64}" srcOrd="0" destOrd="0" presId="urn:microsoft.com/office/officeart/2005/8/layout/hierarchy1"/>
    <dgm:cxn modelId="{C619F93E-0B20-4DBF-B262-C646AB95CF6A}" type="presOf" srcId="{AF0204BF-EC52-4554-BF3E-19B891759722}" destId="{0631D942-1C1A-406D-AE7E-F67979E3B66F}" srcOrd="0" destOrd="0" presId="urn:microsoft.com/office/officeart/2005/8/layout/hierarchy1"/>
    <dgm:cxn modelId="{8A238608-6ACE-4A3E-AB6A-00BB946497A7}" type="presOf" srcId="{BDA52518-0890-4DE4-B2AF-7A1902CD9A4A}" destId="{3C1FB154-5385-4FBB-BB2E-259E4A7D52B8}" srcOrd="0" destOrd="0" presId="urn:microsoft.com/office/officeart/2005/8/layout/hierarchy1"/>
    <dgm:cxn modelId="{97B41C2D-5D84-481E-8568-E707B00693FC}" srcId="{B044BA07-A385-4BED-820F-FC4DF5E0BF56}" destId="{AFF18947-2C5B-470B-9C05-78E4BB5E1304}" srcOrd="1" destOrd="0" parTransId="{89DF629A-57C6-4C51-9F6A-E5FFE302C8FF}" sibTransId="{8A14543E-3C76-4BF2-A5D5-0086D2E61480}"/>
    <dgm:cxn modelId="{4B591118-AA6B-4072-9520-2BF24C89A28E}" type="presOf" srcId="{E5681BA6-6463-4DC8-B1D6-501F858D289C}" destId="{63C2C476-57E1-4C86-BD0B-F12A0E072AB2}" srcOrd="0" destOrd="0" presId="urn:microsoft.com/office/officeart/2005/8/layout/hierarchy1"/>
    <dgm:cxn modelId="{B21BBF23-35CE-453F-9DDE-9778FFC7C0E8}" type="presOf" srcId="{77936E3C-CA53-4E5E-BC72-3C56E468D755}" destId="{D0D6D336-685C-4830-A121-7D9E5C697D30}" srcOrd="0" destOrd="0" presId="urn:microsoft.com/office/officeart/2005/8/layout/hierarchy1"/>
    <dgm:cxn modelId="{95AF788F-8D88-4A2B-9D86-C38E89FD46A4}" srcId="{B044BA07-A385-4BED-820F-FC4DF5E0BF56}" destId="{E5681BA6-6463-4DC8-B1D6-501F858D289C}" srcOrd="0" destOrd="0" parTransId="{77936E3C-CA53-4E5E-BC72-3C56E468D755}" sibTransId="{133087D0-A65E-4B7A-8FD1-B1688331DA49}"/>
    <dgm:cxn modelId="{EBE22922-C686-489B-A504-D4E93BF9864F}" srcId="{89ACAF8F-365A-4E85-8AE2-88E5E528D662}" destId="{F1F0F355-BA4D-4C92-895C-51B94B408437}" srcOrd="1" destOrd="0" parTransId="{BDA52518-0890-4DE4-B2AF-7A1902CD9A4A}" sibTransId="{1C27C697-953D-4CC3-9BD2-92E636778C35}"/>
    <dgm:cxn modelId="{58294068-F529-4C9F-BB1E-B1023E6F6AC5}" type="presOf" srcId="{89ACAF8F-365A-4E85-8AE2-88E5E528D662}" destId="{79765AC4-AD39-451A-A9DE-81888EEC2F5C}" srcOrd="0" destOrd="0" presId="urn:microsoft.com/office/officeart/2005/8/layout/hierarchy1"/>
    <dgm:cxn modelId="{C0AD74F6-4617-446F-9E99-5650C56E9E30}" type="presOf" srcId="{9359658C-BFFE-430D-8C1B-EC418F5BC6C3}" destId="{37EC6DD3-8976-44B2-98C8-F16C9DB3C974}" srcOrd="0" destOrd="0" presId="urn:microsoft.com/office/officeart/2005/8/layout/hierarchy1"/>
    <dgm:cxn modelId="{61408829-149F-466D-BBCB-2B5F7CA0E8AE}" srcId="{89ACAF8F-365A-4E85-8AE2-88E5E528D662}" destId="{B044BA07-A385-4BED-820F-FC4DF5E0BF56}" srcOrd="0" destOrd="0" parTransId="{CC780FB3-51FC-4370-B520-D47C84578133}" sibTransId="{57FC8830-17D6-4BBB-ACB7-9E823875830E}"/>
    <dgm:cxn modelId="{FD5ED015-DD6F-4CDB-850C-C1FD5C293CB9}" srcId="{E5681BA6-6463-4DC8-B1D6-501F858D289C}" destId="{AF0204BF-EC52-4554-BF3E-19B891759722}" srcOrd="0" destOrd="0" parTransId="{720DFEA0-8D33-4208-8F0F-5468C8807A11}" sibTransId="{06C9E12F-1DB6-4D9A-B524-FA95CD9FD34D}"/>
    <dgm:cxn modelId="{ABBDDA57-9A5B-4EC0-B215-1A5B0EDCEDBB}" type="presOf" srcId="{B044BA07-A385-4BED-820F-FC4DF5E0BF56}" destId="{938E1C2A-BE8C-4EBC-B727-D815DB3CA410}" srcOrd="0" destOrd="0" presId="urn:microsoft.com/office/officeart/2005/8/layout/hierarchy1"/>
    <dgm:cxn modelId="{12DEB46A-7D03-433C-94A4-5C9A6CDE7654}" type="presParOf" srcId="{55D2D48F-5742-4CAB-875A-7B1A754DFC64}" destId="{0AAF4152-6F37-4491-94E3-488E7D7D9C0B}" srcOrd="0" destOrd="0" presId="urn:microsoft.com/office/officeart/2005/8/layout/hierarchy1"/>
    <dgm:cxn modelId="{B00179C0-B167-4ADC-B551-72BBDD0D3F1F}" type="presParOf" srcId="{0AAF4152-6F37-4491-94E3-488E7D7D9C0B}" destId="{9C5292F9-8A29-48C0-8913-04A9EE0D6D50}" srcOrd="0" destOrd="0" presId="urn:microsoft.com/office/officeart/2005/8/layout/hierarchy1"/>
    <dgm:cxn modelId="{889F55DF-C2D4-48D2-9F08-3B2FAFC8A76B}" type="presParOf" srcId="{9C5292F9-8A29-48C0-8913-04A9EE0D6D50}" destId="{8062C0B2-CE42-4FD4-82DF-C4ED939848E2}" srcOrd="0" destOrd="0" presId="urn:microsoft.com/office/officeart/2005/8/layout/hierarchy1"/>
    <dgm:cxn modelId="{3BD31CD3-0263-4842-AE48-6933E88C359A}" type="presParOf" srcId="{9C5292F9-8A29-48C0-8913-04A9EE0D6D50}" destId="{79765AC4-AD39-451A-A9DE-81888EEC2F5C}" srcOrd="1" destOrd="0" presId="urn:microsoft.com/office/officeart/2005/8/layout/hierarchy1"/>
    <dgm:cxn modelId="{EC0D8FC6-27E3-49E2-B59B-FAB8A3BA7823}" type="presParOf" srcId="{0AAF4152-6F37-4491-94E3-488E7D7D9C0B}" destId="{3BB081C5-C12D-4C3F-8325-C6478DE844FA}" srcOrd="1" destOrd="0" presId="urn:microsoft.com/office/officeart/2005/8/layout/hierarchy1"/>
    <dgm:cxn modelId="{77380590-B3B7-47AC-AF62-9C4041334B1C}" type="presParOf" srcId="{3BB081C5-C12D-4C3F-8325-C6478DE844FA}" destId="{A3E04A09-4917-44EB-B83C-09A436281391}" srcOrd="0" destOrd="0" presId="urn:microsoft.com/office/officeart/2005/8/layout/hierarchy1"/>
    <dgm:cxn modelId="{2AD3DEF7-C8DE-4AC4-8FB3-03551388ACD3}" type="presParOf" srcId="{3BB081C5-C12D-4C3F-8325-C6478DE844FA}" destId="{A9456D78-5E9D-4404-9C02-9A46F059BBE0}" srcOrd="1" destOrd="0" presId="urn:microsoft.com/office/officeart/2005/8/layout/hierarchy1"/>
    <dgm:cxn modelId="{EDAFAE0F-EEE8-424B-9443-624887491BF5}" type="presParOf" srcId="{A9456D78-5E9D-4404-9C02-9A46F059BBE0}" destId="{5C3D51D8-E6C5-42BC-9F98-50ED837D9928}" srcOrd="0" destOrd="0" presId="urn:microsoft.com/office/officeart/2005/8/layout/hierarchy1"/>
    <dgm:cxn modelId="{79C114A9-D159-439E-B1C9-29F8C01EA41C}" type="presParOf" srcId="{5C3D51D8-E6C5-42BC-9F98-50ED837D9928}" destId="{A63794EE-28E1-4C1A-A871-B9D89E4C1A8E}" srcOrd="0" destOrd="0" presId="urn:microsoft.com/office/officeart/2005/8/layout/hierarchy1"/>
    <dgm:cxn modelId="{40A6DF10-100C-4214-9171-ED8352FFFFDD}" type="presParOf" srcId="{5C3D51D8-E6C5-42BC-9F98-50ED837D9928}" destId="{938E1C2A-BE8C-4EBC-B727-D815DB3CA410}" srcOrd="1" destOrd="0" presId="urn:microsoft.com/office/officeart/2005/8/layout/hierarchy1"/>
    <dgm:cxn modelId="{F7F7C2D7-9E26-469A-BCC0-22032910B477}" type="presParOf" srcId="{A9456D78-5E9D-4404-9C02-9A46F059BBE0}" destId="{C5CA40ED-3B0E-4C8E-9C20-8E1276133188}" srcOrd="1" destOrd="0" presId="urn:microsoft.com/office/officeart/2005/8/layout/hierarchy1"/>
    <dgm:cxn modelId="{B7761298-866C-45A0-8D4E-BF7F62E9ABDF}" type="presParOf" srcId="{C5CA40ED-3B0E-4C8E-9C20-8E1276133188}" destId="{D0D6D336-685C-4830-A121-7D9E5C697D30}" srcOrd="0" destOrd="0" presId="urn:microsoft.com/office/officeart/2005/8/layout/hierarchy1"/>
    <dgm:cxn modelId="{DCD5A04A-344C-4412-B896-304C0808C6AC}" type="presParOf" srcId="{C5CA40ED-3B0E-4C8E-9C20-8E1276133188}" destId="{7F90F61E-C026-4F4F-BA08-A7F194A3F08F}" srcOrd="1" destOrd="0" presId="urn:microsoft.com/office/officeart/2005/8/layout/hierarchy1"/>
    <dgm:cxn modelId="{81AC747F-1868-4726-BA5F-D19777558D76}" type="presParOf" srcId="{7F90F61E-C026-4F4F-BA08-A7F194A3F08F}" destId="{BC2229C7-8904-448A-8536-21AEE9AD764C}" srcOrd="0" destOrd="0" presId="urn:microsoft.com/office/officeart/2005/8/layout/hierarchy1"/>
    <dgm:cxn modelId="{098DD696-220A-4626-B11F-343C45993A36}" type="presParOf" srcId="{BC2229C7-8904-448A-8536-21AEE9AD764C}" destId="{E9CFD844-E414-41BC-BF4E-09529A9FD7BC}" srcOrd="0" destOrd="0" presId="urn:microsoft.com/office/officeart/2005/8/layout/hierarchy1"/>
    <dgm:cxn modelId="{41796AD5-B1FC-49B0-815C-C1A861603B11}" type="presParOf" srcId="{BC2229C7-8904-448A-8536-21AEE9AD764C}" destId="{63C2C476-57E1-4C86-BD0B-F12A0E072AB2}" srcOrd="1" destOrd="0" presId="urn:microsoft.com/office/officeart/2005/8/layout/hierarchy1"/>
    <dgm:cxn modelId="{27F8159D-56EF-47D3-8DF0-80912D32A395}" type="presParOf" srcId="{7F90F61E-C026-4F4F-BA08-A7F194A3F08F}" destId="{F76F3E19-E8BE-4B30-94D4-DF3F7440CFE9}" srcOrd="1" destOrd="0" presId="urn:microsoft.com/office/officeart/2005/8/layout/hierarchy1"/>
    <dgm:cxn modelId="{E5A5AE39-A0EA-44F7-AA8A-ED841484D5BA}" type="presParOf" srcId="{F76F3E19-E8BE-4B30-94D4-DF3F7440CFE9}" destId="{6F9459BE-859F-43B0-85E7-8624D62F83FF}" srcOrd="0" destOrd="0" presId="urn:microsoft.com/office/officeart/2005/8/layout/hierarchy1"/>
    <dgm:cxn modelId="{C544B189-487E-4B72-BCD3-08857C9F9AA1}" type="presParOf" srcId="{F76F3E19-E8BE-4B30-94D4-DF3F7440CFE9}" destId="{8A9C0103-59A4-455A-9003-2D4E724B82CF}" srcOrd="1" destOrd="0" presId="urn:microsoft.com/office/officeart/2005/8/layout/hierarchy1"/>
    <dgm:cxn modelId="{C2B5375C-4220-47BB-BBB7-DE4D1DCAB19B}" type="presParOf" srcId="{8A9C0103-59A4-455A-9003-2D4E724B82CF}" destId="{DCFA1DB3-97D8-453A-8C51-4F25CD5B3BD6}" srcOrd="0" destOrd="0" presId="urn:microsoft.com/office/officeart/2005/8/layout/hierarchy1"/>
    <dgm:cxn modelId="{5B954E9F-D450-4110-944E-DC25B2B3E89E}" type="presParOf" srcId="{DCFA1DB3-97D8-453A-8C51-4F25CD5B3BD6}" destId="{AC6D87F6-208F-44F7-BABD-DB2D6F2C1606}" srcOrd="0" destOrd="0" presId="urn:microsoft.com/office/officeart/2005/8/layout/hierarchy1"/>
    <dgm:cxn modelId="{86606AAA-C8A9-4F78-B7E2-BE939C80F5F2}" type="presParOf" srcId="{DCFA1DB3-97D8-453A-8C51-4F25CD5B3BD6}" destId="{0631D942-1C1A-406D-AE7E-F67979E3B66F}" srcOrd="1" destOrd="0" presId="urn:microsoft.com/office/officeart/2005/8/layout/hierarchy1"/>
    <dgm:cxn modelId="{2A1C559D-F85A-4254-ABF2-56BD206D9602}" type="presParOf" srcId="{8A9C0103-59A4-455A-9003-2D4E724B82CF}" destId="{E2D3D4E7-B3D6-4BB8-BDD1-90AC53FC399B}" srcOrd="1" destOrd="0" presId="urn:microsoft.com/office/officeart/2005/8/layout/hierarchy1"/>
    <dgm:cxn modelId="{EE7A9979-8DD8-4022-B173-B0808AB98E7E}" type="presParOf" srcId="{F76F3E19-E8BE-4B30-94D4-DF3F7440CFE9}" destId="{37EC6DD3-8976-44B2-98C8-F16C9DB3C974}" srcOrd="2" destOrd="0" presId="urn:microsoft.com/office/officeart/2005/8/layout/hierarchy1"/>
    <dgm:cxn modelId="{B6014703-A153-4FC5-919B-96E4F3A81CF7}" type="presParOf" srcId="{F76F3E19-E8BE-4B30-94D4-DF3F7440CFE9}" destId="{CADC005F-A694-491C-A0DE-491A248B5174}" srcOrd="3" destOrd="0" presId="urn:microsoft.com/office/officeart/2005/8/layout/hierarchy1"/>
    <dgm:cxn modelId="{C61E24FF-C781-4FD2-B9A9-79769080393A}" type="presParOf" srcId="{CADC005F-A694-491C-A0DE-491A248B5174}" destId="{12102131-9460-4DBC-AAE6-A6ED53287A90}" srcOrd="0" destOrd="0" presId="urn:microsoft.com/office/officeart/2005/8/layout/hierarchy1"/>
    <dgm:cxn modelId="{CB7899F6-EA74-4F00-B4DD-8B8E9FC6190E}" type="presParOf" srcId="{12102131-9460-4DBC-AAE6-A6ED53287A90}" destId="{D617858E-B49C-448F-8BA3-21D4BC5F4A5E}" srcOrd="0" destOrd="0" presId="urn:microsoft.com/office/officeart/2005/8/layout/hierarchy1"/>
    <dgm:cxn modelId="{8322382F-A5B0-442B-B707-22A2C4F7970D}" type="presParOf" srcId="{12102131-9460-4DBC-AAE6-A6ED53287A90}" destId="{29B1894D-267C-4AC3-A29B-9F061F00A64F}" srcOrd="1" destOrd="0" presId="urn:microsoft.com/office/officeart/2005/8/layout/hierarchy1"/>
    <dgm:cxn modelId="{C6F8B75E-6A25-44A7-BA1D-688E4FD7504C}" type="presParOf" srcId="{CADC005F-A694-491C-A0DE-491A248B5174}" destId="{BEB94559-84AE-4970-A8EB-B592AB3A71B3}" srcOrd="1" destOrd="0" presId="urn:microsoft.com/office/officeart/2005/8/layout/hierarchy1"/>
    <dgm:cxn modelId="{571AC8AD-86CA-4D72-9E23-3A6E04E3E30B}" type="presParOf" srcId="{C5CA40ED-3B0E-4C8E-9C20-8E1276133188}" destId="{D160B837-CE4C-4F69-AEDC-EB1C4997EEC1}" srcOrd="2" destOrd="0" presId="urn:microsoft.com/office/officeart/2005/8/layout/hierarchy1"/>
    <dgm:cxn modelId="{4E3B72FB-BA5B-41B9-8491-7E940EDBBACD}" type="presParOf" srcId="{C5CA40ED-3B0E-4C8E-9C20-8E1276133188}" destId="{44F09470-ECC6-4C41-9C63-03678B5D7502}" srcOrd="3" destOrd="0" presId="urn:microsoft.com/office/officeart/2005/8/layout/hierarchy1"/>
    <dgm:cxn modelId="{971F8853-7179-4107-9C28-9433F8B66898}" type="presParOf" srcId="{44F09470-ECC6-4C41-9C63-03678B5D7502}" destId="{A6F76675-6B3C-4B03-A33A-7847E3FE810A}" srcOrd="0" destOrd="0" presId="urn:microsoft.com/office/officeart/2005/8/layout/hierarchy1"/>
    <dgm:cxn modelId="{025496AD-C934-4BCB-9CB9-B14888498055}" type="presParOf" srcId="{A6F76675-6B3C-4B03-A33A-7847E3FE810A}" destId="{9F30B526-1087-4E81-AA87-2968201A967D}" srcOrd="0" destOrd="0" presId="urn:microsoft.com/office/officeart/2005/8/layout/hierarchy1"/>
    <dgm:cxn modelId="{63E074FF-D31F-46BA-BD0B-BD69002D900D}" type="presParOf" srcId="{A6F76675-6B3C-4B03-A33A-7847E3FE810A}" destId="{DA91F7E1-10CC-4DAC-A0B8-E2A277E1C5E6}" srcOrd="1" destOrd="0" presId="urn:microsoft.com/office/officeart/2005/8/layout/hierarchy1"/>
    <dgm:cxn modelId="{6AE3797C-7992-425C-846E-871F492ECD4D}" type="presParOf" srcId="{44F09470-ECC6-4C41-9C63-03678B5D7502}" destId="{6AD66CFB-4C02-4288-990D-27111A8DCF6A}" srcOrd="1" destOrd="0" presId="urn:microsoft.com/office/officeart/2005/8/layout/hierarchy1"/>
    <dgm:cxn modelId="{680EE9EC-A4B3-41DF-8F60-82F396A4110B}" type="presParOf" srcId="{3BB081C5-C12D-4C3F-8325-C6478DE844FA}" destId="{3C1FB154-5385-4FBB-BB2E-259E4A7D52B8}" srcOrd="2" destOrd="0" presId="urn:microsoft.com/office/officeart/2005/8/layout/hierarchy1"/>
    <dgm:cxn modelId="{B1BF2103-A274-408D-83AB-EAC463723910}" type="presParOf" srcId="{3BB081C5-C12D-4C3F-8325-C6478DE844FA}" destId="{B3C5FC24-2CB8-4807-9F0D-4CEB48925491}" srcOrd="3" destOrd="0" presId="urn:microsoft.com/office/officeart/2005/8/layout/hierarchy1"/>
    <dgm:cxn modelId="{31E7CFC5-B9F1-4E7F-8000-241673F77668}" type="presParOf" srcId="{B3C5FC24-2CB8-4807-9F0D-4CEB48925491}" destId="{5A63EE19-21F5-48F4-8D29-C7AC15A22C4E}" srcOrd="0" destOrd="0" presId="urn:microsoft.com/office/officeart/2005/8/layout/hierarchy1"/>
    <dgm:cxn modelId="{2BF22179-C6FD-46BD-B4F7-FBE41EB1AE7D}" type="presParOf" srcId="{5A63EE19-21F5-48F4-8D29-C7AC15A22C4E}" destId="{BF4762E1-7DC9-4896-9420-06DA3B25D6DB}" srcOrd="0" destOrd="0" presId="urn:microsoft.com/office/officeart/2005/8/layout/hierarchy1"/>
    <dgm:cxn modelId="{9E264286-DD40-4B1A-8525-34502F3C4901}" type="presParOf" srcId="{5A63EE19-21F5-48F4-8D29-C7AC15A22C4E}" destId="{BFBDCB10-6290-4FA6-B505-282892AD2299}" srcOrd="1" destOrd="0" presId="urn:microsoft.com/office/officeart/2005/8/layout/hierarchy1"/>
    <dgm:cxn modelId="{2771D403-F4E4-4146-BFBE-47E7EA13B0B9}" type="presParOf" srcId="{B3C5FC24-2CB8-4807-9F0D-4CEB48925491}" destId="{B3BBDC7E-4D6B-4AAC-91B6-8EE8E22A7B9C}" srcOrd="1" destOrd="0" presId="urn:microsoft.com/office/officeart/2005/8/layout/hierarchy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1FB154-5385-4FBB-BB2E-259E4A7D52B8}">
      <dsp:nvSpPr>
        <dsp:cNvPr id="0" name=""/>
        <dsp:cNvSpPr/>
      </dsp:nvSpPr>
      <dsp:spPr>
        <a:xfrm>
          <a:off x="3900487" y="1638933"/>
          <a:ext cx="1021556" cy="486167"/>
        </a:xfrm>
        <a:custGeom>
          <a:avLst/>
          <a:gdLst/>
          <a:ahLst/>
          <a:cxnLst/>
          <a:rect l="0" t="0" r="0" b="0"/>
          <a:pathLst>
            <a:path>
              <a:moveTo>
                <a:pt x="0" y="0"/>
              </a:moveTo>
              <a:lnTo>
                <a:pt x="0" y="331309"/>
              </a:lnTo>
              <a:lnTo>
                <a:pt x="1021556" y="331309"/>
              </a:lnTo>
              <a:lnTo>
                <a:pt x="1021556" y="4861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60B837-CE4C-4F69-AEDC-EB1C4997EEC1}">
      <dsp:nvSpPr>
        <dsp:cNvPr id="0" name=""/>
        <dsp:cNvSpPr/>
      </dsp:nvSpPr>
      <dsp:spPr>
        <a:xfrm>
          <a:off x="2878931" y="3186590"/>
          <a:ext cx="1021556" cy="486167"/>
        </a:xfrm>
        <a:custGeom>
          <a:avLst/>
          <a:gdLst/>
          <a:ahLst/>
          <a:cxnLst/>
          <a:rect l="0" t="0" r="0" b="0"/>
          <a:pathLst>
            <a:path>
              <a:moveTo>
                <a:pt x="0" y="0"/>
              </a:moveTo>
              <a:lnTo>
                <a:pt x="0" y="331309"/>
              </a:lnTo>
              <a:lnTo>
                <a:pt x="1021556" y="331309"/>
              </a:lnTo>
              <a:lnTo>
                <a:pt x="1021556" y="4861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EC6DD3-8976-44B2-98C8-F16C9DB3C974}">
      <dsp:nvSpPr>
        <dsp:cNvPr id="0" name=""/>
        <dsp:cNvSpPr/>
      </dsp:nvSpPr>
      <dsp:spPr>
        <a:xfrm>
          <a:off x="1857375" y="4734556"/>
          <a:ext cx="1021556" cy="485860"/>
        </a:xfrm>
        <a:custGeom>
          <a:avLst/>
          <a:gdLst/>
          <a:ahLst/>
          <a:cxnLst/>
          <a:rect l="0" t="0" r="0" b="0"/>
          <a:pathLst>
            <a:path>
              <a:moveTo>
                <a:pt x="0" y="0"/>
              </a:moveTo>
              <a:lnTo>
                <a:pt x="0" y="331001"/>
              </a:lnTo>
              <a:lnTo>
                <a:pt x="1021556" y="331001"/>
              </a:lnTo>
              <a:lnTo>
                <a:pt x="1021556" y="4858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9459BE-859F-43B0-85E7-8624D62F83FF}">
      <dsp:nvSpPr>
        <dsp:cNvPr id="0" name=""/>
        <dsp:cNvSpPr/>
      </dsp:nvSpPr>
      <dsp:spPr>
        <a:xfrm>
          <a:off x="835818" y="4734556"/>
          <a:ext cx="1021556" cy="486910"/>
        </a:xfrm>
        <a:custGeom>
          <a:avLst/>
          <a:gdLst/>
          <a:ahLst/>
          <a:cxnLst/>
          <a:rect l="0" t="0" r="0" b="0"/>
          <a:pathLst>
            <a:path>
              <a:moveTo>
                <a:pt x="1021556" y="0"/>
              </a:moveTo>
              <a:lnTo>
                <a:pt x="1021556" y="332052"/>
              </a:lnTo>
              <a:lnTo>
                <a:pt x="0" y="332052"/>
              </a:lnTo>
              <a:lnTo>
                <a:pt x="0" y="4869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D6D336-685C-4830-A121-7D9E5C697D30}">
      <dsp:nvSpPr>
        <dsp:cNvPr id="0" name=""/>
        <dsp:cNvSpPr/>
      </dsp:nvSpPr>
      <dsp:spPr>
        <a:xfrm>
          <a:off x="1857375" y="3186590"/>
          <a:ext cx="1021556" cy="486475"/>
        </a:xfrm>
        <a:custGeom>
          <a:avLst/>
          <a:gdLst/>
          <a:ahLst/>
          <a:cxnLst/>
          <a:rect l="0" t="0" r="0" b="0"/>
          <a:pathLst>
            <a:path>
              <a:moveTo>
                <a:pt x="1021556" y="0"/>
              </a:moveTo>
              <a:lnTo>
                <a:pt x="1021556" y="331617"/>
              </a:lnTo>
              <a:lnTo>
                <a:pt x="0" y="331617"/>
              </a:lnTo>
              <a:lnTo>
                <a:pt x="0" y="4864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E04A09-4917-44EB-B83C-09A436281391}">
      <dsp:nvSpPr>
        <dsp:cNvPr id="0" name=""/>
        <dsp:cNvSpPr/>
      </dsp:nvSpPr>
      <dsp:spPr>
        <a:xfrm>
          <a:off x="2878931" y="1638933"/>
          <a:ext cx="1021556" cy="486167"/>
        </a:xfrm>
        <a:custGeom>
          <a:avLst/>
          <a:gdLst/>
          <a:ahLst/>
          <a:cxnLst/>
          <a:rect l="0" t="0" r="0" b="0"/>
          <a:pathLst>
            <a:path>
              <a:moveTo>
                <a:pt x="1021556" y="0"/>
              </a:moveTo>
              <a:lnTo>
                <a:pt x="1021556" y="331309"/>
              </a:lnTo>
              <a:lnTo>
                <a:pt x="0" y="331309"/>
              </a:lnTo>
              <a:lnTo>
                <a:pt x="0" y="4861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62C0B2-CE42-4FD4-82DF-C4ED939848E2}">
      <dsp:nvSpPr>
        <dsp:cNvPr id="0" name=""/>
        <dsp:cNvSpPr/>
      </dsp:nvSpPr>
      <dsp:spPr>
        <a:xfrm>
          <a:off x="3064668" y="577443"/>
          <a:ext cx="1671637" cy="1061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765AC4-AD39-451A-A9DE-81888EEC2F5C}">
      <dsp:nvSpPr>
        <dsp:cNvPr id="0" name=""/>
        <dsp:cNvSpPr/>
      </dsp:nvSpPr>
      <dsp:spPr>
        <a:xfrm>
          <a:off x="3250406" y="753893"/>
          <a:ext cx="1671637" cy="10614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NZ" sz="1300" kern="1200"/>
            <a:t>Working age population 3,457,600* </a:t>
          </a:r>
        </a:p>
        <a:p>
          <a:pPr lvl="0" algn="ctr" defTabSz="577850">
            <a:lnSpc>
              <a:spcPct val="90000"/>
            </a:lnSpc>
            <a:spcBef>
              <a:spcPct val="0"/>
            </a:spcBef>
            <a:spcAft>
              <a:spcPct val="35000"/>
            </a:spcAft>
          </a:pPr>
          <a:r>
            <a:rPr lang="en-NZ" sz="1300" kern="1200"/>
            <a:t>15 years and over</a:t>
          </a:r>
        </a:p>
      </dsp:txBody>
      <dsp:txXfrm>
        <a:off x="3281496" y="784983"/>
        <a:ext cx="1609457" cy="999309"/>
      </dsp:txXfrm>
    </dsp:sp>
    <dsp:sp modelId="{A63794EE-28E1-4C1A-A871-B9D89E4C1A8E}">
      <dsp:nvSpPr>
        <dsp:cNvPr id="0" name=""/>
        <dsp:cNvSpPr/>
      </dsp:nvSpPr>
      <dsp:spPr>
        <a:xfrm>
          <a:off x="2043112" y="2125100"/>
          <a:ext cx="1671637" cy="1061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8E1C2A-BE8C-4EBC-B727-D815DB3CA410}">
      <dsp:nvSpPr>
        <dsp:cNvPr id="0" name=""/>
        <dsp:cNvSpPr/>
      </dsp:nvSpPr>
      <dsp:spPr>
        <a:xfrm>
          <a:off x="2228850" y="2301551"/>
          <a:ext cx="1671637" cy="10614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NZ" sz="1300" kern="1200"/>
            <a:t>Labour force</a:t>
          </a:r>
        </a:p>
        <a:p>
          <a:pPr lvl="0" algn="ctr" defTabSz="577850">
            <a:lnSpc>
              <a:spcPct val="90000"/>
            </a:lnSpc>
            <a:spcBef>
              <a:spcPct val="0"/>
            </a:spcBef>
            <a:spcAft>
              <a:spcPct val="35000"/>
            </a:spcAft>
          </a:pPr>
          <a:r>
            <a:rPr lang="en-NZ" sz="1300" kern="1200"/>
            <a:t>2,369,000</a:t>
          </a:r>
        </a:p>
        <a:p>
          <a:pPr lvl="0" algn="ctr" defTabSz="577850">
            <a:lnSpc>
              <a:spcPct val="90000"/>
            </a:lnSpc>
            <a:spcBef>
              <a:spcPct val="0"/>
            </a:spcBef>
            <a:spcAft>
              <a:spcPct val="35000"/>
            </a:spcAft>
          </a:pPr>
          <a:r>
            <a:rPr lang="en-NZ" sz="1300" kern="1200"/>
            <a:t>68.7%</a:t>
          </a:r>
        </a:p>
      </dsp:txBody>
      <dsp:txXfrm>
        <a:off x="2259940" y="2332641"/>
        <a:ext cx="1609457" cy="999309"/>
      </dsp:txXfrm>
    </dsp:sp>
    <dsp:sp modelId="{E9CFD844-E414-41BC-BF4E-09529A9FD7BC}">
      <dsp:nvSpPr>
        <dsp:cNvPr id="0" name=""/>
        <dsp:cNvSpPr/>
      </dsp:nvSpPr>
      <dsp:spPr>
        <a:xfrm>
          <a:off x="1021556" y="3673066"/>
          <a:ext cx="1671637" cy="1061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C2C476-57E1-4C86-BD0B-F12A0E072AB2}">
      <dsp:nvSpPr>
        <dsp:cNvPr id="0" name=""/>
        <dsp:cNvSpPr/>
      </dsp:nvSpPr>
      <dsp:spPr>
        <a:xfrm>
          <a:off x="1207293" y="3849517"/>
          <a:ext cx="1671637" cy="10614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NZ" sz="1300" kern="1200"/>
            <a:t>Employed</a:t>
          </a:r>
        </a:p>
        <a:p>
          <a:pPr lvl="0" algn="ctr" defTabSz="577850">
            <a:lnSpc>
              <a:spcPct val="90000"/>
            </a:lnSpc>
            <a:spcBef>
              <a:spcPct val="0"/>
            </a:spcBef>
            <a:spcAft>
              <a:spcPct val="35000"/>
            </a:spcAft>
          </a:pPr>
          <a:r>
            <a:rPr lang="en-NZ" sz="1300" kern="1200"/>
            <a:t>2,214,000</a:t>
          </a:r>
        </a:p>
        <a:p>
          <a:pPr lvl="0" algn="ctr" defTabSz="577850">
            <a:lnSpc>
              <a:spcPct val="90000"/>
            </a:lnSpc>
            <a:spcBef>
              <a:spcPct val="0"/>
            </a:spcBef>
            <a:spcAft>
              <a:spcPct val="35000"/>
            </a:spcAft>
          </a:pPr>
          <a:r>
            <a:rPr lang="en-NZ" sz="1300" kern="1200"/>
            <a:t>93.5%</a:t>
          </a:r>
        </a:p>
      </dsp:txBody>
      <dsp:txXfrm>
        <a:off x="1238383" y="3880607"/>
        <a:ext cx="1609457" cy="999309"/>
      </dsp:txXfrm>
    </dsp:sp>
    <dsp:sp modelId="{AC6D87F6-208F-44F7-BABD-DB2D6F2C1606}">
      <dsp:nvSpPr>
        <dsp:cNvPr id="0" name=""/>
        <dsp:cNvSpPr/>
      </dsp:nvSpPr>
      <dsp:spPr>
        <a:xfrm>
          <a:off x="0" y="5221467"/>
          <a:ext cx="1671637" cy="1061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31D942-1C1A-406D-AE7E-F67979E3B66F}">
      <dsp:nvSpPr>
        <dsp:cNvPr id="0" name=""/>
        <dsp:cNvSpPr/>
      </dsp:nvSpPr>
      <dsp:spPr>
        <a:xfrm>
          <a:off x="185737" y="5397917"/>
          <a:ext cx="1671637" cy="10614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NZ" sz="1300" kern="1200"/>
            <a:t>Full-time</a:t>
          </a:r>
        </a:p>
        <a:p>
          <a:pPr lvl="0" algn="ctr" defTabSz="577850">
            <a:lnSpc>
              <a:spcPct val="90000"/>
            </a:lnSpc>
            <a:spcBef>
              <a:spcPct val="0"/>
            </a:spcBef>
            <a:spcAft>
              <a:spcPct val="35000"/>
            </a:spcAft>
          </a:pPr>
          <a:r>
            <a:rPr lang="en-NZ" sz="1300" kern="1200"/>
            <a:t>1,707,000</a:t>
          </a:r>
        </a:p>
        <a:p>
          <a:pPr lvl="0" algn="ctr" defTabSz="577850">
            <a:lnSpc>
              <a:spcPct val="90000"/>
            </a:lnSpc>
            <a:spcBef>
              <a:spcPct val="0"/>
            </a:spcBef>
            <a:spcAft>
              <a:spcPct val="35000"/>
            </a:spcAft>
          </a:pPr>
          <a:r>
            <a:rPr lang="en-NZ" sz="1300" kern="1200"/>
            <a:t>77.2%</a:t>
          </a:r>
        </a:p>
      </dsp:txBody>
      <dsp:txXfrm>
        <a:off x="216827" y="5429007"/>
        <a:ext cx="1609457" cy="999309"/>
      </dsp:txXfrm>
    </dsp:sp>
    <dsp:sp modelId="{D617858E-B49C-448F-8BA3-21D4BC5F4A5E}">
      <dsp:nvSpPr>
        <dsp:cNvPr id="0" name=""/>
        <dsp:cNvSpPr/>
      </dsp:nvSpPr>
      <dsp:spPr>
        <a:xfrm>
          <a:off x="2043112" y="5220416"/>
          <a:ext cx="1671637" cy="1061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9B1894D-267C-4AC3-A29B-9F061F00A64F}">
      <dsp:nvSpPr>
        <dsp:cNvPr id="0" name=""/>
        <dsp:cNvSpPr/>
      </dsp:nvSpPr>
      <dsp:spPr>
        <a:xfrm>
          <a:off x="2228850" y="5396866"/>
          <a:ext cx="1671637" cy="10614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NZ" sz="1300" kern="1200"/>
            <a:t>Part-time</a:t>
          </a:r>
        </a:p>
        <a:p>
          <a:pPr lvl="0" algn="ctr" defTabSz="577850">
            <a:lnSpc>
              <a:spcPct val="90000"/>
            </a:lnSpc>
            <a:spcBef>
              <a:spcPct val="0"/>
            </a:spcBef>
            <a:spcAft>
              <a:spcPct val="35000"/>
            </a:spcAft>
          </a:pPr>
          <a:r>
            <a:rPr lang="en-NZ" sz="1300" kern="1200"/>
            <a:t>505,000</a:t>
          </a:r>
        </a:p>
        <a:p>
          <a:pPr lvl="0" algn="ctr" defTabSz="577850">
            <a:lnSpc>
              <a:spcPct val="90000"/>
            </a:lnSpc>
            <a:spcBef>
              <a:spcPct val="0"/>
            </a:spcBef>
            <a:spcAft>
              <a:spcPct val="35000"/>
            </a:spcAft>
          </a:pPr>
          <a:r>
            <a:rPr lang="en-NZ" sz="1300" kern="1200"/>
            <a:t>22.8%</a:t>
          </a:r>
        </a:p>
      </dsp:txBody>
      <dsp:txXfrm>
        <a:off x="2259940" y="5427956"/>
        <a:ext cx="1609457" cy="999309"/>
      </dsp:txXfrm>
    </dsp:sp>
    <dsp:sp modelId="{9F30B526-1087-4E81-AA87-2968201A967D}">
      <dsp:nvSpPr>
        <dsp:cNvPr id="0" name=""/>
        <dsp:cNvSpPr/>
      </dsp:nvSpPr>
      <dsp:spPr>
        <a:xfrm>
          <a:off x="3064668" y="3672758"/>
          <a:ext cx="1671637" cy="1061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91F7E1-10CC-4DAC-A0B8-E2A277E1C5E6}">
      <dsp:nvSpPr>
        <dsp:cNvPr id="0" name=""/>
        <dsp:cNvSpPr/>
      </dsp:nvSpPr>
      <dsp:spPr>
        <a:xfrm>
          <a:off x="3250406" y="3849209"/>
          <a:ext cx="1671637" cy="10614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NZ" sz="1300" kern="1200"/>
            <a:t>Unemployed</a:t>
          </a:r>
        </a:p>
        <a:p>
          <a:pPr lvl="0" algn="ctr" defTabSz="577850">
            <a:lnSpc>
              <a:spcPct val="90000"/>
            </a:lnSpc>
            <a:spcBef>
              <a:spcPct val="0"/>
            </a:spcBef>
            <a:spcAft>
              <a:spcPct val="35000"/>
            </a:spcAft>
          </a:pPr>
          <a:r>
            <a:rPr lang="en-NZ" sz="1300" kern="1200"/>
            <a:t>155,000</a:t>
          </a:r>
        </a:p>
        <a:p>
          <a:pPr lvl="0" algn="ctr" defTabSz="577850">
            <a:lnSpc>
              <a:spcPct val="90000"/>
            </a:lnSpc>
            <a:spcBef>
              <a:spcPct val="0"/>
            </a:spcBef>
            <a:spcAft>
              <a:spcPct val="35000"/>
            </a:spcAft>
          </a:pPr>
          <a:r>
            <a:rPr lang="en-NZ" sz="1300" kern="1200"/>
            <a:t>6.6%</a:t>
          </a:r>
        </a:p>
      </dsp:txBody>
      <dsp:txXfrm>
        <a:off x="3281496" y="3880299"/>
        <a:ext cx="1609457" cy="999309"/>
      </dsp:txXfrm>
    </dsp:sp>
    <dsp:sp modelId="{BF4762E1-7DC9-4896-9420-06DA3B25D6DB}">
      <dsp:nvSpPr>
        <dsp:cNvPr id="0" name=""/>
        <dsp:cNvSpPr/>
      </dsp:nvSpPr>
      <dsp:spPr>
        <a:xfrm>
          <a:off x="4086224" y="2125100"/>
          <a:ext cx="1671637" cy="106148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BDCB10-6290-4FA6-B505-282892AD2299}">
      <dsp:nvSpPr>
        <dsp:cNvPr id="0" name=""/>
        <dsp:cNvSpPr/>
      </dsp:nvSpPr>
      <dsp:spPr>
        <a:xfrm>
          <a:off x="4271962" y="2301551"/>
          <a:ext cx="1671637" cy="106148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NZ" sz="1300" kern="1200"/>
            <a:t>Not in the labour force</a:t>
          </a:r>
        </a:p>
        <a:p>
          <a:pPr lvl="0" algn="ctr" defTabSz="577850">
            <a:lnSpc>
              <a:spcPct val="90000"/>
            </a:lnSpc>
            <a:spcBef>
              <a:spcPct val="0"/>
            </a:spcBef>
            <a:spcAft>
              <a:spcPct val="35000"/>
            </a:spcAft>
          </a:pPr>
          <a:r>
            <a:rPr lang="en-NZ" sz="1300" kern="1200"/>
            <a:t>1,081,000</a:t>
          </a:r>
        </a:p>
        <a:p>
          <a:pPr lvl="0" algn="ctr" defTabSz="577850">
            <a:lnSpc>
              <a:spcPct val="90000"/>
            </a:lnSpc>
            <a:spcBef>
              <a:spcPct val="0"/>
            </a:spcBef>
            <a:spcAft>
              <a:spcPct val="35000"/>
            </a:spcAft>
          </a:pPr>
          <a:r>
            <a:rPr lang="en-NZ" sz="1300" kern="1200"/>
            <a:t>31.3%</a:t>
          </a:r>
        </a:p>
      </dsp:txBody>
      <dsp:txXfrm>
        <a:off x="4303052" y="2332641"/>
        <a:ext cx="1609457" cy="9993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new">
      <a:dk1>
        <a:sysClr val="windowText" lastClr="000000"/>
      </a:dk1>
      <a:lt1>
        <a:sysClr val="window" lastClr="FFFFFF"/>
      </a:lt1>
      <a:dk2>
        <a:srgbClr val="04617B"/>
      </a:dk2>
      <a:lt2>
        <a:srgbClr val="DBF5F9"/>
      </a:lt2>
      <a:accent1>
        <a:srgbClr val="20C8F7"/>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37F63-DF86-40F2-BAB9-BE63F557958F}"/>
</file>

<file path=customXml/itemProps2.xml><?xml version="1.0" encoding="utf-8"?>
<ds:datastoreItem xmlns:ds="http://schemas.openxmlformats.org/officeDocument/2006/customXml" ds:itemID="{E18ACE2E-E172-4D0C-B37D-FCA44BF80452}"/>
</file>

<file path=customXml/itemProps3.xml><?xml version="1.0" encoding="utf-8"?>
<ds:datastoreItem xmlns:ds="http://schemas.openxmlformats.org/officeDocument/2006/customXml" ds:itemID="{F12750A3-F9A4-497E-896C-3857D20FA932}"/>
</file>

<file path=customXml/itemProps4.xml><?xml version="1.0" encoding="utf-8"?>
<ds:datastoreItem xmlns:ds="http://schemas.openxmlformats.org/officeDocument/2006/customXml" ds:itemID="{103C1122-F0E1-415A-980A-DEC7B76BDC5E}"/>
</file>

<file path=docProps/app.xml><?xml version="1.0" encoding="utf-8"?>
<Properties xmlns="http://schemas.openxmlformats.org/officeDocument/2006/extended-properties" xmlns:vt="http://schemas.openxmlformats.org/officeDocument/2006/docPropsVTypes">
  <Template>Normal</Template>
  <TotalTime>1</TotalTime>
  <Pages>25</Pages>
  <Words>12928</Words>
  <Characters>73695</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Appendices</vt:lpstr>
    </vt:vector>
  </TitlesOfParts>
  <Company>NZ Human Rights Commission</Company>
  <LinksUpToDate>false</LinksUpToDate>
  <CharactersWithSpaces>86451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dc:title>
  <dc:creator>Emilia Don Silva</dc:creator>
  <cp:lastModifiedBy>Krista Maria Orama</cp:lastModifiedBy>
  <cp:revision>2</cp:revision>
  <cp:lastPrinted>2011-07-20T04:46:00Z</cp:lastPrinted>
  <dcterms:created xsi:type="dcterms:W3CDTF">2012-10-08T13:23:00Z</dcterms:created>
  <dcterms:modified xsi:type="dcterms:W3CDTF">2012-10-08T13:23:00Z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1114400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