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C56B4" w14:textId="77777777" w:rsidR="00912453" w:rsidRPr="00830786" w:rsidRDefault="00912453">
      <w:pPr>
        <w:rPr>
          <w:sz w:val="22"/>
          <w:szCs w:val="22"/>
          <w:lang w:val="en-GB"/>
        </w:rPr>
      </w:pPr>
    </w:p>
    <w:p w14:paraId="6ABB21C6" w14:textId="62071985" w:rsidR="00DC741A" w:rsidRPr="00830786" w:rsidRDefault="00DC741A">
      <w:pPr>
        <w:rPr>
          <w:sz w:val="22"/>
          <w:szCs w:val="22"/>
          <w:lang w:val="en-GB"/>
        </w:rPr>
      </w:pPr>
      <w:r w:rsidRPr="00830786">
        <w:rPr>
          <w:b/>
          <w:i/>
          <w:sz w:val="22"/>
          <w:szCs w:val="22"/>
          <w:lang w:val="en-GB"/>
        </w:rPr>
        <w:t>To</w:t>
      </w:r>
      <w:r w:rsidR="006B2C31" w:rsidRPr="00830786">
        <w:rPr>
          <w:sz w:val="22"/>
          <w:szCs w:val="22"/>
          <w:lang w:val="en-GB"/>
        </w:rPr>
        <w:t>:</w:t>
      </w:r>
      <w:r w:rsidR="006B2C31" w:rsidRPr="00830786">
        <w:rPr>
          <w:sz w:val="22"/>
          <w:szCs w:val="22"/>
          <w:lang w:val="en-GB"/>
        </w:rPr>
        <w:tab/>
      </w:r>
      <w:r w:rsidRPr="00830786">
        <w:rPr>
          <w:sz w:val="22"/>
          <w:szCs w:val="22"/>
          <w:lang w:val="en-GB"/>
        </w:rPr>
        <w:t>Civil Society Section – Office of the United Nations High Commissioner for Human Rights</w:t>
      </w:r>
    </w:p>
    <w:p w14:paraId="1AB138B7" w14:textId="3292F819" w:rsidR="00DC741A" w:rsidRPr="00830786" w:rsidRDefault="00DC741A">
      <w:pPr>
        <w:rPr>
          <w:sz w:val="22"/>
          <w:szCs w:val="22"/>
          <w:lang w:val="en-GB"/>
        </w:rPr>
      </w:pPr>
      <w:r w:rsidRPr="00830786">
        <w:rPr>
          <w:b/>
          <w:i/>
          <w:sz w:val="22"/>
          <w:szCs w:val="22"/>
          <w:lang w:val="en-GB"/>
        </w:rPr>
        <w:t>From</w:t>
      </w:r>
      <w:r w:rsidR="006B2C31" w:rsidRPr="00830786">
        <w:rPr>
          <w:sz w:val="22"/>
          <w:szCs w:val="22"/>
          <w:lang w:val="en-GB"/>
        </w:rPr>
        <w:t>:</w:t>
      </w:r>
      <w:r w:rsidR="006B2C31" w:rsidRPr="00830786">
        <w:rPr>
          <w:sz w:val="22"/>
          <w:szCs w:val="22"/>
          <w:lang w:val="en-GB"/>
        </w:rPr>
        <w:tab/>
      </w:r>
      <w:r w:rsidRPr="00830786">
        <w:rPr>
          <w:sz w:val="22"/>
          <w:szCs w:val="22"/>
          <w:lang w:val="en-GB"/>
        </w:rPr>
        <w:t xml:space="preserve">Thomas H Butcher, </w:t>
      </w:r>
      <w:r w:rsidR="006B2C31" w:rsidRPr="00830786">
        <w:rPr>
          <w:sz w:val="22"/>
          <w:szCs w:val="22"/>
          <w:lang w:val="en-GB"/>
        </w:rPr>
        <w:t>Representative of the Essl Foundation in New York, USA</w:t>
      </w:r>
    </w:p>
    <w:p w14:paraId="70C4F9CC" w14:textId="57A0C63D" w:rsidR="00830786" w:rsidRDefault="006B2C31">
      <w:pPr>
        <w:rPr>
          <w:sz w:val="22"/>
          <w:szCs w:val="22"/>
          <w:lang w:val="en-GB"/>
        </w:rPr>
      </w:pPr>
      <w:r w:rsidRPr="00830786">
        <w:rPr>
          <w:b/>
          <w:i/>
          <w:sz w:val="22"/>
          <w:szCs w:val="22"/>
          <w:lang w:val="en-GB"/>
        </w:rPr>
        <w:t>Re</w:t>
      </w:r>
      <w:r w:rsidRPr="00830786">
        <w:rPr>
          <w:sz w:val="22"/>
          <w:szCs w:val="22"/>
          <w:lang w:val="en-GB"/>
        </w:rPr>
        <w:t>:</w:t>
      </w:r>
      <w:r w:rsidRPr="00830786">
        <w:rPr>
          <w:sz w:val="22"/>
          <w:szCs w:val="22"/>
          <w:lang w:val="en-GB"/>
        </w:rPr>
        <w:tab/>
      </w:r>
      <w:r w:rsidRPr="00830786">
        <w:rPr>
          <w:b/>
          <w:i/>
          <w:sz w:val="22"/>
          <w:szCs w:val="22"/>
          <w:lang w:val="en-GB"/>
        </w:rPr>
        <w:t>Consultation – Rights of persons with disabilities – work and employment</w:t>
      </w:r>
    </w:p>
    <w:p w14:paraId="4DE1E58E" w14:textId="6E3058CB" w:rsidR="00830786" w:rsidRPr="00830786" w:rsidRDefault="00830786">
      <w:pPr>
        <w:rPr>
          <w:sz w:val="22"/>
          <w:szCs w:val="22"/>
          <w:lang w:val="en-GB"/>
        </w:rPr>
      </w:pPr>
      <w:r>
        <w:rPr>
          <w:sz w:val="22"/>
          <w:szCs w:val="22"/>
          <w:lang w:val="en-GB"/>
        </w:rPr>
        <w:t>Date:</w:t>
      </w:r>
      <w:r>
        <w:rPr>
          <w:sz w:val="22"/>
          <w:szCs w:val="22"/>
          <w:lang w:val="en-GB"/>
        </w:rPr>
        <w:tab/>
        <w:t>July 30, 2012</w:t>
      </w:r>
    </w:p>
    <w:p w14:paraId="1766F4CE" w14:textId="77777777" w:rsidR="006B2C31" w:rsidRPr="00830786" w:rsidRDefault="006B2C31">
      <w:pPr>
        <w:rPr>
          <w:sz w:val="22"/>
          <w:szCs w:val="22"/>
          <w:lang w:val="en-GB"/>
        </w:rPr>
      </w:pPr>
    </w:p>
    <w:p w14:paraId="63CA4A04" w14:textId="62866AB8" w:rsidR="006B2C31" w:rsidRPr="00830786" w:rsidRDefault="006B2C31" w:rsidP="006B2C31">
      <w:pPr>
        <w:jc w:val="center"/>
        <w:rPr>
          <w:sz w:val="22"/>
          <w:szCs w:val="22"/>
          <w:lang w:val="en-GB"/>
        </w:rPr>
      </w:pPr>
      <w:r w:rsidRPr="00830786">
        <w:rPr>
          <w:sz w:val="22"/>
          <w:szCs w:val="22"/>
          <w:lang w:val="en-GB"/>
        </w:rPr>
        <w:t>------------//------------</w:t>
      </w:r>
    </w:p>
    <w:p w14:paraId="3582180F" w14:textId="77777777" w:rsidR="006B2C31" w:rsidRPr="00830786" w:rsidRDefault="006B2C31" w:rsidP="006B2C31">
      <w:pPr>
        <w:rPr>
          <w:sz w:val="22"/>
          <w:szCs w:val="22"/>
          <w:lang w:val="en-GB"/>
        </w:rPr>
      </w:pPr>
    </w:p>
    <w:p w14:paraId="5AE1B976" w14:textId="30596AC6" w:rsidR="006B2C31" w:rsidRPr="00830786" w:rsidRDefault="00940563" w:rsidP="006B2C31">
      <w:pPr>
        <w:rPr>
          <w:sz w:val="22"/>
          <w:szCs w:val="22"/>
          <w:lang w:val="en-GB"/>
        </w:rPr>
      </w:pPr>
      <w:r w:rsidRPr="00830786">
        <w:rPr>
          <w:sz w:val="22"/>
          <w:szCs w:val="22"/>
          <w:lang w:val="en-GB"/>
        </w:rPr>
        <w:t>Dear Madam/Sir</w:t>
      </w:r>
    </w:p>
    <w:p w14:paraId="674A8190" w14:textId="77777777" w:rsidR="00940563" w:rsidRPr="00830786" w:rsidRDefault="00940563" w:rsidP="006B2C31">
      <w:pPr>
        <w:rPr>
          <w:sz w:val="22"/>
          <w:szCs w:val="22"/>
          <w:lang w:val="en-GB"/>
        </w:rPr>
      </w:pPr>
    </w:p>
    <w:p w14:paraId="7161F243" w14:textId="454907EE" w:rsidR="00940563" w:rsidRPr="00830786" w:rsidRDefault="005E2E10" w:rsidP="006B2C31">
      <w:pPr>
        <w:rPr>
          <w:sz w:val="22"/>
          <w:szCs w:val="22"/>
          <w:lang w:val="en-GB"/>
        </w:rPr>
      </w:pPr>
      <w:r w:rsidRPr="00830786">
        <w:rPr>
          <w:sz w:val="22"/>
          <w:szCs w:val="22"/>
          <w:lang w:val="en-GB"/>
        </w:rPr>
        <w:t>Following the</w:t>
      </w:r>
      <w:r w:rsidR="00940563" w:rsidRPr="00830786">
        <w:rPr>
          <w:sz w:val="22"/>
          <w:szCs w:val="22"/>
          <w:lang w:val="en-GB"/>
        </w:rPr>
        <w:t xml:space="preserve"> conversation I had with Ms Lydia Grigoreva on the morning of Monday, June 18, 2012, I should like </w:t>
      </w:r>
      <w:r w:rsidR="00AE4BBE" w:rsidRPr="00830786">
        <w:rPr>
          <w:sz w:val="22"/>
          <w:szCs w:val="22"/>
          <w:lang w:val="en-GB"/>
        </w:rPr>
        <w:t xml:space="preserve">both </w:t>
      </w:r>
      <w:r w:rsidR="00940563" w:rsidRPr="00830786">
        <w:rPr>
          <w:sz w:val="22"/>
          <w:szCs w:val="22"/>
          <w:lang w:val="en-GB"/>
        </w:rPr>
        <w:t>to provide your office with information, covering the rights of persons with disabilities – work and employment, that the Zero Project (an initi</w:t>
      </w:r>
      <w:r w:rsidR="00AE4BBE" w:rsidRPr="00830786">
        <w:rPr>
          <w:sz w:val="22"/>
          <w:szCs w:val="22"/>
          <w:lang w:val="en-GB"/>
        </w:rPr>
        <w:t xml:space="preserve">ative of the </w:t>
      </w:r>
      <w:hyperlink r:id="rId8" w:history="1">
        <w:r w:rsidR="00AE4BBE" w:rsidRPr="00830786">
          <w:rPr>
            <w:rStyle w:val="Hyperlink"/>
            <w:sz w:val="22"/>
            <w:szCs w:val="22"/>
            <w:lang w:val="en-GB"/>
          </w:rPr>
          <w:t>Essl Foundation</w:t>
        </w:r>
      </w:hyperlink>
      <w:r w:rsidR="00AE4BBE" w:rsidRPr="00830786">
        <w:rPr>
          <w:sz w:val="22"/>
          <w:szCs w:val="22"/>
          <w:lang w:val="en-GB"/>
        </w:rPr>
        <w:t xml:space="preserve"> </w:t>
      </w:r>
      <w:r w:rsidRPr="00830786">
        <w:rPr>
          <w:sz w:val="22"/>
          <w:szCs w:val="22"/>
          <w:lang w:val="en-GB"/>
        </w:rPr>
        <w:t>of</w:t>
      </w:r>
      <w:r w:rsidR="00AE4BBE" w:rsidRPr="00830786">
        <w:rPr>
          <w:sz w:val="22"/>
          <w:szCs w:val="22"/>
          <w:lang w:val="en-GB"/>
        </w:rPr>
        <w:t xml:space="preserve"> </w:t>
      </w:r>
      <w:r w:rsidRPr="00830786">
        <w:rPr>
          <w:sz w:val="22"/>
          <w:szCs w:val="22"/>
          <w:lang w:val="en-GB"/>
        </w:rPr>
        <w:t>Klosterneuberg</w:t>
      </w:r>
      <w:r w:rsidR="00AE4BBE" w:rsidRPr="00830786">
        <w:rPr>
          <w:sz w:val="22"/>
          <w:szCs w:val="22"/>
          <w:lang w:val="en-GB"/>
        </w:rPr>
        <w:t>, Austria) has collected over the past couple of years, and to describe briefly the project’s initiative this year that focuses specifically on just this theme.</w:t>
      </w:r>
    </w:p>
    <w:p w14:paraId="12942839" w14:textId="77777777" w:rsidR="00AE4BBE" w:rsidRPr="00830786" w:rsidRDefault="00AE4BBE" w:rsidP="006B2C31">
      <w:pPr>
        <w:rPr>
          <w:sz w:val="22"/>
          <w:szCs w:val="22"/>
          <w:lang w:val="en-GB"/>
        </w:rPr>
      </w:pPr>
    </w:p>
    <w:p w14:paraId="271A38C1" w14:textId="77777777" w:rsidR="00AE4BBE" w:rsidRPr="00830786" w:rsidRDefault="00AE4BBE" w:rsidP="006B2C31">
      <w:pPr>
        <w:rPr>
          <w:sz w:val="22"/>
          <w:szCs w:val="22"/>
          <w:lang w:val="en-GB"/>
        </w:rPr>
      </w:pPr>
    </w:p>
    <w:p w14:paraId="2BA78559" w14:textId="77777777" w:rsidR="00BB5A2D" w:rsidRPr="00830786" w:rsidRDefault="00BB5A2D" w:rsidP="00BB5A2D">
      <w:pPr>
        <w:rPr>
          <w:b/>
          <w:i/>
          <w:sz w:val="22"/>
          <w:szCs w:val="22"/>
          <w:lang w:val="en-GB"/>
        </w:rPr>
      </w:pPr>
      <w:r w:rsidRPr="00830786">
        <w:rPr>
          <w:b/>
          <w:i/>
          <w:sz w:val="22"/>
          <w:szCs w:val="22"/>
          <w:lang w:val="en-GB"/>
        </w:rPr>
        <w:t>The Zero Project – For A World Without Barriers</w:t>
      </w:r>
    </w:p>
    <w:p w14:paraId="602BE194" w14:textId="77777777" w:rsidR="00B0676A" w:rsidRPr="00830786" w:rsidRDefault="00B0676A" w:rsidP="00BB5A2D">
      <w:pPr>
        <w:rPr>
          <w:sz w:val="22"/>
          <w:szCs w:val="22"/>
          <w:lang w:val="en-GB"/>
        </w:rPr>
      </w:pPr>
    </w:p>
    <w:p w14:paraId="02364BC7" w14:textId="34EFBAA4" w:rsidR="00BB5A2D" w:rsidRPr="00830786" w:rsidRDefault="00BB5A2D" w:rsidP="00BB5A2D">
      <w:pPr>
        <w:rPr>
          <w:bCs/>
          <w:sz w:val="22"/>
          <w:szCs w:val="22"/>
          <w:lang w:val="en-GB"/>
        </w:rPr>
      </w:pPr>
      <w:r w:rsidRPr="00830786">
        <w:rPr>
          <w:sz w:val="22"/>
          <w:szCs w:val="22"/>
          <w:lang w:val="en-GB"/>
        </w:rPr>
        <w:t xml:space="preserve">The Zero Project, officially launched in 2011, is the Essl Foundation’s project that advocates, with a new and innovative approach, the rights of persons with disabilities internationally, and aims, ultimately, “for a world without barriers”.  The Zero Project creates platforms for sharing and developing models that clearly improve the daily lives, and legal rights, of persons with disabilities. With its global outreach, the Zero Project monitors the national implementation of the UN Convention on the Rights of Persons with Disabilities around the world.  In addition, with a yearly thematic focus, the project identifies and highlights both good practices and, in collaboration with the World Future Council, good policies which actively protect and promote the rights of persons with disabilities.  The Zero Project maintains a social media platform (www.zeroproject.org), and, each year, publishes the Zero Project Report and presents its findings at the Zero Project Conference in Vienna, Austria.  The theme of </w:t>
      </w:r>
      <w:r w:rsidR="00A01268" w:rsidRPr="00830786">
        <w:rPr>
          <w:sz w:val="22"/>
          <w:szCs w:val="22"/>
          <w:lang w:val="en-GB"/>
        </w:rPr>
        <w:t xml:space="preserve">the initiative this year is: </w:t>
      </w:r>
      <w:r w:rsidR="00A01268" w:rsidRPr="00830786">
        <w:rPr>
          <w:b/>
          <w:bCs/>
          <w:i/>
          <w:sz w:val="22"/>
          <w:szCs w:val="22"/>
          <w:lang w:val="en-GB"/>
        </w:rPr>
        <w:t>The Right to Work: Good Policies and Practices for Persons with Disabilities</w:t>
      </w:r>
      <w:r w:rsidR="00A01268" w:rsidRPr="00830786">
        <w:rPr>
          <w:bCs/>
          <w:sz w:val="22"/>
          <w:szCs w:val="22"/>
          <w:lang w:val="en-GB"/>
        </w:rPr>
        <w:t>.</w:t>
      </w:r>
    </w:p>
    <w:p w14:paraId="74F6A39D" w14:textId="77777777" w:rsidR="00A01268" w:rsidRPr="00830786" w:rsidRDefault="00A01268" w:rsidP="00BB5A2D">
      <w:pPr>
        <w:rPr>
          <w:bCs/>
          <w:sz w:val="22"/>
          <w:szCs w:val="22"/>
          <w:lang w:val="en-GB"/>
        </w:rPr>
      </w:pPr>
    </w:p>
    <w:p w14:paraId="38A1AC6E" w14:textId="7280A3A1" w:rsidR="00F60D70" w:rsidRPr="00830786" w:rsidRDefault="00F60D70" w:rsidP="00BB5A2D">
      <w:pPr>
        <w:rPr>
          <w:bCs/>
          <w:sz w:val="22"/>
          <w:szCs w:val="22"/>
          <w:lang w:val="en-GB"/>
        </w:rPr>
      </w:pPr>
      <w:r w:rsidRPr="00830786">
        <w:rPr>
          <w:bCs/>
          <w:sz w:val="22"/>
          <w:szCs w:val="22"/>
          <w:u w:val="single"/>
          <w:lang w:val="en-GB"/>
        </w:rPr>
        <w:t>The Zero Project Report</w:t>
      </w:r>
    </w:p>
    <w:p w14:paraId="2D60B807" w14:textId="77777777" w:rsidR="00F60D70" w:rsidRPr="00830786" w:rsidRDefault="00F60D70" w:rsidP="00BB5A2D">
      <w:pPr>
        <w:rPr>
          <w:bCs/>
          <w:sz w:val="22"/>
          <w:szCs w:val="22"/>
          <w:lang w:val="en-GB"/>
        </w:rPr>
      </w:pPr>
    </w:p>
    <w:p w14:paraId="1B4701CE" w14:textId="0B7D1C7A" w:rsidR="00CA4542" w:rsidRPr="00830786" w:rsidRDefault="00DE2F55" w:rsidP="00CA4542">
      <w:pPr>
        <w:rPr>
          <w:i/>
          <w:sz w:val="22"/>
          <w:szCs w:val="22"/>
          <w:lang w:val="en-GB"/>
        </w:rPr>
      </w:pPr>
      <w:r w:rsidRPr="00830786">
        <w:rPr>
          <w:i/>
          <w:sz w:val="22"/>
          <w:szCs w:val="22"/>
          <w:lang w:val="en-GB"/>
        </w:rPr>
        <w:t>International survey of the i</w:t>
      </w:r>
      <w:r w:rsidR="00CA4542" w:rsidRPr="00830786">
        <w:rPr>
          <w:i/>
          <w:sz w:val="22"/>
          <w:szCs w:val="22"/>
          <w:lang w:val="en-GB"/>
        </w:rPr>
        <w:t>mplementation of the Convention</w:t>
      </w:r>
    </w:p>
    <w:p w14:paraId="77CA26CD" w14:textId="77777777" w:rsidR="00CA4542" w:rsidRPr="00830786" w:rsidRDefault="00CA4542" w:rsidP="00BB5A2D">
      <w:pPr>
        <w:rPr>
          <w:bCs/>
          <w:sz w:val="22"/>
          <w:szCs w:val="22"/>
          <w:lang w:val="en-GB"/>
        </w:rPr>
      </w:pPr>
    </w:p>
    <w:p w14:paraId="044C5056" w14:textId="60D3517C" w:rsidR="00D1141E" w:rsidRPr="00830786" w:rsidRDefault="00D1141E" w:rsidP="006B2C31">
      <w:pPr>
        <w:rPr>
          <w:sz w:val="22"/>
          <w:szCs w:val="22"/>
          <w:lang w:val="en-GB"/>
        </w:rPr>
      </w:pPr>
      <w:r w:rsidRPr="00830786">
        <w:rPr>
          <w:sz w:val="22"/>
          <w:szCs w:val="22"/>
          <w:lang w:val="en-GB"/>
        </w:rPr>
        <w:t xml:space="preserve">The core section of the Zero Project Report </w:t>
      </w:r>
      <w:r w:rsidR="009561B6" w:rsidRPr="00830786">
        <w:rPr>
          <w:sz w:val="22"/>
          <w:szCs w:val="22"/>
          <w:lang w:val="en-GB"/>
        </w:rPr>
        <w:t xml:space="preserve">(originally published in 2010 as the </w:t>
      </w:r>
      <w:r w:rsidR="009561B6" w:rsidRPr="00830786">
        <w:rPr>
          <w:i/>
          <w:sz w:val="22"/>
          <w:szCs w:val="22"/>
          <w:lang w:val="en-GB"/>
        </w:rPr>
        <w:t>Essl Social Index Pilot Study 2010 – Situation of Persons with Disabilities</w:t>
      </w:r>
      <w:r w:rsidR="009561B6" w:rsidRPr="00830786">
        <w:rPr>
          <w:sz w:val="22"/>
          <w:szCs w:val="22"/>
          <w:lang w:val="en-GB"/>
        </w:rPr>
        <w:t xml:space="preserve">) </w:t>
      </w:r>
      <w:r w:rsidRPr="00830786">
        <w:rPr>
          <w:sz w:val="22"/>
          <w:szCs w:val="22"/>
          <w:lang w:val="en-GB"/>
        </w:rPr>
        <w:t>each year is</w:t>
      </w:r>
      <w:r w:rsidR="00EB06AB" w:rsidRPr="00830786">
        <w:rPr>
          <w:sz w:val="22"/>
          <w:szCs w:val="22"/>
          <w:lang w:val="en-GB"/>
        </w:rPr>
        <w:t xml:space="preserve"> the</w:t>
      </w:r>
      <w:r w:rsidR="009561B6" w:rsidRPr="00830786">
        <w:rPr>
          <w:sz w:val="22"/>
          <w:szCs w:val="22"/>
          <w:lang w:val="en-GB"/>
        </w:rPr>
        <w:t xml:space="preserve"> international comparison of </w:t>
      </w:r>
      <w:r w:rsidR="000A0B44" w:rsidRPr="00830786">
        <w:rPr>
          <w:sz w:val="22"/>
          <w:szCs w:val="22"/>
          <w:lang w:val="en-GB"/>
        </w:rPr>
        <w:t>a number of different indicators (2010: 40, 2011: 21 and 2012: 23)</w:t>
      </w:r>
      <w:r w:rsidRPr="00830786">
        <w:rPr>
          <w:sz w:val="22"/>
          <w:szCs w:val="22"/>
          <w:lang w:val="en-GB"/>
        </w:rPr>
        <w:t xml:space="preserve"> </w:t>
      </w:r>
      <w:r w:rsidR="000A0B44" w:rsidRPr="00830786">
        <w:rPr>
          <w:sz w:val="22"/>
          <w:szCs w:val="22"/>
          <w:lang w:val="en-GB"/>
        </w:rPr>
        <w:t>all of which are closely associated with individual articles of the UN Convention on the Rights of Persons with Disabilities (the “Convention”).</w:t>
      </w:r>
    </w:p>
    <w:p w14:paraId="7664B6ED" w14:textId="77777777" w:rsidR="00F60D70" w:rsidRPr="00830786" w:rsidRDefault="00F60D70" w:rsidP="006B2C31">
      <w:pPr>
        <w:rPr>
          <w:sz w:val="22"/>
          <w:szCs w:val="22"/>
          <w:lang w:val="en-GB"/>
        </w:rPr>
      </w:pPr>
    </w:p>
    <w:p w14:paraId="7B73F845" w14:textId="693D5554" w:rsidR="000A0B44" w:rsidRPr="00830786" w:rsidRDefault="000A0B44" w:rsidP="006B2C31">
      <w:pPr>
        <w:rPr>
          <w:sz w:val="22"/>
          <w:szCs w:val="22"/>
          <w:lang w:val="en-GB"/>
        </w:rPr>
      </w:pPr>
      <w:r w:rsidRPr="00830786">
        <w:rPr>
          <w:sz w:val="22"/>
          <w:szCs w:val="22"/>
          <w:lang w:val="en-GB"/>
        </w:rPr>
        <w:t xml:space="preserve">In 2010, the report covered 15 different countries and the nine Austrian federal provinces.  In 2011, </w:t>
      </w:r>
      <w:r w:rsidR="00E167E1" w:rsidRPr="00830786">
        <w:rPr>
          <w:sz w:val="22"/>
          <w:szCs w:val="22"/>
          <w:lang w:val="en-GB"/>
        </w:rPr>
        <w:t>the number of countries had increased</w:t>
      </w:r>
      <w:r w:rsidRPr="00830786">
        <w:rPr>
          <w:sz w:val="22"/>
          <w:szCs w:val="22"/>
          <w:lang w:val="en-GB"/>
        </w:rPr>
        <w:t xml:space="preserve"> to some </w:t>
      </w:r>
      <w:r w:rsidR="00E167E1" w:rsidRPr="00830786">
        <w:rPr>
          <w:sz w:val="22"/>
          <w:szCs w:val="22"/>
          <w:lang w:val="en-GB"/>
        </w:rPr>
        <w:t>35 different countries, two US states (California and New York) and, once again, the nine Austrian federal provinces.  In 2012, it is hoped that this figure for the number of countries will, again, be increased still further.</w:t>
      </w:r>
    </w:p>
    <w:p w14:paraId="348EE6E9" w14:textId="77777777" w:rsidR="00E167E1" w:rsidRPr="00830786" w:rsidRDefault="00E167E1" w:rsidP="006B2C31">
      <w:pPr>
        <w:rPr>
          <w:sz w:val="22"/>
          <w:szCs w:val="22"/>
          <w:lang w:val="en-GB"/>
        </w:rPr>
      </w:pPr>
    </w:p>
    <w:p w14:paraId="70FF6BCD" w14:textId="76BDBBA1" w:rsidR="00E167E1" w:rsidRPr="00830786" w:rsidRDefault="00F252A5" w:rsidP="006B2C31">
      <w:pPr>
        <w:rPr>
          <w:sz w:val="22"/>
          <w:szCs w:val="22"/>
        </w:rPr>
      </w:pPr>
      <w:r w:rsidRPr="00830786">
        <w:rPr>
          <w:i/>
          <w:sz w:val="22"/>
          <w:szCs w:val="22"/>
        </w:rPr>
        <w:t>Good Practice e</w:t>
      </w:r>
      <w:r w:rsidR="00CA4542" w:rsidRPr="00830786">
        <w:rPr>
          <w:i/>
          <w:sz w:val="22"/>
          <w:szCs w:val="22"/>
        </w:rPr>
        <w:t>xamples</w:t>
      </w:r>
    </w:p>
    <w:p w14:paraId="0B9C0D9F" w14:textId="77777777" w:rsidR="00CA4542" w:rsidRPr="00830786" w:rsidRDefault="00CA4542" w:rsidP="006B2C31">
      <w:pPr>
        <w:rPr>
          <w:sz w:val="22"/>
          <w:szCs w:val="22"/>
        </w:rPr>
      </w:pPr>
    </w:p>
    <w:p w14:paraId="7CC3349F" w14:textId="6D5F9331" w:rsidR="00CA4542" w:rsidRPr="00830786" w:rsidRDefault="00CA4542" w:rsidP="00CA4542">
      <w:pPr>
        <w:rPr>
          <w:sz w:val="22"/>
          <w:szCs w:val="22"/>
        </w:rPr>
      </w:pPr>
      <w:r w:rsidRPr="00830786">
        <w:rPr>
          <w:sz w:val="22"/>
          <w:szCs w:val="22"/>
        </w:rPr>
        <w:t>In both the 2010 and 2011 reports, the project published descriptions of a number of examples of Good Practice</w:t>
      </w:r>
      <w:r w:rsidR="00E91C00" w:rsidRPr="00830786">
        <w:rPr>
          <w:sz w:val="22"/>
          <w:szCs w:val="22"/>
        </w:rPr>
        <w:t>,</w:t>
      </w:r>
      <w:r w:rsidRPr="00830786">
        <w:rPr>
          <w:sz w:val="22"/>
          <w:szCs w:val="22"/>
        </w:rPr>
        <w:t xml:space="preserve"> relating to disabilities</w:t>
      </w:r>
      <w:r w:rsidR="00E91C00" w:rsidRPr="00830786">
        <w:rPr>
          <w:sz w:val="22"/>
          <w:szCs w:val="22"/>
        </w:rPr>
        <w:t>,</w:t>
      </w:r>
      <w:r w:rsidRPr="00830786">
        <w:rPr>
          <w:sz w:val="22"/>
          <w:szCs w:val="22"/>
        </w:rPr>
        <w:t xml:space="preserve"> that were considered exemplary.  Whilst the 2010 report </w:t>
      </w:r>
      <w:r w:rsidRPr="00830786">
        <w:rPr>
          <w:sz w:val="22"/>
          <w:szCs w:val="22"/>
        </w:rPr>
        <w:lastRenderedPageBreak/>
        <w:t xml:space="preserve">included just seven examples (chosen by members of the Zero Project team themselves), in 2011, the report contained some 27 </w:t>
      </w:r>
      <w:r w:rsidR="00A1010A" w:rsidRPr="00830786">
        <w:rPr>
          <w:sz w:val="22"/>
          <w:szCs w:val="22"/>
        </w:rPr>
        <w:t xml:space="preserve">examples of </w:t>
      </w:r>
      <w:r w:rsidRPr="00830786">
        <w:rPr>
          <w:sz w:val="22"/>
          <w:szCs w:val="22"/>
        </w:rPr>
        <w:t xml:space="preserve">Good Practice from 15 </w:t>
      </w:r>
      <w:r w:rsidR="00A1010A" w:rsidRPr="00830786">
        <w:rPr>
          <w:sz w:val="22"/>
          <w:szCs w:val="22"/>
        </w:rPr>
        <w:t xml:space="preserve">countries that were </w:t>
      </w:r>
      <w:r w:rsidRPr="00830786">
        <w:rPr>
          <w:sz w:val="22"/>
          <w:szCs w:val="22"/>
        </w:rPr>
        <w:t>nominated, selected and reviewed by an international network of disability experts</w:t>
      </w:r>
      <w:r w:rsidR="00A1010A" w:rsidRPr="00830786">
        <w:rPr>
          <w:sz w:val="22"/>
          <w:szCs w:val="22"/>
        </w:rPr>
        <w:t>.  This year (although the report has yet to be published and the following figures are certainly not final), calling upon its extensive network of</w:t>
      </w:r>
      <w:r w:rsidR="00E91C00" w:rsidRPr="00830786">
        <w:rPr>
          <w:sz w:val="22"/>
          <w:szCs w:val="22"/>
        </w:rPr>
        <w:t>, now,</w:t>
      </w:r>
      <w:r w:rsidR="00A1010A" w:rsidRPr="00830786">
        <w:rPr>
          <w:sz w:val="22"/>
          <w:szCs w:val="22"/>
        </w:rPr>
        <w:t xml:space="preserve"> over 200 disability experts from around the world, the project has already collected over 100 nominations of Good Practice, </w:t>
      </w:r>
      <w:r w:rsidR="00A1010A" w:rsidRPr="00830786">
        <w:rPr>
          <w:i/>
          <w:sz w:val="22"/>
          <w:szCs w:val="22"/>
        </w:rPr>
        <w:t>all relating specifically to the topic of disabilities and employment</w:t>
      </w:r>
      <w:r w:rsidR="00A1010A" w:rsidRPr="00830786">
        <w:rPr>
          <w:sz w:val="22"/>
          <w:szCs w:val="22"/>
        </w:rPr>
        <w:t>, from around the globe.</w:t>
      </w:r>
    </w:p>
    <w:p w14:paraId="02D74316" w14:textId="77777777" w:rsidR="00A1010A" w:rsidRPr="00830786" w:rsidRDefault="00A1010A" w:rsidP="00CA4542">
      <w:pPr>
        <w:rPr>
          <w:sz w:val="22"/>
          <w:szCs w:val="22"/>
        </w:rPr>
      </w:pPr>
    </w:p>
    <w:p w14:paraId="173545D6" w14:textId="67D41070" w:rsidR="00A1010A" w:rsidRPr="00830786" w:rsidRDefault="00F252A5" w:rsidP="00CA4542">
      <w:pPr>
        <w:rPr>
          <w:sz w:val="22"/>
          <w:szCs w:val="22"/>
        </w:rPr>
      </w:pPr>
      <w:r w:rsidRPr="00830786">
        <w:rPr>
          <w:i/>
          <w:sz w:val="22"/>
          <w:szCs w:val="22"/>
        </w:rPr>
        <w:t>Good Policy examples</w:t>
      </w:r>
    </w:p>
    <w:p w14:paraId="4D8789C1" w14:textId="77777777" w:rsidR="00F252A5" w:rsidRPr="00830786" w:rsidRDefault="00F252A5" w:rsidP="00CA4542">
      <w:pPr>
        <w:rPr>
          <w:sz w:val="22"/>
          <w:szCs w:val="22"/>
        </w:rPr>
      </w:pPr>
    </w:p>
    <w:p w14:paraId="009BD01A" w14:textId="53990361" w:rsidR="00216672" w:rsidRPr="00830786" w:rsidRDefault="00216672" w:rsidP="00CA4542">
      <w:pPr>
        <w:rPr>
          <w:sz w:val="22"/>
          <w:szCs w:val="22"/>
        </w:rPr>
      </w:pPr>
      <w:r w:rsidRPr="00830786">
        <w:rPr>
          <w:sz w:val="22"/>
          <w:szCs w:val="22"/>
        </w:rPr>
        <w:t xml:space="preserve">In 2011, for the first time, the project also collected, from </w:t>
      </w:r>
      <w:r w:rsidR="00E91C00" w:rsidRPr="00830786">
        <w:rPr>
          <w:sz w:val="22"/>
          <w:szCs w:val="22"/>
        </w:rPr>
        <w:t xml:space="preserve">members of its </w:t>
      </w:r>
      <w:r w:rsidRPr="00830786">
        <w:rPr>
          <w:sz w:val="22"/>
          <w:szCs w:val="22"/>
        </w:rPr>
        <w:t xml:space="preserve">network of experts, their nominations of those Good Policies that either promoted or protected the rights of persons with disabilities.  </w:t>
      </w:r>
      <w:r w:rsidR="004439F5" w:rsidRPr="00830786">
        <w:rPr>
          <w:sz w:val="22"/>
          <w:szCs w:val="22"/>
        </w:rPr>
        <w:t>Following extensive research work undertaken by the World Future Council, e</w:t>
      </w:r>
      <w:r w:rsidR="00E91C00" w:rsidRPr="00830786">
        <w:rPr>
          <w:sz w:val="22"/>
          <w:szCs w:val="22"/>
        </w:rPr>
        <w:t>ight of these examples f</w:t>
      </w:r>
      <w:r w:rsidRPr="00830786">
        <w:rPr>
          <w:sz w:val="22"/>
          <w:szCs w:val="22"/>
        </w:rPr>
        <w:t>r</w:t>
      </w:r>
      <w:r w:rsidR="00E91C00" w:rsidRPr="00830786">
        <w:rPr>
          <w:sz w:val="22"/>
          <w:szCs w:val="22"/>
        </w:rPr>
        <w:t>o</w:t>
      </w:r>
      <w:r w:rsidRPr="00830786">
        <w:rPr>
          <w:sz w:val="22"/>
          <w:szCs w:val="22"/>
        </w:rPr>
        <w:t>m seven countries were published in the report.  This year, the project’s network of experts has been asked to nominate examples of Good Policy relating specifically to disabilities and employment.  The response has been extremely encouraging.</w:t>
      </w:r>
      <w:r w:rsidR="004439F5" w:rsidRPr="00830786">
        <w:rPr>
          <w:sz w:val="22"/>
          <w:szCs w:val="22"/>
        </w:rPr>
        <w:t xml:space="preserve">  And, once again, the World Future Council will be actively involved in selecting the appropriate Good Policies.</w:t>
      </w:r>
    </w:p>
    <w:p w14:paraId="17FE8ACF" w14:textId="77777777" w:rsidR="00216672" w:rsidRPr="00830786" w:rsidRDefault="00216672" w:rsidP="00CA4542">
      <w:pPr>
        <w:rPr>
          <w:sz w:val="22"/>
          <w:szCs w:val="22"/>
        </w:rPr>
      </w:pPr>
    </w:p>
    <w:p w14:paraId="63BC8E9F" w14:textId="61A78210" w:rsidR="00F252A5" w:rsidRPr="00830786" w:rsidRDefault="00DE2F55" w:rsidP="00CA4542">
      <w:pPr>
        <w:rPr>
          <w:sz w:val="22"/>
          <w:szCs w:val="22"/>
        </w:rPr>
      </w:pPr>
      <w:r w:rsidRPr="00830786">
        <w:rPr>
          <w:i/>
          <w:sz w:val="22"/>
          <w:szCs w:val="22"/>
        </w:rPr>
        <w:t>International survey of di</w:t>
      </w:r>
      <w:r w:rsidR="00A9637F" w:rsidRPr="00830786">
        <w:rPr>
          <w:i/>
          <w:sz w:val="22"/>
          <w:szCs w:val="22"/>
        </w:rPr>
        <w:t>sabilities and employment (2012)</w:t>
      </w:r>
    </w:p>
    <w:p w14:paraId="72358F27" w14:textId="77777777" w:rsidR="00A9637F" w:rsidRPr="00830786" w:rsidRDefault="00A9637F" w:rsidP="00CA4542">
      <w:pPr>
        <w:rPr>
          <w:sz w:val="22"/>
          <w:szCs w:val="22"/>
        </w:rPr>
      </w:pPr>
    </w:p>
    <w:p w14:paraId="518FEE01" w14:textId="30238910" w:rsidR="00FD5F76" w:rsidRPr="00830786" w:rsidRDefault="00A9637F" w:rsidP="00CA4542">
      <w:pPr>
        <w:rPr>
          <w:sz w:val="22"/>
          <w:szCs w:val="22"/>
        </w:rPr>
      </w:pPr>
      <w:r w:rsidRPr="00830786">
        <w:rPr>
          <w:sz w:val="22"/>
          <w:szCs w:val="22"/>
        </w:rPr>
        <w:t xml:space="preserve">This year, as part of its employment-focused initiative, the project, closely basing its work on Article 27 of the Convention, developed a questionnaire of 10 questions that, with </w:t>
      </w:r>
      <w:r w:rsidR="006212CE" w:rsidRPr="00830786">
        <w:rPr>
          <w:sz w:val="22"/>
          <w:szCs w:val="22"/>
        </w:rPr>
        <w:t xml:space="preserve">the help of </w:t>
      </w:r>
      <w:r w:rsidR="00FD5F76" w:rsidRPr="00830786">
        <w:rPr>
          <w:sz w:val="22"/>
          <w:szCs w:val="22"/>
        </w:rPr>
        <w:t xml:space="preserve">Disabled Peoples’ International (DPI), it distributed worldwide.  Currently, the project has received responses </w:t>
      </w:r>
      <w:r w:rsidR="00E91C00" w:rsidRPr="00830786">
        <w:rPr>
          <w:sz w:val="22"/>
          <w:szCs w:val="22"/>
        </w:rPr>
        <w:t xml:space="preserve">to these questions </w:t>
      </w:r>
      <w:r w:rsidR="00FD5F76" w:rsidRPr="00830786">
        <w:rPr>
          <w:sz w:val="22"/>
          <w:szCs w:val="22"/>
        </w:rPr>
        <w:t>from over 80 different countries from around the globe.</w:t>
      </w:r>
    </w:p>
    <w:p w14:paraId="3D00E97E" w14:textId="77777777" w:rsidR="00FD5F76" w:rsidRPr="00830786" w:rsidRDefault="00FD5F76" w:rsidP="00CA4542">
      <w:pPr>
        <w:rPr>
          <w:sz w:val="22"/>
          <w:szCs w:val="22"/>
        </w:rPr>
      </w:pPr>
    </w:p>
    <w:p w14:paraId="130F8562" w14:textId="77777777" w:rsidR="00FD5F76" w:rsidRPr="00830786" w:rsidRDefault="00FD5F76" w:rsidP="00CA4542">
      <w:pPr>
        <w:rPr>
          <w:sz w:val="22"/>
          <w:szCs w:val="22"/>
        </w:rPr>
      </w:pPr>
      <w:r w:rsidRPr="00830786">
        <w:rPr>
          <w:sz w:val="22"/>
          <w:szCs w:val="22"/>
          <w:u w:val="single"/>
        </w:rPr>
        <w:t>The Zero Project Conferences</w:t>
      </w:r>
    </w:p>
    <w:p w14:paraId="2F0C12CC" w14:textId="77777777" w:rsidR="00FD5F76" w:rsidRPr="00830786" w:rsidRDefault="00FD5F76" w:rsidP="00CA4542">
      <w:pPr>
        <w:rPr>
          <w:sz w:val="22"/>
          <w:szCs w:val="22"/>
        </w:rPr>
      </w:pPr>
    </w:p>
    <w:p w14:paraId="0BC1C83A" w14:textId="11FBAE25" w:rsidR="00A9637F" w:rsidRPr="00830786" w:rsidRDefault="00F43919" w:rsidP="002F4A07">
      <w:pPr>
        <w:rPr>
          <w:sz w:val="22"/>
          <w:szCs w:val="22"/>
        </w:rPr>
      </w:pPr>
      <w:r w:rsidRPr="00830786">
        <w:rPr>
          <w:sz w:val="22"/>
          <w:szCs w:val="22"/>
        </w:rPr>
        <w:t>At the end of January this year, over 230 stakeholders (</w:t>
      </w:r>
      <w:r w:rsidR="00EE358A" w:rsidRPr="00830786">
        <w:rPr>
          <w:sz w:val="22"/>
          <w:szCs w:val="22"/>
        </w:rPr>
        <w:t xml:space="preserve">including </w:t>
      </w:r>
      <w:r w:rsidR="004439F5" w:rsidRPr="00830786">
        <w:rPr>
          <w:sz w:val="22"/>
          <w:szCs w:val="22"/>
        </w:rPr>
        <w:t>parliamentarians, representatives of NGOs and foundations, academics and disability rights activists</w:t>
      </w:r>
      <w:r w:rsidR="00EE358A" w:rsidRPr="00830786">
        <w:rPr>
          <w:sz w:val="22"/>
          <w:szCs w:val="22"/>
        </w:rPr>
        <w:t xml:space="preserve">) </w:t>
      </w:r>
      <w:r w:rsidRPr="00830786">
        <w:rPr>
          <w:sz w:val="22"/>
          <w:szCs w:val="22"/>
        </w:rPr>
        <w:t>from more than 30 different countries attended the Zero Project’s firs</w:t>
      </w:r>
      <w:r w:rsidR="00EE358A" w:rsidRPr="00830786">
        <w:rPr>
          <w:sz w:val="22"/>
          <w:szCs w:val="22"/>
        </w:rPr>
        <w:t xml:space="preserve">t </w:t>
      </w:r>
      <w:r w:rsidR="00D37357" w:rsidRPr="00830786">
        <w:rPr>
          <w:sz w:val="22"/>
          <w:szCs w:val="22"/>
        </w:rPr>
        <w:t xml:space="preserve">ever </w:t>
      </w:r>
      <w:r w:rsidR="00EE358A" w:rsidRPr="00830786">
        <w:rPr>
          <w:sz w:val="22"/>
          <w:szCs w:val="22"/>
        </w:rPr>
        <w:t xml:space="preserve">conference in Vienna, Austria.  Entitled </w:t>
      </w:r>
      <w:r w:rsidR="00EE358A" w:rsidRPr="00830786">
        <w:rPr>
          <w:b/>
          <w:i/>
          <w:sz w:val="22"/>
          <w:szCs w:val="22"/>
        </w:rPr>
        <w:t>Good Policies for Disabled People</w:t>
      </w:r>
      <w:r w:rsidR="00EE358A" w:rsidRPr="00830786">
        <w:rPr>
          <w:sz w:val="22"/>
          <w:szCs w:val="22"/>
        </w:rPr>
        <w:t xml:space="preserve">, </w:t>
      </w:r>
      <w:r w:rsidR="00D37357" w:rsidRPr="00830786">
        <w:rPr>
          <w:sz w:val="22"/>
          <w:szCs w:val="22"/>
        </w:rPr>
        <w:t xml:space="preserve">participants </w:t>
      </w:r>
      <w:r w:rsidR="002F4A07" w:rsidRPr="00830786">
        <w:rPr>
          <w:sz w:val="22"/>
          <w:szCs w:val="22"/>
        </w:rPr>
        <w:t>discussed international policy examples that have successfully overcome social, legal, economic, political and environmental conditions that act as barriers for disabled people.  The conference specifically sought to strengthen political commitment for protecting and guaranteeing disabled people’s human rights.  (It is the humble opinion of the project that the conference was quite successful in its aims.)</w:t>
      </w:r>
    </w:p>
    <w:p w14:paraId="0F191773" w14:textId="77777777" w:rsidR="002F4A07" w:rsidRPr="00830786" w:rsidRDefault="002F4A07" w:rsidP="002F4A07">
      <w:pPr>
        <w:rPr>
          <w:sz w:val="22"/>
          <w:szCs w:val="22"/>
        </w:rPr>
      </w:pPr>
    </w:p>
    <w:p w14:paraId="50A542FC" w14:textId="37145317" w:rsidR="002F4A07" w:rsidRPr="00830786" w:rsidRDefault="00FE3A5B" w:rsidP="002F4A07">
      <w:pPr>
        <w:rPr>
          <w:sz w:val="22"/>
          <w:szCs w:val="22"/>
        </w:rPr>
      </w:pPr>
      <w:r w:rsidRPr="00830786">
        <w:rPr>
          <w:sz w:val="22"/>
          <w:szCs w:val="22"/>
        </w:rPr>
        <w:t>In February</w:t>
      </w:r>
      <w:r w:rsidR="00D37357" w:rsidRPr="00830786">
        <w:rPr>
          <w:sz w:val="22"/>
          <w:szCs w:val="22"/>
        </w:rPr>
        <w:t xml:space="preserve"> 2013, </w:t>
      </w:r>
      <w:r w:rsidR="00580D91" w:rsidRPr="00830786">
        <w:rPr>
          <w:sz w:val="22"/>
          <w:szCs w:val="22"/>
        </w:rPr>
        <w:t xml:space="preserve">the project, </w:t>
      </w:r>
      <w:r w:rsidR="00D37357" w:rsidRPr="00830786">
        <w:rPr>
          <w:sz w:val="22"/>
          <w:szCs w:val="22"/>
        </w:rPr>
        <w:t>as mentioned above, will hold its second conference</w:t>
      </w:r>
      <w:r w:rsidR="00BE12FA" w:rsidRPr="00830786">
        <w:rPr>
          <w:sz w:val="22"/>
          <w:szCs w:val="22"/>
        </w:rPr>
        <w:t xml:space="preserve"> in Vienna and focus </w:t>
      </w:r>
      <w:r w:rsidR="00BE12FA" w:rsidRPr="00830786">
        <w:rPr>
          <w:i/>
          <w:sz w:val="22"/>
          <w:szCs w:val="22"/>
        </w:rPr>
        <w:t>specifically</w:t>
      </w:r>
      <w:r w:rsidR="00BE12FA" w:rsidRPr="00830786">
        <w:rPr>
          <w:sz w:val="22"/>
          <w:szCs w:val="22"/>
        </w:rPr>
        <w:t xml:space="preserve"> on disabilities and employment.</w:t>
      </w:r>
      <w:r w:rsidRPr="00830786">
        <w:rPr>
          <w:sz w:val="22"/>
          <w:szCs w:val="22"/>
        </w:rPr>
        <w:t xml:space="preserve">  Next year’s conference will, however, be an expansion on this year’s, not only stretching over two days, but also addressing </w:t>
      </w:r>
      <w:r w:rsidRPr="00830786">
        <w:rPr>
          <w:i/>
          <w:sz w:val="22"/>
          <w:szCs w:val="22"/>
        </w:rPr>
        <w:t>both</w:t>
      </w:r>
      <w:r w:rsidRPr="00830786">
        <w:rPr>
          <w:sz w:val="22"/>
          <w:szCs w:val="22"/>
        </w:rPr>
        <w:t xml:space="preserve"> Good Practices and Good Policies.</w:t>
      </w:r>
    </w:p>
    <w:p w14:paraId="0B07EBEE" w14:textId="77777777" w:rsidR="00FE3A5B" w:rsidRDefault="00FE3A5B" w:rsidP="002F4A07">
      <w:pPr>
        <w:rPr>
          <w:sz w:val="22"/>
          <w:szCs w:val="22"/>
        </w:rPr>
      </w:pPr>
    </w:p>
    <w:p w14:paraId="4FCB4647" w14:textId="77777777" w:rsidR="00830786" w:rsidRPr="00830786" w:rsidRDefault="00830786" w:rsidP="002F4A07">
      <w:pPr>
        <w:rPr>
          <w:sz w:val="22"/>
          <w:szCs w:val="22"/>
        </w:rPr>
      </w:pPr>
    </w:p>
    <w:p w14:paraId="7F52BFD9" w14:textId="44283174" w:rsidR="00FE3A5B" w:rsidRPr="00830786" w:rsidRDefault="001D6700" w:rsidP="002F4A07">
      <w:pPr>
        <w:rPr>
          <w:sz w:val="22"/>
          <w:szCs w:val="22"/>
        </w:rPr>
      </w:pPr>
      <w:r w:rsidRPr="00830786">
        <w:rPr>
          <w:b/>
          <w:i/>
          <w:sz w:val="22"/>
          <w:szCs w:val="22"/>
        </w:rPr>
        <w:t>OHCHR – Invitation to Contribute Information</w:t>
      </w:r>
    </w:p>
    <w:p w14:paraId="54FE0BC0" w14:textId="77777777" w:rsidR="001D6700" w:rsidRPr="00830786" w:rsidRDefault="001D6700" w:rsidP="002F4A07">
      <w:pPr>
        <w:rPr>
          <w:sz w:val="22"/>
          <w:szCs w:val="22"/>
        </w:rPr>
      </w:pPr>
    </w:p>
    <w:p w14:paraId="6ED9115D" w14:textId="460B3BB2" w:rsidR="005C1B0F" w:rsidRPr="00830786" w:rsidRDefault="005C1B0F" w:rsidP="002F4A07">
      <w:pPr>
        <w:rPr>
          <w:sz w:val="22"/>
          <w:szCs w:val="22"/>
        </w:rPr>
      </w:pPr>
      <w:r w:rsidRPr="00830786">
        <w:rPr>
          <w:sz w:val="22"/>
          <w:szCs w:val="22"/>
        </w:rPr>
        <w:t>The project believes that, historically, some of the information, specifically referring to employment, it has collected of the past couple of years may be of interest to the Civil Society Section in relation to its current consultation</w:t>
      </w:r>
      <w:r w:rsidR="00580D91" w:rsidRPr="00830786">
        <w:rPr>
          <w:sz w:val="22"/>
          <w:szCs w:val="22"/>
        </w:rPr>
        <w:t xml:space="preserve"> on the rights of persons with disabilities – work and employment.</w:t>
      </w:r>
    </w:p>
    <w:p w14:paraId="2188BE68" w14:textId="77777777" w:rsidR="005C1B0F" w:rsidRPr="00830786" w:rsidRDefault="005C1B0F" w:rsidP="002F4A07">
      <w:pPr>
        <w:rPr>
          <w:sz w:val="22"/>
          <w:szCs w:val="22"/>
        </w:rPr>
      </w:pPr>
    </w:p>
    <w:p w14:paraId="15FD6F8E" w14:textId="2441AD3A" w:rsidR="005C1B0F" w:rsidRPr="00830786" w:rsidRDefault="005C1B0F" w:rsidP="002F4A07">
      <w:pPr>
        <w:rPr>
          <w:sz w:val="22"/>
          <w:szCs w:val="22"/>
        </w:rPr>
      </w:pPr>
      <w:r w:rsidRPr="00830786">
        <w:rPr>
          <w:sz w:val="22"/>
          <w:szCs w:val="22"/>
        </w:rPr>
        <w:t>The project has, therefore, extracted from both this, and last, year’</w:t>
      </w:r>
      <w:r w:rsidR="006A4DB3" w:rsidRPr="00830786">
        <w:rPr>
          <w:sz w:val="22"/>
          <w:szCs w:val="22"/>
        </w:rPr>
        <w:t>s Zero Project report</w:t>
      </w:r>
      <w:r w:rsidRPr="00830786">
        <w:rPr>
          <w:sz w:val="22"/>
          <w:szCs w:val="22"/>
        </w:rPr>
        <w:t xml:space="preserve"> all the information</w:t>
      </w:r>
      <w:r w:rsidR="009C40C0" w:rsidRPr="00830786">
        <w:rPr>
          <w:sz w:val="22"/>
          <w:szCs w:val="22"/>
        </w:rPr>
        <w:t>, relating to indicators and</w:t>
      </w:r>
      <w:r w:rsidR="006A4DB3" w:rsidRPr="00830786">
        <w:rPr>
          <w:sz w:val="22"/>
          <w:szCs w:val="22"/>
        </w:rPr>
        <w:t xml:space="preserve"> </w:t>
      </w:r>
      <w:r w:rsidR="009C40C0" w:rsidRPr="00830786">
        <w:rPr>
          <w:sz w:val="22"/>
          <w:szCs w:val="22"/>
        </w:rPr>
        <w:t>Good Practices</w:t>
      </w:r>
      <w:r w:rsidR="006A4DB3" w:rsidRPr="00830786">
        <w:rPr>
          <w:sz w:val="22"/>
          <w:szCs w:val="22"/>
        </w:rPr>
        <w:t xml:space="preserve">, </w:t>
      </w:r>
      <w:r w:rsidRPr="00830786">
        <w:rPr>
          <w:sz w:val="22"/>
          <w:szCs w:val="22"/>
        </w:rPr>
        <w:t xml:space="preserve">that it thinks </w:t>
      </w:r>
      <w:r w:rsidR="00580D91" w:rsidRPr="00830786">
        <w:rPr>
          <w:sz w:val="22"/>
          <w:szCs w:val="22"/>
        </w:rPr>
        <w:t>the OHCHR</w:t>
      </w:r>
      <w:r w:rsidR="006A4DB3" w:rsidRPr="00830786">
        <w:rPr>
          <w:sz w:val="22"/>
          <w:szCs w:val="22"/>
        </w:rPr>
        <w:t xml:space="preserve"> may find</w:t>
      </w:r>
      <w:r w:rsidRPr="00830786">
        <w:rPr>
          <w:sz w:val="22"/>
          <w:szCs w:val="22"/>
        </w:rPr>
        <w:t xml:space="preserve"> relevant in the context of “work and employment”.</w:t>
      </w:r>
      <w:r w:rsidR="006A4DB3" w:rsidRPr="00830786">
        <w:rPr>
          <w:sz w:val="22"/>
          <w:szCs w:val="22"/>
        </w:rPr>
        <w:t xml:space="preserve">  (This is attached as Annex 1.)</w:t>
      </w:r>
    </w:p>
    <w:p w14:paraId="4E477975" w14:textId="77777777" w:rsidR="006A4DB3" w:rsidRPr="00830786" w:rsidRDefault="006A4DB3" w:rsidP="002F4A07">
      <w:pPr>
        <w:rPr>
          <w:sz w:val="22"/>
          <w:szCs w:val="22"/>
        </w:rPr>
      </w:pPr>
    </w:p>
    <w:p w14:paraId="270B4AE8" w14:textId="34C88373" w:rsidR="006A4DB3" w:rsidRPr="00830786" w:rsidRDefault="006A4DB3" w:rsidP="002F4A07">
      <w:pPr>
        <w:rPr>
          <w:sz w:val="22"/>
          <w:szCs w:val="22"/>
        </w:rPr>
      </w:pPr>
      <w:r w:rsidRPr="00830786">
        <w:rPr>
          <w:sz w:val="22"/>
          <w:szCs w:val="22"/>
        </w:rPr>
        <w:t xml:space="preserve">In Annex 2, </w:t>
      </w:r>
      <w:r w:rsidR="00580D91" w:rsidRPr="00830786">
        <w:rPr>
          <w:sz w:val="22"/>
          <w:szCs w:val="22"/>
        </w:rPr>
        <w:t>for its</w:t>
      </w:r>
      <w:r w:rsidR="00B55C43" w:rsidRPr="00830786">
        <w:rPr>
          <w:sz w:val="22"/>
          <w:szCs w:val="22"/>
        </w:rPr>
        <w:t xml:space="preserve"> reference, </w:t>
      </w:r>
      <w:r w:rsidR="00580D91" w:rsidRPr="00830786">
        <w:rPr>
          <w:sz w:val="22"/>
          <w:szCs w:val="22"/>
        </w:rPr>
        <w:t>the OHCHR</w:t>
      </w:r>
      <w:r w:rsidR="00B55C43" w:rsidRPr="00830786">
        <w:rPr>
          <w:sz w:val="22"/>
          <w:szCs w:val="22"/>
        </w:rPr>
        <w:t xml:space="preserve"> will find a copy of the employment questionnaire that was distributed globally over the last couple of months, and to which </w:t>
      </w:r>
      <w:r w:rsidR="00580D91" w:rsidRPr="00830786">
        <w:rPr>
          <w:sz w:val="22"/>
          <w:szCs w:val="22"/>
        </w:rPr>
        <w:t>the project has</w:t>
      </w:r>
      <w:r w:rsidR="00B55C43" w:rsidRPr="00830786">
        <w:rPr>
          <w:sz w:val="22"/>
          <w:szCs w:val="22"/>
        </w:rPr>
        <w:t xml:space="preserve"> already received over 80 replies from around the world.</w:t>
      </w:r>
    </w:p>
    <w:p w14:paraId="456C6923" w14:textId="77777777" w:rsidR="006B00BD" w:rsidRPr="00830786" w:rsidRDefault="006B00BD" w:rsidP="002F4A07">
      <w:pPr>
        <w:rPr>
          <w:sz w:val="22"/>
          <w:szCs w:val="22"/>
        </w:rPr>
      </w:pPr>
    </w:p>
    <w:p w14:paraId="3EBB2000" w14:textId="43EE0FA2" w:rsidR="001527F6" w:rsidRDefault="000E6EB5" w:rsidP="002F4A07">
      <w:pPr>
        <w:rPr>
          <w:sz w:val="22"/>
          <w:szCs w:val="22"/>
        </w:rPr>
      </w:pPr>
      <w:r w:rsidRPr="000E6EB5">
        <w:rPr>
          <w:sz w:val="22"/>
          <w:szCs w:val="22"/>
        </w:rPr>
        <w:t>A copy of the </w:t>
      </w:r>
      <w:r w:rsidRPr="000E6EB5">
        <w:rPr>
          <w:i/>
          <w:iCs/>
          <w:sz w:val="22"/>
          <w:szCs w:val="22"/>
        </w:rPr>
        <w:t>International Study on the Implementation of the UN Convention on the Rights of Persons with Disabilities - Zero Project Report 2012</w:t>
      </w:r>
      <w:r w:rsidRPr="000E6EB5">
        <w:rPr>
          <w:sz w:val="22"/>
          <w:szCs w:val="22"/>
        </w:rPr>
        <w:t xml:space="preserve"> is also attached as a separate document.  (Unfortunately, a copy of the </w:t>
      </w:r>
      <w:r w:rsidRPr="000E6EB5">
        <w:rPr>
          <w:i/>
          <w:iCs/>
          <w:sz w:val="22"/>
          <w:szCs w:val="22"/>
        </w:rPr>
        <w:t>Essl Social Index Pilot Study 2010 – Situation of Persons with Disabilities</w:t>
      </w:r>
      <w:r w:rsidRPr="000E6EB5">
        <w:rPr>
          <w:sz w:val="22"/>
          <w:szCs w:val="22"/>
        </w:rPr>
        <w:t> is too large to attach, a</w:t>
      </w:r>
      <w:r>
        <w:rPr>
          <w:sz w:val="22"/>
          <w:szCs w:val="22"/>
        </w:rPr>
        <w:t>s it gets rejected by your mail</w:t>
      </w:r>
      <w:bookmarkStart w:id="0" w:name="_GoBack"/>
      <w:bookmarkEnd w:id="0"/>
      <w:r w:rsidRPr="000E6EB5">
        <w:rPr>
          <w:sz w:val="22"/>
          <w:szCs w:val="22"/>
        </w:rPr>
        <w:t>server!)</w:t>
      </w:r>
    </w:p>
    <w:p w14:paraId="2A3147B0" w14:textId="77777777" w:rsidR="000E6EB5" w:rsidRPr="00830786" w:rsidRDefault="000E6EB5" w:rsidP="002F4A07">
      <w:pPr>
        <w:rPr>
          <w:sz w:val="22"/>
          <w:szCs w:val="22"/>
        </w:rPr>
      </w:pPr>
    </w:p>
    <w:p w14:paraId="2BC77CEA" w14:textId="65E8AD81" w:rsidR="001527F6" w:rsidRPr="00830786" w:rsidRDefault="001527F6" w:rsidP="002F4A07">
      <w:pPr>
        <w:rPr>
          <w:sz w:val="22"/>
          <w:szCs w:val="22"/>
        </w:rPr>
      </w:pPr>
      <w:r w:rsidRPr="00830786">
        <w:rPr>
          <w:sz w:val="22"/>
          <w:szCs w:val="22"/>
        </w:rPr>
        <w:t xml:space="preserve">Should </w:t>
      </w:r>
      <w:r w:rsidR="00580D91" w:rsidRPr="00830786">
        <w:rPr>
          <w:sz w:val="22"/>
          <w:szCs w:val="22"/>
        </w:rPr>
        <w:t>the OHCHR</w:t>
      </w:r>
      <w:r w:rsidRPr="00830786">
        <w:rPr>
          <w:sz w:val="22"/>
          <w:szCs w:val="22"/>
        </w:rPr>
        <w:t xml:space="preserve"> have any questions on anything, </w:t>
      </w:r>
      <w:r w:rsidR="00580D91" w:rsidRPr="00830786">
        <w:rPr>
          <w:sz w:val="22"/>
          <w:szCs w:val="22"/>
        </w:rPr>
        <w:t>it should</w:t>
      </w:r>
      <w:r w:rsidRPr="00830786">
        <w:rPr>
          <w:sz w:val="22"/>
          <w:szCs w:val="22"/>
        </w:rPr>
        <w:t xml:space="preserve"> feel free to contact either me, here in New York, or my colleague, and Programme Manager at the Essl Foundation, Dr Michael Fembek in Austria (</w:t>
      </w:r>
      <w:hyperlink r:id="rId9" w:history="1">
        <w:r w:rsidRPr="00830786">
          <w:rPr>
            <w:rStyle w:val="Hyperlink"/>
            <w:sz w:val="22"/>
            <w:szCs w:val="22"/>
          </w:rPr>
          <w:t>Michael_Fembek@baumax.com</w:t>
        </w:r>
      </w:hyperlink>
      <w:r w:rsidR="00327858" w:rsidRPr="00830786">
        <w:rPr>
          <w:sz w:val="22"/>
          <w:szCs w:val="22"/>
        </w:rPr>
        <w:t>).</w:t>
      </w:r>
    </w:p>
    <w:p w14:paraId="55499B3C" w14:textId="77777777" w:rsidR="00327858" w:rsidRPr="00830786" w:rsidRDefault="00327858" w:rsidP="002F4A07">
      <w:pPr>
        <w:rPr>
          <w:sz w:val="22"/>
          <w:szCs w:val="22"/>
        </w:rPr>
      </w:pPr>
    </w:p>
    <w:p w14:paraId="20283400" w14:textId="1E87CE5D" w:rsidR="00327858" w:rsidRPr="00830786" w:rsidRDefault="00327858" w:rsidP="002F4A07">
      <w:pPr>
        <w:rPr>
          <w:sz w:val="22"/>
          <w:szCs w:val="22"/>
        </w:rPr>
      </w:pPr>
      <w:r w:rsidRPr="00830786">
        <w:rPr>
          <w:sz w:val="22"/>
          <w:szCs w:val="22"/>
        </w:rPr>
        <w:t xml:space="preserve">Finally, it may interest </w:t>
      </w:r>
      <w:r w:rsidR="00580D91" w:rsidRPr="00830786">
        <w:rPr>
          <w:sz w:val="22"/>
          <w:szCs w:val="22"/>
        </w:rPr>
        <w:t>the OHCHR</w:t>
      </w:r>
      <w:r w:rsidRPr="00830786">
        <w:rPr>
          <w:sz w:val="22"/>
          <w:szCs w:val="22"/>
        </w:rPr>
        <w:t>, also, to note that, in conjunction with the Austrian Foreign Ministry, the Essl Foundation/Zero Project will be organizing a side-event at the Human Rights Council in March 2013.</w:t>
      </w:r>
    </w:p>
    <w:p w14:paraId="0C346A22" w14:textId="77777777" w:rsidR="00327858" w:rsidRPr="00830786" w:rsidRDefault="00327858" w:rsidP="002F4A07">
      <w:pPr>
        <w:rPr>
          <w:sz w:val="22"/>
          <w:szCs w:val="22"/>
        </w:rPr>
      </w:pPr>
    </w:p>
    <w:p w14:paraId="51D84C7A" w14:textId="77777777" w:rsidR="00327858" w:rsidRPr="00830786" w:rsidRDefault="00327858" w:rsidP="002F4A07">
      <w:pPr>
        <w:rPr>
          <w:sz w:val="22"/>
          <w:szCs w:val="22"/>
        </w:rPr>
      </w:pPr>
      <w:r w:rsidRPr="00830786">
        <w:rPr>
          <w:sz w:val="22"/>
          <w:szCs w:val="22"/>
        </w:rPr>
        <w:t>In the meantime, I remain</w:t>
      </w:r>
    </w:p>
    <w:p w14:paraId="3E57BA4C" w14:textId="77777777" w:rsidR="00327858" w:rsidRPr="00830786" w:rsidRDefault="00327858" w:rsidP="002F4A07">
      <w:pPr>
        <w:rPr>
          <w:sz w:val="22"/>
          <w:szCs w:val="22"/>
        </w:rPr>
      </w:pPr>
    </w:p>
    <w:p w14:paraId="4692BD2A" w14:textId="77777777" w:rsidR="00327858" w:rsidRPr="00830786" w:rsidRDefault="00327858" w:rsidP="002F4A07">
      <w:pPr>
        <w:rPr>
          <w:sz w:val="22"/>
          <w:szCs w:val="22"/>
        </w:rPr>
      </w:pPr>
      <w:r w:rsidRPr="00830786">
        <w:rPr>
          <w:sz w:val="22"/>
          <w:szCs w:val="22"/>
        </w:rPr>
        <w:t>Yours faithfully</w:t>
      </w:r>
    </w:p>
    <w:p w14:paraId="0CF167D9" w14:textId="77777777" w:rsidR="00327858" w:rsidRPr="00830786" w:rsidRDefault="00327858" w:rsidP="002F4A07">
      <w:pPr>
        <w:rPr>
          <w:sz w:val="22"/>
          <w:szCs w:val="22"/>
        </w:rPr>
      </w:pPr>
    </w:p>
    <w:p w14:paraId="2429AF60" w14:textId="4B930AC1" w:rsidR="00327858" w:rsidRPr="00830786" w:rsidRDefault="004D36B5" w:rsidP="002F4A07">
      <w:pPr>
        <w:rPr>
          <w:sz w:val="22"/>
          <w:szCs w:val="22"/>
        </w:rPr>
      </w:pPr>
      <w:r w:rsidRPr="00830786">
        <w:rPr>
          <w:noProof/>
          <w:sz w:val="22"/>
          <w:szCs w:val="22"/>
        </w:rPr>
        <w:drawing>
          <wp:inline distT="0" distB="0" distL="0" distR="0" wp14:anchorId="6310634E" wp14:editId="377AFB89">
            <wp:extent cx="1651635" cy="7936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omas H Butcher.tiff"/>
                    <pic:cNvPicPr/>
                  </pic:nvPicPr>
                  <pic:blipFill>
                    <a:blip r:embed="rId10">
                      <a:extLst>
                        <a:ext uri="{28A0092B-C50C-407E-A947-70E740481C1C}">
                          <a14:useLocalDpi xmlns:a14="http://schemas.microsoft.com/office/drawing/2010/main" val="0"/>
                        </a:ext>
                      </a:extLst>
                    </a:blip>
                    <a:stretch>
                      <a:fillRect/>
                    </a:stretch>
                  </pic:blipFill>
                  <pic:spPr>
                    <a:xfrm>
                      <a:off x="0" y="0"/>
                      <a:ext cx="1652570" cy="794093"/>
                    </a:xfrm>
                    <a:prstGeom prst="rect">
                      <a:avLst/>
                    </a:prstGeom>
                  </pic:spPr>
                </pic:pic>
              </a:graphicData>
            </a:graphic>
          </wp:inline>
        </w:drawing>
      </w:r>
    </w:p>
    <w:p w14:paraId="73AE94EF" w14:textId="77777777" w:rsidR="00327858" w:rsidRPr="00830786" w:rsidRDefault="00327858" w:rsidP="002F4A07">
      <w:pPr>
        <w:rPr>
          <w:sz w:val="22"/>
          <w:szCs w:val="22"/>
        </w:rPr>
      </w:pPr>
    </w:p>
    <w:p w14:paraId="24771E89" w14:textId="0B949D59" w:rsidR="00327858" w:rsidRPr="00830786" w:rsidRDefault="00327858" w:rsidP="002F4A07">
      <w:pPr>
        <w:rPr>
          <w:b/>
          <w:sz w:val="22"/>
          <w:szCs w:val="22"/>
        </w:rPr>
      </w:pPr>
      <w:r w:rsidRPr="00830786">
        <w:rPr>
          <w:b/>
          <w:sz w:val="22"/>
          <w:szCs w:val="22"/>
        </w:rPr>
        <w:t xml:space="preserve">Thomas H Butcher </w:t>
      </w:r>
    </w:p>
    <w:p w14:paraId="7F7107D3" w14:textId="12714154" w:rsidR="006A4DB3" w:rsidRPr="00830786" w:rsidRDefault="000B493B" w:rsidP="002F4A07">
      <w:pPr>
        <w:rPr>
          <w:sz w:val="22"/>
          <w:szCs w:val="22"/>
        </w:rPr>
      </w:pPr>
      <w:r w:rsidRPr="00830786">
        <w:rPr>
          <w:sz w:val="22"/>
          <w:szCs w:val="22"/>
        </w:rPr>
        <w:t>(</w:t>
      </w:r>
      <w:r w:rsidRPr="00830786">
        <w:rPr>
          <w:sz w:val="22"/>
          <w:szCs w:val="22"/>
          <w:lang w:val="en-GB"/>
        </w:rPr>
        <w:t>Representative of the Essl Foundation in New York, USA)</w:t>
      </w:r>
    </w:p>
    <w:p w14:paraId="3BAB9481" w14:textId="77777777" w:rsidR="00920B61" w:rsidRPr="00830786" w:rsidRDefault="00920B61" w:rsidP="002F4A07">
      <w:pPr>
        <w:rPr>
          <w:sz w:val="22"/>
          <w:szCs w:val="22"/>
        </w:rPr>
      </w:pPr>
    </w:p>
    <w:p w14:paraId="526D8300" w14:textId="65815BD6" w:rsidR="006A4DB3" w:rsidRPr="00830786" w:rsidRDefault="00A06A90" w:rsidP="002F4A07">
      <w:pPr>
        <w:rPr>
          <w:sz w:val="22"/>
          <w:szCs w:val="22"/>
        </w:rPr>
      </w:pPr>
      <w:r w:rsidRPr="00830786">
        <w:rPr>
          <w:sz w:val="22"/>
          <w:szCs w:val="22"/>
        </w:rPr>
        <w:t>160 East 89</w:t>
      </w:r>
      <w:r w:rsidRPr="00830786">
        <w:rPr>
          <w:sz w:val="22"/>
          <w:szCs w:val="22"/>
          <w:vertAlign w:val="superscript"/>
        </w:rPr>
        <w:t>th</w:t>
      </w:r>
      <w:r w:rsidRPr="00830786">
        <w:rPr>
          <w:sz w:val="22"/>
          <w:szCs w:val="22"/>
        </w:rPr>
        <w:t xml:space="preserve"> Street, #7D</w:t>
      </w:r>
    </w:p>
    <w:p w14:paraId="08A2B834" w14:textId="3D5AF4B3" w:rsidR="00A06A90" w:rsidRPr="00830786" w:rsidRDefault="00A06A90" w:rsidP="002F4A07">
      <w:pPr>
        <w:rPr>
          <w:sz w:val="22"/>
          <w:szCs w:val="22"/>
        </w:rPr>
      </w:pPr>
      <w:r w:rsidRPr="00830786">
        <w:rPr>
          <w:sz w:val="22"/>
          <w:szCs w:val="22"/>
        </w:rPr>
        <w:t>New York, NY 10128-2307</w:t>
      </w:r>
    </w:p>
    <w:p w14:paraId="2EACFC62" w14:textId="406CECC9" w:rsidR="00A06A90" w:rsidRPr="00830786" w:rsidRDefault="00920B61" w:rsidP="002F4A07">
      <w:pPr>
        <w:rPr>
          <w:sz w:val="22"/>
          <w:szCs w:val="22"/>
        </w:rPr>
      </w:pPr>
      <w:r w:rsidRPr="00830786">
        <w:rPr>
          <w:sz w:val="22"/>
          <w:szCs w:val="22"/>
        </w:rPr>
        <w:t>USA</w:t>
      </w:r>
    </w:p>
    <w:p w14:paraId="6B1F52D6" w14:textId="7D4C8824" w:rsidR="009554FF" w:rsidRDefault="00920B61" w:rsidP="002F4A07">
      <w:pPr>
        <w:rPr>
          <w:sz w:val="22"/>
          <w:szCs w:val="22"/>
        </w:rPr>
      </w:pPr>
      <w:r w:rsidRPr="00830786">
        <w:rPr>
          <w:sz w:val="22"/>
          <w:szCs w:val="22"/>
        </w:rPr>
        <w:t>Tel: +1 212 289-4144</w:t>
      </w:r>
      <w:r w:rsidR="000B493B" w:rsidRPr="00830786">
        <w:rPr>
          <w:sz w:val="22"/>
          <w:szCs w:val="22"/>
        </w:rPr>
        <w:t xml:space="preserve">  eMail: </w:t>
      </w:r>
      <w:hyperlink r:id="rId11" w:history="1">
        <w:r w:rsidR="00580D91" w:rsidRPr="00830786">
          <w:rPr>
            <w:rStyle w:val="Hyperlink"/>
            <w:sz w:val="22"/>
            <w:szCs w:val="22"/>
          </w:rPr>
          <w:t>tombutcheresi@gmail.com</w:t>
        </w:r>
      </w:hyperlink>
      <w:r w:rsidR="00580D91" w:rsidRPr="00830786">
        <w:rPr>
          <w:sz w:val="22"/>
          <w:szCs w:val="22"/>
        </w:rPr>
        <w:t xml:space="preserve"> / </w:t>
      </w:r>
      <w:hyperlink r:id="rId12" w:history="1">
        <w:r w:rsidR="009554FF" w:rsidRPr="00C556EE">
          <w:rPr>
            <w:rStyle w:val="Hyperlink"/>
            <w:sz w:val="22"/>
            <w:szCs w:val="22"/>
          </w:rPr>
          <w:t>thbutcher@mac.com</w:t>
        </w:r>
      </w:hyperlink>
    </w:p>
    <w:p w14:paraId="1D6F2AB2" w14:textId="77777777" w:rsidR="009554FF" w:rsidRDefault="009554FF">
      <w:pPr>
        <w:rPr>
          <w:sz w:val="22"/>
          <w:szCs w:val="22"/>
        </w:rPr>
      </w:pPr>
      <w:r>
        <w:rPr>
          <w:sz w:val="22"/>
          <w:szCs w:val="22"/>
        </w:rPr>
        <w:br w:type="page"/>
      </w:r>
    </w:p>
    <w:p w14:paraId="7C0FBC6B" w14:textId="77777777" w:rsidR="009554FF" w:rsidRDefault="009554FF" w:rsidP="009554FF">
      <w:r w:rsidRPr="00FA4893">
        <w:rPr>
          <w:b/>
        </w:rPr>
        <w:t>ANNEX I</w:t>
      </w:r>
      <w:r>
        <w:rPr>
          <w:b/>
        </w:rPr>
        <w:t xml:space="preserve"> Contents</w:t>
      </w:r>
    </w:p>
    <w:p w14:paraId="02BC5215" w14:textId="77777777" w:rsidR="009554FF" w:rsidRDefault="009554FF" w:rsidP="009554FF"/>
    <w:p w14:paraId="0DA590D3" w14:textId="77777777" w:rsidR="009554FF" w:rsidRPr="00413E42" w:rsidRDefault="009554FF" w:rsidP="009554FF">
      <w:pPr>
        <w:rPr>
          <w:u w:val="single"/>
        </w:rPr>
      </w:pPr>
      <w:r w:rsidRPr="00413E42">
        <w:rPr>
          <w:b/>
          <w:i/>
          <w:u w:val="single"/>
        </w:rPr>
        <w:t>Essl Social Index Pilot Study 2010 – Situation of Persons with Disabilities</w:t>
      </w:r>
    </w:p>
    <w:p w14:paraId="23B1B40A" w14:textId="77777777" w:rsidR="009554FF" w:rsidRDefault="009554FF" w:rsidP="009554FF"/>
    <w:p w14:paraId="7354B5C0" w14:textId="77777777" w:rsidR="009554FF" w:rsidRPr="00413E42" w:rsidRDefault="009554FF" w:rsidP="009554FF">
      <w:r w:rsidRPr="00413E42">
        <w:t xml:space="preserve">Question/Indicator Nr. 34 (Article 27 – Work and Employment) </w:t>
      </w:r>
      <w:r>
        <w:t xml:space="preserve">– </w:t>
      </w:r>
      <w:r w:rsidRPr="00DA7926">
        <w:rPr>
          <w:i/>
        </w:rPr>
        <w:t>Right to Assistance in the Workplac</w:t>
      </w:r>
      <w:r>
        <w:t xml:space="preserve">e (Report </w:t>
      </w:r>
      <w:r w:rsidRPr="00413E42">
        <w:t>Page 86</w:t>
      </w:r>
      <w:r>
        <w:t>)</w:t>
      </w:r>
    </w:p>
    <w:p w14:paraId="13CD89F4" w14:textId="77777777" w:rsidR="009554FF" w:rsidRDefault="009554FF" w:rsidP="009554FF"/>
    <w:p w14:paraId="4F320B37" w14:textId="77777777" w:rsidR="009554FF" w:rsidRPr="00413E42" w:rsidRDefault="009554FF" w:rsidP="009554FF">
      <w:r w:rsidRPr="00413E42">
        <w:t xml:space="preserve">Question/Indicator Nr. 35 (Article 27 – Work and Employment) – </w:t>
      </w:r>
      <w:r>
        <w:rPr>
          <w:i/>
        </w:rPr>
        <w:t xml:space="preserve">State Employment of Persons with Disabilities </w:t>
      </w:r>
      <w:r w:rsidRPr="00DA7926">
        <w:t>(</w:t>
      </w:r>
      <w:r>
        <w:t xml:space="preserve">Report </w:t>
      </w:r>
      <w:r w:rsidRPr="00413E42">
        <w:t>Page 88</w:t>
      </w:r>
      <w:r>
        <w:t>)</w:t>
      </w:r>
    </w:p>
    <w:p w14:paraId="4DE511F3" w14:textId="77777777" w:rsidR="009554FF" w:rsidRPr="00413E42" w:rsidRDefault="009554FF" w:rsidP="009554FF"/>
    <w:p w14:paraId="67EE705D" w14:textId="77777777" w:rsidR="009554FF" w:rsidRPr="00413E42" w:rsidRDefault="009554FF" w:rsidP="009554FF">
      <w:r w:rsidRPr="00413E42">
        <w:t xml:space="preserve">Question/Indicator Nr. 36 (Article 27 – Work and Employment) – </w:t>
      </w:r>
      <w:r>
        <w:rPr>
          <w:i/>
        </w:rPr>
        <w:t xml:space="preserve">Number of Employees with Disabilities </w:t>
      </w:r>
      <w:r>
        <w:t xml:space="preserve">(Report </w:t>
      </w:r>
      <w:r w:rsidRPr="00413E42">
        <w:t>Page 90</w:t>
      </w:r>
      <w:r>
        <w:t>)</w:t>
      </w:r>
    </w:p>
    <w:p w14:paraId="41599EDD" w14:textId="77777777" w:rsidR="009554FF" w:rsidRPr="00413E42" w:rsidRDefault="009554FF" w:rsidP="009554FF"/>
    <w:p w14:paraId="26306086" w14:textId="77777777" w:rsidR="009554FF" w:rsidRPr="00413E42" w:rsidRDefault="009554FF" w:rsidP="009554FF">
      <w:r w:rsidRPr="00413E42">
        <w:t xml:space="preserve">Question/Indicator Nr. 37 (Article 27 – Work and Employment) – </w:t>
      </w:r>
      <w:r>
        <w:rPr>
          <w:i/>
        </w:rPr>
        <w:t xml:space="preserve">Opportunities to Finish Vocational Education </w:t>
      </w:r>
      <w:r>
        <w:t xml:space="preserve">(Report </w:t>
      </w:r>
      <w:r w:rsidRPr="00413E42">
        <w:t>Page 92</w:t>
      </w:r>
      <w:r>
        <w:t>)</w:t>
      </w:r>
    </w:p>
    <w:p w14:paraId="28F3BF29" w14:textId="77777777" w:rsidR="009554FF" w:rsidRPr="00413E42" w:rsidRDefault="009554FF" w:rsidP="009554FF"/>
    <w:p w14:paraId="29F95080" w14:textId="77777777" w:rsidR="009554FF" w:rsidRPr="00413E42" w:rsidRDefault="009554FF" w:rsidP="009554FF">
      <w:r w:rsidRPr="00413E42">
        <w:t xml:space="preserve">Question/Indicator Nr. 42 (Article 31 – Statistics and Data Collection) – </w:t>
      </w:r>
      <w:r>
        <w:rPr>
          <w:i/>
        </w:rPr>
        <w:t xml:space="preserve">Statistics on Education and </w:t>
      </w:r>
      <w:r w:rsidRPr="00DA7926">
        <w:t>Employment</w:t>
      </w:r>
      <w:r>
        <w:t xml:space="preserve"> (Report </w:t>
      </w:r>
      <w:r w:rsidRPr="00DA7926">
        <w:t>Page</w:t>
      </w:r>
      <w:r w:rsidRPr="00413E42">
        <w:t xml:space="preserve"> 102</w:t>
      </w:r>
      <w:r>
        <w:t>)</w:t>
      </w:r>
    </w:p>
    <w:p w14:paraId="5C9218B6" w14:textId="77777777" w:rsidR="009554FF" w:rsidRPr="00413E42" w:rsidRDefault="009554FF" w:rsidP="009554FF"/>
    <w:p w14:paraId="6BCAF2A1" w14:textId="77777777" w:rsidR="009554FF" w:rsidRPr="00413E42" w:rsidRDefault="009554FF" w:rsidP="009554FF">
      <w:r w:rsidRPr="00413E42">
        <w:rPr>
          <w:bCs/>
        </w:rPr>
        <w:t xml:space="preserve">Good Practice Example – </w:t>
      </w:r>
      <w:r>
        <w:rPr>
          <w:bCs/>
          <w:i/>
        </w:rPr>
        <w:t xml:space="preserve">Jobs for Autistic </w:t>
      </w:r>
      <w:r w:rsidRPr="00DA7926">
        <w:rPr>
          <w:bCs/>
        </w:rPr>
        <w:t>Persons</w:t>
      </w:r>
      <w:r>
        <w:rPr>
          <w:bCs/>
        </w:rPr>
        <w:t xml:space="preserve"> (Report </w:t>
      </w:r>
      <w:r w:rsidRPr="00DA7926">
        <w:rPr>
          <w:bCs/>
        </w:rPr>
        <w:t>Page</w:t>
      </w:r>
      <w:r w:rsidRPr="00413E42">
        <w:rPr>
          <w:bCs/>
        </w:rPr>
        <w:t xml:space="preserve"> 132</w:t>
      </w:r>
      <w:r>
        <w:rPr>
          <w:bCs/>
        </w:rPr>
        <w:t>)</w:t>
      </w:r>
    </w:p>
    <w:p w14:paraId="63CAF5A2" w14:textId="77777777" w:rsidR="009554FF" w:rsidRDefault="009554FF" w:rsidP="009554FF">
      <w:pPr>
        <w:rPr>
          <w:bCs/>
        </w:rPr>
      </w:pPr>
    </w:p>
    <w:p w14:paraId="7C3E3E76" w14:textId="77777777" w:rsidR="009554FF" w:rsidRPr="00A719A0" w:rsidRDefault="009554FF" w:rsidP="009554FF"/>
    <w:p w14:paraId="7AEF234F" w14:textId="77777777" w:rsidR="009554FF" w:rsidRPr="00413E42" w:rsidRDefault="009554FF" w:rsidP="009554FF">
      <w:pPr>
        <w:rPr>
          <w:b/>
          <w:bCs/>
          <w:i/>
          <w:u w:val="single"/>
        </w:rPr>
      </w:pPr>
      <w:r w:rsidRPr="00413E42">
        <w:rPr>
          <w:b/>
          <w:bCs/>
          <w:i/>
          <w:u w:val="single"/>
        </w:rPr>
        <w:t>International Study on the Implementation of the UN Convention on the Rights of Persons with Disabilities - Zero Project Report 2012</w:t>
      </w:r>
    </w:p>
    <w:p w14:paraId="432A8403" w14:textId="77777777" w:rsidR="009554FF" w:rsidRPr="005D31C2" w:rsidRDefault="009554FF" w:rsidP="009554FF">
      <w:pPr>
        <w:rPr>
          <w:b/>
          <w:bCs/>
          <w:i/>
        </w:rPr>
      </w:pPr>
    </w:p>
    <w:p w14:paraId="511739BC" w14:textId="77777777" w:rsidR="009554FF" w:rsidRPr="00413E42" w:rsidRDefault="009554FF" w:rsidP="009554FF">
      <w:r w:rsidRPr="00413E42">
        <w:t xml:space="preserve">Question/Indicator Nr. 14 (Article 27 – Work and Employment) – </w:t>
      </w:r>
      <w:r>
        <w:rPr>
          <w:i/>
        </w:rPr>
        <w:t xml:space="preserve">Accommodations in the </w:t>
      </w:r>
      <w:r w:rsidRPr="0076373B">
        <w:t>Workplace</w:t>
      </w:r>
      <w:r>
        <w:t xml:space="preserve"> (Report </w:t>
      </w:r>
      <w:r w:rsidRPr="0076373B">
        <w:t>Page</w:t>
      </w:r>
      <w:r w:rsidRPr="00413E42">
        <w:t xml:space="preserve"> 58</w:t>
      </w:r>
      <w:r>
        <w:t>)</w:t>
      </w:r>
    </w:p>
    <w:p w14:paraId="030EC88D" w14:textId="77777777" w:rsidR="009554FF" w:rsidRPr="00413E42" w:rsidRDefault="009554FF" w:rsidP="009554FF"/>
    <w:p w14:paraId="6930883C" w14:textId="77777777" w:rsidR="009554FF" w:rsidRPr="00413E42" w:rsidRDefault="009554FF" w:rsidP="009554FF">
      <w:r w:rsidRPr="00413E42">
        <w:t xml:space="preserve">Question/Indicator Nr. 15 (Article 27 – Work and Employment) – </w:t>
      </w:r>
      <w:r>
        <w:rPr>
          <w:i/>
        </w:rPr>
        <w:t xml:space="preserve">State Employment of Persons with Disabilities </w:t>
      </w:r>
      <w:r>
        <w:t xml:space="preserve">(Report </w:t>
      </w:r>
      <w:r w:rsidRPr="00413E42">
        <w:t>Page 60</w:t>
      </w:r>
      <w:r>
        <w:t>)</w:t>
      </w:r>
    </w:p>
    <w:p w14:paraId="05E75CCA" w14:textId="77777777" w:rsidR="009554FF" w:rsidRPr="00413E42" w:rsidRDefault="009554FF" w:rsidP="009554FF"/>
    <w:p w14:paraId="17DF6696" w14:textId="77777777" w:rsidR="009554FF" w:rsidRPr="00413E42" w:rsidRDefault="009554FF" w:rsidP="009554FF">
      <w:r w:rsidRPr="00413E42">
        <w:t xml:space="preserve">Question/Indicator Nr. 19 (Article 31 – Statistics and Data Collection) – </w:t>
      </w:r>
      <w:r>
        <w:rPr>
          <w:i/>
        </w:rPr>
        <w:t xml:space="preserve">Number of Employees with Disabilities </w:t>
      </w:r>
      <w:r>
        <w:t xml:space="preserve">(Report </w:t>
      </w:r>
      <w:r w:rsidRPr="00413E42">
        <w:t>Page 68</w:t>
      </w:r>
      <w:r>
        <w:t>)</w:t>
      </w:r>
    </w:p>
    <w:p w14:paraId="706F3A9E" w14:textId="77777777" w:rsidR="009554FF" w:rsidRPr="00413E42" w:rsidRDefault="009554FF" w:rsidP="009554FF"/>
    <w:p w14:paraId="7628AD17" w14:textId="77777777" w:rsidR="009554FF" w:rsidRDefault="009554FF" w:rsidP="009554FF">
      <w:r w:rsidRPr="00413E42">
        <w:t>Good Practice Examples</w:t>
      </w:r>
    </w:p>
    <w:p w14:paraId="11854890" w14:textId="77777777" w:rsidR="009554FF" w:rsidRPr="00BE7233" w:rsidRDefault="009554FF" w:rsidP="009554FF">
      <w:pPr>
        <w:pStyle w:val="ListParagraph"/>
        <w:numPr>
          <w:ilvl w:val="0"/>
          <w:numId w:val="1"/>
        </w:numPr>
      </w:pPr>
      <w:r>
        <w:rPr>
          <w:i/>
        </w:rPr>
        <w:t>Inclusive Job Platform</w:t>
      </w:r>
    </w:p>
    <w:p w14:paraId="413D83DF" w14:textId="77777777" w:rsidR="009554FF" w:rsidRPr="00BE7233" w:rsidRDefault="009554FF" w:rsidP="009554FF">
      <w:pPr>
        <w:pStyle w:val="ListParagraph"/>
        <w:numPr>
          <w:ilvl w:val="0"/>
          <w:numId w:val="1"/>
        </w:numPr>
      </w:pPr>
      <w:r>
        <w:rPr>
          <w:i/>
        </w:rPr>
        <w:t>Jobs for Persons with Psychosocial Disabilities</w:t>
      </w:r>
    </w:p>
    <w:p w14:paraId="6FF8C765" w14:textId="77777777" w:rsidR="009554FF" w:rsidRPr="00BE7233" w:rsidRDefault="009554FF" w:rsidP="009554FF">
      <w:pPr>
        <w:pStyle w:val="ListParagraph"/>
        <w:numPr>
          <w:ilvl w:val="0"/>
          <w:numId w:val="1"/>
        </w:numPr>
      </w:pPr>
      <w:r>
        <w:rPr>
          <w:i/>
        </w:rPr>
        <w:t>Equal Employment Opportunities</w:t>
      </w:r>
    </w:p>
    <w:p w14:paraId="36064F2D" w14:textId="77777777" w:rsidR="009554FF" w:rsidRPr="00BE7233" w:rsidRDefault="009554FF" w:rsidP="009554FF">
      <w:pPr>
        <w:pStyle w:val="ListParagraph"/>
        <w:numPr>
          <w:ilvl w:val="0"/>
          <w:numId w:val="1"/>
        </w:numPr>
      </w:pPr>
      <w:r>
        <w:rPr>
          <w:i/>
        </w:rPr>
        <w:t>Blind Women Detect Breast Cancer</w:t>
      </w:r>
    </w:p>
    <w:p w14:paraId="2B1830F7" w14:textId="77777777" w:rsidR="009554FF" w:rsidRPr="00BE7233" w:rsidRDefault="009554FF" w:rsidP="009554FF">
      <w:pPr>
        <w:pStyle w:val="ListParagraph"/>
        <w:numPr>
          <w:ilvl w:val="0"/>
          <w:numId w:val="1"/>
        </w:numPr>
      </w:pPr>
      <w:r>
        <w:rPr>
          <w:i/>
        </w:rPr>
        <w:t>Dialogue Social Enterprise</w:t>
      </w:r>
    </w:p>
    <w:p w14:paraId="5A1B2F5F" w14:textId="77777777" w:rsidR="009554FF" w:rsidRDefault="009554FF" w:rsidP="009554FF">
      <w:pPr>
        <w:pStyle w:val="ListParagraph"/>
        <w:numPr>
          <w:ilvl w:val="0"/>
          <w:numId w:val="1"/>
        </w:numPr>
      </w:pPr>
      <w:r>
        <w:rPr>
          <w:i/>
        </w:rPr>
        <w:t>Supporting Persons Finding Employment</w:t>
      </w:r>
    </w:p>
    <w:p w14:paraId="0AB3BD43" w14:textId="2C706060" w:rsidR="009554FF" w:rsidRDefault="009554FF" w:rsidP="009554FF">
      <w:r>
        <w:t xml:space="preserve">(Report </w:t>
      </w:r>
      <w:r w:rsidRPr="00413E42">
        <w:t>Pages 120-</w:t>
      </w:r>
      <w:r>
        <w:t>131)</w:t>
      </w:r>
    </w:p>
    <w:p w14:paraId="7545015F" w14:textId="77777777" w:rsidR="009554FF" w:rsidRDefault="009554FF" w:rsidP="009554FF">
      <w:pPr>
        <w:jc w:val="center"/>
      </w:pPr>
    </w:p>
    <w:p w14:paraId="03838DBE" w14:textId="77777777" w:rsidR="009554FF" w:rsidRDefault="009554FF" w:rsidP="009554FF">
      <w:pPr>
        <w:jc w:val="center"/>
      </w:pPr>
      <w:r>
        <w:t>----------//----------</w:t>
      </w:r>
    </w:p>
    <w:p w14:paraId="68E15730" w14:textId="77777777" w:rsidR="009554FF" w:rsidRDefault="009554FF" w:rsidP="009554FF">
      <w:r w:rsidRPr="0023346D">
        <w:t xml:space="preserve"> </w:t>
      </w:r>
    </w:p>
    <w:p w14:paraId="4A116182" w14:textId="73529451" w:rsidR="00920B61" w:rsidRPr="009554FF" w:rsidRDefault="009554FF" w:rsidP="002F4A07">
      <w:pPr>
        <w:rPr>
          <w:b/>
          <w:i/>
        </w:rPr>
      </w:pPr>
      <w:r w:rsidRPr="009554FF">
        <w:rPr>
          <w:b/>
          <w:i/>
        </w:rPr>
        <w:t>Description of “Traffic Light” methodology from Zero Project Report 2012</w:t>
      </w:r>
    </w:p>
    <w:sectPr w:rsidR="00920B61" w:rsidRPr="009554FF" w:rsidSect="00DC741A">
      <w:headerReference w:type="default" r:id="rId13"/>
      <w:footerReference w:type="even" r:id="rId14"/>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80514" w14:textId="77777777" w:rsidR="00EB06AB" w:rsidRDefault="00EB06AB" w:rsidP="00912453">
      <w:r>
        <w:separator/>
      </w:r>
    </w:p>
  </w:endnote>
  <w:endnote w:type="continuationSeparator" w:id="0">
    <w:p w14:paraId="0347EC59" w14:textId="77777777" w:rsidR="00EB06AB" w:rsidRDefault="00EB06AB" w:rsidP="0091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ochin">
    <w:panose1 w:val="02000603020000020003"/>
    <w:charset w:val="00"/>
    <w:family w:val="auto"/>
    <w:pitch w:val="variable"/>
    <w:sig w:usb0="800002FF" w:usb1="4000004A" w:usb2="00000000" w:usb3="00000000" w:csb0="00000007"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46FAE" w14:textId="77777777" w:rsidR="00EB06AB" w:rsidRDefault="00EB06AB" w:rsidP="00D1141E">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26DFE61" w14:textId="77777777" w:rsidR="00EB06AB" w:rsidRDefault="00EB06AB" w:rsidP="00D1141E">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D5902" w14:textId="77777777" w:rsidR="00EB06AB" w:rsidRDefault="00EB06AB" w:rsidP="00D1141E">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E6EB5">
      <w:rPr>
        <w:rStyle w:val="PageNumber"/>
        <w:noProof/>
      </w:rPr>
      <w:t>1</w:t>
    </w:r>
    <w:r>
      <w:rPr>
        <w:rStyle w:val="PageNumber"/>
      </w:rPr>
      <w:fldChar w:fldCharType="end"/>
    </w:r>
  </w:p>
  <w:p w14:paraId="5E04DA32" w14:textId="77777777" w:rsidR="00EB06AB" w:rsidRPr="00E64F4F" w:rsidRDefault="00EB06AB" w:rsidP="00D1141E">
    <w:pPr>
      <w:pStyle w:val="Footer"/>
      <w:ind w:firstLine="360"/>
    </w:pPr>
    <w:r w:rsidRPr="00E64F4F">
      <w:rPr>
        <w:noProof/>
      </w:rPr>
      <w:drawing>
        <wp:anchor distT="0" distB="0" distL="114300" distR="114300" simplePos="0" relativeHeight="251660288" behindDoc="0" locked="0" layoutInCell="1" allowOverlap="1" wp14:anchorId="62B4DC8D" wp14:editId="1AE358E5">
          <wp:simplePos x="0" y="0"/>
          <wp:positionH relativeFrom="margin">
            <wp:posOffset>4966335</wp:posOffset>
          </wp:positionH>
          <wp:positionV relativeFrom="paragraph">
            <wp:posOffset>-165735</wp:posOffset>
          </wp:positionV>
          <wp:extent cx="965200" cy="534035"/>
          <wp:effectExtent l="0" t="0" r="0" b="0"/>
          <wp:wrapThrough wrapText="bothSides">
            <wp:wrapPolygon edited="0">
              <wp:start x="0" y="0"/>
              <wp:lineTo x="0" y="20547"/>
              <wp:lineTo x="21032" y="20547"/>
              <wp:lineTo x="21032"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5340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719C6" w14:textId="77777777" w:rsidR="00EB06AB" w:rsidRDefault="00EB06AB" w:rsidP="00912453">
      <w:r>
        <w:separator/>
      </w:r>
    </w:p>
  </w:footnote>
  <w:footnote w:type="continuationSeparator" w:id="0">
    <w:p w14:paraId="74C9CABB" w14:textId="77777777" w:rsidR="00EB06AB" w:rsidRDefault="00EB06AB" w:rsidP="009124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D129E" w14:textId="77777777" w:rsidR="00EB06AB" w:rsidRDefault="00EB06AB">
    <w:pPr>
      <w:pStyle w:val="Header"/>
    </w:pPr>
    <w:r>
      <w:rPr>
        <w:noProof/>
      </w:rPr>
      <w:drawing>
        <wp:anchor distT="0" distB="0" distL="114300" distR="114300" simplePos="0" relativeHeight="251658240" behindDoc="0" locked="0" layoutInCell="1" allowOverlap="1" wp14:anchorId="2725F5DF" wp14:editId="606B410D">
          <wp:simplePos x="0" y="0"/>
          <wp:positionH relativeFrom="margin">
            <wp:align>center</wp:align>
          </wp:positionH>
          <wp:positionV relativeFrom="margin">
            <wp:posOffset>-752475</wp:posOffset>
          </wp:positionV>
          <wp:extent cx="2484755" cy="579755"/>
          <wp:effectExtent l="0" t="0" r="4445" b="4445"/>
          <wp:wrapThrough wrapText="bothSides">
            <wp:wrapPolygon edited="0">
              <wp:start x="0" y="0"/>
              <wp:lineTo x="0" y="20819"/>
              <wp:lineTo x="21418" y="20819"/>
              <wp:lineTo x="21418" y="0"/>
              <wp:lineTo x="0" y="0"/>
            </wp:wrapPolygon>
          </wp:wrapThrough>
          <wp:docPr id="8" name="Picture 8" descr="LOGO ZERO PROJECT gruen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OGO ZERO PROJECT gruen 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755" cy="579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0524D"/>
    <w:multiLevelType w:val="hybridMultilevel"/>
    <w:tmpl w:val="4A364B0A"/>
    <w:lvl w:ilvl="0" w:tplc="46187C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E49"/>
    <w:rsid w:val="00000E7E"/>
    <w:rsid w:val="0000463B"/>
    <w:rsid w:val="000154FF"/>
    <w:rsid w:val="0004056A"/>
    <w:rsid w:val="000440A2"/>
    <w:rsid w:val="00051937"/>
    <w:rsid w:val="00055792"/>
    <w:rsid w:val="0007353C"/>
    <w:rsid w:val="0007435F"/>
    <w:rsid w:val="000914A4"/>
    <w:rsid w:val="0009251C"/>
    <w:rsid w:val="000A0B44"/>
    <w:rsid w:val="000B493B"/>
    <w:rsid w:val="000C468C"/>
    <w:rsid w:val="000D466D"/>
    <w:rsid w:val="000E1CDC"/>
    <w:rsid w:val="000E6EB5"/>
    <w:rsid w:val="00123BB7"/>
    <w:rsid w:val="0012687C"/>
    <w:rsid w:val="0013373A"/>
    <w:rsid w:val="001527F6"/>
    <w:rsid w:val="00153752"/>
    <w:rsid w:val="001576F7"/>
    <w:rsid w:val="001609F8"/>
    <w:rsid w:val="00171A6B"/>
    <w:rsid w:val="00185D62"/>
    <w:rsid w:val="00186466"/>
    <w:rsid w:val="0019521E"/>
    <w:rsid w:val="001A0687"/>
    <w:rsid w:val="001A2E94"/>
    <w:rsid w:val="001B11E8"/>
    <w:rsid w:val="001D6700"/>
    <w:rsid w:val="00215AC5"/>
    <w:rsid w:val="00216672"/>
    <w:rsid w:val="002254B0"/>
    <w:rsid w:val="00234830"/>
    <w:rsid w:val="002405C6"/>
    <w:rsid w:val="00243F9E"/>
    <w:rsid w:val="00246058"/>
    <w:rsid w:val="00254BC5"/>
    <w:rsid w:val="002568D1"/>
    <w:rsid w:val="002619E2"/>
    <w:rsid w:val="0027326A"/>
    <w:rsid w:val="00283CAD"/>
    <w:rsid w:val="002B13F2"/>
    <w:rsid w:val="002B5A74"/>
    <w:rsid w:val="002B6E5B"/>
    <w:rsid w:val="002C3DFE"/>
    <w:rsid w:val="002D7ADC"/>
    <w:rsid w:val="002D7F5B"/>
    <w:rsid w:val="002E71B9"/>
    <w:rsid w:val="002F4A07"/>
    <w:rsid w:val="003218F6"/>
    <w:rsid w:val="00327858"/>
    <w:rsid w:val="0034004C"/>
    <w:rsid w:val="00340CD2"/>
    <w:rsid w:val="0034561D"/>
    <w:rsid w:val="00352129"/>
    <w:rsid w:val="00354629"/>
    <w:rsid w:val="003552E8"/>
    <w:rsid w:val="003708AB"/>
    <w:rsid w:val="00370BB1"/>
    <w:rsid w:val="00380EC4"/>
    <w:rsid w:val="003B020F"/>
    <w:rsid w:val="003D3E45"/>
    <w:rsid w:val="003F7A02"/>
    <w:rsid w:val="0040178E"/>
    <w:rsid w:val="00415F09"/>
    <w:rsid w:val="0042094A"/>
    <w:rsid w:val="004439F5"/>
    <w:rsid w:val="00466845"/>
    <w:rsid w:val="00475640"/>
    <w:rsid w:val="00484802"/>
    <w:rsid w:val="004A4122"/>
    <w:rsid w:val="004C1649"/>
    <w:rsid w:val="004C2063"/>
    <w:rsid w:val="004C22CD"/>
    <w:rsid w:val="004D36B5"/>
    <w:rsid w:val="004D5FB0"/>
    <w:rsid w:val="004E0325"/>
    <w:rsid w:val="004F2971"/>
    <w:rsid w:val="004F2E86"/>
    <w:rsid w:val="00503E83"/>
    <w:rsid w:val="00523C20"/>
    <w:rsid w:val="00527508"/>
    <w:rsid w:val="00542ECA"/>
    <w:rsid w:val="005474AD"/>
    <w:rsid w:val="00572649"/>
    <w:rsid w:val="00580D91"/>
    <w:rsid w:val="005B2D71"/>
    <w:rsid w:val="005B4939"/>
    <w:rsid w:val="005C1B0F"/>
    <w:rsid w:val="005D1723"/>
    <w:rsid w:val="005E1F46"/>
    <w:rsid w:val="005E2E10"/>
    <w:rsid w:val="005E6CC8"/>
    <w:rsid w:val="005F23CC"/>
    <w:rsid w:val="005F6C95"/>
    <w:rsid w:val="00602572"/>
    <w:rsid w:val="006212CE"/>
    <w:rsid w:val="00643B1E"/>
    <w:rsid w:val="0065183C"/>
    <w:rsid w:val="00664E29"/>
    <w:rsid w:val="006720D1"/>
    <w:rsid w:val="00694C69"/>
    <w:rsid w:val="006977D7"/>
    <w:rsid w:val="006A3831"/>
    <w:rsid w:val="006A4DB3"/>
    <w:rsid w:val="006B00BD"/>
    <w:rsid w:val="006B2C31"/>
    <w:rsid w:val="006B2F36"/>
    <w:rsid w:val="006E4789"/>
    <w:rsid w:val="006E54BD"/>
    <w:rsid w:val="006F03E3"/>
    <w:rsid w:val="006F1772"/>
    <w:rsid w:val="006F2F03"/>
    <w:rsid w:val="006F2FF9"/>
    <w:rsid w:val="006F3A4A"/>
    <w:rsid w:val="00715F60"/>
    <w:rsid w:val="00717BEF"/>
    <w:rsid w:val="0073009A"/>
    <w:rsid w:val="00732815"/>
    <w:rsid w:val="00737F02"/>
    <w:rsid w:val="0074482C"/>
    <w:rsid w:val="007541F9"/>
    <w:rsid w:val="00776B20"/>
    <w:rsid w:val="00784371"/>
    <w:rsid w:val="007A4E99"/>
    <w:rsid w:val="007B2CAA"/>
    <w:rsid w:val="007B3B4D"/>
    <w:rsid w:val="007C04B5"/>
    <w:rsid w:val="007F6E43"/>
    <w:rsid w:val="00802660"/>
    <w:rsid w:val="0080487C"/>
    <w:rsid w:val="00805CC6"/>
    <w:rsid w:val="00830786"/>
    <w:rsid w:val="00844AED"/>
    <w:rsid w:val="00857BB6"/>
    <w:rsid w:val="00885151"/>
    <w:rsid w:val="008C22C1"/>
    <w:rsid w:val="008D307B"/>
    <w:rsid w:val="008D52A2"/>
    <w:rsid w:val="008D7B13"/>
    <w:rsid w:val="0090322B"/>
    <w:rsid w:val="00903F77"/>
    <w:rsid w:val="009118F9"/>
    <w:rsid w:val="00912453"/>
    <w:rsid w:val="009166A0"/>
    <w:rsid w:val="00920B61"/>
    <w:rsid w:val="009331EF"/>
    <w:rsid w:val="00936817"/>
    <w:rsid w:val="00940563"/>
    <w:rsid w:val="00946018"/>
    <w:rsid w:val="00947934"/>
    <w:rsid w:val="009525D8"/>
    <w:rsid w:val="00952E91"/>
    <w:rsid w:val="009554FF"/>
    <w:rsid w:val="009561B6"/>
    <w:rsid w:val="00985FB5"/>
    <w:rsid w:val="00997F4A"/>
    <w:rsid w:val="009C40C0"/>
    <w:rsid w:val="009C6D9B"/>
    <w:rsid w:val="009F0A31"/>
    <w:rsid w:val="00A01268"/>
    <w:rsid w:val="00A01675"/>
    <w:rsid w:val="00A06A90"/>
    <w:rsid w:val="00A1010A"/>
    <w:rsid w:val="00A14368"/>
    <w:rsid w:val="00A27044"/>
    <w:rsid w:val="00A52C38"/>
    <w:rsid w:val="00A549CA"/>
    <w:rsid w:val="00A65BC3"/>
    <w:rsid w:val="00A938F7"/>
    <w:rsid w:val="00A9637F"/>
    <w:rsid w:val="00AA275F"/>
    <w:rsid w:val="00AB46CD"/>
    <w:rsid w:val="00AB4A06"/>
    <w:rsid w:val="00AB58DB"/>
    <w:rsid w:val="00AD505B"/>
    <w:rsid w:val="00AE4BBE"/>
    <w:rsid w:val="00AF613D"/>
    <w:rsid w:val="00B00C5C"/>
    <w:rsid w:val="00B03205"/>
    <w:rsid w:val="00B05210"/>
    <w:rsid w:val="00B0676A"/>
    <w:rsid w:val="00B170BE"/>
    <w:rsid w:val="00B35930"/>
    <w:rsid w:val="00B3740C"/>
    <w:rsid w:val="00B519C5"/>
    <w:rsid w:val="00B55C43"/>
    <w:rsid w:val="00B73B8E"/>
    <w:rsid w:val="00B91BAB"/>
    <w:rsid w:val="00BB18F0"/>
    <w:rsid w:val="00BB5A2D"/>
    <w:rsid w:val="00BC4059"/>
    <w:rsid w:val="00BC5CC7"/>
    <w:rsid w:val="00BD307F"/>
    <w:rsid w:val="00BE10F2"/>
    <w:rsid w:val="00BE12FA"/>
    <w:rsid w:val="00BE56C0"/>
    <w:rsid w:val="00C46459"/>
    <w:rsid w:val="00C556DA"/>
    <w:rsid w:val="00C6077E"/>
    <w:rsid w:val="00C610DC"/>
    <w:rsid w:val="00C62E2C"/>
    <w:rsid w:val="00C66D72"/>
    <w:rsid w:val="00C71880"/>
    <w:rsid w:val="00C80743"/>
    <w:rsid w:val="00C8232E"/>
    <w:rsid w:val="00CA4542"/>
    <w:rsid w:val="00CC5E49"/>
    <w:rsid w:val="00CE232C"/>
    <w:rsid w:val="00CE483C"/>
    <w:rsid w:val="00CE679F"/>
    <w:rsid w:val="00CE70F9"/>
    <w:rsid w:val="00D1141E"/>
    <w:rsid w:val="00D11712"/>
    <w:rsid w:val="00D344F7"/>
    <w:rsid w:val="00D359D1"/>
    <w:rsid w:val="00D37357"/>
    <w:rsid w:val="00D57202"/>
    <w:rsid w:val="00D57C20"/>
    <w:rsid w:val="00D613C8"/>
    <w:rsid w:val="00D62BA5"/>
    <w:rsid w:val="00D90255"/>
    <w:rsid w:val="00D9689D"/>
    <w:rsid w:val="00DA3718"/>
    <w:rsid w:val="00DC741A"/>
    <w:rsid w:val="00DD734C"/>
    <w:rsid w:val="00DE2F55"/>
    <w:rsid w:val="00DE37CB"/>
    <w:rsid w:val="00E167E1"/>
    <w:rsid w:val="00E25525"/>
    <w:rsid w:val="00E27F54"/>
    <w:rsid w:val="00E340C1"/>
    <w:rsid w:val="00E53732"/>
    <w:rsid w:val="00E64F4F"/>
    <w:rsid w:val="00E72F70"/>
    <w:rsid w:val="00E91C00"/>
    <w:rsid w:val="00EB06AB"/>
    <w:rsid w:val="00EB4A56"/>
    <w:rsid w:val="00EC159E"/>
    <w:rsid w:val="00EC4B14"/>
    <w:rsid w:val="00ED5166"/>
    <w:rsid w:val="00EE055E"/>
    <w:rsid w:val="00EE358A"/>
    <w:rsid w:val="00EE69EF"/>
    <w:rsid w:val="00F02EAD"/>
    <w:rsid w:val="00F1125B"/>
    <w:rsid w:val="00F252A5"/>
    <w:rsid w:val="00F319D0"/>
    <w:rsid w:val="00F43919"/>
    <w:rsid w:val="00F53216"/>
    <w:rsid w:val="00F55AD7"/>
    <w:rsid w:val="00F60D70"/>
    <w:rsid w:val="00F8006C"/>
    <w:rsid w:val="00F800A6"/>
    <w:rsid w:val="00FA53AD"/>
    <w:rsid w:val="00FA7B10"/>
    <w:rsid w:val="00FB729E"/>
    <w:rsid w:val="00FB7602"/>
    <w:rsid w:val="00FD5F76"/>
    <w:rsid w:val="00FD7014"/>
    <w:rsid w:val="00FE3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2094C1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chin" w:eastAsiaTheme="minorEastAsia" w:hAnsi="Cochin" w:cs="Calibri"/>
        <w:color w:val="000000"/>
        <w:kern w:val="28"/>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00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009A"/>
    <w:rPr>
      <w:rFonts w:ascii="Lucida Grande" w:eastAsia="Times New Roman" w:hAnsi="Lucida Grande" w:cs="Lucida Grande"/>
      <w:sz w:val="18"/>
      <w:szCs w:val="18"/>
      <w:lang w:eastAsia="en-US"/>
    </w:rPr>
  </w:style>
  <w:style w:type="paragraph" w:styleId="Header">
    <w:name w:val="header"/>
    <w:basedOn w:val="Normal"/>
    <w:link w:val="HeaderChar"/>
    <w:uiPriority w:val="99"/>
    <w:unhideWhenUsed/>
    <w:rsid w:val="00912453"/>
    <w:pPr>
      <w:tabs>
        <w:tab w:val="center" w:pos="4320"/>
        <w:tab w:val="right" w:pos="8640"/>
      </w:tabs>
    </w:pPr>
  </w:style>
  <w:style w:type="character" w:customStyle="1" w:styleId="HeaderChar">
    <w:name w:val="Header Char"/>
    <w:basedOn w:val="DefaultParagraphFont"/>
    <w:link w:val="Header"/>
    <w:uiPriority w:val="99"/>
    <w:rsid w:val="00912453"/>
    <w:rPr>
      <w:rFonts w:eastAsia="Times New Roman"/>
      <w:lang w:eastAsia="en-US"/>
    </w:rPr>
  </w:style>
  <w:style w:type="paragraph" w:styleId="Footer">
    <w:name w:val="footer"/>
    <w:basedOn w:val="Normal"/>
    <w:link w:val="FooterChar"/>
    <w:uiPriority w:val="99"/>
    <w:unhideWhenUsed/>
    <w:rsid w:val="00912453"/>
    <w:pPr>
      <w:tabs>
        <w:tab w:val="center" w:pos="4320"/>
        <w:tab w:val="right" w:pos="8640"/>
      </w:tabs>
    </w:pPr>
  </w:style>
  <w:style w:type="character" w:customStyle="1" w:styleId="FooterChar">
    <w:name w:val="Footer Char"/>
    <w:basedOn w:val="DefaultParagraphFont"/>
    <w:link w:val="Footer"/>
    <w:uiPriority w:val="99"/>
    <w:rsid w:val="00912453"/>
    <w:rPr>
      <w:rFonts w:eastAsia="Times New Roman"/>
      <w:lang w:eastAsia="en-US"/>
    </w:rPr>
  </w:style>
  <w:style w:type="character" w:styleId="PageNumber">
    <w:name w:val="page number"/>
    <w:basedOn w:val="DefaultParagraphFont"/>
    <w:uiPriority w:val="99"/>
    <w:semiHidden/>
    <w:unhideWhenUsed/>
    <w:rsid w:val="00D1141E"/>
  </w:style>
  <w:style w:type="character" w:styleId="Hyperlink">
    <w:name w:val="Hyperlink"/>
    <w:basedOn w:val="DefaultParagraphFont"/>
    <w:uiPriority w:val="99"/>
    <w:unhideWhenUsed/>
    <w:rsid w:val="001527F6"/>
    <w:rPr>
      <w:color w:val="0000FF" w:themeColor="hyperlink"/>
      <w:u w:val="single"/>
    </w:rPr>
  </w:style>
  <w:style w:type="paragraph" w:styleId="ListParagraph">
    <w:name w:val="List Paragraph"/>
    <w:basedOn w:val="Normal"/>
    <w:uiPriority w:val="34"/>
    <w:qFormat/>
    <w:rsid w:val="009554F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chin" w:eastAsiaTheme="minorEastAsia" w:hAnsi="Cochin" w:cs="Calibri"/>
        <w:color w:val="000000"/>
        <w:kern w:val="28"/>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00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009A"/>
    <w:rPr>
      <w:rFonts w:ascii="Lucida Grande" w:eastAsia="Times New Roman" w:hAnsi="Lucida Grande" w:cs="Lucida Grande"/>
      <w:sz w:val="18"/>
      <w:szCs w:val="18"/>
      <w:lang w:eastAsia="en-US"/>
    </w:rPr>
  </w:style>
  <w:style w:type="paragraph" w:styleId="Header">
    <w:name w:val="header"/>
    <w:basedOn w:val="Normal"/>
    <w:link w:val="HeaderChar"/>
    <w:uiPriority w:val="99"/>
    <w:unhideWhenUsed/>
    <w:rsid w:val="00912453"/>
    <w:pPr>
      <w:tabs>
        <w:tab w:val="center" w:pos="4320"/>
        <w:tab w:val="right" w:pos="8640"/>
      </w:tabs>
    </w:pPr>
  </w:style>
  <w:style w:type="character" w:customStyle="1" w:styleId="HeaderChar">
    <w:name w:val="Header Char"/>
    <w:basedOn w:val="DefaultParagraphFont"/>
    <w:link w:val="Header"/>
    <w:uiPriority w:val="99"/>
    <w:rsid w:val="00912453"/>
    <w:rPr>
      <w:rFonts w:eastAsia="Times New Roman"/>
      <w:lang w:eastAsia="en-US"/>
    </w:rPr>
  </w:style>
  <w:style w:type="paragraph" w:styleId="Footer">
    <w:name w:val="footer"/>
    <w:basedOn w:val="Normal"/>
    <w:link w:val="FooterChar"/>
    <w:uiPriority w:val="99"/>
    <w:unhideWhenUsed/>
    <w:rsid w:val="00912453"/>
    <w:pPr>
      <w:tabs>
        <w:tab w:val="center" w:pos="4320"/>
        <w:tab w:val="right" w:pos="8640"/>
      </w:tabs>
    </w:pPr>
  </w:style>
  <w:style w:type="character" w:customStyle="1" w:styleId="FooterChar">
    <w:name w:val="Footer Char"/>
    <w:basedOn w:val="DefaultParagraphFont"/>
    <w:link w:val="Footer"/>
    <w:uiPriority w:val="99"/>
    <w:rsid w:val="00912453"/>
    <w:rPr>
      <w:rFonts w:eastAsia="Times New Roman"/>
      <w:lang w:eastAsia="en-US"/>
    </w:rPr>
  </w:style>
  <w:style w:type="character" w:styleId="PageNumber">
    <w:name w:val="page number"/>
    <w:basedOn w:val="DefaultParagraphFont"/>
    <w:uiPriority w:val="99"/>
    <w:semiHidden/>
    <w:unhideWhenUsed/>
    <w:rsid w:val="00D1141E"/>
  </w:style>
  <w:style w:type="character" w:styleId="Hyperlink">
    <w:name w:val="Hyperlink"/>
    <w:basedOn w:val="DefaultParagraphFont"/>
    <w:uiPriority w:val="99"/>
    <w:unhideWhenUsed/>
    <w:rsid w:val="001527F6"/>
    <w:rPr>
      <w:color w:val="0000FF" w:themeColor="hyperlink"/>
      <w:u w:val="single"/>
    </w:rPr>
  </w:style>
  <w:style w:type="paragraph" w:styleId="ListParagraph">
    <w:name w:val="List Paragraph"/>
    <w:basedOn w:val="Normal"/>
    <w:uiPriority w:val="34"/>
    <w:qFormat/>
    <w:rsid w:val="00955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8" Type="http://schemas.openxmlformats.org/officeDocument/2006/relationships/hyperlink" Target="http://www.esslsozialpreis.at/en/essl-foundation/" TargetMode="External"/><Relationship Id="rId18"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hyperlink" Target="mailto:thbutcher@mac.com" TargetMode="External"/><Relationship Id="rId17" Type="http://schemas.openxmlformats.org/officeDocument/2006/relationships/theme" Target="theme/theme1.xml"/><Relationship Id="rId7" Type="http://schemas.openxmlformats.org/officeDocument/2006/relationships/endnotes" Target="endnotes.xml"/><Relationship Id="rId16" Type="http://schemas.openxmlformats.org/officeDocument/2006/relationships/fontTable" Target="fontTable.xml"/><Relationship Id="rId2" Type="http://schemas.openxmlformats.org/officeDocument/2006/relationships/styles" Target="styles.xml"/><Relationship Id="rId20" Type="http://schemas.openxmlformats.org/officeDocument/2006/relationships/customXml" Target="../customXml/item3.xml"/><Relationship Id="rId11" Type="http://schemas.openxmlformats.org/officeDocument/2006/relationships/hyperlink" Target="mailto:tombutcheresi@gmail.co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tiff"/><Relationship Id="rId19" Type="http://schemas.openxmlformats.org/officeDocument/2006/relationships/customXml" Target="../customXml/item2.xml"/><Relationship Id="rId1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chael_Fembek@baumax.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51E107-B15D-462F-978B-75B62A658349}"/>
</file>

<file path=customXml/itemProps2.xml><?xml version="1.0" encoding="utf-8"?>
<ds:datastoreItem xmlns:ds="http://schemas.openxmlformats.org/officeDocument/2006/customXml" ds:itemID="{1A644B00-CFD6-4A6F-AE66-403D7FEF3D77}"/>
</file>

<file path=customXml/itemProps3.xml><?xml version="1.0" encoding="utf-8"?>
<ds:datastoreItem xmlns:ds="http://schemas.openxmlformats.org/officeDocument/2006/customXml" ds:itemID="{E618D682-7FC1-4C4D-806E-73CDAAA146EB}"/>
</file>

<file path=docProps/app.xml><?xml version="1.0" encoding="utf-8"?>
<Properties xmlns="http://schemas.openxmlformats.org/officeDocument/2006/extended-properties" xmlns:vt="http://schemas.openxmlformats.org/officeDocument/2006/docPropsVTypes">
  <Template>Normal.dotm</Template>
  <TotalTime>121</TotalTime>
  <Pages>4</Pages>
  <Words>1448</Words>
  <Characters>8229</Characters>
  <Application>Microsoft Macintosh Word</Application>
  <DocSecurity>0</DocSecurity>
  <Lines>187</Lines>
  <Paragraphs>72</Paragraphs>
  <ScaleCrop>false</ScaleCrop>
  <HeadingPairs>
    <vt:vector size="2" baseType="variant">
      <vt:variant>
        <vt:lpstr>Title</vt:lpstr>
      </vt:variant>
      <vt:variant>
        <vt:i4>1</vt:i4>
      </vt:variant>
    </vt:vector>
  </HeadingPairs>
  <TitlesOfParts>
    <vt:vector size="1" baseType="lpstr">
      <vt:lpstr>Consultation: Rights of persons with disabilities - work and employment</vt:lpstr>
    </vt:vector>
  </TitlesOfParts>
  <Manager/>
  <Company>Essl Foundation/Zero Project</Company>
  <LinksUpToDate>false</LinksUpToDate>
  <CharactersWithSpaces>9605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Rights of persons with disabilities - work and employment</dc:title>
  <dc:subject>Office of the United Nations High Commissioner for Human Rights - Zero Project/Essl Foundation Submission</dc:subject>
  <dc:creator>Thomas Butcher</dc:creator>
  <cp:keywords/>
  <dc:description/>
  <cp:lastModifiedBy>Thomas Butcher</cp:lastModifiedBy>
  <cp:revision>46</cp:revision>
  <cp:lastPrinted>2012-07-23T22:05:00Z</cp:lastPrinted>
  <dcterms:created xsi:type="dcterms:W3CDTF">2012-07-23T16:10:00Z</dcterms:created>
  <dcterms:modified xsi:type="dcterms:W3CDTF">2012-07-30T16:16:00Z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1112500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