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3B" w:rsidRPr="007D663B" w:rsidRDefault="007D663B" w:rsidP="00475932">
      <w:pPr>
        <w:autoSpaceDE w:val="0"/>
        <w:autoSpaceDN w:val="0"/>
        <w:adjustRightInd w:val="0"/>
        <w:rPr>
          <w:rFonts w:ascii="DepCentury Old Style" w:hAnsi="DepCentury Old Style"/>
          <w:b/>
          <w:sz w:val="22"/>
          <w:szCs w:val="22"/>
        </w:rPr>
      </w:pPr>
      <w:r w:rsidRPr="007D663B">
        <w:rPr>
          <w:rFonts w:ascii="DepCentury Old Style" w:hAnsi="DepCentury Old Style"/>
          <w:b/>
          <w:sz w:val="22"/>
          <w:szCs w:val="22"/>
        </w:rPr>
        <w:t>Human Rights of Persons with Disabilities – Human Rights Council resolution 19/11</w:t>
      </w:r>
    </w:p>
    <w:p w:rsidR="007D663B" w:rsidRDefault="007D663B" w:rsidP="00475932">
      <w:pPr>
        <w:autoSpaceDE w:val="0"/>
        <w:autoSpaceDN w:val="0"/>
        <w:adjustRightInd w:val="0"/>
        <w:rPr>
          <w:rFonts w:ascii="DepCentury Old Style" w:hAnsi="DepCentury Old Style"/>
        </w:rPr>
      </w:pPr>
    </w:p>
    <w:p w:rsidR="007D663B" w:rsidRPr="00BD5CF2" w:rsidRDefault="0064306E" w:rsidP="00475932">
      <w:pPr>
        <w:autoSpaceDE w:val="0"/>
        <w:autoSpaceDN w:val="0"/>
        <w:adjustRightInd w:val="0"/>
        <w:rPr>
          <w:rFonts w:ascii="DepCentury Old Style" w:hAnsi="DepCentury Old Style"/>
          <w:b/>
        </w:rPr>
      </w:pPr>
      <w:r w:rsidRPr="00BD5CF2">
        <w:rPr>
          <w:rFonts w:ascii="DepCentury Old Style" w:hAnsi="DepCentury Old Style"/>
          <w:b/>
        </w:rPr>
        <w:t>Answers to questions fr</w:t>
      </w:r>
      <w:r w:rsidR="00B21B6A">
        <w:rPr>
          <w:rFonts w:ascii="DepCentury Old Style" w:hAnsi="DepCentury Old Style"/>
          <w:b/>
        </w:rPr>
        <w:t>om</w:t>
      </w:r>
      <w:r w:rsidRPr="00BD5CF2">
        <w:rPr>
          <w:rFonts w:ascii="DepCentury Old Style" w:hAnsi="DepCentury Old Style"/>
          <w:b/>
        </w:rPr>
        <w:t xml:space="preserve"> the Office of the High Commissioner for Human Rights </w:t>
      </w:r>
    </w:p>
    <w:p w:rsidR="007D663B" w:rsidRDefault="007D663B" w:rsidP="00475932">
      <w:pPr>
        <w:autoSpaceDE w:val="0"/>
        <w:autoSpaceDN w:val="0"/>
        <w:adjustRightInd w:val="0"/>
        <w:rPr>
          <w:rFonts w:ascii="DepCentury Old Style" w:hAnsi="DepCentury Old Style"/>
        </w:rPr>
      </w:pPr>
    </w:p>
    <w:p w:rsidR="00475932" w:rsidRDefault="00475932" w:rsidP="00475932">
      <w:pPr>
        <w:autoSpaceDE w:val="0"/>
        <w:autoSpaceDN w:val="0"/>
        <w:adjustRightInd w:val="0"/>
        <w:rPr>
          <w:rFonts w:ascii="DepCentury Old Style" w:hAnsi="DepCentury Old Style"/>
        </w:rPr>
      </w:pPr>
      <w:r>
        <w:rPr>
          <w:rFonts w:ascii="DepCentury Old Style" w:hAnsi="DepCentury Old Style"/>
        </w:rPr>
        <w:t xml:space="preserve">The Norwegian Government </w:t>
      </w:r>
      <w:r w:rsidRPr="00984B49">
        <w:rPr>
          <w:rFonts w:ascii="DepCentury Old Style" w:hAnsi="DepCentury Old Style"/>
        </w:rPr>
        <w:t xml:space="preserve">presented </w:t>
      </w:r>
      <w:r w:rsidRPr="00984B49">
        <w:rPr>
          <w:rFonts w:ascii="DepCentury Old Style" w:hAnsi="DepCentury Old Style" w:cs="MyriadPro-Regular"/>
        </w:rPr>
        <w:t xml:space="preserve">a Jobs Strategy in 2011, </w:t>
      </w:r>
      <w:r w:rsidRPr="00984B49">
        <w:rPr>
          <w:rFonts w:ascii="DepCentury Old Style" w:hAnsi="DepCentury Old Style"/>
        </w:rPr>
        <w:t>a targeted initiative to include more people in employment and reduce the number of benefit recipients. The aim is for more people with disabilities to gain employment</w:t>
      </w:r>
      <w:r>
        <w:rPr>
          <w:rFonts w:ascii="DepCentury Old Style" w:hAnsi="DepCentury Old Style"/>
        </w:rPr>
        <w:t>. The Jobs Strategy gives answers to many of the questions</w:t>
      </w:r>
      <w:r w:rsidR="00305FF1">
        <w:rPr>
          <w:rFonts w:ascii="DepCentury Old Style" w:hAnsi="DepCentury Old Style"/>
        </w:rPr>
        <w:t xml:space="preserve"> from The Office of the High Commissioner, and we will refer to the Jobs St</w:t>
      </w:r>
      <w:r w:rsidR="00A5532E">
        <w:rPr>
          <w:rFonts w:ascii="DepCentury Old Style" w:hAnsi="DepCentury Old Style"/>
        </w:rPr>
        <w:t>r</w:t>
      </w:r>
      <w:r w:rsidR="00305FF1">
        <w:rPr>
          <w:rFonts w:ascii="DepCentury Old Style" w:hAnsi="DepCentury Old Style"/>
        </w:rPr>
        <w:t xml:space="preserve">ategy </w:t>
      </w:r>
      <w:r w:rsidR="004F39CE">
        <w:rPr>
          <w:rFonts w:ascii="DepCentury Old Style" w:hAnsi="DepCentury Old Style"/>
        </w:rPr>
        <w:t xml:space="preserve">under some of the questions. </w:t>
      </w:r>
      <w:r w:rsidR="00BD5CF2">
        <w:rPr>
          <w:rFonts w:ascii="DepCentury Old Style" w:hAnsi="DepCentury Old Style"/>
        </w:rPr>
        <w:t>The Jobs Strategy will proba</w:t>
      </w:r>
      <w:r w:rsidR="00A5532E">
        <w:rPr>
          <w:rFonts w:ascii="DepCentury Old Style" w:hAnsi="DepCentury Old Style"/>
        </w:rPr>
        <w:t>b</w:t>
      </w:r>
      <w:r w:rsidR="00BD5CF2">
        <w:rPr>
          <w:rFonts w:ascii="DepCentury Old Style" w:hAnsi="DepCentury Old Style"/>
        </w:rPr>
        <w:t xml:space="preserve">ly also give a lot of information </w:t>
      </w:r>
      <w:r w:rsidR="005E13EF">
        <w:rPr>
          <w:rFonts w:ascii="DepCentury Old Style" w:hAnsi="DepCentury Old Style"/>
        </w:rPr>
        <w:t xml:space="preserve">in addition to the following answers. </w:t>
      </w:r>
      <w:r w:rsidR="004F39CE">
        <w:rPr>
          <w:rFonts w:ascii="DepCentury Old Style" w:hAnsi="DepCentury Old Style"/>
        </w:rPr>
        <w:t xml:space="preserve">You will find the Jobs strategy </w:t>
      </w:r>
      <w:r w:rsidR="001343C3">
        <w:rPr>
          <w:rFonts w:ascii="DepCentury Old Style" w:hAnsi="DepCentury Old Style"/>
        </w:rPr>
        <w:t xml:space="preserve">attached, but also </w:t>
      </w:r>
      <w:r w:rsidR="004F39CE">
        <w:rPr>
          <w:rFonts w:ascii="DepCentury Old Style" w:hAnsi="DepCentury Old Style"/>
        </w:rPr>
        <w:t xml:space="preserve">at this website: </w:t>
      </w:r>
    </w:p>
    <w:p w:rsidR="004F39CE" w:rsidRDefault="0093724B" w:rsidP="004F39CE">
      <w:pPr>
        <w:autoSpaceDE w:val="0"/>
        <w:autoSpaceDN w:val="0"/>
        <w:adjustRightInd w:val="0"/>
        <w:rPr>
          <w:rFonts w:ascii="DepCentury Old Style" w:hAnsi="DepCentury Old Style" w:cs="MyriadPro-Regular"/>
        </w:rPr>
      </w:pPr>
      <w:hyperlink r:id="rId9" w:history="1">
        <w:r w:rsidR="004F39CE" w:rsidRPr="00E213D8">
          <w:rPr>
            <w:rStyle w:val="Hyperlink"/>
            <w:rFonts w:ascii="DepCentury Old Style" w:hAnsi="DepCentury Old Style" w:cs="MyriadPro-Regular"/>
          </w:rPr>
          <w:t>http://www.regjeringen.no/pages/35160671/AD_Jobbstrategi_ENGELSK.pdf</w:t>
        </w:r>
      </w:hyperlink>
    </w:p>
    <w:p w:rsidR="004F39CE" w:rsidRDefault="004F39CE" w:rsidP="00475932">
      <w:pPr>
        <w:autoSpaceDE w:val="0"/>
        <w:autoSpaceDN w:val="0"/>
        <w:adjustRightInd w:val="0"/>
        <w:rPr>
          <w:rFonts w:ascii="DepCentury Old Style" w:hAnsi="DepCentury Old Style"/>
        </w:rPr>
      </w:pPr>
    </w:p>
    <w:p w:rsidR="00475932" w:rsidRDefault="00475932" w:rsidP="00475932">
      <w:pPr>
        <w:pStyle w:val="ListParagraph"/>
        <w:rPr>
          <w:rFonts w:ascii="DepCentury Old Style" w:hAnsi="DepCentury Old Style"/>
          <w:b/>
        </w:rPr>
      </w:pPr>
    </w:p>
    <w:p w:rsidR="00BD2118" w:rsidRPr="00BF004A" w:rsidRDefault="0083052D" w:rsidP="0083052D">
      <w:pPr>
        <w:pStyle w:val="ListParagraph"/>
        <w:numPr>
          <w:ilvl w:val="0"/>
          <w:numId w:val="2"/>
        </w:numPr>
        <w:rPr>
          <w:rFonts w:ascii="DepCentury Old Style" w:hAnsi="DepCentury Old Style"/>
          <w:b/>
        </w:rPr>
      </w:pPr>
      <w:r w:rsidRPr="00BF004A">
        <w:rPr>
          <w:rFonts w:ascii="DepCentury Old Style" w:hAnsi="DepCentury Old Style"/>
          <w:b/>
        </w:rPr>
        <w:t>Detailed information o</w:t>
      </w:r>
      <w:r w:rsidR="005E13EF">
        <w:rPr>
          <w:rFonts w:ascii="DepCentury Old Style" w:hAnsi="DepCentury Old Style"/>
          <w:b/>
        </w:rPr>
        <w:t>n</w:t>
      </w:r>
      <w:r w:rsidRPr="00BF004A">
        <w:rPr>
          <w:rFonts w:ascii="DepCentury Old Style" w:hAnsi="DepCentury Old Style"/>
          <w:b/>
        </w:rPr>
        <w:t xml:space="preserve"> the measures adopted by your country to ensure</w:t>
      </w:r>
      <w:r w:rsidR="005E13EF">
        <w:rPr>
          <w:rFonts w:ascii="DepCentury Old Style" w:hAnsi="DepCentury Old Style"/>
          <w:b/>
        </w:rPr>
        <w:t xml:space="preserve"> that</w:t>
      </w:r>
      <w:r w:rsidRPr="00BF004A">
        <w:rPr>
          <w:rFonts w:ascii="DepCentury Old Style" w:hAnsi="DepCentury Old Style"/>
          <w:b/>
        </w:rPr>
        <w:t xml:space="preserve"> persons with disabilities have equal opportunities for produ</w:t>
      </w:r>
      <w:r w:rsidR="00A5532E">
        <w:rPr>
          <w:rFonts w:ascii="DepCentury Old Style" w:hAnsi="DepCentury Old Style"/>
          <w:b/>
        </w:rPr>
        <w:t>c</w:t>
      </w:r>
      <w:r w:rsidRPr="00BF004A">
        <w:rPr>
          <w:rFonts w:ascii="DepCentury Old Style" w:hAnsi="DepCentury Old Style"/>
          <w:b/>
        </w:rPr>
        <w:t>tive and gainful employment in the open labour market (articles 4 (1) (a) and 27 (1)).</w:t>
      </w:r>
    </w:p>
    <w:p w:rsidR="0083052D" w:rsidRPr="00BF004A" w:rsidRDefault="0083052D" w:rsidP="0083052D">
      <w:pPr>
        <w:rPr>
          <w:rFonts w:ascii="DepCentury Old Style" w:hAnsi="DepCentury Old Style"/>
        </w:rPr>
      </w:pPr>
    </w:p>
    <w:p w:rsidR="0005669E" w:rsidRDefault="001343C3" w:rsidP="0088067C">
      <w:pPr>
        <w:autoSpaceDE w:val="0"/>
        <w:autoSpaceDN w:val="0"/>
        <w:adjustRightInd w:val="0"/>
        <w:rPr>
          <w:rFonts w:ascii="DepCentury Old Style" w:hAnsi="DepCentury Old Style" w:cs="MyriadPro-Regular"/>
        </w:rPr>
      </w:pPr>
      <w:r>
        <w:rPr>
          <w:rFonts w:ascii="DepCentury Old Style" w:hAnsi="DepCentury Old Style" w:cs="MyriadPro-Regular"/>
        </w:rPr>
        <w:t>A Jobs Strategy was presented by the Norwegian Government in 2011. With the Jobs Strategy t</w:t>
      </w:r>
      <w:r w:rsidR="0088067C" w:rsidRPr="0088067C">
        <w:rPr>
          <w:rFonts w:ascii="DepCentury Old Style" w:hAnsi="DepCentury Old Style" w:cs="MyriadPro-Regular"/>
        </w:rPr>
        <w:t>he Government intends to bring about the</w:t>
      </w:r>
      <w:r w:rsidR="0088067C">
        <w:rPr>
          <w:rFonts w:ascii="DepCentury Old Style" w:hAnsi="DepCentury Old Style" w:cs="MyriadPro-Regular"/>
        </w:rPr>
        <w:t xml:space="preserve"> </w:t>
      </w:r>
      <w:r w:rsidR="0088067C" w:rsidRPr="0088067C">
        <w:rPr>
          <w:rFonts w:ascii="DepCentury Old Style" w:hAnsi="DepCentury Old Style" w:cs="MyriadPro-Regular"/>
        </w:rPr>
        <w:t>conditions necessary to enable people with</w:t>
      </w:r>
      <w:r>
        <w:rPr>
          <w:rFonts w:ascii="DepCentury Old Style" w:hAnsi="DepCentury Old Style" w:cs="MyriadPro-Regular"/>
        </w:rPr>
        <w:t xml:space="preserve"> </w:t>
      </w:r>
      <w:r w:rsidR="0088067C" w:rsidRPr="0088067C">
        <w:rPr>
          <w:rFonts w:ascii="DepCentury Old Style" w:hAnsi="DepCentury Old Style" w:cs="MyriadPro-Regular"/>
        </w:rPr>
        <w:t>disabilities to exercise their rights and obligations</w:t>
      </w:r>
      <w:r w:rsidR="0088067C">
        <w:rPr>
          <w:rFonts w:ascii="DepCentury Old Style" w:hAnsi="DepCentury Old Style" w:cs="MyriadPro-Regular"/>
        </w:rPr>
        <w:t xml:space="preserve"> </w:t>
      </w:r>
      <w:r w:rsidR="0088067C" w:rsidRPr="0088067C">
        <w:rPr>
          <w:rFonts w:ascii="DepCentury Old Style" w:hAnsi="DepCentury Old Style" w:cs="MyriadPro-Regular"/>
        </w:rPr>
        <w:t>as active participants in the labour market. The</w:t>
      </w:r>
      <w:r w:rsidR="0088067C">
        <w:rPr>
          <w:rFonts w:ascii="DepCentury Old Style" w:hAnsi="DepCentury Old Style" w:cs="MyriadPro-Regular"/>
        </w:rPr>
        <w:t xml:space="preserve"> </w:t>
      </w:r>
      <w:r w:rsidR="0088067C" w:rsidRPr="0088067C">
        <w:rPr>
          <w:rFonts w:ascii="DepCentury Old Style" w:hAnsi="DepCentury Old Style" w:cs="MyriadPro-Regular"/>
        </w:rPr>
        <w:t>Government abides by the p</w:t>
      </w:r>
      <w:bookmarkStart w:id="0" w:name="_GoBack"/>
      <w:bookmarkEnd w:id="0"/>
      <w:r w:rsidR="0088067C" w:rsidRPr="0088067C">
        <w:rPr>
          <w:rFonts w:ascii="DepCentury Old Style" w:hAnsi="DepCentury Old Style" w:cs="MyriadPro-Regular"/>
        </w:rPr>
        <w:t>rinciples of social</w:t>
      </w:r>
      <w:r w:rsidR="0088067C">
        <w:rPr>
          <w:rFonts w:ascii="DepCentury Old Style" w:hAnsi="DepCentury Old Style" w:cs="MyriadPro-Regular"/>
        </w:rPr>
        <w:t xml:space="preserve"> </w:t>
      </w:r>
      <w:r w:rsidR="0088067C" w:rsidRPr="0088067C">
        <w:rPr>
          <w:rFonts w:ascii="DepCentury Old Style" w:hAnsi="DepCentury Old Style" w:cs="MyriadPro-Regular"/>
        </w:rPr>
        <w:t>equality and universal</w:t>
      </w:r>
      <w:r w:rsidR="0088067C">
        <w:rPr>
          <w:rFonts w:ascii="DepCentury Old Style" w:hAnsi="DepCentury Old Style" w:cs="MyriadPro-Regular"/>
        </w:rPr>
        <w:t xml:space="preserve"> </w:t>
      </w:r>
      <w:r w:rsidR="0088067C" w:rsidRPr="0088067C">
        <w:rPr>
          <w:rFonts w:ascii="DepCentury Old Style" w:hAnsi="DepCentury Old Style" w:cs="MyriadPro-Regular"/>
        </w:rPr>
        <w:t>design in its undertakings.</w:t>
      </w:r>
      <w:r w:rsidR="0088067C">
        <w:rPr>
          <w:rFonts w:ascii="DepCentury Old Style" w:hAnsi="DepCentury Old Style" w:cs="MyriadPro-Regular"/>
        </w:rPr>
        <w:t xml:space="preserve"> </w:t>
      </w:r>
      <w:r w:rsidR="0088067C" w:rsidRPr="0088067C">
        <w:rPr>
          <w:rFonts w:ascii="DepCentury Old Style" w:hAnsi="DepCentury Old Style" w:cs="MyriadPro-Regular"/>
        </w:rPr>
        <w:t>Universal design of the physical environment</w:t>
      </w:r>
      <w:r w:rsidR="0088067C">
        <w:rPr>
          <w:rFonts w:ascii="DepCentury Old Style" w:hAnsi="DepCentury Old Style" w:cs="MyriadPro-Regular"/>
        </w:rPr>
        <w:t xml:space="preserve"> </w:t>
      </w:r>
      <w:r w:rsidR="0088067C" w:rsidRPr="0088067C">
        <w:rPr>
          <w:rFonts w:ascii="DepCentury Old Style" w:hAnsi="DepCentury Old Style" w:cs="MyriadPro-Regular"/>
        </w:rPr>
        <w:t>implies equal accessibility for everyone in order</w:t>
      </w:r>
      <w:r w:rsidR="0088067C">
        <w:rPr>
          <w:rFonts w:ascii="DepCentury Old Style" w:hAnsi="DepCentury Old Style" w:cs="MyriadPro-Regular"/>
        </w:rPr>
        <w:t xml:space="preserve"> </w:t>
      </w:r>
      <w:r w:rsidR="0088067C" w:rsidRPr="0088067C">
        <w:rPr>
          <w:rFonts w:ascii="DepCentury Old Style" w:hAnsi="DepCentury Old Style" w:cs="MyriadPro-Regular"/>
        </w:rPr>
        <w:t>that the mainstream solution is one that may be</w:t>
      </w:r>
      <w:r w:rsidR="0088067C">
        <w:rPr>
          <w:rFonts w:ascii="DepCentury Old Style" w:hAnsi="DepCentury Old Style" w:cs="MyriadPro-Regular"/>
        </w:rPr>
        <w:t xml:space="preserve"> </w:t>
      </w:r>
      <w:r w:rsidR="0088067C" w:rsidRPr="0088067C">
        <w:rPr>
          <w:rFonts w:ascii="DepCentury Old Style" w:hAnsi="DepCentury Old Style" w:cs="MyriadPro-Regular"/>
        </w:rPr>
        <w:t>used by as many people as possible.</w:t>
      </w:r>
    </w:p>
    <w:p w:rsidR="0005669E" w:rsidRDefault="0005669E" w:rsidP="0088067C">
      <w:pPr>
        <w:autoSpaceDE w:val="0"/>
        <w:autoSpaceDN w:val="0"/>
        <w:adjustRightInd w:val="0"/>
        <w:rPr>
          <w:rFonts w:ascii="DepCentury Old Style" w:hAnsi="DepCentury Old Style" w:cs="MyriadPro-Regular"/>
        </w:rPr>
      </w:pPr>
    </w:p>
    <w:p w:rsidR="0088067C" w:rsidRPr="0088067C" w:rsidRDefault="0088067C" w:rsidP="0088067C">
      <w:pPr>
        <w:autoSpaceDE w:val="0"/>
        <w:autoSpaceDN w:val="0"/>
        <w:adjustRightInd w:val="0"/>
        <w:rPr>
          <w:rFonts w:ascii="DepCentury Old Style" w:hAnsi="DepCentury Old Style" w:cs="MyriadPro-Regular"/>
        </w:rPr>
      </w:pPr>
      <w:r w:rsidRPr="0088067C">
        <w:rPr>
          <w:rFonts w:ascii="DepCentury Old Style" w:hAnsi="DepCentury Old Style" w:cs="MyriadPro-Regular"/>
        </w:rPr>
        <w:t xml:space="preserve">In </w:t>
      </w:r>
      <w:r>
        <w:rPr>
          <w:rFonts w:ascii="DepCentury Old Style" w:hAnsi="DepCentury Old Style" w:cs="MyriadPro-Regular"/>
        </w:rPr>
        <w:t>the Jobs Strategy</w:t>
      </w:r>
      <w:r w:rsidRPr="0088067C">
        <w:rPr>
          <w:rFonts w:ascii="DepCentury Old Style" w:hAnsi="DepCentury Old Style" w:cs="MyriadPro-Regular"/>
        </w:rPr>
        <w:t>, the Government</w:t>
      </w:r>
      <w:r>
        <w:rPr>
          <w:rFonts w:ascii="DepCentury Old Style" w:hAnsi="DepCentury Old Style" w:cs="MyriadPro-Regular"/>
        </w:rPr>
        <w:t xml:space="preserve"> </w:t>
      </w:r>
      <w:r w:rsidRPr="0088067C">
        <w:rPr>
          <w:rFonts w:ascii="DepCentury Old Style" w:hAnsi="DepCentury Old Style" w:cs="MyriadPro-Regular"/>
        </w:rPr>
        <w:t>presents both an overarching strategic plan for</w:t>
      </w:r>
      <w:r>
        <w:rPr>
          <w:rFonts w:ascii="DepCentury Old Style" w:hAnsi="DepCentury Old Style" w:cs="MyriadPro-Regular"/>
        </w:rPr>
        <w:t xml:space="preserve"> </w:t>
      </w:r>
      <w:r w:rsidRPr="0088067C">
        <w:rPr>
          <w:rFonts w:ascii="DepCentury Old Style" w:hAnsi="DepCentury Old Style" w:cs="MyriadPro-Regular"/>
        </w:rPr>
        <w:t>enabling more people with disabilities to</w:t>
      </w:r>
      <w:r>
        <w:rPr>
          <w:rFonts w:ascii="DepCentury Old Style" w:hAnsi="DepCentury Old Style" w:cs="MyriadPro-Regular"/>
        </w:rPr>
        <w:t xml:space="preserve"> </w:t>
      </w:r>
      <w:r w:rsidRPr="0088067C">
        <w:rPr>
          <w:rFonts w:ascii="DepCentury Old Style" w:hAnsi="DepCentury Old Style" w:cs="MyriadPro-Regular"/>
        </w:rPr>
        <w:t>participate in the labour market, but also</w:t>
      </w:r>
      <w:r>
        <w:rPr>
          <w:rFonts w:ascii="DepCentury Old Style" w:hAnsi="DepCentury Old Style" w:cs="MyriadPro-Regular"/>
        </w:rPr>
        <w:t xml:space="preserve"> </w:t>
      </w:r>
      <w:r w:rsidRPr="0088067C">
        <w:rPr>
          <w:rFonts w:ascii="DepCentury Old Style" w:hAnsi="DepCentury Old Style" w:cs="MyriadPro-Regular"/>
        </w:rPr>
        <w:t>proposals for specific initiatives for 2012. The</w:t>
      </w:r>
      <w:r>
        <w:rPr>
          <w:rFonts w:ascii="DepCentury Old Style" w:hAnsi="DepCentury Old Style" w:cs="MyriadPro-Regular"/>
        </w:rPr>
        <w:t xml:space="preserve"> </w:t>
      </w:r>
      <w:r w:rsidRPr="0088067C">
        <w:rPr>
          <w:rFonts w:ascii="DepCentury Old Style" w:hAnsi="DepCentury Old Style" w:cs="MyriadPro-Regular"/>
        </w:rPr>
        <w:t>strategy is long term. Efforts under the strategy</w:t>
      </w:r>
      <w:r>
        <w:rPr>
          <w:rFonts w:ascii="DepCentury Old Style" w:hAnsi="DepCentury Old Style" w:cs="MyriadPro-Regular"/>
        </w:rPr>
        <w:t xml:space="preserve"> </w:t>
      </w:r>
      <w:r w:rsidRPr="0088067C">
        <w:rPr>
          <w:rFonts w:ascii="DepCentury Old Style" w:hAnsi="DepCentury Old Style" w:cs="MyriadPro-Regular"/>
        </w:rPr>
        <w:t xml:space="preserve">will be evaluated on an </w:t>
      </w:r>
      <w:proofErr w:type="spellStart"/>
      <w:r w:rsidRPr="0088067C">
        <w:rPr>
          <w:rFonts w:ascii="DepCentury Old Style" w:hAnsi="DepCentury Old Style" w:cs="MyriadPro-Regular"/>
        </w:rPr>
        <w:t>ongoing</w:t>
      </w:r>
      <w:proofErr w:type="spellEnd"/>
      <w:r w:rsidRPr="0088067C">
        <w:rPr>
          <w:rFonts w:ascii="DepCentury Old Style" w:hAnsi="DepCentury Old Style" w:cs="MyriadPro-Regular"/>
        </w:rPr>
        <w:t xml:space="preserve"> basis. The</w:t>
      </w:r>
      <w:r>
        <w:rPr>
          <w:rFonts w:ascii="DepCentury Old Style" w:hAnsi="DepCentury Old Style" w:cs="MyriadPro-Regular"/>
        </w:rPr>
        <w:t xml:space="preserve"> </w:t>
      </w:r>
      <w:r w:rsidRPr="0088067C">
        <w:rPr>
          <w:rFonts w:ascii="DepCentury Old Style" w:hAnsi="DepCentury Old Style" w:cs="MyriadPro-Regular"/>
        </w:rPr>
        <w:t>strategy has an explicit results-oriented focus.</w:t>
      </w:r>
      <w:r>
        <w:rPr>
          <w:rFonts w:ascii="DepCentury Old Style" w:hAnsi="DepCentury Old Style" w:cs="MyriadPro-Regular"/>
        </w:rPr>
        <w:t xml:space="preserve"> </w:t>
      </w:r>
    </w:p>
    <w:p w:rsidR="005F471B" w:rsidRDefault="005F471B" w:rsidP="005F471B">
      <w:pPr>
        <w:autoSpaceDE w:val="0"/>
        <w:autoSpaceDN w:val="0"/>
        <w:adjustRightInd w:val="0"/>
        <w:rPr>
          <w:rFonts w:ascii="DepCentury Old Style" w:hAnsi="DepCentury Old Style" w:cs="MyriadPro-Regular"/>
        </w:rPr>
      </w:pPr>
    </w:p>
    <w:p w:rsidR="005F471B" w:rsidRPr="00984B49" w:rsidRDefault="005F471B" w:rsidP="005F471B">
      <w:pPr>
        <w:autoSpaceDE w:val="0"/>
        <w:autoSpaceDN w:val="0"/>
        <w:adjustRightInd w:val="0"/>
        <w:rPr>
          <w:rFonts w:ascii="DepCentury Old Style" w:hAnsi="DepCentury Old Style" w:cs="MyriadPro-Regular"/>
        </w:rPr>
      </w:pPr>
      <w:r w:rsidRPr="00984B49">
        <w:rPr>
          <w:rFonts w:ascii="DepCentury Old Style" w:hAnsi="DepCentury Old Style" w:cs="MyriadPro-Regular"/>
        </w:rPr>
        <w:t>In the Jobs Strategy, the Government sets out the</w:t>
      </w:r>
      <w:r>
        <w:rPr>
          <w:rFonts w:ascii="DepCentury Old Style" w:hAnsi="DepCentury Old Style" w:cs="MyriadPro-Regular"/>
        </w:rPr>
        <w:t xml:space="preserve"> </w:t>
      </w:r>
      <w:r w:rsidRPr="00984B49">
        <w:rPr>
          <w:rFonts w:ascii="DepCentury Old Style" w:hAnsi="DepCentury Old Style" w:cs="MyriadPro-Regular"/>
        </w:rPr>
        <w:t>orientation of efforts within the priority areas over</w:t>
      </w:r>
      <w:r>
        <w:rPr>
          <w:rFonts w:ascii="DepCentury Old Style" w:hAnsi="DepCentury Old Style" w:cs="MyriadPro-Regular"/>
        </w:rPr>
        <w:t xml:space="preserve"> </w:t>
      </w:r>
      <w:r w:rsidRPr="00984B49">
        <w:rPr>
          <w:rFonts w:ascii="DepCentury Old Style" w:hAnsi="DepCentury Old Style" w:cs="MyriadPro-Regular"/>
        </w:rPr>
        <w:t>the coming years. In this way, the strategy</w:t>
      </w:r>
      <w:r>
        <w:rPr>
          <w:rFonts w:ascii="DepCentury Old Style" w:hAnsi="DepCentury Old Style" w:cs="MyriadPro-Regular"/>
        </w:rPr>
        <w:t xml:space="preserve"> </w:t>
      </w:r>
      <w:r w:rsidRPr="00984B49">
        <w:rPr>
          <w:rFonts w:ascii="DepCentury Old Style" w:hAnsi="DepCentury Old Style" w:cs="MyriadPro-Regular"/>
        </w:rPr>
        <w:t>identifies initiatives and schemes that will be of</w:t>
      </w:r>
      <w:r>
        <w:rPr>
          <w:rFonts w:ascii="DepCentury Old Style" w:hAnsi="DepCentury Old Style" w:cs="MyriadPro-Regular"/>
        </w:rPr>
        <w:t xml:space="preserve"> </w:t>
      </w:r>
      <w:r w:rsidRPr="00984B49">
        <w:rPr>
          <w:rFonts w:ascii="DepCentury Old Style" w:hAnsi="DepCentury Old Style" w:cs="MyriadPro-Regular"/>
        </w:rPr>
        <w:t>strategic importance in reducing the barriers to</w:t>
      </w:r>
      <w:r>
        <w:rPr>
          <w:rFonts w:ascii="DepCentury Old Style" w:hAnsi="DepCentury Old Style" w:cs="MyriadPro-Regular"/>
        </w:rPr>
        <w:t xml:space="preserve"> </w:t>
      </w:r>
      <w:r w:rsidRPr="00984B49">
        <w:rPr>
          <w:rFonts w:ascii="DepCentury Old Style" w:hAnsi="DepCentury Old Style" w:cs="MyriadPro-Regular"/>
        </w:rPr>
        <w:t>employment faced by people with disabilities.</w:t>
      </w:r>
      <w:r>
        <w:rPr>
          <w:rFonts w:ascii="DepCentury Old Style" w:hAnsi="DepCentury Old Style" w:cs="MyriadPro-Regular"/>
        </w:rPr>
        <w:t xml:space="preserve"> </w:t>
      </w:r>
      <w:r w:rsidRPr="00984B49">
        <w:rPr>
          <w:rFonts w:ascii="DepCentury Old Style" w:hAnsi="DepCentury Old Style" w:cs="MyriadPro-Regular"/>
        </w:rPr>
        <w:t>Proposals for initiatives for 2012 break down into</w:t>
      </w:r>
    </w:p>
    <w:p w:rsidR="005F471B" w:rsidRDefault="005F471B" w:rsidP="005F471B">
      <w:pPr>
        <w:autoSpaceDE w:val="0"/>
        <w:autoSpaceDN w:val="0"/>
        <w:adjustRightInd w:val="0"/>
        <w:rPr>
          <w:rFonts w:ascii="DepCentury Old Style" w:hAnsi="DepCentury Old Style" w:cs="MyriadPro-Regular"/>
        </w:rPr>
      </w:pPr>
      <w:proofErr w:type="gramStart"/>
      <w:r w:rsidRPr="00984B49">
        <w:rPr>
          <w:rFonts w:ascii="DepCentury Old Style" w:hAnsi="DepCentury Old Style" w:cs="MyriadPro-Regular"/>
        </w:rPr>
        <w:t>various</w:t>
      </w:r>
      <w:proofErr w:type="gramEnd"/>
      <w:r w:rsidRPr="00984B49">
        <w:rPr>
          <w:rFonts w:ascii="DepCentury Old Style" w:hAnsi="DepCentury Old Style" w:cs="MyriadPro-Regular"/>
        </w:rPr>
        <w:t xml:space="preserve"> action areas that aim to make it easier for</w:t>
      </w:r>
      <w:r>
        <w:rPr>
          <w:rFonts w:ascii="DepCentury Old Style" w:hAnsi="DepCentury Old Style" w:cs="MyriadPro-Regular"/>
        </w:rPr>
        <w:t xml:space="preserve"> </w:t>
      </w:r>
      <w:r w:rsidRPr="00984B49">
        <w:rPr>
          <w:rFonts w:ascii="DepCentury Old Style" w:hAnsi="DepCentury Old Style" w:cs="MyriadPro-Regular"/>
        </w:rPr>
        <w:t>young people with disabilities to join and remain</w:t>
      </w:r>
      <w:r>
        <w:rPr>
          <w:rFonts w:ascii="DepCentury Old Style" w:hAnsi="DepCentury Old Style" w:cs="MyriadPro-Regular"/>
        </w:rPr>
        <w:t xml:space="preserve"> </w:t>
      </w:r>
      <w:r w:rsidRPr="00984B49">
        <w:rPr>
          <w:rFonts w:ascii="DepCentury Old Style" w:hAnsi="DepCentury Old Style" w:cs="MyriadPro-Regular"/>
        </w:rPr>
        <w:t>on the labour market.</w:t>
      </w:r>
    </w:p>
    <w:p w:rsidR="00642781" w:rsidRDefault="00642781" w:rsidP="006E0F62">
      <w:pPr>
        <w:autoSpaceDE w:val="0"/>
        <w:autoSpaceDN w:val="0"/>
        <w:adjustRightInd w:val="0"/>
        <w:rPr>
          <w:rFonts w:ascii="DepCentury Old Style" w:hAnsi="DepCentury Old Style"/>
        </w:rPr>
      </w:pPr>
    </w:p>
    <w:p w:rsidR="00642781" w:rsidRDefault="00642781" w:rsidP="006E0F62">
      <w:pPr>
        <w:autoSpaceDE w:val="0"/>
        <w:autoSpaceDN w:val="0"/>
        <w:adjustRightInd w:val="0"/>
        <w:rPr>
          <w:rFonts w:ascii="DepCentury Old Style" w:hAnsi="DepCentury Old Style"/>
        </w:rPr>
      </w:pPr>
      <w:r w:rsidRPr="00642781">
        <w:rPr>
          <w:rFonts w:ascii="DepCentury Old Style" w:hAnsi="DepCentury Old Style"/>
        </w:rPr>
        <w:t>The Norwegian Government is directing its efforts towards reducing four barriers that make it difficult for people with disabilities to enter the labour market: These four barriers are: a d</w:t>
      </w:r>
      <w:r w:rsidRPr="00642781">
        <w:rPr>
          <w:rFonts w:ascii="DepCentury Old Style" w:hAnsi="DepCentury Old Style"/>
          <w:bCs/>
        </w:rPr>
        <w:t>iscrimination barrier, a cost barrier, a productivity barrier and an information and attitudinal barrier</w:t>
      </w:r>
      <w:r w:rsidRPr="00642781">
        <w:rPr>
          <w:rFonts w:ascii="DepCentury Old Style" w:hAnsi="DepCentury Old Style"/>
        </w:rPr>
        <w:t>. These barriers affect both job-seekers and employers. Instruments covered by the strategy are geared to reducing these barriers.</w:t>
      </w:r>
    </w:p>
    <w:p w:rsidR="005F471B" w:rsidRPr="00984B49" w:rsidRDefault="005F471B" w:rsidP="005F471B">
      <w:pPr>
        <w:autoSpaceDE w:val="0"/>
        <w:autoSpaceDN w:val="0"/>
        <w:adjustRightInd w:val="0"/>
        <w:rPr>
          <w:rFonts w:ascii="DepCentury Old Style" w:hAnsi="DepCentury Old Style"/>
        </w:rPr>
      </w:pPr>
    </w:p>
    <w:p w:rsidR="005F471B" w:rsidRPr="005F471B" w:rsidRDefault="005F471B" w:rsidP="005F471B">
      <w:pPr>
        <w:autoSpaceDE w:val="0"/>
        <w:autoSpaceDN w:val="0"/>
        <w:adjustRightInd w:val="0"/>
        <w:rPr>
          <w:rFonts w:ascii="DepCentury Old Style" w:hAnsi="DepCentury Old Style" w:cs="MyriadPro-Regular"/>
        </w:rPr>
      </w:pPr>
      <w:r w:rsidRPr="005F471B">
        <w:rPr>
          <w:rFonts w:ascii="DepCentury Old Style" w:hAnsi="DepCentury Old Style" w:cs="MyriadPro-Regular"/>
        </w:rPr>
        <w:t>The Jobs Strategy attaches importance to</w:t>
      </w:r>
      <w:r>
        <w:rPr>
          <w:rFonts w:ascii="DepCentury Old Style" w:hAnsi="DepCentury Old Style" w:cs="MyriadPro-Regular"/>
        </w:rPr>
        <w:t xml:space="preserve"> </w:t>
      </w:r>
      <w:r w:rsidRPr="005F471B">
        <w:rPr>
          <w:rFonts w:ascii="DepCentury Old Style" w:hAnsi="DepCentury Old Style" w:cs="MyriadPro-Regular"/>
        </w:rPr>
        <w:t>strengthening and supplementing ordinary and</w:t>
      </w:r>
      <w:r>
        <w:rPr>
          <w:rFonts w:ascii="DepCentury Old Style" w:hAnsi="DepCentury Old Style" w:cs="MyriadPro-Regular"/>
        </w:rPr>
        <w:t xml:space="preserve"> </w:t>
      </w:r>
      <w:r w:rsidRPr="005F471B">
        <w:rPr>
          <w:rFonts w:ascii="DepCentury Old Style" w:hAnsi="DepCentury Old Style" w:cs="MyriadPro-Regular"/>
        </w:rPr>
        <w:t>general initiatives in different areas of policy with</w:t>
      </w:r>
      <w:r>
        <w:rPr>
          <w:rFonts w:ascii="DepCentury Old Style" w:hAnsi="DepCentury Old Style" w:cs="MyriadPro-Regular"/>
        </w:rPr>
        <w:t xml:space="preserve"> </w:t>
      </w:r>
      <w:r w:rsidRPr="005F471B">
        <w:rPr>
          <w:rFonts w:ascii="DepCentury Old Style" w:hAnsi="DepCentury Old Style" w:cs="MyriadPro-Regular"/>
        </w:rPr>
        <w:t>more targeted labour market instruments to</w:t>
      </w:r>
      <w:r>
        <w:rPr>
          <w:rFonts w:ascii="DepCentury Old Style" w:hAnsi="DepCentury Old Style" w:cs="MyriadPro-Regular"/>
        </w:rPr>
        <w:t xml:space="preserve"> </w:t>
      </w:r>
      <w:r w:rsidRPr="005F471B">
        <w:rPr>
          <w:rFonts w:ascii="DepCentury Old Style" w:hAnsi="DepCentury Old Style" w:cs="MyriadPro-Regular"/>
        </w:rPr>
        <w:t>compensate for different types of disabilities. In</w:t>
      </w:r>
      <w:r>
        <w:rPr>
          <w:rFonts w:ascii="DepCentury Old Style" w:hAnsi="DepCentury Old Style" w:cs="MyriadPro-Regular"/>
        </w:rPr>
        <w:t xml:space="preserve"> </w:t>
      </w:r>
      <w:r w:rsidRPr="005F471B">
        <w:rPr>
          <w:rFonts w:ascii="DepCentury Old Style" w:hAnsi="DepCentury Old Style" w:cs="MyriadPro-Regular"/>
        </w:rPr>
        <w:t>the field of labour market policy, this might mean</w:t>
      </w:r>
      <w:r>
        <w:rPr>
          <w:rFonts w:ascii="DepCentury Old Style" w:hAnsi="DepCentury Old Style" w:cs="MyriadPro-Regular"/>
        </w:rPr>
        <w:t xml:space="preserve"> </w:t>
      </w:r>
      <w:r w:rsidRPr="005F471B">
        <w:rPr>
          <w:rFonts w:ascii="DepCentury Old Style" w:hAnsi="DepCentury Old Style" w:cs="MyriadPro-Regular"/>
        </w:rPr>
        <w:t>implementing different forms of workplace</w:t>
      </w:r>
      <w:r>
        <w:rPr>
          <w:rFonts w:ascii="DepCentury Old Style" w:hAnsi="DepCentury Old Style" w:cs="MyriadPro-Regular"/>
        </w:rPr>
        <w:t xml:space="preserve"> </w:t>
      </w:r>
      <w:r w:rsidRPr="005F471B">
        <w:rPr>
          <w:rFonts w:ascii="DepCentury Old Style" w:hAnsi="DepCentury Old Style" w:cs="MyriadPro-Regular"/>
        </w:rPr>
        <w:t>facilitation initiatives and supervisory schemes.</w:t>
      </w:r>
      <w:r>
        <w:rPr>
          <w:rFonts w:ascii="DepCentury Old Style" w:hAnsi="DepCentury Old Style" w:cs="MyriadPro-Regular"/>
        </w:rPr>
        <w:t xml:space="preserve"> </w:t>
      </w:r>
      <w:r w:rsidRPr="005F471B">
        <w:rPr>
          <w:rFonts w:ascii="DepCentury Old Style" w:hAnsi="DepCentury Old Style" w:cs="MyriadPro-Regular"/>
        </w:rPr>
        <w:t>The idea is that when various supplementary</w:t>
      </w:r>
      <w:r>
        <w:rPr>
          <w:rFonts w:ascii="DepCentury Old Style" w:hAnsi="DepCentury Old Style" w:cs="MyriadPro-Regular"/>
        </w:rPr>
        <w:t xml:space="preserve"> </w:t>
      </w:r>
      <w:r w:rsidRPr="005F471B">
        <w:rPr>
          <w:rFonts w:ascii="DepCentury Old Style" w:hAnsi="DepCentury Old Style" w:cs="MyriadPro-Regular"/>
        </w:rPr>
        <w:t xml:space="preserve">services or compensatory solutions are </w:t>
      </w:r>
      <w:r w:rsidRPr="005F471B">
        <w:rPr>
          <w:rFonts w:ascii="DepCentury Old Style" w:hAnsi="DepCentury Old Style" w:cs="MyriadPro-Regular"/>
        </w:rPr>
        <w:lastRenderedPageBreak/>
        <w:t>combined</w:t>
      </w:r>
      <w:r>
        <w:rPr>
          <w:rFonts w:ascii="DepCentury Old Style" w:hAnsi="DepCentury Old Style" w:cs="MyriadPro-Regular"/>
        </w:rPr>
        <w:t xml:space="preserve"> </w:t>
      </w:r>
      <w:r w:rsidRPr="005F471B">
        <w:rPr>
          <w:rFonts w:ascii="DepCentury Old Style" w:hAnsi="DepCentury Old Style" w:cs="MyriadPro-Regular"/>
        </w:rPr>
        <w:t>with general instruments such as the use of labour</w:t>
      </w:r>
      <w:r>
        <w:rPr>
          <w:rFonts w:ascii="DepCentury Old Style" w:hAnsi="DepCentury Old Style" w:cs="MyriadPro-Regular"/>
        </w:rPr>
        <w:t xml:space="preserve"> </w:t>
      </w:r>
      <w:r w:rsidRPr="005F471B">
        <w:rPr>
          <w:rFonts w:ascii="DepCentury Old Style" w:hAnsi="DepCentury Old Style" w:cs="MyriadPro-Regular"/>
        </w:rPr>
        <w:t>market initiatives, this increases the chances of</w:t>
      </w:r>
      <w:r>
        <w:rPr>
          <w:rFonts w:ascii="DepCentury Old Style" w:hAnsi="DepCentury Old Style" w:cs="MyriadPro-Regular"/>
        </w:rPr>
        <w:t xml:space="preserve"> </w:t>
      </w:r>
      <w:r w:rsidRPr="005F471B">
        <w:rPr>
          <w:rFonts w:ascii="DepCentury Old Style" w:hAnsi="DepCentury Old Style" w:cs="MyriadPro-Regular"/>
        </w:rPr>
        <w:t>more young people with disabilities joining the</w:t>
      </w:r>
      <w:r>
        <w:rPr>
          <w:rFonts w:ascii="DepCentury Old Style" w:hAnsi="DepCentury Old Style" w:cs="MyriadPro-Regular"/>
        </w:rPr>
        <w:t xml:space="preserve"> </w:t>
      </w:r>
      <w:r w:rsidRPr="005F471B">
        <w:rPr>
          <w:rFonts w:ascii="DepCentury Old Style" w:hAnsi="DepCentury Old Style" w:cs="MyriadPro-Regular"/>
        </w:rPr>
        <w:t>labour market.</w:t>
      </w:r>
    </w:p>
    <w:p w:rsidR="006E0F62" w:rsidRDefault="006E0F62" w:rsidP="006E0F62">
      <w:pPr>
        <w:autoSpaceDE w:val="0"/>
        <w:autoSpaceDN w:val="0"/>
        <w:adjustRightInd w:val="0"/>
        <w:rPr>
          <w:rFonts w:ascii="DepCentury Old Style" w:hAnsi="DepCentury Old Style" w:cs="MyriadPro-Regular"/>
        </w:rPr>
      </w:pPr>
    </w:p>
    <w:p w:rsidR="00282BFE" w:rsidRDefault="00282BFE" w:rsidP="00282BFE">
      <w:pPr>
        <w:autoSpaceDE w:val="0"/>
        <w:autoSpaceDN w:val="0"/>
        <w:adjustRightInd w:val="0"/>
        <w:rPr>
          <w:rFonts w:ascii="DepCentury Old Style" w:hAnsi="DepCentury Old Style" w:cs="MyriadPro-Regular"/>
        </w:rPr>
      </w:pPr>
      <w:r w:rsidRPr="00282BFE">
        <w:rPr>
          <w:rFonts w:ascii="DepCentury Old Style" w:hAnsi="DepCentury Old Style" w:cs="MyriadPro-Regular"/>
        </w:rPr>
        <w:t>Work on the Jobs Strategy has been widely</w:t>
      </w:r>
      <w:r>
        <w:rPr>
          <w:rFonts w:ascii="DepCentury Old Style" w:hAnsi="DepCentury Old Style" w:cs="MyriadPro-Regular"/>
        </w:rPr>
        <w:t xml:space="preserve"> </w:t>
      </w:r>
      <w:r w:rsidRPr="00282BFE">
        <w:rPr>
          <w:rFonts w:ascii="DepCentury Old Style" w:hAnsi="DepCentury Old Style" w:cs="MyriadPro-Regular"/>
        </w:rPr>
        <w:t>informed by discussions with the National Disability</w:t>
      </w:r>
      <w:r>
        <w:rPr>
          <w:rFonts w:ascii="DepCentury Old Style" w:hAnsi="DepCentury Old Style" w:cs="MyriadPro-Regular"/>
        </w:rPr>
        <w:t xml:space="preserve"> </w:t>
      </w:r>
      <w:r w:rsidRPr="00282BFE">
        <w:rPr>
          <w:rFonts w:ascii="DepCentury Old Style" w:hAnsi="DepCentury Old Style" w:cs="MyriadPro-Regular"/>
        </w:rPr>
        <w:t xml:space="preserve">Council of Norway and </w:t>
      </w:r>
      <w:r w:rsidRPr="00282BFE">
        <w:rPr>
          <w:rFonts w:ascii="DepCentury Old Style" w:hAnsi="DepCentury Old Style" w:cs="MyriadPro-It"/>
          <w:i/>
          <w:iCs/>
        </w:rPr>
        <w:t>between the ministries</w:t>
      </w:r>
      <w:r w:rsidRPr="00282BFE">
        <w:rPr>
          <w:rFonts w:ascii="DepCentury Old Style" w:hAnsi="DepCentury Old Style" w:cs="MyriadPro-Regular"/>
        </w:rPr>
        <w:t>.</w:t>
      </w:r>
      <w:r>
        <w:rPr>
          <w:rFonts w:ascii="DepCentury Old Style" w:hAnsi="DepCentury Old Style" w:cs="MyriadPro-Regular"/>
        </w:rPr>
        <w:t xml:space="preserve"> </w:t>
      </w:r>
      <w:r w:rsidRPr="00282BFE">
        <w:rPr>
          <w:rFonts w:ascii="DepCentury Old Style" w:hAnsi="DepCentury Old Style" w:cs="MyriadPro-Regular"/>
        </w:rPr>
        <w:t>Two panels have been commissioned to submit</w:t>
      </w:r>
      <w:r>
        <w:rPr>
          <w:rFonts w:ascii="DepCentury Old Style" w:hAnsi="DepCentury Old Style" w:cs="MyriadPro-Regular"/>
        </w:rPr>
        <w:t xml:space="preserve"> </w:t>
      </w:r>
      <w:r w:rsidRPr="00282BFE">
        <w:rPr>
          <w:rFonts w:ascii="DepCentury Old Style" w:hAnsi="DepCentury Old Style" w:cs="MyriadPro-Regular"/>
        </w:rPr>
        <w:t>proposals for initiatives: a panel of representatives</w:t>
      </w:r>
      <w:r>
        <w:rPr>
          <w:rFonts w:ascii="DepCentury Old Style" w:hAnsi="DepCentury Old Style" w:cs="MyriadPro-Regular"/>
        </w:rPr>
        <w:t xml:space="preserve"> </w:t>
      </w:r>
      <w:r w:rsidRPr="00282BFE">
        <w:rPr>
          <w:rFonts w:ascii="DepCentury Old Style" w:hAnsi="DepCentury Old Style" w:cs="MyriadPro-Regular"/>
        </w:rPr>
        <w:t xml:space="preserve">of </w:t>
      </w:r>
      <w:r w:rsidR="001603F6" w:rsidRPr="00282BFE">
        <w:rPr>
          <w:rFonts w:ascii="DepCentury Old Style" w:hAnsi="DepCentury Old Style" w:cs="MyriadPro-Regular"/>
        </w:rPr>
        <w:t>organizations</w:t>
      </w:r>
      <w:r w:rsidRPr="00282BFE">
        <w:rPr>
          <w:rFonts w:ascii="DepCentury Old Style" w:hAnsi="DepCentury Old Style" w:cs="MyriadPro-Regular"/>
        </w:rPr>
        <w:t xml:space="preserve"> for people with disabilities and a</w:t>
      </w:r>
      <w:r>
        <w:rPr>
          <w:rFonts w:ascii="DepCentury Old Style" w:hAnsi="DepCentury Old Style" w:cs="MyriadPro-Regular"/>
        </w:rPr>
        <w:t xml:space="preserve"> </w:t>
      </w:r>
      <w:r w:rsidRPr="00282BFE">
        <w:rPr>
          <w:rFonts w:ascii="DepCentury Old Style" w:hAnsi="DepCentury Old Style" w:cs="MyriadPro-Regular"/>
        </w:rPr>
        <w:t>panel of labour market and business and industry</w:t>
      </w:r>
      <w:r>
        <w:rPr>
          <w:rFonts w:ascii="DepCentury Old Style" w:hAnsi="DepCentury Old Style" w:cs="MyriadPro-Regular"/>
        </w:rPr>
        <w:t xml:space="preserve"> </w:t>
      </w:r>
      <w:r w:rsidRPr="00282BFE">
        <w:rPr>
          <w:rFonts w:ascii="DepCentury Old Style" w:hAnsi="DepCentury Old Style" w:cs="MyriadPro-Regular"/>
        </w:rPr>
        <w:t>representatives.</w:t>
      </w:r>
    </w:p>
    <w:p w:rsidR="009E49D4" w:rsidRPr="00282BFE" w:rsidRDefault="009E49D4" w:rsidP="00282BFE">
      <w:pPr>
        <w:autoSpaceDE w:val="0"/>
        <w:autoSpaceDN w:val="0"/>
        <w:adjustRightInd w:val="0"/>
        <w:rPr>
          <w:rFonts w:ascii="DepCentury Old Style" w:hAnsi="DepCentury Old Style" w:cs="MyriadPro-Regular"/>
        </w:rPr>
      </w:pPr>
    </w:p>
    <w:p w:rsidR="005F471B" w:rsidRDefault="005F471B" w:rsidP="006E0F62">
      <w:pPr>
        <w:autoSpaceDE w:val="0"/>
        <w:autoSpaceDN w:val="0"/>
        <w:adjustRightInd w:val="0"/>
        <w:rPr>
          <w:rFonts w:ascii="DepCentury Old Style" w:hAnsi="DepCentury Old Style" w:cs="MyriadPro-Regular"/>
        </w:rPr>
      </w:pPr>
      <w:r>
        <w:rPr>
          <w:rFonts w:ascii="DepCentury Old Style" w:hAnsi="DepCentury Old Style" w:cs="MyriadPro-Regular"/>
        </w:rPr>
        <w:t>For more</w:t>
      </w:r>
      <w:r w:rsidR="00933B29">
        <w:rPr>
          <w:rFonts w:ascii="DepCentury Old Style" w:hAnsi="DepCentury Old Style" w:cs="MyriadPro-Regular"/>
        </w:rPr>
        <w:t xml:space="preserve"> </w:t>
      </w:r>
      <w:r>
        <w:rPr>
          <w:rFonts w:ascii="DepCentury Old Style" w:hAnsi="DepCentury Old Style" w:cs="MyriadPro-Regular"/>
        </w:rPr>
        <w:t>information</w:t>
      </w:r>
      <w:r w:rsidR="00282BFE">
        <w:rPr>
          <w:rFonts w:ascii="DepCentury Old Style" w:hAnsi="DepCentury Old Style" w:cs="MyriadPro-Regular"/>
        </w:rPr>
        <w:t xml:space="preserve"> about specific initiatives</w:t>
      </w:r>
      <w:r>
        <w:rPr>
          <w:rFonts w:ascii="DepCentury Old Style" w:hAnsi="DepCentury Old Style" w:cs="MyriadPro-Regular"/>
        </w:rPr>
        <w:t xml:space="preserve"> </w:t>
      </w:r>
      <w:r w:rsidR="00933B29">
        <w:rPr>
          <w:rFonts w:ascii="DepCentury Old Style" w:hAnsi="DepCentury Old Style" w:cs="MyriadPro-Regular"/>
        </w:rPr>
        <w:t>see pages 30 – 43 in</w:t>
      </w:r>
      <w:r w:rsidR="00305FF1">
        <w:rPr>
          <w:rFonts w:ascii="DepCentury Old Style" w:hAnsi="DepCentury Old Style" w:cs="MyriadPro-Regular"/>
        </w:rPr>
        <w:t xml:space="preserve"> the Jobs Strategy.</w:t>
      </w:r>
    </w:p>
    <w:p w:rsidR="005F471B" w:rsidRPr="006E0F62" w:rsidRDefault="005F471B" w:rsidP="006E0F62">
      <w:pPr>
        <w:autoSpaceDE w:val="0"/>
        <w:autoSpaceDN w:val="0"/>
        <w:adjustRightInd w:val="0"/>
        <w:rPr>
          <w:rFonts w:ascii="DepCentury Old Style" w:hAnsi="DepCentury Old Style" w:cs="MyriadPro-Regular"/>
        </w:rPr>
      </w:pPr>
    </w:p>
    <w:p w:rsidR="00CD1054" w:rsidRPr="00BF004A" w:rsidRDefault="00CD1054" w:rsidP="0083052D">
      <w:pPr>
        <w:rPr>
          <w:rFonts w:ascii="DepCentury Old Style" w:hAnsi="DepCentury Old Style"/>
        </w:rPr>
      </w:pPr>
    </w:p>
    <w:p w:rsidR="00CD1054" w:rsidRPr="00BF004A" w:rsidRDefault="00CD1054" w:rsidP="00CD1054">
      <w:pPr>
        <w:pStyle w:val="ListParagraph"/>
        <w:numPr>
          <w:ilvl w:val="0"/>
          <w:numId w:val="2"/>
        </w:numPr>
        <w:rPr>
          <w:rFonts w:ascii="DepCentury Old Style" w:hAnsi="DepCentury Old Style"/>
          <w:b/>
        </w:rPr>
      </w:pPr>
      <w:r w:rsidRPr="00BF004A">
        <w:rPr>
          <w:rFonts w:ascii="DepCentury Old Style" w:hAnsi="DepCentury Old Style"/>
          <w:b/>
        </w:rPr>
        <w:t xml:space="preserve">Detailed information on the measures adopted to modify or abolish </w:t>
      </w:r>
      <w:r w:rsidR="009E49D4">
        <w:rPr>
          <w:rFonts w:ascii="DepCentury Old Style" w:hAnsi="DepCentury Old Style"/>
          <w:b/>
        </w:rPr>
        <w:t>e</w:t>
      </w:r>
      <w:r w:rsidRPr="00BF004A">
        <w:rPr>
          <w:rFonts w:ascii="DepCentury Old Style" w:hAnsi="DepCentury Old Style"/>
          <w:b/>
        </w:rPr>
        <w:t>xisting laws, regulations, customs and practices that constitute discrimination against persons with disabilities in the field of empl</w:t>
      </w:r>
      <w:r w:rsidR="001603F6">
        <w:rPr>
          <w:rFonts w:ascii="DepCentury Old Style" w:hAnsi="DepCentury Old Style"/>
          <w:b/>
        </w:rPr>
        <w:t>o</w:t>
      </w:r>
      <w:r w:rsidRPr="00BF004A">
        <w:rPr>
          <w:rFonts w:ascii="DepCentury Old Style" w:hAnsi="DepCentury Old Style"/>
          <w:b/>
        </w:rPr>
        <w:t>yment, as well as to eliminate discrimination on the basis of disability by private empl</w:t>
      </w:r>
      <w:r w:rsidR="001603F6">
        <w:rPr>
          <w:rFonts w:ascii="DepCentury Old Style" w:hAnsi="DepCentury Old Style"/>
          <w:b/>
        </w:rPr>
        <w:t>o</w:t>
      </w:r>
      <w:r w:rsidRPr="00BF004A">
        <w:rPr>
          <w:rFonts w:ascii="DepCentury Old Style" w:hAnsi="DepCentury Old Style"/>
          <w:b/>
        </w:rPr>
        <w:t>yers and enterp</w:t>
      </w:r>
      <w:r w:rsidR="001603F6">
        <w:rPr>
          <w:rFonts w:ascii="DepCentury Old Style" w:hAnsi="DepCentury Old Style"/>
          <w:b/>
        </w:rPr>
        <w:t>r</w:t>
      </w:r>
      <w:r w:rsidRPr="00BF004A">
        <w:rPr>
          <w:rFonts w:ascii="DepCentury Old Style" w:hAnsi="DepCentury Old Style"/>
          <w:b/>
        </w:rPr>
        <w:t>ises (article 4 (1) (b), (d) and (e), and 27 (1) (a)).</w:t>
      </w:r>
    </w:p>
    <w:p w:rsidR="00CD1054" w:rsidRPr="00A5532E" w:rsidRDefault="00CD1054" w:rsidP="00CD1054">
      <w:pPr>
        <w:rPr>
          <w:rFonts w:ascii="DepCentury Old Style" w:hAnsi="DepCentury Old Style"/>
          <w:b/>
        </w:rPr>
      </w:pPr>
    </w:p>
    <w:p w:rsidR="0072182D" w:rsidRPr="0072182D" w:rsidRDefault="0072182D" w:rsidP="0072182D">
      <w:pPr>
        <w:autoSpaceDE w:val="0"/>
        <w:autoSpaceDN w:val="0"/>
        <w:adjustRightInd w:val="0"/>
        <w:rPr>
          <w:rFonts w:ascii="DepCentury Old Style" w:hAnsi="DepCentury Old Style" w:cs="DepCentury Old Style"/>
          <w:color w:val="000000"/>
        </w:rPr>
      </w:pPr>
      <w:r w:rsidRPr="0072182D">
        <w:rPr>
          <w:rFonts w:ascii="DepCentury Old Style" w:hAnsi="DepCentury Old Style" w:cs="DepCentury Old Style"/>
          <w:color w:val="000000"/>
        </w:rPr>
        <w:t xml:space="preserve">An Anti-Discrimination and Accessibility Act has been effective in Norway since 2009. The purpose of the Act is to promote equality and ensure equal opportunities for and rights to social participation for all persons regardless of disabilities and to prevent discrimination on the basis of disability. </w:t>
      </w:r>
    </w:p>
    <w:p w:rsidR="0072182D" w:rsidRPr="0072182D" w:rsidRDefault="0072182D" w:rsidP="0072182D">
      <w:pPr>
        <w:autoSpaceDE w:val="0"/>
        <w:autoSpaceDN w:val="0"/>
        <w:adjustRightInd w:val="0"/>
        <w:rPr>
          <w:rFonts w:ascii="DepCentury Old Style" w:hAnsi="DepCentury Old Style" w:cs="DepCentury Old Style"/>
          <w:color w:val="000000"/>
        </w:rPr>
      </w:pPr>
    </w:p>
    <w:p w:rsidR="0072182D" w:rsidRPr="001603F6" w:rsidRDefault="0072182D" w:rsidP="0072182D">
      <w:pPr>
        <w:pStyle w:val="Default"/>
        <w:rPr>
          <w:rFonts w:ascii="DepCentury Old Style" w:hAnsi="DepCentury Old Style" w:cs="DepCentury Old Style"/>
          <w:lang w:val="en-US"/>
        </w:rPr>
      </w:pPr>
      <w:r w:rsidRPr="001603F6">
        <w:rPr>
          <w:rFonts w:ascii="DepCentury Old Style" w:hAnsi="DepCentury Old Style" w:cs="DepCentury Old Style"/>
          <w:lang w:val="en-US"/>
        </w:rPr>
        <w:t xml:space="preserve">The act prohibits indirect and direct discrimination on the grounds of disability in all areas of society including the work-sphere. The act prohibits discrimination on the basis of disability with regard to all matters concerning all forms of employment; recruitment, hiring, continuance of employment, career advancement and safe and healthy working conditions. The prohibition against discrimination relates to discrimination on the grounds of a present disability, assumed disability, past disability, possible future disability as well as discrimination of a person due to their relationship with a person with a disability. </w:t>
      </w:r>
    </w:p>
    <w:p w:rsidR="0004770E" w:rsidRPr="001603F6" w:rsidRDefault="0004770E" w:rsidP="0072182D">
      <w:pPr>
        <w:pStyle w:val="Default"/>
        <w:rPr>
          <w:rFonts w:ascii="DepCentury Old Style" w:hAnsi="DepCentury Old Style" w:cs="DepCentury Old Style"/>
          <w:lang w:val="en-US"/>
        </w:rPr>
      </w:pPr>
    </w:p>
    <w:p w:rsidR="0072182D" w:rsidRDefault="0072182D" w:rsidP="0072182D">
      <w:pPr>
        <w:autoSpaceDE w:val="0"/>
        <w:autoSpaceDN w:val="0"/>
        <w:adjustRightInd w:val="0"/>
        <w:rPr>
          <w:rFonts w:ascii="DepCentury Old Style" w:hAnsi="DepCentury Old Style" w:cs="DepCentury Old Style"/>
          <w:color w:val="000000"/>
        </w:rPr>
      </w:pPr>
      <w:r w:rsidRPr="001603F6">
        <w:rPr>
          <w:rFonts w:ascii="DepCentury Old Style" w:hAnsi="DepCentury Old Style" w:cs="DepCentury Old Style"/>
          <w:color w:val="000000"/>
        </w:rPr>
        <w:t xml:space="preserve">The Anti-Discrimination and </w:t>
      </w:r>
      <w:r w:rsidR="001603F6" w:rsidRPr="001603F6">
        <w:rPr>
          <w:rFonts w:ascii="DepCentury Old Style" w:hAnsi="DepCentury Old Style" w:cs="DepCentury Old Style"/>
          <w:color w:val="000000"/>
        </w:rPr>
        <w:t>Accessibility</w:t>
      </w:r>
      <w:r w:rsidRPr="001603F6">
        <w:rPr>
          <w:rFonts w:ascii="DepCentury Old Style" w:hAnsi="DepCentury Old Style" w:cs="DepCentury Old Style"/>
          <w:color w:val="000000"/>
        </w:rPr>
        <w:t xml:space="preserve"> act also contains separate provisions on </w:t>
      </w:r>
      <w:r w:rsidR="001603F6" w:rsidRPr="001603F6">
        <w:rPr>
          <w:rFonts w:ascii="DepCentury Old Style" w:hAnsi="DepCentury Old Style" w:cs="DepCentury Old Style"/>
          <w:color w:val="000000"/>
        </w:rPr>
        <w:t>accessibility</w:t>
      </w:r>
      <w:r w:rsidRPr="001603F6">
        <w:rPr>
          <w:rFonts w:ascii="DepCentury Old Style" w:hAnsi="DepCentury Old Style" w:cs="DepCentury Old Style"/>
          <w:color w:val="000000"/>
        </w:rPr>
        <w:t>.</w:t>
      </w:r>
      <w:r w:rsidR="001603F6">
        <w:rPr>
          <w:rFonts w:ascii="DepCentury Old Style" w:hAnsi="DepCentury Old Style" w:cs="DepCentury Old Style"/>
          <w:color w:val="000000"/>
        </w:rPr>
        <w:t xml:space="preserve"> </w:t>
      </w:r>
      <w:r w:rsidRPr="001603F6">
        <w:rPr>
          <w:rFonts w:ascii="DepCentury Old Style" w:hAnsi="DepCentury Old Style" w:cs="DepCentury Old Style"/>
          <w:color w:val="000000"/>
        </w:rPr>
        <w:t>The provisions require that public and private undertakings that offer goods or services to the general public are obliged to ensure the universal design of the undertaking’s normal function provided this does not entail an undue burd</w:t>
      </w:r>
      <w:r w:rsidRPr="0072182D">
        <w:rPr>
          <w:rFonts w:ascii="DepCentury Old Style" w:hAnsi="DepCentury Old Style" w:cs="DepCentury Old Style"/>
          <w:color w:val="000000"/>
        </w:rPr>
        <w:t>en for the undertaking. This covers the physical environment as well as the undertakings ICT services. In addition all employers shall, within reason, individually accommodate workplaces (including the physica</w:t>
      </w:r>
      <w:r w:rsidR="009427A8">
        <w:rPr>
          <w:rFonts w:ascii="DepCentury Old Style" w:hAnsi="DepCentury Old Style" w:cs="DepCentury Old Style"/>
          <w:color w:val="000000"/>
        </w:rPr>
        <w:t>l</w:t>
      </w:r>
      <w:r w:rsidRPr="0072182D">
        <w:rPr>
          <w:rFonts w:ascii="DepCentury Old Style" w:hAnsi="DepCentury Old Style" w:cs="DepCentury Old Style"/>
          <w:color w:val="000000"/>
        </w:rPr>
        <w:t xml:space="preserve"> environment) and tasks in order to ensure that employees or job-seekers with disabilities can obtain or retain a job, have access to training and other measures to develop their competence and can carry out and have an opportunity to advance in their work in the same way as other people. </w:t>
      </w:r>
    </w:p>
    <w:p w:rsidR="0004770E" w:rsidRPr="0072182D" w:rsidRDefault="0004770E" w:rsidP="0072182D">
      <w:pPr>
        <w:autoSpaceDE w:val="0"/>
        <w:autoSpaceDN w:val="0"/>
        <w:adjustRightInd w:val="0"/>
        <w:rPr>
          <w:rFonts w:ascii="DepCentury Old Style" w:hAnsi="DepCentury Old Style" w:cs="DepCentury Old Style"/>
          <w:color w:val="000000"/>
        </w:rPr>
      </w:pPr>
    </w:p>
    <w:p w:rsidR="0072182D" w:rsidRDefault="0072182D" w:rsidP="0072182D">
      <w:pPr>
        <w:autoSpaceDE w:val="0"/>
        <w:autoSpaceDN w:val="0"/>
        <w:adjustRightInd w:val="0"/>
        <w:rPr>
          <w:rFonts w:ascii="DepCentury Old Style" w:hAnsi="DepCentury Old Style" w:cs="DepCentury Old Style"/>
          <w:color w:val="000000"/>
        </w:rPr>
      </w:pPr>
      <w:r w:rsidRPr="0004770E">
        <w:rPr>
          <w:rFonts w:ascii="DepCentury Old Style" w:hAnsi="DepCentury Old Style" w:cs="DepCentury Old Style"/>
          <w:color w:val="000000"/>
        </w:rPr>
        <w:t>A job applicant</w:t>
      </w:r>
      <w:r w:rsidR="00196205">
        <w:rPr>
          <w:rFonts w:ascii="DepCentury Old Style" w:hAnsi="DepCentury Old Style" w:cs="DepCentury Old Style"/>
          <w:color w:val="000000"/>
        </w:rPr>
        <w:t>,</w:t>
      </w:r>
      <w:r w:rsidRPr="0004770E">
        <w:rPr>
          <w:rFonts w:ascii="DepCentury Old Style" w:hAnsi="DepCentury Old Style" w:cs="DepCentury Old Style"/>
          <w:color w:val="000000"/>
        </w:rPr>
        <w:t xml:space="preserve"> who believe</w:t>
      </w:r>
      <w:r w:rsidR="009427A8">
        <w:rPr>
          <w:rFonts w:ascii="DepCentury Old Style" w:hAnsi="DepCentury Old Style" w:cs="DepCentury Old Style"/>
          <w:color w:val="000000"/>
        </w:rPr>
        <w:t>s</w:t>
      </w:r>
      <w:r w:rsidRPr="0004770E">
        <w:rPr>
          <w:rFonts w:ascii="DepCentury Old Style" w:hAnsi="DepCentury Old Style" w:cs="DepCentury Old Style"/>
          <w:color w:val="000000"/>
        </w:rPr>
        <w:t xml:space="preserve"> himself or herself to have been discriminated against</w:t>
      </w:r>
      <w:r w:rsidR="009427A8">
        <w:rPr>
          <w:rFonts w:ascii="DepCentury Old Style" w:hAnsi="DepCentury Old Style" w:cs="DepCentury Old Style"/>
          <w:color w:val="000000"/>
        </w:rPr>
        <w:t>,</w:t>
      </w:r>
      <w:r w:rsidRPr="0004770E">
        <w:rPr>
          <w:rFonts w:ascii="DepCentury Old Style" w:hAnsi="DepCentury Old Style" w:cs="DepCentury Old Style"/>
          <w:color w:val="000000"/>
        </w:rPr>
        <w:t xml:space="preserve"> may demand that the employer provide information in writing concerning the education, work experience or other clearly ascertainable qualifications of the appointee for the post in question. </w:t>
      </w:r>
    </w:p>
    <w:p w:rsidR="002F0B12" w:rsidRPr="0004770E" w:rsidRDefault="002F0B12" w:rsidP="0072182D">
      <w:pPr>
        <w:autoSpaceDE w:val="0"/>
        <w:autoSpaceDN w:val="0"/>
        <w:adjustRightInd w:val="0"/>
        <w:rPr>
          <w:rFonts w:ascii="DepCentury Old Style" w:hAnsi="DepCentury Old Style" w:cs="DepCentury Old Style"/>
          <w:color w:val="000000"/>
        </w:rPr>
      </w:pPr>
    </w:p>
    <w:p w:rsidR="00CD1054" w:rsidRPr="0004770E" w:rsidRDefault="0072182D" w:rsidP="0072182D">
      <w:pPr>
        <w:rPr>
          <w:rFonts w:ascii="DepCentury Old Style" w:hAnsi="DepCentury Old Style" w:cs="DepCentury Old Style"/>
          <w:color w:val="000000"/>
        </w:rPr>
      </w:pPr>
      <w:r w:rsidRPr="0004770E">
        <w:rPr>
          <w:rFonts w:ascii="DepCentury Old Style" w:hAnsi="DepCentury Old Style" w:cs="DepCentury Old Style"/>
          <w:color w:val="000000"/>
        </w:rPr>
        <w:t xml:space="preserve">All employers in the private sector that regularly employ more than 50 employees and employers in the public sector shall make active, targeted and systematic efforts to promote the legislative purpose of the Act within their undertaking. The duty to make active efforts </w:t>
      </w:r>
      <w:r w:rsidRPr="0004770E">
        <w:rPr>
          <w:rFonts w:ascii="DepCentury Old Style" w:hAnsi="DepCentury Old Style" w:cs="DepCentury Old Style"/>
          <w:color w:val="000000"/>
        </w:rPr>
        <w:lastRenderedPageBreak/>
        <w:t>applies to fields such as recruitment, pay and working conditions, promotion, development opportunities and protection against harassment. Employee and employer organisations have a corresponding duty to make active efforts in their fields of activity.</w:t>
      </w:r>
    </w:p>
    <w:p w:rsidR="0004770E" w:rsidRPr="0004770E" w:rsidRDefault="0004770E" w:rsidP="0072182D">
      <w:pPr>
        <w:rPr>
          <w:rFonts w:ascii="DepCentury Old Style" w:hAnsi="DepCentury Old Style" w:cs="DepCentury Old Style"/>
          <w:color w:val="000000"/>
        </w:rPr>
      </w:pPr>
    </w:p>
    <w:p w:rsidR="0004770E" w:rsidRDefault="0004770E" w:rsidP="0004770E">
      <w:pPr>
        <w:autoSpaceDE w:val="0"/>
        <w:autoSpaceDN w:val="0"/>
        <w:adjustRightInd w:val="0"/>
        <w:rPr>
          <w:rFonts w:ascii="DepCentury Old Style" w:hAnsi="DepCentury Old Style" w:cs="DepCentury Old Style"/>
          <w:color w:val="000000"/>
        </w:rPr>
      </w:pPr>
      <w:r w:rsidRPr="0004770E">
        <w:rPr>
          <w:rFonts w:ascii="DepCentury Old Style" w:hAnsi="DepCentury Old Style" w:cs="DepCentury Old Style"/>
          <w:color w:val="000000"/>
        </w:rPr>
        <w:t xml:space="preserve">The Anti-Discrimination and Accessibility Act is enforced by The Equality and Anti-Discrimination </w:t>
      </w:r>
      <w:proofErr w:type="spellStart"/>
      <w:r w:rsidRPr="0004770E">
        <w:rPr>
          <w:rFonts w:ascii="DepCentury Old Style" w:hAnsi="DepCentury Old Style" w:cs="DepCentury Old Style"/>
          <w:color w:val="000000"/>
        </w:rPr>
        <w:t>Ombud</w:t>
      </w:r>
      <w:proofErr w:type="spellEnd"/>
      <w:r w:rsidRPr="0004770E">
        <w:rPr>
          <w:rFonts w:ascii="DepCentury Old Style" w:hAnsi="DepCentury Old Style" w:cs="DepCentury Old Style"/>
          <w:color w:val="000000"/>
        </w:rPr>
        <w:t xml:space="preserve">. Anyone affected can bring a claim to the </w:t>
      </w:r>
      <w:proofErr w:type="spellStart"/>
      <w:r w:rsidRPr="0004770E">
        <w:rPr>
          <w:rFonts w:ascii="DepCentury Old Style" w:hAnsi="DepCentury Old Style" w:cs="DepCentury Old Style"/>
          <w:color w:val="000000"/>
        </w:rPr>
        <w:t>Ombud</w:t>
      </w:r>
      <w:proofErr w:type="spellEnd"/>
      <w:r w:rsidRPr="0004770E">
        <w:rPr>
          <w:rFonts w:ascii="DepCentury Old Style" w:hAnsi="DepCentury Old Style" w:cs="DepCentury Old Style"/>
          <w:color w:val="000000"/>
        </w:rPr>
        <w:t xml:space="preserve">. The law enforcement role of the </w:t>
      </w:r>
      <w:proofErr w:type="spellStart"/>
      <w:r w:rsidRPr="0004770E">
        <w:rPr>
          <w:rFonts w:ascii="DepCentury Old Style" w:hAnsi="DepCentury Old Style" w:cs="DepCentury Old Style"/>
          <w:color w:val="000000"/>
        </w:rPr>
        <w:t>Ombud</w:t>
      </w:r>
      <w:proofErr w:type="spellEnd"/>
      <w:r w:rsidRPr="0004770E">
        <w:rPr>
          <w:rFonts w:ascii="DepCentury Old Style" w:hAnsi="DepCentury Old Style" w:cs="DepCentury Old Style"/>
          <w:color w:val="000000"/>
        </w:rPr>
        <w:t xml:space="preserve"> includes making statements in connection with complaints regarding violations of laws and regulations that are within the working scope of the </w:t>
      </w:r>
      <w:proofErr w:type="spellStart"/>
      <w:r w:rsidRPr="0004770E">
        <w:rPr>
          <w:rFonts w:ascii="DepCentury Old Style" w:hAnsi="DepCentury Old Style" w:cs="DepCentury Old Style"/>
          <w:color w:val="000000"/>
        </w:rPr>
        <w:t>Ombud</w:t>
      </w:r>
      <w:proofErr w:type="spellEnd"/>
      <w:r w:rsidRPr="0004770E">
        <w:rPr>
          <w:rFonts w:ascii="DepCentury Old Style" w:hAnsi="DepCentury Old Style" w:cs="DepCentury Old Style"/>
          <w:color w:val="000000"/>
        </w:rPr>
        <w:t xml:space="preserve">. The Equality and Anti-Discrimination Tribunal will try appeals based on the Ombuds statements. Parties may take the case to court if the Tribunal’s conclusion is not accepted. </w:t>
      </w:r>
    </w:p>
    <w:p w:rsidR="0004770E" w:rsidRPr="0004770E" w:rsidRDefault="0004770E" w:rsidP="0004770E">
      <w:pPr>
        <w:autoSpaceDE w:val="0"/>
        <w:autoSpaceDN w:val="0"/>
        <w:adjustRightInd w:val="0"/>
        <w:rPr>
          <w:rFonts w:ascii="DepCentury Old Style" w:hAnsi="DepCentury Old Style" w:cs="DepCentury Old Style"/>
          <w:color w:val="000000"/>
        </w:rPr>
      </w:pPr>
    </w:p>
    <w:p w:rsidR="0004770E" w:rsidRPr="0004770E" w:rsidRDefault="0004770E" w:rsidP="0004770E">
      <w:pPr>
        <w:rPr>
          <w:rFonts w:ascii="DepCentury Old Style" w:hAnsi="DepCentury Old Style"/>
        </w:rPr>
      </w:pPr>
      <w:r w:rsidRPr="0004770E">
        <w:rPr>
          <w:rFonts w:ascii="DepCentury Old Style" w:hAnsi="DepCentury Old Style" w:cs="DepCentury Old Style"/>
          <w:color w:val="000000"/>
        </w:rPr>
        <w:t xml:space="preserve">The Equality and Anti-Discrimination </w:t>
      </w:r>
      <w:proofErr w:type="spellStart"/>
      <w:r w:rsidRPr="0004770E">
        <w:rPr>
          <w:rFonts w:ascii="DepCentury Old Style" w:hAnsi="DepCentury Old Style" w:cs="DepCentury Old Style"/>
          <w:color w:val="000000"/>
        </w:rPr>
        <w:t>Ombud</w:t>
      </w:r>
      <w:proofErr w:type="spellEnd"/>
      <w:r w:rsidRPr="0004770E">
        <w:rPr>
          <w:rFonts w:ascii="DepCentury Old Style" w:hAnsi="DepCentury Old Style" w:cs="DepCentury Old Style"/>
          <w:color w:val="000000"/>
        </w:rPr>
        <w:t xml:space="preserve"> is assigned responsibility for informing about national anti-discrimination legislation. In 2009 – 2010 the </w:t>
      </w:r>
      <w:proofErr w:type="spellStart"/>
      <w:r w:rsidRPr="0004770E">
        <w:rPr>
          <w:rFonts w:ascii="DepCentury Old Style" w:hAnsi="DepCentury Old Style" w:cs="DepCentury Old Style"/>
          <w:color w:val="000000"/>
        </w:rPr>
        <w:t>Ombud</w:t>
      </w:r>
      <w:proofErr w:type="spellEnd"/>
      <w:r w:rsidRPr="0004770E">
        <w:rPr>
          <w:rFonts w:ascii="DepCentury Old Style" w:hAnsi="DepCentury Old Style" w:cs="DepCentury Old Style"/>
          <w:color w:val="000000"/>
        </w:rPr>
        <w:t xml:space="preserve"> arranged a series of seminars to educate employers, employee and employers organisations and others on the Anti-Discrimination and Accessibility Act with specific attention paid to duty to make active efforts in the work-sphere.</w:t>
      </w:r>
    </w:p>
    <w:p w:rsidR="00CD1054" w:rsidRPr="00BF004A" w:rsidRDefault="00CD1054" w:rsidP="00CD1054">
      <w:pPr>
        <w:rPr>
          <w:rFonts w:ascii="DepCentury Old Style" w:hAnsi="DepCentury Old Style"/>
        </w:rPr>
      </w:pPr>
    </w:p>
    <w:p w:rsidR="00CD1054" w:rsidRPr="00BF004A" w:rsidRDefault="00CD1054" w:rsidP="00CD1054">
      <w:pPr>
        <w:rPr>
          <w:rFonts w:ascii="DepCentury Old Style" w:hAnsi="DepCentury Old Style"/>
        </w:rPr>
      </w:pPr>
    </w:p>
    <w:p w:rsidR="00CD1054" w:rsidRPr="00BF004A" w:rsidRDefault="00BB629D" w:rsidP="00BB629D">
      <w:pPr>
        <w:pStyle w:val="ListParagraph"/>
        <w:numPr>
          <w:ilvl w:val="0"/>
          <w:numId w:val="2"/>
        </w:numPr>
        <w:rPr>
          <w:rFonts w:ascii="DepCentury Old Style" w:hAnsi="DepCentury Old Style"/>
          <w:b/>
        </w:rPr>
      </w:pPr>
      <w:r w:rsidRPr="00BF004A">
        <w:rPr>
          <w:rFonts w:ascii="DepCentury Old Style" w:hAnsi="DepCentury Old Style"/>
          <w:b/>
        </w:rPr>
        <w:t>Information on the affirmative action programmes, incentives and other measures, if any, that your country has developed to promote employment opportunities for persons with disabilit</w:t>
      </w:r>
      <w:r w:rsidR="00196205">
        <w:rPr>
          <w:rFonts w:ascii="DepCentury Old Style" w:hAnsi="DepCentury Old Style"/>
          <w:b/>
        </w:rPr>
        <w:t>i</w:t>
      </w:r>
      <w:r w:rsidRPr="00BF004A">
        <w:rPr>
          <w:rFonts w:ascii="DepCentury Old Style" w:hAnsi="DepCentury Old Style"/>
          <w:b/>
        </w:rPr>
        <w:t>es in the public and private sector (articles 5 (4) and 27 (1) (e), (g) and (h)). Has you</w:t>
      </w:r>
      <w:r w:rsidR="004B42E7">
        <w:rPr>
          <w:rFonts w:ascii="DepCentury Old Style" w:hAnsi="DepCentury Old Style"/>
          <w:b/>
        </w:rPr>
        <w:t>r</w:t>
      </w:r>
      <w:r w:rsidRPr="00BF004A">
        <w:rPr>
          <w:rFonts w:ascii="DepCentury Old Style" w:hAnsi="DepCentury Old Style"/>
          <w:b/>
        </w:rPr>
        <w:t xml:space="preserve"> country adopted any measu</w:t>
      </w:r>
      <w:r w:rsidR="004B42E7">
        <w:rPr>
          <w:rFonts w:ascii="DepCentury Old Style" w:hAnsi="DepCentury Old Style"/>
          <w:b/>
        </w:rPr>
        <w:t>r</w:t>
      </w:r>
      <w:r w:rsidRPr="00BF004A">
        <w:rPr>
          <w:rFonts w:ascii="DepCentury Old Style" w:hAnsi="DepCentury Old Style"/>
          <w:b/>
        </w:rPr>
        <w:t xml:space="preserve">e to increase employment opportunities for persons with disabilities belonging to particularly </w:t>
      </w:r>
      <w:r w:rsidR="003210C8" w:rsidRPr="00BF004A">
        <w:rPr>
          <w:rFonts w:ascii="DepCentury Old Style" w:hAnsi="DepCentury Old Style"/>
          <w:b/>
        </w:rPr>
        <w:t>vulnerable groups (for example young persons with disabilities, women with disabilities, persons wit</w:t>
      </w:r>
      <w:r w:rsidR="00196205">
        <w:rPr>
          <w:rFonts w:ascii="DepCentury Old Style" w:hAnsi="DepCentury Old Style"/>
          <w:b/>
        </w:rPr>
        <w:t>h intellectual/psycho-social di</w:t>
      </w:r>
      <w:r w:rsidR="003210C8" w:rsidRPr="00BF004A">
        <w:rPr>
          <w:rFonts w:ascii="DepCentury Old Style" w:hAnsi="DepCentury Old Style"/>
          <w:b/>
        </w:rPr>
        <w:t>sabilities, (etc.)?</w:t>
      </w:r>
    </w:p>
    <w:p w:rsidR="003210C8" w:rsidRPr="00EB4B84" w:rsidRDefault="003210C8" w:rsidP="003210C8">
      <w:pPr>
        <w:rPr>
          <w:rFonts w:ascii="DepCentury Old Style" w:hAnsi="DepCentury Old Style"/>
        </w:rPr>
      </w:pPr>
    </w:p>
    <w:p w:rsidR="005B3083" w:rsidRPr="00323799" w:rsidRDefault="0005669E" w:rsidP="0005669E">
      <w:pPr>
        <w:autoSpaceDE w:val="0"/>
        <w:autoSpaceDN w:val="0"/>
        <w:adjustRightInd w:val="0"/>
        <w:rPr>
          <w:rFonts w:ascii="DepCentury Old Style" w:hAnsi="DepCentury Old Style"/>
        </w:rPr>
      </w:pPr>
      <w:r w:rsidRPr="00EB4B84">
        <w:rPr>
          <w:rFonts w:ascii="DepCentury Old Style" w:hAnsi="DepCentury Old Style"/>
        </w:rPr>
        <w:t xml:space="preserve">The Jobs Strategy is also </w:t>
      </w:r>
      <w:r w:rsidR="001A5F50">
        <w:rPr>
          <w:rFonts w:ascii="DepCentury Old Style" w:hAnsi="DepCentury Old Style" w:cs="MyriadPro-Regular"/>
        </w:rPr>
        <w:t xml:space="preserve">laid down in the </w:t>
      </w:r>
      <w:r w:rsidRPr="00EB4B84">
        <w:rPr>
          <w:rFonts w:ascii="DepCentury Old Style" w:hAnsi="DepCentury Old Style" w:cs="MyriadPro-Regular"/>
        </w:rPr>
        <w:t>IA Agreement</w:t>
      </w:r>
      <w:r w:rsidR="00EB4B84">
        <w:rPr>
          <w:rFonts w:ascii="DepCentury Old Style" w:hAnsi="DepCentury Old Style" w:cs="MyriadPro-Regular"/>
        </w:rPr>
        <w:t xml:space="preserve">, </w:t>
      </w:r>
      <w:r w:rsidR="00EB4B84" w:rsidRPr="00EB4B84">
        <w:rPr>
          <w:rFonts w:ascii="DepCentury Old Style" w:hAnsi="DepCentury Old Style"/>
        </w:rPr>
        <w:t>the tripartite agreement between the Government and the social partners toward</w:t>
      </w:r>
      <w:r w:rsidR="00EB4B84">
        <w:rPr>
          <w:rFonts w:ascii="DepCentury Old Style" w:hAnsi="DepCentury Old Style"/>
        </w:rPr>
        <w:t>s a More Inclusive Working Life.</w:t>
      </w:r>
      <w:r w:rsidR="00CB013A">
        <w:rPr>
          <w:rFonts w:ascii="DepCentury Old Style" w:hAnsi="DepCentury Old Style"/>
        </w:rPr>
        <w:t xml:space="preserve"> </w:t>
      </w:r>
      <w:r w:rsidR="001A5F50">
        <w:rPr>
          <w:rFonts w:ascii="DepCentury Old Style" w:hAnsi="DepCentury Old Style"/>
        </w:rPr>
        <w:t xml:space="preserve">Through the IA Agreement the Government and the social partners are working for a more inclusive working life for the benefit of the employees, the workplace and the society. </w:t>
      </w:r>
      <w:r w:rsidR="005B3083" w:rsidRPr="00323799">
        <w:rPr>
          <w:rFonts w:ascii="DepCentury Old Style" w:hAnsi="DepCentury Old Style"/>
        </w:rPr>
        <w:t>Thro</w:t>
      </w:r>
      <w:r w:rsidR="00BD31D5" w:rsidRPr="00323799">
        <w:rPr>
          <w:rFonts w:ascii="DepCentury Old Style" w:hAnsi="DepCentury Old Style"/>
        </w:rPr>
        <w:t>u</w:t>
      </w:r>
      <w:r w:rsidR="005B3083" w:rsidRPr="00323799">
        <w:rPr>
          <w:rFonts w:ascii="DepCentury Old Style" w:hAnsi="DepCentury Old Style"/>
        </w:rPr>
        <w:t>g</w:t>
      </w:r>
      <w:r w:rsidR="00BD31D5" w:rsidRPr="00323799">
        <w:rPr>
          <w:rFonts w:ascii="DepCentury Old Style" w:hAnsi="DepCentury Old Style"/>
        </w:rPr>
        <w:t>h</w:t>
      </w:r>
      <w:r w:rsidR="005B3083" w:rsidRPr="00323799">
        <w:rPr>
          <w:rFonts w:ascii="DepCentury Old Style" w:hAnsi="DepCentury Old Style"/>
        </w:rPr>
        <w:t xml:space="preserve"> the agreement, focus has been placed on reducing sickness absence and the use of disability pensions, incre</w:t>
      </w:r>
      <w:r w:rsidR="00BD31D5" w:rsidRPr="00323799">
        <w:rPr>
          <w:rFonts w:ascii="DepCentury Old Style" w:hAnsi="DepCentury Old Style"/>
        </w:rPr>
        <w:t>asing the retirement age and ensuring the recruitment of people with impaired age and ensuring the recruitment of people with impaired function capacity and other vulnerable groups to the employment market.</w:t>
      </w:r>
    </w:p>
    <w:p w:rsidR="00CB013A" w:rsidRPr="00B55FB3" w:rsidRDefault="00CB013A" w:rsidP="0005669E">
      <w:pPr>
        <w:autoSpaceDE w:val="0"/>
        <w:autoSpaceDN w:val="0"/>
        <w:adjustRightInd w:val="0"/>
        <w:rPr>
          <w:rFonts w:ascii="DepCentury Old Style" w:hAnsi="DepCentury Old Style"/>
          <w:highlight w:val="yellow"/>
        </w:rPr>
      </w:pPr>
    </w:p>
    <w:p w:rsidR="00F753B4" w:rsidRDefault="00EB4B84" w:rsidP="006B7EB7">
      <w:pPr>
        <w:autoSpaceDE w:val="0"/>
        <w:autoSpaceDN w:val="0"/>
        <w:adjustRightInd w:val="0"/>
        <w:rPr>
          <w:rFonts w:ascii="DepCentury Old Style" w:hAnsi="DepCentury Old Style"/>
        </w:rPr>
      </w:pPr>
      <w:r w:rsidRPr="009F6E46">
        <w:rPr>
          <w:rFonts w:ascii="DepCentury Old Style" w:hAnsi="DepCentury Old Style"/>
        </w:rPr>
        <w:t xml:space="preserve">A central </w:t>
      </w:r>
      <w:r w:rsidR="0005669E" w:rsidRPr="009F6E46">
        <w:rPr>
          <w:rFonts w:ascii="DepCentury Old Style" w:hAnsi="DepCentury Old Style" w:cs="MyriadPro-Regular"/>
        </w:rPr>
        <w:t xml:space="preserve">goal of the IA Agreement is to increase the rate of employment among people with disabilities through increased recruitment of job-seekers and by putting initiatives in place to prevent employees with disabilities from being excluded from working life. </w:t>
      </w:r>
      <w:r w:rsidR="009F6E46" w:rsidRPr="009F6E46">
        <w:rPr>
          <w:rFonts w:ascii="DepCentury Old Style" w:hAnsi="DepCentury Old Style" w:cs="MyriadPro-Regular"/>
        </w:rPr>
        <w:t xml:space="preserve">So far this goal has not been reached. </w:t>
      </w:r>
      <w:r w:rsidR="0005669E" w:rsidRPr="009F6E46">
        <w:rPr>
          <w:rFonts w:ascii="DepCentury Old Style" w:hAnsi="DepCentury Old Style" w:cs="MyriadPro-Regular"/>
        </w:rPr>
        <w:t>Evaluations of the IA Agreement (2001-2009) however did not find that the agreement had resulted in increased employment among people with disabilities.</w:t>
      </w:r>
      <w:r w:rsidR="00411DB9" w:rsidRPr="009F6E46">
        <w:rPr>
          <w:rFonts w:ascii="DepCentury Old Style" w:hAnsi="DepCentury Old Style" w:cs="MyriadPro-Regular"/>
        </w:rPr>
        <w:t xml:space="preserve"> </w:t>
      </w:r>
      <w:r w:rsidR="009F6E46" w:rsidRPr="009F6E46">
        <w:rPr>
          <w:rFonts w:ascii="DepCentury Old Style" w:hAnsi="DepCentury Old Style" w:cs="MyriadPro-Regular"/>
        </w:rPr>
        <w:t>The Jobs Strategy demonstrates the Government’s</w:t>
      </w:r>
      <w:r w:rsidR="009F6E46">
        <w:rPr>
          <w:rFonts w:ascii="DepCentury Old Style" w:hAnsi="DepCentury Old Style" w:cs="MyriadPro-Regular"/>
        </w:rPr>
        <w:t xml:space="preserve"> </w:t>
      </w:r>
      <w:r w:rsidR="009F6E46" w:rsidRPr="009F6E46">
        <w:rPr>
          <w:rFonts w:ascii="DepCentury Old Style" w:hAnsi="DepCentury Old Style" w:cs="MyriadPro-Regular"/>
        </w:rPr>
        <w:t>integrated approach to IA efforts.</w:t>
      </w:r>
      <w:r w:rsidR="009F6E46">
        <w:rPr>
          <w:rFonts w:ascii="DepCentury Old Style" w:hAnsi="DepCentury Old Style" w:cs="MyriadPro-Regular"/>
        </w:rPr>
        <w:t xml:space="preserve"> </w:t>
      </w:r>
      <w:r w:rsidR="00F753B4" w:rsidRPr="00EB4B84">
        <w:rPr>
          <w:rFonts w:ascii="DepCentury Old Style" w:hAnsi="DepCentury Old Style"/>
        </w:rPr>
        <w:t>See answer</w:t>
      </w:r>
      <w:r w:rsidR="00E61A8C">
        <w:rPr>
          <w:rFonts w:ascii="DepCentury Old Style" w:hAnsi="DepCentury Old Style"/>
        </w:rPr>
        <w:t xml:space="preserve"> to question</w:t>
      </w:r>
      <w:r w:rsidR="00F753B4" w:rsidRPr="00EB4B84">
        <w:rPr>
          <w:rFonts w:ascii="DepCentury Old Style" w:hAnsi="DepCentury Old Style"/>
        </w:rPr>
        <w:t xml:space="preserve"> 1)</w:t>
      </w:r>
      <w:r w:rsidR="00F753B4">
        <w:rPr>
          <w:rFonts w:ascii="DepCentury Old Style" w:hAnsi="DepCentury Old Style"/>
        </w:rPr>
        <w:t xml:space="preserve"> </w:t>
      </w:r>
      <w:r w:rsidR="009F6E46">
        <w:rPr>
          <w:rFonts w:ascii="DepCentury Old Style" w:hAnsi="DepCentury Old Style"/>
        </w:rPr>
        <w:t xml:space="preserve">about the </w:t>
      </w:r>
      <w:r w:rsidR="00F753B4">
        <w:rPr>
          <w:rFonts w:ascii="DepCentury Old Style" w:hAnsi="DepCentury Old Style"/>
        </w:rPr>
        <w:t>Jobs strategy.</w:t>
      </w:r>
    </w:p>
    <w:p w:rsidR="00804950" w:rsidRPr="00804950" w:rsidRDefault="00804950" w:rsidP="006B7EB7">
      <w:pPr>
        <w:autoSpaceDE w:val="0"/>
        <w:autoSpaceDN w:val="0"/>
        <w:adjustRightInd w:val="0"/>
        <w:rPr>
          <w:rFonts w:ascii="DepCentury Old Style" w:hAnsi="DepCentury Old Style"/>
        </w:rPr>
      </w:pPr>
    </w:p>
    <w:p w:rsidR="00804950" w:rsidRPr="00804950" w:rsidRDefault="00804950" w:rsidP="00804950">
      <w:pPr>
        <w:autoSpaceDE w:val="0"/>
        <w:autoSpaceDN w:val="0"/>
        <w:adjustRightInd w:val="0"/>
        <w:rPr>
          <w:rFonts w:ascii="DepCentury Old Style" w:hAnsi="DepCentury Old Style" w:cs="MyriadPro-Regular"/>
        </w:rPr>
      </w:pPr>
      <w:r w:rsidRPr="00804950">
        <w:rPr>
          <w:rFonts w:ascii="DepCentury Old Style" w:hAnsi="DepCentury Old Style" w:cs="MyriadPro-Regular"/>
        </w:rPr>
        <w:t>Close private-public partnerships will be crucial to</w:t>
      </w:r>
      <w:r>
        <w:rPr>
          <w:rFonts w:ascii="DepCentury Old Style" w:hAnsi="DepCentury Old Style" w:cs="MyriadPro-Regular"/>
        </w:rPr>
        <w:t xml:space="preserve"> </w:t>
      </w:r>
      <w:r w:rsidRPr="00804950">
        <w:rPr>
          <w:rFonts w:ascii="DepCentury Old Style" w:hAnsi="DepCentury Old Style" w:cs="MyriadPro-Regular"/>
        </w:rPr>
        <w:t>the success of the Jobs Strategy. For many young</w:t>
      </w:r>
      <w:r>
        <w:rPr>
          <w:rFonts w:ascii="DepCentury Old Style" w:hAnsi="DepCentury Old Style" w:cs="MyriadPro-Regular"/>
        </w:rPr>
        <w:t xml:space="preserve"> </w:t>
      </w:r>
      <w:r w:rsidRPr="00804950">
        <w:rPr>
          <w:rFonts w:ascii="DepCentury Old Style" w:hAnsi="DepCentury Old Style" w:cs="MyriadPro-Regular"/>
        </w:rPr>
        <w:t>people with disabilities, it is important to be given</w:t>
      </w:r>
      <w:r>
        <w:rPr>
          <w:rFonts w:ascii="DepCentury Old Style" w:hAnsi="DepCentury Old Style" w:cs="MyriadPro-Regular"/>
        </w:rPr>
        <w:t xml:space="preserve"> </w:t>
      </w:r>
      <w:r w:rsidRPr="00804950">
        <w:rPr>
          <w:rFonts w:ascii="DepCentury Old Style" w:hAnsi="DepCentury Old Style" w:cs="MyriadPro-Regular"/>
        </w:rPr>
        <w:t>the opportunity to try out their capacity for working</w:t>
      </w:r>
      <w:r>
        <w:rPr>
          <w:rFonts w:ascii="DepCentury Old Style" w:hAnsi="DepCentury Old Style" w:cs="MyriadPro-Regular"/>
        </w:rPr>
        <w:t xml:space="preserve"> </w:t>
      </w:r>
      <w:r w:rsidRPr="00804950">
        <w:rPr>
          <w:rFonts w:ascii="DepCentury Old Style" w:hAnsi="DepCentury Old Style" w:cs="MyriadPro-Regular"/>
        </w:rPr>
        <w:t>and gain essential work experience. Consequently,</w:t>
      </w:r>
    </w:p>
    <w:p w:rsidR="00F753B4" w:rsidRDefault="00DC2B85" w:rsidP="006B7EB7">
      <w:pPr>
        <w:autoSpaceDE w:val="0"/>
        <w:autoSpaceDN w:val="0"/>
        <w:adjustRightInd w:val="0"/>
        <w:rPr>
          <w:rFonts w:ascii="DepCentury Old Style" w:hAnsi="DepCentury Old Style" w:cs="MyriadPro-Regular"/>
        </w:rPr>
      </w:pPr>
      <w:r>
        <w:rPr>
          <w:rFonts w:ascii="DepCentury Old Style" w:hAnsi="DepCentury Old Style" w:cs="MyriadPro-Regular"/>
        </w:rPr>
        <w:t>i</w:t>
      </w:r>
      <w:r w:rsidRPr="00804950">
        <w:rPr>
          <w:rFonts w:ascii="DepCentury Old Style" w:hAnsi="DepCentury Old Style" w:cs="MyriadPro-Regular"/>
        </w:rPr>
        <w:t>mplementation</w:t>
      </w:r>
      <w:r w:rsidR="00804950" w:rsidRPr="00804950">
        <w:rPr>
          <w:rFonts w:ascii="DepCentury Old Style" w:hAnsi="DepCentury Old Style" w:cs="MyriadPro-Regular"/>
        </w:rPr>
        <w:t xml:space="preserve"> of the strategy will require</w:t>
      </w:r>
      <w:r w:rsidR="00804950">
        <w:rPr>
          <w:rFonts w:ascii="DepCentury Old Style" w:hAnsi="DepCentury Old Style" w:cs="MyriadPro-Regular"/>
        </w:rPr>
        <w:t xml:space="preserve"> </w:t>
      </w:r>
      <w:r w:rsidR="00804950" w:rsidRPr="00804950">
        <w:rPr>
          <w:rFonts w:ascii="DepCentury Old Style" w:hAnsi="DepCentury Old Style" w:cs="MyriadPro-Regular"/>
        </w:rPr>
        <w:t>both labour market instruments capable of stimulating</w:t>
      </w:r>
      <w:r w:rsidR="00804950">
        <w:rPr>
          <w:rFonts w:ascii="DepCentury Old Style" w:hAnsi="DepCentury Old Style" w:cs="MyriadPro-Regular"/>
        </w:rPr>
        <w:t xml:space="preserve"> </w:t>
      </w:r>
      <w:r w:rsidR="00804950" w:rsidRPr="00804950">
        <w:rPr>
          <w:rFonts w:ascii="DepCentury Old Style" w:hAnsi="DepCentury Old Style" w:cs="MyriadPro-Regular"/>
        </w:rPr>
        <w:t>demand for people with disabilities and</w:t>
      </w:r>
      <w:r w:rsidR="00804950">
        <w:rPr>
          <w:rFonts w:ascii="DepCentury Old Style" w:hAnsi="DepCentury Old Style" w:cs="MyriadPro-Regular"/>
        </w:rPr>
        <w:t xml:space="preserve"> </w:t>
      </w:r>
      <w:r w:rsidR="00804950" w:rsidRPr="00804950">
        <w:rPr>
          <w:rFonts w:ascii="DepCentury Old Style" w:hAnsi="DepCentury Old Style" w:cs="MyriadPro-Regular"/>
        </w:rPr>
        <w:t>employers who are willing to take on the social</w:t>
      </w:r>
      <w:r w:rsidR="00804950">
        <w:rPr>
          <w:rFonts w:ascii="DepCentury Old Style" w:hAnsi="DepCentury Old Style" w:cs="MyriadPro-Regular"/>
        </w:rPr>
        <w:t xml:space="preserve"> </w:t>
      </w:r>
      <w:r w:rsidR="00804950" w:rsidRPr="00804950">
        <w:rPr>
          <w:rFonts w:ascii="DepCentury Old Style" w:hAnsi="DepCentury Old Style" w:cs="MyriadPro-Regular"/>
        </w:rPr>
        <w:t>responsibility of offering places on work-experience</w:t>
      </w:r>
      <w:r w:rsidR="00804950">
        <w:rPr>
          <w:rFonts w:ascii="DepCentury Old Style" w:hAnsi="DepCentury Old Style" w:cs="MyriadPro-Regular"/>
        </w:rPr>
        <w:t xml:space="preserve"> </w:t>
      </w:r>
      <w:r w:rsidR="00804950" w:rsidRPr="00804950">
        <w:rPr>
          <w:rFonts w:ascii="DepCentury Old Style" w:hAnsi="DepCentury Old Style" w:cs="MyriadPro-Regular"/>
        </w:rPr>
        <w:t>programmes and labour market programmes</w:t>
      </w:r>
      <w:r w:rsidR="00804950">
        <w:rPr>
          <w:rFonts w:ascii="DepCentury Old Style" w:hAnsi="DepCentury Old Style" w:cs="MyriadPro-Regular"/>
        </w:rPr>
        <w:t xml:space="preserve"> </w:t>
      </w:r>
      <w:r w:rsidR="00804950" w:rsidRPr="00804950">
        <w:rPr>
          <w:rFonts w:ascii="DepCentury Old Style" w:hAnsi="DepCentury Old Style" w:cs="MyriadPro-Regular"/>
        </w:rPr>
        <w:t>for the target group.</w:t>
      </w:r>
    </w:p>
    <w:p w:rsidR="00804950" w:rsidRDefault="00804950" w:rsidP="006B7EB7">
      <w:pPr>
        <w:autoSpaceDE w:val="0"/>
        <w:autoSpaceDN w:val="0"/>
        <w:adjustRightInd w:val="0"/>
        <w:rPr>
          <w:rFonts w:ascii="DepCentury Old Style" w:hAnsi="DepCentury Old Style" w:cs="MyriadPro-Regular"/>
        </w:rPr>
      </w:pPr>
    </w:p>
    <w:p w:rsidR="006B7EB7" w:rsidRPr="006B7EB7" w:rsidRDefault="006B7EB7" w:rsidP="006B7EB7">
      <w:pPr>
        <w:autoSpaceDE w:val="0"/>
        <w:autoSpaceDN w:val="0"/>
        <w:adjustRightInd w:val="0"/>
        <w:rPr>
          <w:rFonts w:ascii="DepCentury Old Style" w:hAnsi="DepCentury Old Style" w:cs="MyriadPro-Regular"/>
        </w:rPr>
      </w:pPr>
      <w:r w:rsidRPr="006B7EB7">
        <w:rPr>
          <w:rFonts w:ascii="DepCentury Old Style" w:hAnsi="DepCentury Old Style" w:cs="MyriadPro-Regular"/>
        </w:rPr>
        <w:t>While 2 in 3 people with disabilities (or functional</w:t>
      </w:r>
      <w:r>
        <w:rPr>
          <w:rFonts w:ascii="DepCentury Old Style" w:hAnsi="DepCentury Old Style" w:cs="MyriadPro-Regular"/>
        </w:rPr>
        <w:t xml:space="preserve"> </w:t>
      </w:r>
      <w:r w:rsidRPr="006B7EB7">
        <w:rPr>
          <w:rFonts w:ascii="DepCentury Old Style" w:hAnsi="DepCentury Old Style" w:cs="MyriadPro-Regular"/>
        </w:rPr>
        <w:t>impairment) in the age-group 16-66 have</w:t>
      </w:r>
      <w:r>
        <w:rPr>
          <w:rFonts w:ascii="DepCentury Old Style" w:hAnsi="DepCentury Old Style" w:cs="MyriadPro-Regular"/>
        </w:rPr>
        <w:t xml:space="preserve"> </w:t>
      </w:r>
      <w:r w:rsidRPr="006B7EB7">
        <w:rPr>
          <w:rFonts w:ascii="DepCentury Old Style" w:hAnsi="DepCentury Old Style" w:cs="MyriadPro-Regular"/>
        </w:rPr>
        <w:t>completed upper secondary education, this is true</w:t>
      </w:r>
      <w:r>
        <w:rPr>
          <w:rFonts w:ascii="DepCentury Old Style" w:hAnsi="DepCentury Old Style" w:cs="MyriadPro-Regular"/>
        </w:rPr>
        <w:t xml:space="preserve"> </w:t>
      </w:r>
      <w:r w:rsidRPr="006B7EB7">
        <w:rPr>
          <w:rFonts w:ascii="DepCentury Old Style" w:hAnsi="DepCentury Old Style" w:cs="MyriadPro-Regular"/>
        </w:rPr>
        <w:t>of 3 in 4 of the general population.</w:t>
      </w:r>
      <w:r>
        <w:rPr>
          <w:rFonts w:ascii="DepCentury Old Style" w:hAnsi="DepCentury Old Style" w:cs="MyriadPro-Regular"/>
        </w:rPr>
        <w:t xml:space="preserve"> </w:t>
      </w:r>
      <w:r w:rsidRPr="006B7EB7">
        <w:rPr>
          <w:rFonts w:ascii="DepCentury Old Style" w:hAnsi="DepCentury Old Style" w:cs="MyriadPro-Regular"/>
        </w:rPr>
        <w:t>In selecting its main target group, the Government</w:t>
      </w:r>
      <w:r>
        <w:rPr>
          <w:rFonts w:ascii="DepCentury Old Style" w:hAnsi="DepCentury Old Style" w:cs="MyriadPro-Regular"/>
        </w:rPr>
        <w:t xml:space="preserve"> </w:t>
      </w:r>
      <w:r w:rsidRPr="006B7EB7">
        <w:rPr>
          <w:rFonts w:ascii="DepCentury Old Style" w:hAnsi="DepCentury Old Style" w:cs="MyriadPro-Regular"/>
        </w:rPr>
        <w:t>has decided to direct efforts at young</w:t>
      </w:r>
      <w:r>
        <w:rPr>
          <w:rFonts w:ascii="DepCentury Old Style" w:hAnsi="DepCentury Old Style" w:cs="MyriadPro-Regular"/>
        </w:rPr>
        <w:t xml:space="preserve"> </w:t>
      </w:r>
      <w:r w:rsidRPr="006B7EB7">
        <w:rPr>
          <w:rFonts w:ascii="DepCentury Old Style" w:hAnsi="DepCentury Old Style" w:cs="MyriadPro-Regular"/>
        </w:rPr>
        <w:t>people with disabilities who are in the transitional</w:t>
      </w:r>
      <w:r>
        <w:rPr>
          <w:rFonts w:ascii="DepCentury Old Style" w:hAnsi="DepCentury Old Style" w:cs="MyriadPro-Regular"/>
        </w:rPr>
        <w:t xml:space="preserve"> </w:t>
      </w:r>
      <w:r w:rsidRPr="006B7EB7">
        <w:rPr>
          <w:rFonts w:ascii="DepCentury Old Style" w:hAnsi="DepCentury Old Style" w:cs="MyriadPro-Regular"/>
        </w:rPr>
        <w:t>period from education to working life. The target</w:t>
      </w:r>
      <w:r>
        <w:rPr>
          <w:rFonts w:ascii="DepCentury Old Style" w:hAnsi="DepCentury Old Style" w:cs="MyriadPro-Regular"/>
        </w:rPr>
        <w:t xml:space="preserve"> </w:t>
      </w:r>
      <w:r w:rsidRPr="006B7EB7">
        <w:rPr>
          <w:rFonts w:ascii="DepCentury Old Style" w:hAnsi="DepCentury Old Style" w:cs="MyriadPro-Regular"/>
        </w:rPr>
        <w:t>group consists both of job-seekers who have</w:t>
      </w:r>
    </w:p>
    <w:p w:rsidR="006B7EB7" w:rsidRPr="006B7EB7" w:rsidRDefault="006B7EB7" w:rsidP="006B7EB7">
      <w:pPr>
        <w:autoSpaceDE w:val="0"/>
        <w:autoSpaceDN w:val="0"/>
        <w:adjustRightInd w:val="0"/>
        <w:rPr>
          <w:rFonts w:ascii="DepCentury Old Style" w:hAnsi="DepCentury Old Style" w:cs="MyriadPro-Regular"/>
        </w:rPr>
      </w:pPr>
      <w:r w:rsidRPr="006B7EB7">
        <w:rPr>
          <w:rFonts w:ascii="DepCentury Old Style" w:hAnsi="DepCentury Old Style" w:cs="MyriadPro-Regular"/>
        </w:rPr>
        <w:t>completed education or training and who are</w:t>
      </w:r>
      <w:r>
        <w:rPr>
          <w:rFonts w:ascii="DepCentury Old Style" w:hAnsi="DepCentury Old Style" w:cs="MyriadPro-Regular"/>
        </w:rPr>
        <w:t xml:space="preserve"> </w:t>
      </w:r>
      <w:r w:rsidRPr="006B7EB7">
        <w:rPr>
          <w:rFonts w:ascii="DepCentury Old Style" w:hAnsi="DepCentury Old Style" w:cs="MyriadPro-Regular"/>
        </w:rPr>
        <w:t>available for work, and people with disabilities</w:t>
      </w:r>
      <w:r>
        <w:rPr>
          <w:rFonts w:ascii="DepCentury Old Style" w:hAnsi="DepCentury Old Style" w:cs="MyriadPro-Regular"/>
        </w:rPr>
        <w:t xml:space="preserve"> </w:t>
      </w:r>
      <w:r w:rsidRPr="006B7EB7">
        <w:rPr>
          <w:rFonts w:ascii="DepCentury Old Style" w:hAnsi="DepCentury Old Style" w:cs="MyriadPro-Regular"/>
        </w:rPr>
        <w:t>who are long-term recipients of the work clarification</w:t>
      </w:r>
      <w:r>
        <w:rPr>
          <w:rFonts w:ascii="DepCentury Old Style" w:hAnsi="DepCentury Old Style" w:cs="MyriadPro-Regular"/>
        </w:rPr>
        <w:t xml:space="preserve"> </w:t>
      </w:r>
      <w:r w:rsidRPr="006B7EB7">
        <w:rPr>
          <w:rFonts w:ascii="DepCentury Old Style" w:hAnsi="DepCentury Old Style" w:cs="MyriadPro-Regular"/>
        </w:rPr>
        <w:t>allowance (transitional benefit pending clarification</w:t>
      </w:r>
      <w:r>
        <w:rPr>
          <w:rFonts w:ascii="DepCentury Old Style" w:hAnsi="DepCentury Old Style" w:cs="MyriadPro-Regular"/>
        </w:rPr>
        <w:t xml:space="preserve"> </w:t>
      </w:r>
      <w:r w:rsidRPr="006B7EB7">
        <w:rPr>
          <w:rFonts w:ascii="DepCentury Old Style" w:hAnsi="DepCentury Old Style" w:cs="MyriadPro-Regular"/>
        </w:rPr>
        <w:t>of working capacity).</w:t>
      </w:r>
      <w:r>
        <w:rPr>
          <w:rFonts w:ascii="DepCentury Old Style" w:hAnsi="DepCentury Old Style" w:cs="MyriadPro-Regular"/>
        </w:rPr>
        <w:t xml:space="preserve"> </w:t>
      </w:r>
      <w:r w:rsidRPr="006B7EB7">
        <w:rPr>
          <w:rFonts w:ascii="DepCentury Old Style" w:hAnsi="DepCentury Old Style" w:cs="MyriadPro-Regular"/>
        </w:rPr>
        <w:t>Education generally and higher education specifically</w:t>
      </w:r>
      <w:r>
        <w:rPr>
          <w:rFonts w:ascii="DepCentury Old Style" w:hAnsi="DepCentury Old Style" w:cs="MyriadPro-Regular"/>
        </w:rPr>
        <w:t xml:space="preserve"> </w:t>
      </w:r>
      <w:r w:rsidRPr="006B7EB7">
        <w:rPr>
          <w:rFonts w:ascii="DepCentury Old Style" w:hAnsi="DepCentury Old Style" w:cs="MyriadPro-Regular"/>
        </w:rPr>
        <w:t>are major determinants of whether people</w:t>
      </w:r>
      <w:r>
        <w:rPr>
          <w:rFonts w:ascii="DepCentury Old Style" w:hAnsi="DepCentury Old Style" w:cs="MyriadPro-Regular"/>
        </w:rPr>
        <w:t xml:space="preserve"> </w:t>
      </w:r>
      <w:r w:rsidRPr="006B7EB7">
        <w:rPr>
          <w:rFonts w:ascii="DepCentury Old Style" w:hAnsi="DepCentury Old Style" w:cs="MyriadPro-Regular"/>
        </w:rPr>
        <w:t>with disabilities are able to gain employment.</w:t>
      </w:r>
    </w:p>
    <w:p w:rsidR="006B7EB7" w:rsidRDefault="006B7EB7" w:rsidP="006B7EB7">
      <w:pPr>
        <w:rPr>
          <w:rFonts w:ascii="DepCentury Old Style" w:hAnsi="DepCentury Old Style"/>
        </w:rPr>
      </w:pPr>
    </w:p>
    <w:p w:rsidR="00ED579C" w:rsidRPr="00ED579C" w:rsidRDefault="00ED579C" w:rsidP="0005669E">
      <w:pPr>
        <w:rPr>
          <w:rFonts w:ascii="DepCentury Old Style" w:hAnsi="DepCentury Old Style"/>
        </w:rPr>
      </w:pPr>
      <w:r w:rsidRPr="00ED579C">
        <w:rPr>
          <w:rFonts w:ascii="DepCentury Old Style" w:hAnsi="DepCentury Old Style"/>
        </w:rPr>
        <w:t xml:space="preserve">Giving priority to young people is informed by the principle that a good start in working life is the best foundation for a long and rewarding career. </w:t>
      </w:r>
    </w:p>
    <w:p w:rsidR="00CD69F7" w:rsidRDefault="00CD69F7" w:rsidP="003210C8">
      <w:pPr>
        <w:rPr>
          <w:rFonts w:ascii="DepCentury Old Style" w:hAnsi="DepCentury Old Style"/>
        </w:rPr>
      </w:pPr>
    </w:p>
    <w:p w:rsidR="003210C8" w:rsidRPr="00BF004A" w:rsidRDefault="003210C8" w:rsidP="003210C8">
      <w:pPr>
        <w:rPr>
          <w:rFonts w:ascii="DepCentury Old Style" w:hAnsi="DepCentury Old Style"/>
        </w:rPr>
      </w:pPr>
    </w:p>
    <w:p w:rsidR="0025077B" w:rsidRPr="0072182D" w:rsidRDefault="0025077B" w:rsidP="0025077B">
      <w:pPr>
        <w:pStyle w:val="ListParagraph"/>
        <w:numPr>
          <w:ilvl w:val="0"/>
          <w:numId w:val="2"/>
        </w:numPr>
        <w:rPr>
          <w:rFonts w:ascii="DepCentury Old Style" w:hAnsi="DepCentury Old Style"/>
          <w:b/>
        </w:rPr>
      </w:pPr>
      <w:r w:rsidRPr="0072182D">
        <w:rPr>
          <w:rFonts w:ascii="DepCentury Old Style" w:hAnsi="DepCentury Old Style"/>
          <w:b/>
        </w:rPr>
        <w:t>Informat</w:t>
      </w:r>
      <w:r w:rsidR="000F1A66" w:rsidRPr="0072182D">
        <w:rPr>
          <w:rFonts w:ascii="DepCentury Old Style" w:hAnsi="DepCentury Old Style"/>
          <w:b/>
        </w:rPr>
        <w:t>ion on measures your country has</w:t>
      </w:r>
      <w:r w:rsidRPr="0072182D">
        <w:rPr>
          <w:rFonts w:ascii="DepCentury Old Style" w:hAnsi="DepCentury Old Style"/>
          <w:b/>
        </w:rPr>
        <w:t xml:space="preserve"> introduced to enable persons with disabilities to access general technical and vocational guidance programmes, placement services and vocational and continuing training (article 27 (1) (d)). Please also indicate the steps taken to promote vocational and professional </w:t>
      </w:r>
      <w:r w:rsidR="00FB5943" w:rsidRPr="0072182D">
        <w:rPr>
          <w:rFonts w:ascii="DepCentury Old Style" w:hAnsi="DepCentury Old Style"/>
          <w:b/>
        </w:rPr>
        <w:t>rehabilitation, job retention and return-to-work programmes</w:t>
      </w:r>
      <w:r w:rsidR="00933B29" w:rsidRPr="0072182D">
        <w:rPr>
          <w:rFonts w:ascii="DepCentury Old Style" w:hAnsi="DepCentury Old Style"/>
          <w:b/>
        </w:rPr>
        <w:t xml:space="preserve"> </w:t>
      </w:r>
      <w:r w:rsidR="00FB5943" w:rsidRPr="0072182D">
        <w:rPr>
          <w:rFonts w:ascii="DepCentury Old Style" w:hAnsi="DepCentury Old Style"/>
          <w:b/>
        </w:rPr>
        <w:t>for persons with disabilities (articles 26 and 27 (1) (k)).</w:t>
      </w:r>
    </w:p>
    <w:p w:rsidR="00235DC4" w:rsidRDefault="00235DC4" w:rsidP="00F5483A">
      <w:pPr>
        <w:autoSpaceDE w:val="0"/>
        <w:autoSpaceDN w:val="0"/>
        <w:adjustRightInd w:val="0"/>
        <w:rPr>
          <w:rFonts w:ascii="DepCentury Old Style" w:hAnsi="DepCentury Old Style" w:cs="MyriadPro-Regular"/>
        </w:rPr>
      </w:pPr>
    </w:p>
    <w:p w:rsidR="00D76B9F" w:rsidRDefault="00EB5DF4" w:rsidP="002F7DB2">
      <w:pPr>
        <w:autoSpaceDE w:val="0"/>
        <w:autoSpaceDN w:val="0"/>
        <w:adjustRightInd w:val="0"/>
        <w:rPr>
          <w:rFonts w:ascii="DepCentury Old Style" w:hAnsi="DepCentury Old Style" w:cs="MyriadPro-Regular"/>
        </w:rPr>
      </w:pPr>
      <w:r w:rsidRPr="00D76B9F">
        <w:rPr>
          <w:rFonts w:ascii="DepCentury Old Style" w:hAnsi="DepCentury Old Style" w:cs="MyriadPro-Regular"/>
        </w:rPr>
        <w:t>Education generally and higher education specifically</w:t>
      </w:r>
      <w:r>
        <w:rPr>
          <w:rFonts w:ascii="DepCentury Old Style" w:hAnsi="DepCentury Old Style" w:cs="MyriadPro-Regular"/>
        </w:rPr>
        <w:t xml:space="preserve"> </w:t>
      </w:r>
      <w:r w:rsidRPr="00D76B9F">
        <w:rPr>
          <w:rFonts w:ascii="DepCentury Old Style" w:hAnsi="DepCentury Old Style" w:cs="MyriadPro-Regular"/>
        </w:rPr>
        <w:t>are major determinants of whether people</w:t>
      </w:r>
      <w:r>
        <w:rPr>
          <w:rFonts w:ascii="DepCentury Old Style" w:hAnsi="DepCentury Old Style" w:cs="MyriadPro-Regular"/>
        </w:rPr>
        <w:t xml:space="preserve"> </w:t>
      </w:r>
      <w:r w:rsidRPr="00D76B9F">
        <w:rPr>
          <w:rFonts w:ascii="DepCentury Old Style" w:hAnsi="DepCentury Old Style" w:cs="MyriadPro-Regular"/>
        </w:rPr>
        <w:t>with disabilities are able to gain employment.</w:t>
      </w:r>
      <w:r w:rsidR="00382F45">
        <w:rPr>
          <w:rFonts w:ascii="DepCentury Old Style" w:hAnsi="DepCentury Old Style" w:cs="MyriadPro-Regular"/>
        </w:rPr>
        <w:t xml:space="preserve"> </w:t>
      </w:r>
      <w:r w:rsidR="00D00135" w:rsidRPr="00D76B9F">
        <w:rPr>
          <w:rFonts w:ascii="DepCentury Old Style" w:hAnsi="DepCentury Old Style" w:cs="MyriadPro-Regular"/>
        </w:rPr>
        <w:t>Prevention and early intervention</w:t>
      </w:r>
      <w:r w:rsidR="00D00135">
        <w:rPr>
          <w:rFonts w:ascii="DepCentury Old Style" w:hAnsi="DepCentury Old Style" w:cs="MyriadPro-Regular"/>
        </w:rPr>
        <w:t xml:space="preserve"> </w:t>
      </w:r>
      <w:r w:rsidR="00D00135" w:rsidRPr="00D76B9F">
        <w:rPr>
          <w:rFonts w:ascii="DepCentury Old Style" w:hAnsi="DepCentury Old Style" w:cs="MyriadPro-Regular"/>
        </w:rPr>
        <w:t>are the main measures for boosting participation</w:t>
      </w:r>
      <w:r w:rsidR="00D00135">
        <w:rPr>
          <w:rFonts w:ascii="DepCentury Old Style" w:hAnsi="DepCentury Old Style" w:cs="MyriadPro-Regular"/>
        </w:rPr>
        <w:t xml:space="preserve"> </w:t>
      </w:r>
      <w:r w:rsidR="00D00135" w:rsidRPr="00D76B9F">
        <w:rPr>
          <w:rFonts w:ascii="DepCentury Old Style" w:hAnsi="DepCentury Old Style" w:cs="MyriadPro-Regular"/>
        </w:rPr>
        <w:t>in education and working life and for reducing</w:t>
      </w:r>
      <w:r w:rsidR="00D00135">
        <w:rPr>
          <w:rFonts w:ascii="DepCentury Old Style" w:hAnsi="DepCentury Old Style" w:cs="MyriadPro-Regular"/>
        </w:rPr>
        <w:t xml:space="preserve"> </w:t>
      </w:r>
      <w:r w:rsidR="00D00135" w:rsidRPr="00D76B9F">
        <w:rPr>
          <w:rFonts w:ascii="DepCentury Old Style" w:hAnsi="DepCentury Old Style" w:cs="MyriadPro-Regular"/>
        </w:rPr>
        <w:t>the transition to disability benefit in all age</w:t>
      </w:r>
      <w:r w:rsidR="00D00135">
        <w:rPr>
          <w:rFonts w:ascii="DepCentury Old Style" w:hAnsi="DepCentury Old Style" w:cs="MyriadPro-Regular"/>
        </w:rPr>
        <w:t xml:space="preserve"> </w:t>
      </w:r>
      <w:r w:rsidR="00D00135" w:rsidRPr="002F7DB2">
        <w:rPr>
          <w:rFonts w:ascii="DepCentury Old Style" w:hAnsi="DepCentury Old Style" w:cs="MyriadPro-Regular"/>
        </w:rPr>
        <w:t xml:space="preserve">groups. </w:t>
      </w:r>
      <w:r w:rsidR="002F7DB2" w:rsidRPr="002F7DB2">
        <w:rPr>
          <w:rFonts w:ascii="DepCentury Old Style" w:hAnsi="DepCentury Old Style" w:cs="MyriadPro-Regular"/>
        </w:rPr>
        <w:t>Intensified</w:t>
      </w:r>
      <w:r w:rsidR="002F7DB2">
        <w:rPr>
          <w:rFonts w:ascii="MyriadPro-Regular" w:hAnsi="MyriadPro-Regular" w:cs="MyriadPro-Regular"/>
          <w:sz w:val="22"/>
          <w:szCs w:val="22"/>
        </w:rPr>
        <w:t xml:space="preserve"> </w:t>
      </w:r>
      <w:r w:rsidR="002F7DB2" w:rsidRPr="002F7DB2">
        <w:rPr>
          <w:rFonts w:ascii="DepCentury Old Style" w:hAnsi="DepCentury Old Style" w:cs="MyriadPro-Regular"/>
        </w:rPr>
        <w:t>efforts will be directed at</w:t>
      </w:r>
      <w:r w:rsidR="002F7DB2">
        <w:rPr>
          <w:rFonts w:ascii="DepCentury Old Style" w:hAnsi="DepCentury Old Style" w:cs="MyriadPro-Regular"/>
        </w:rPr>
        <w:t xml:space="preserve"> </w:t>
      </w:r>
      <w:r w:rsidR="002F7DB2" w:rsidRPr="002F7DB2">
        <w:rPr>
          <w:rFonts w:ascii="DepCentury Old Style" w:hAnsi="DepCentury Old Style" w:cs="MyriadPro-Regular"/>
        </w:rPr>
        <w:t>ensuring that more people complete upper</w:t>
      </w:r>
      <w:r w:rsidR="002F7DB2">
        <w:rPr>
          <w:rFonts w:ascii="DepCentury Old Style" w:hAnsi="DepCentury Old Style" w:cs="MyriadPro-Regular"/>
        </w:rPr>
        <w:t xml:space="preserve"> </w:t>
      </w:r>
      <w:r w:rsidR="002F7DB2" w:rsidRPr="002F7DB2">
        <w:rPr>
          <w:rFonts w:ascii="DepCentury Old Style" w:hAnsi="DepCentury Old Style" w:cs="MyriadPro-Regular"/>
        </w:rPr>
        <w:t>secondary education so that the transition</w:t>
      </w:r>
      <w:r w:rsidR="002F7DB2">
        <w:rPr>
          <w:rFonts w:ascii="DepCentury Old Style" w:hAnsi="DepCentury Old Style" w:cs="MyriadPro-Regular"/>
        </w:rPr>
        <w:t xml:space="preserve"> </w:t>
      </w:r>
      <w:r w:rsidR="002F7DB2" w:rsidRPr="002F7DB2">
        <w:rPr>
          <w:rFonts w:ascii="DepCentury Old Style" w:hAnsi="DepCentury Old Style" w:cs="MyriadPro-Regular"/>
        </w:rPr>
        <w:t>from school to work is not hindered by a</w:t>
      </w:r>
      <w:r w:rsidR="002F7DB2">
        <w:rPr>
          <w:rFonts w:ascii="DepCentury Old Style" w:hAnsi="DepCentury Old Style" w:cs="MyriadPro-Regular"/>
        </w:rPr>
        <w:t xml:space="preserve"> </w:t>
      </w:r>
      <w:r w:rsidR="002F7DB2" w:rsidRPr="002F7DB2">
        <w:rPr>
          <w:rFonts w:ascii="DepCentury Old Style" w:hAnsi="DepCentury Old Style" w:cs="MyriadPro-Regular"/>
        </w:rPr>
        <w:t xml:space="preserve">lack of qualifications. </w:t>
      </w:r>
      <w:r w:rsidR="00D76B9F" w:rsidRPr="00D76B9F">
        <w:rPr>
          <w:rFonts w:ascii="DepCentury Old Style" w:hAnsi="DepCentury Old Style" w:cs="MyriadPro-Regular"/>
        </w:rPr>
        <w:t>A</w:t>
      </w:r>
      <w:r w:rsidR="00F5483A">
        <w:rPr>
          <w:rFonts w:ascii="DepCentury Old Style" w:hAnsi="DepCentury Old Style" w:cs="MyriadPro-Regular"/>
        </w:rPr>
        <w:t xml:space="preserve"> </w:t>
      </w:r>
      <w:r w:rsidR="00D76B9F" w:rsidRPr="00D76B9F">
        <w:rPr>
          <w:rFonts w:ascii="DepCentury Old Style" w:hAnsi="DepCentury Old Style" w:cs="MyriadPro-Regular"/>
        </w:rPr>
        <w:t>central objective is to reduce the defection</w:t>
      </w:r>
      <w:r w:rsidR="00D76B9F">
        <w:rPr>
          <w:rFonts w:ascii="DepCentury Old Style" w:hAnsi="DepCentury Old Style" w:cs="MyriadPro-Regular"/>
        </w:rPr>
        <w:t xml:space="preserve"> </w:t>
      </w:r>
      <w:r w:rsidR="00D76B9F" w:rsidRPr="00D76B9F">
        <w:rPr>
          <w:rFonts w:ascii="DepCentury Old Style" w:hAnsi="DepCentury Old Style" w:cs="MyriadPro-Regular"/>
        </w:rPr>
        <w:t>(‘drop-out’) rate from upper secondary education</w:t>
      </w:r>
      <w:r w:rsidR="00D76B9F">
        <w:rPr>
          <w:rFonts w:ascii="DepCentury Old Style" w:hAnsi="DepCentury Old Style" w:cs="MyriadPro-Regular"/>
        </w:rPr>
        <w:t xml:space="preserve"> </w:t>
      </w:r>
      <w:r w:rsidR="00BF76B8">
        <w:rPr>
          <w:rFonts w:ascii="DepCentury Old Style" w:hAnsi="DepCentury Old Style" w:cs="MyriadPro-Regular"/>
        </w:rPr>
        <w:t xml:space="preserve">and training; see </w:t>
      </w:r>
      <w:r w:rsidR="00D76B9F" w:rsidRPr="00D76B9F">
        <w:rPr>
          <w:rFonts w:ascii="DepCentury Old Style" w:hAnsi="DepCentury Old Style" w:cs="MyriadPro-Regular"/>
        </w:rPr>
        <w:t>the ‘NY GIV’ project</w:t>
      </w:r>
      <w:r w:rsidR="00D76B9F">
        <w:rPr>
          <w:rFonts w:ascii="DepCentury Old Style" w:hAnsi="DepCentury Old Style" w:cs="MyriadPro-Regular"/>
        </w:rPr>
        <w:t xml:space="preserve"> </w:t>
      </w:r>
      <w:r w:rsidR="00D76B9F" w:rsidRPr="00D76B9F">
        <w:rPr>
          <w:rFonts w:ascii="DepCentury Old Style" w:hAnsi="DepCentury Old Style" w:cs="MyriadPro-Regular"/>
        </w:rPr>
        <w:t>at local-government level to increase upper-secondary-level completion</w:t>
      </w:r>
      <w:r w:rsidR="00BF76B8">
        <w:rPr>
          <w:rFonts w:ascii="DepCentury Old Style" w:hAnsi="DepCentury Old Style" w:cs="MyriadPro-Regular"/>
        </w:rPr>
        <w:t xml:space="preserve"> and</w:t>
      </w:r>
      <w:r w:rsidR="00D76B9F" w:rsidRPr="00D76B9F">
        <w:rPr>
          <w:rFonts w:ascii="DepCentury Old Style" w:hAnsi="DepCentury Old Style" w:cs="MyriadPro-Regular"/>
        </w:rPr>
        <w:t xml:space="preserve"> </w:t>
      </w:r>
      <w:r w:rsidR="00046293">
        <w:rPr>
          <w:rFonts w:ascii="DepCentury Old Style" w:hAnsi="DepCentury Old Style" w:cs="MyriadPro-Regular"/>
        </w:rPr>
        <w:t>more information about the initiatives in education and training at pages 38-39 in the Jobs Strategy.</w:t>
      </w:r>
    </w:p>
    <w:p w:rsidR="00A965E0" w:rsidRDefault="00A965E0" w:rsidP="00D76B9F">
      <w:pPr>
        <w:autoSpaceDE w:val="0"/>
        <w:autoSpaceDN w:val="0"/>
        <w:adjustRightInd w:val="0"/>
        <w:rPr>
          <w:rFonts w:ascii="DepCentury Old Style" w:hAnsi="DepCentury Old Style" w:cs="MyriadPro-Regular"/>
        </w:rPr>
      </w:pPr>
    </w:p>
    <w:p w:rsidR="002F7DB2" w:rsidRPr="002F7DB2" w:rsidRDefault="00A965E0" w:rsidP="002F7DB2">
      <w:pPr>
        <w:autoSpaceDE w:val="0"/>
        <w:autoSpaceDN w:val="0"/>
        <w:adjustRightInd w:val="0"/>
        <w:rPr>
          <w:rFonts w:ascii="DepCentury Old Style" w:hAnsi="DepCentury Old Style" w:cs="MyriadPro-Regular"/>
        </w:rPr>
      </w:pPr>
      <w:r w:rsidRPr="002F7DB2">
        <w:rPr>
          <w:rFonts w:ascii="DepCentury Old Style" w:hAnsi="DepCentury Old Style" w:cs="MyriadPro-Regular"/>
        </w:rPr>
        <w:t>Many studies have demonstrated that, on completing their education or training, young people with disabilities, who often have little or no work experience, generally</w:t>
      </w:r>
      <w:r w:rsidR="00D00135" w:rsidRPr="002F7DB2">
        <w:rPr>
          <w:rFonts w:ascii="DepCentury Old Style" w:hAnsi="DepCentury Old Style" w:cs="MyriadPro-Regular"/>
        </w:rPr>
        <w:t xml:space="preserve"> </w:t>
      </w:r>
      <w:r w:rsidRPr="002F7DB2">
        <w:rPr>
          <w:rFonts w:ascii="DepCentury Old Style" w:hAnsi="DepCentury Old Style" w:cs="MyriadPro-Regular"/>
        </w:rPr>
        <w:t xml:space="preserve">encounter major barriers in the transition from education to employment. </w:t>
      </w:r>
      <w:r w:rsidR="002F7DB2" w:rsidRPr="002F7DB2">
        <w:rPr>
          <w:rFonts w:ascii="DepCentury Old Style" w:hAnsi="DepCentury Old Style" w:cs="MyriadPro-Regular"/>
        </w:rPr>
        <w:t>Increased use of work-experience</w:t>
      </w:r>
      <w:r w:rsidR="002F7DB2">
        <w:rPr>
          <w:rFonts w:ascii="DepCentury Old Style" w:hAnsi="DepCentury Old Style" w:cs="MyriadPro-Regular"/>
        </w:rPr>
        <w:t xml:space="preserve"> </w:t>
      </w:r>
      <w:r w:rsidR="002F7DB2" w:rsidRPr="002F7DB2">
        <w:rPr>
          <w:rFonts w:ascii="DepCentury Old Style" w:hAnsi="DepCentury Old Style" w:cs="MyriadPro-Regular"/>
        </w:rPr>
        <w:t>programmes under both central and local</w:t>
      </w:r>
      <w:r w:rsidR="002F7DB2">
        <w:rPr>
          <w:rFonts w:ascii="DepCentury Old Style" w:hAnsi="DepCentury Old Style" w:cs="MyriadPro-Regular"/>
        </w:rPr>
        <w:t xml:space="preserve"> </w:t>
      </w:r>
      <w:r w:rsidR="002F7DB2" w:rsidRPr="002F7DB2">
        <w:rPr>
          <w:rFonts w:ascii="DepCentury Old Style" w:hAnsi="DepCentury Old Style" w:cs="MyriadPro-Regular"/>
        </w:rPr>
        <w:t>government will serve to reduce</w:t>
      </w:r>
      <w:r w:rsidR="002F7DB2">
        <w:rPr>
          <w:rFonts w:ascii="DepCentury Old Style" w:hAnsi="DepCentury Old Style" w:cs="MyriadPro-Regular"/>
        </w:rPr>
        <w:t xml:space="preserve"> </w:t>
      </w:r>
      <w:r w:rsidR="002F7DB2" w:rsidRPr="002F7DB2">
        <w:rPr>
          <w:rFonts w:ascii="DepCentury Old Style" w:hAnsi="DepCentury Old Style" w:cs="MyriadPro-Regular"/>
        </w:rPr>
        <w:t>uncertainty and lack of knowledge among</w:t>
      </w:r>
      <w:r w:rsidR="002F7DB2">
        <w:rPr>
          <w:rFonts w:ascii="DepCentury Old Style" w:hAnsi="DepCentury Old Style" w:cs="MyriadPro-Regular"/>
        </w:rPr>
        <w:t xml:space="preserve"> </w:t>
      </w:r>
      <w:r w:rsidR="002F7DB2" w:rsidRPr="002F7DB2">
        <w:rPr>
          <w:rFonts w:ascii="DepCentury Old Style" w:hAnsi="DepCentury Old Style" w:cs="MyriadPro-Regular"/>
        </w:rPr>
        <w:t>employers about the target group and give</w:t>
      </w:r>
      <w:r w:rsidR="002F7DB2">
        <w:rPr>
          <w:rFonts w:ascii="DepCentury Old Style" w:hAnsi="DepCentury Old Style" w:cs="MyriadPro-Regular"/>
        </w:rPr>
        <w:t xml:space="preserve"> </w:t>
      </w:r>
      <w:r w:rsidR="002F7DB2" w:rsidRPr="002F7DB2">
        <w:rPr>
          <w:rFonts w:ascii="DepCentury Old Style" w:hAnsi="DepCentury Old Style" w:cs="MyriadPro-Regular"/>
        </w:rPr>
        <w:t>more young people with disabilities an</w:t>
      </w:r>
      <w:r w:rsidR="002F7DB2">
        <w:rPr>
          <w:rFonts w:ascii="DepCentury Old Style" w:hAnsi="DepCentury Old Style" w:cs="MyriadPro-Regular"/>
        </w:rPr>
        <w:t xml:space="preserve"> </w:t>
      </w:r>
      <w:r w:rsidR="002F7DB2" w:rsidRPr="002F7DB2">
        <w:rPr>
          <w:rFonts w:ascii="DepCentury Old Style" w:hAnsi="DepCentury Old Style" w:cs="MyriadPro-Regular"/>
        </w:rPr>
        <w:t>opportunity for on-the-job training and</w:t>
      </w:r>
    </w:p>
    <w:p w:rsidR="00A965E0" w:rsidRDefault="002F7DB2" w:rsidP="002F7DB2">
      <w:pPr>
        <w:autoSpaceDE w:val="0"/>
        <w:autoSpaceDN w:val="0"/>
        <w:adjustRightInd w:val="0"/>
        <w:rPr>
          <w:rFonts w:ascii="DepCentury Old Style" w:hAnsi="DepCentury Old Style" w:cs="MyriadPro-Regular"/>
        </w:rPr>
      </w:pPr>
      <w:proofErr w:type="gramStart"/>
      <w:r w:rsidRPr="002F7DB2">
        <w:rPr>
          <w:rFonts w:ascii="DepCentury Old Style" w:hAnsi="DepCentury Old Style" w:cs="MyriadPro-Regular"/>
        </w:rPr>
        <w:t>essential</w:t>
      </w:r>
      <w:proofErr w:type="gramEnd"/>
      <w:r w:rsidRPr="002F7DB2">
        <w:rPr>
          <w:rFonts w:ascii="DepCentury Old Style" w:hAnsi="DepCentury Old Style" w:cs="MyriadPro-Regular"/>
        </w:rPr>
        <w:t xml:space="preserve"> work experience. 500 places on</w:t>
      </w:r>
      <w:r w:rsidR="00E83276">
        <w:rPr>
          <w:rFonts w:ascii="DepCentury Old Style" w:hAnsi="DepCentury Old Style" w:cs="MyriadPro-Regular"/>
        </w:rPr>
        <w:t xml:space="preserve"> </w:t>
      </w:r>
      <w:r w:rsidRPr="002F7DB2">
        <w:rPr>
          <w:rFonts w:ascii="DepCentury Old Style" w:hAnsi="DepCentury Old Style" w:cs="MyriadPro-Regular"/>
        </w:rPr>
        <w:t xml:space="preserve">labour market programmes </w:t>
      </w:r>
      <w:r w:rsidR="00BF76B8">
        <w:rPr>
          <w:rFonts w:ascii="DepCentury Old Style" w:hAnsi="DepCentury Old Style" w:cs="MyriadPro-Regular"/>
        </w:rPr>
        <w:t>are</w:t>
      </w:r>
      <w:r w:rsidRPr="002F7DB2">
        <w:rPr>
          <w:rFonts w:ascii="DepCentury Old Style" w:hAnsi="DepCentury Old Style" w:cs="MyriadPro-Regular"/>
        </w:rPr>
        <w:t xml:space="preserve"> earmarked</w:t>
      </w:r>
      <w:r>
        <w:rPr>
          <w:rFonts w:ascii="DepCentury Old Style" w:hAnsi="DepCentury Old Style" w:cs="MyriadPro-Regular"/>
        </w:rPr>
        <w:t xml:space="preserve"> </w:t>
      </w:r>
      <w:r w:rsidRPr="002F7DB2">
        <w:rPr>
          <w:rFonts w:ascii="DepCentury Old Style" w:hAnsi="DepCentury Old Style" w:cs="MyriadPro-Regular"/>
        </w:rPr>
        <w:t>specifically for the strategy’s target group.</w:t>
      </w:r>
      <w:r w:rsidR="00E83276">
        <w:rPr>
          <w:rFonts w:ascii="DepCentury Old Style" w:hAnsi="DepCentury Old Style" w:cs="MyriadPro-Regular"/>
        </w:rPr>
        <w:t xml:space="preserve"> </w:t>
      </w:r>
    </w:p>
    <w:p w:rsidR="00E83276" w:rsidRPr="00E83276" w:rsidRDefault="00E83276" w:rsidP="002F7DB2">
      <w:pPr>
        <w:autoSpaceDE w:val="0"/>
        <w:autoSpaceDN w:val="0"/>
        <w:adjustRightInd w:val="0"/>
        <w:rPr>
          <w:rFonts w:ascii="DepCentury Old Style" w:hAnsi="DepCentury Old Style" w:cs="MyriadPro-Regular"/>
        </w:rPr>
      </w:pPr>
    </w:p>
    <w:p w:rsidR="00E83276" w:rsidRPr="00E83276" w:rsidRDefault="00E83276" w:rsidP="00E83276">
      <w:pPr>
        <w:autoSpaceDE w:val="0"/>
        <w:autoSpaceDN w:val="0"/>
        <w:adjustRightInd w:val="0"/>
        <w:rPr>
          <w:rFonts w:ascii="DepCentury Old Style" w:hAnsi="DepCentury Old Style" w:cs="MyriadPro-Regular"/>
        </w:rPr>
      </w:pPr>
      <w:r w:rsidRPr="00E83276">
        <w:rPr>
          <w:rFonts w:ascii="DepCentury Old Style" w:hAnsi="DepCentury Old Style" w:cs="MyriadPro-Regular"/>
        </w:rPr>
        <w:t>In order to cover a proportion of the</w:t>
      </w:r>
      <w:r>
        <w:rPr>
          <w:rFonts w:ascii="DepCentury Old Style" w:hAnsi="DepCentury Old Style" w:cs="MyriadPro-Regular"/>
        </w:rPr>
        <w:t xml:space="preserve"> </w:t>
      </w:r>
      <w:r w:rsidRPr="00E83276">
        <w:rPr>
          <w:rFonts w:ascii="DepCentury Old Style" w:hAnsi="DepCentury Old Style" w:cs="MyriadPro-Regular"/>
        </w:rPr>
        <w:t>employer’s salary expenses on people with</w:t>
      </w:r>
    </w:p>
    <w:p w:rsidR="00E83276" w:rsidRPr="00E83276" w:rsidRDefault="00E83276" w:rsidP="00E83276">
      <w:pPr>
        <w:autoSpaceDE w:val="0"/>
        <w:autoSpaceDN w:val="0"/>
        <w:adjustRightInd w:val="0"/>
        <w:rPr>
          <w:rFonts w:ascii="DepCentury Old Style" w:hAnsi="DepCentury Old Style" w:cs="MyriadPro-Regular"/>
        </w:rPr>
      </w:pPr>
      <w:proofErr w:type="gramStart"/>
      <w:r w:rsidRPr="00E83276">
        <w:rPr>
          <w:rFonts w:ascii="DepCentury Old Style" w:hAnsi="DepCentury Old Style" w:cs="MyriadPro-Regular"/>
        </w:rPr>
        <w:t>disabilities</w:t>
      </w:r>
      <w:proofErr w:type="gramEnd"/>
      <w:r w:rsidRPr="00E83276">
        <w:rPr>
          <w:rFonts w:ascii="DepCentury Old Style" w:hAnsi="DepCentury Old Style" w:cs="MyriadPro-Regular"/>
        </w:rPr>
        <w:t>, existing wage subsidy schemes</w:t>
      </w:r>
      <w:r>
        <w:rPr>
          <w:rFonts w:ascii="DepCentury Old Style" w:hAnsi="DepCentury Old Style" w:cs="MyriadPro-Regular"/>
        </w:rPr>
        <w:t xml:space="preserve"> </w:t>
      </w:r>
      <w:r w:rsidRPr="00E83276">
        <w:rPr>
          <w:rFonts w:ascii="DepCentury Old Style" w:hAnsi="DepCentury Old Style" w:cs="MyriadPro-Regular"/>
        </w:rPr>
        <w:t>will be made a key component of</w:t>
      </w:r>
    </w:p>
    <w:p w:rsidR="00E83276" w:rsidRPr="001E27D8" w:rsidRDefault="00E83276" w:rsidP="001E27D8">
      <w:pPr>
        <w:autoSpaceDE w:val="0"/>
        <w:autoSpaceDN w:val="0"/>
        <w:adjustRightInd w:val="0"/>
        <w:rPr>
          <w:rFonts w:ascii="DepCentury Old Style" w:hAnsi="DepCentury Old Style" w:cs="MyriadPro-Regular"/>
        </w:rPr>
      </w:pPr>
      <w:proofErr w:type="gramStart"/>
      <w:r w:rsidRPr="001E27D8">
        <w:rPr>
          <w:rFonts w:ascii="DepCentury Old Style" w:hAnsi="DepCentury Old Style" w:cs="MyriadPro-Regular"/>
        </w:rPr>
        <w:t>employment-oriented</w:t>
      </w:r>
      <w:proofErr w:type="gramEnd"/>
      <w:r w:rsidRPr="001E27D8">
        <w:rPr>
          <w:rFonts w:ascii="DepCentury Old Style" w:hAnsi="DepCentury Old Style" w:cs="MyriadPro-Regular"/>
        </w:rPr>
        <w:t xml:space="preserve"> services. </w:t>
      </w:r>
      <w:r w:rsidR="001E27D8" w:rsidRPr="001E27D8">
        <w:rPr>
          <w:rFonts w:ascii="DepCentury Old Style" w:hAnsi="DepCentury Old Style" w:cs="MyriadPro-Regular"/>
        </w:rPr>
        <w:t xml:space="preserve">At the NAV </w:t>
      </w:r>
      <w:r w:rsidR="008F39A8" w:rsidRPr="008F39A8">
        <w:rPr>
          <w:rFonts w:ascii="DepCentury Old Style" w:hAnsi="DepCentury Old Style" w:cs="MyriadPro-Regular"/>
        </w:rPr>
        <w:t>(</w:t>
      </w:r>
      <w:r w:rsidR="008F39A8" w:rsidRPr="008F39A8">
        <w:rPr>
          <w:rFonts w:ascii="DepCentury Old Style" w:hAnsi="DepCentury Old Style"/>
        </w:rPr>
        <w:t>The Norwegian Labour and Welfare Service)</w:t>
      </w:r>
      <w:r w:rsidR="008F39A8" w:rsidRPr="001E27D8">
        <w:rPr>
          <w:rFonts w:ascii="DepCentury Old Style" w:hAnsi="DepCentury Old Style" w:cs="MyriadPro-Regular"/>
        </w:rPr>
        <w:t xml:space="preserve"> </w:t>
      </w:r>
      <w:r w:rsidR="001E27D8" w:rsidRPr="001E27D8">
        <w:rPr>
          <w:rFonts w:ascii="DepCentury Old Style" w:hAnsi="DepCentury Old Style" w:cs="MyriadPro-Regular"/>
        </w:rPr>
        <w:t>Inclusive Workplace Support</w:t>
      </w:r>
      <w:r w:rsidR="001E27D8">
        <w:rPr>
          <w:rFonts w:ascii="DepCentury Old Style" w:hAnsi="DepCentury Old Style" w:cs="MyriadPro-Regular"/>
        </w:rPr>
        <w:t xml:space="preserve"> </w:t>
      </w:r>
      <w:r w:rsidR="001E27D8" w:rsidRPr="001E27D8">
        <w:rPr>
          <w:rFonts w:ascii="DepCentury Old Style" w:hAnsi="DepCentury Old Style" w:cs="MyriadPro-Regular"/>
        </w:rPr>
        <w:t>Centres, the</w:t>
      </w:r>
      <w:r w:rsidR="003C28D5">
        <w:rPr>
          <w:rFonts w:ascii="DepCentury Old Style" w:hAnsi="DepCentury Old Style" w:cs="MyriadPro-Regular"/>
        </w:rPr>
        <w:t xml:space="preserve">re </w:t>
      </w:r>
      <w:proofErr w:type="gramStart"/>
      <w:r w:rsidR="003C28D5">
        <w:rPr>
          <w:rFonts w:ascii="DepCentury Old Style" w:hAnsi="DepCentury Old Style" w:cs="MyriadPro-Regular"/>
        </w:rPr>
        <w:t xml:space="preserve">has been </w:t>
      </w:r>
      <w:r w:rsidR="001E27D8" w:rsidRPr="001E27D8">
        <w:rPr>
          <w:rFonts w:ascii="DepCentury Old Style" w:hAnsi="DepCentury Old Style" w:cs="MyriadPro-Regular"/>
        </w:rPr>
        <w:t>establish</w:t>
      </w:r>
      <w:r w:rsidR="003C28D5">
        <w:rPr>
          <w:rFonts w:ascii="DepCentury Old Style" w:hAnsi="DepCentury Old Style" w:cs="MyriadPro-Regular"/>
        </w:rPr>
        <w:t>ed</w:t>
      </w:r>
      <w:r w:rsidR="001E27D8">
        <w:rPr>
          <w:rFonts w:ascii="DepCentury Old Style" w:hAnsi="DepCentury Old Style" w:cs="MyriadPro-Regular"/>
        </w:rPr>
        <w:t xml:space="preserve"> </w:t>
      </w:r>
      <w:r w:rsidR="001E27D8" w:rsidRPr="001E27D8">
        <w:rPr>
          <w:rFonts w:ascii="DepCentury Old Style" w:hAnsi="DepCentury Old Style" w:cs="MyriadPro-Regular"/>
        </w:rPr>
        <w:t>dedicated workplace support coaches</w:t>
      </w:r>
      <w:proofErr w:type="gramEnd"/>
      <w:r w:rsidR="001E27D8" w:rsidRPr="001E27D8">
        <w:rPr>
          <w:rFonts w:ascii="DepCentury Old Style" w:hAnsi="DepCentury Old Style" w:cs="MyriadPro-Regular"/>
        </w:rPr>
        <w:t xml:space="preserve"> to</w:t>
      </w:r>
      <w:r w:rsidR="001E27D8">
        <w:rPr>
          <w:rFonts w:ascii="DepCentury Old Style" w:hAnsi="DepCentury Old Style" w:cs="MyriadPro-Regular"/>
        </w:rPr>
        <w:t xml:space="preserve"> </w:t>
      </w:r>
      <w:r w:rsidR="001E27D8" w:rsidRPr="001E27D8">
        <w:rPr>
          <w:rFonts w:ascii="DepCentury Old Style" w:hAnsi="DepCentury Old Style" w:cs="MyriadPro-Regular"/>
        </w:rPr>
        <w:t>further activities under the Jobs Strategy.</w:t>
      </w:r>
      <w:r w:rsidR="001E27D8">
        <w:rPr>
          <w:rFonts w:ascii="DepCentury Old Style" w:hAnsi="DepCentury Old Style" w:cs="MyriadPro-Regular"/>
        </w:rPr>
        <w:t xml:space="preserve"> </w:t>
      </w:r>
      <w:r w:rsidR="001E27D8" w:rsidRPr="001E27D8">
        <w:rPr>
          <w:rFonts w:ascii="DepCentury Old Style" w:hAnsi="DepCentury Old Style" w:cs="MyriadPro-Regular"/>
        </w:rPr>
        <w:t>The coaches will conduct outreach work,</w:t>
      </w:r>
      <w:r w:rsidR="001E27D8">
        <w:rPr>
          <w:rFonts w:ascii="DepCentury Old Style" w:hAnsi="DepCentury Old Style" w:cs="MyriadPro-Regular"/>
        </w:rPr>
        <w:t xml:space="preserve"> </w:t>
      </w:r>
      <w:r w:rsidR="001E27D8" w:rsidRPr="001E27D8">
        <w:rPr>
          <w:rFonts w:ascii="DepCentury Old Style" w:hAnsi="DepCentury Old Style" w:cs="MyriadPro-Regular"/>
        </w:rPr>
        <w:t>e.g. by assisting employers who wish to</w:t>
      </w:r>
      <w:r w:rsidR="001E27D8">
        <w:rPr>
          <w:rFonts w:ascii="DepCentury Old Style" w:hAnsi="DepCentury Old Style" w:cs="MyriadPro-Regular"/>
        </w:rPr>
        <w:t xml:space="preserve"> </w:t>
      </w:r>
      <w:r w:rsidR="001E27D8" w:rsidRPr="001E27D8">
        <w:rPr>
          <w:rFonts w:ascii="DepCentury Old Style" w:hAnsi="DepCentury Old Style" w:cs="MyriadPro-Regular"/>
        </w:rPr>
        <w:t xml:space="preserve">hire people from the </w:t>
      </w:r>
      <w:proofErr w:type="gramStart"/>
      <w:r w:rsidR="001E27D8" w:rsidRPr="001E27D8">
        <w:rPr>
          <w:rFonts w:ascii="DepCentury Old Style" w:hAnsi="DepCentury Old Style" w:cs="MyriadPro-Regular"/>
        </w:rPr>
        <w:t>strategy’s</w:t>
      </w:r>
      <w:proofErr w:type="gramEnd"/>
      <w:r w:rsidR="001E27D8" w:rsidRPr="001E27D8">
        <w:rPr>
          <w:rFonts w:ascii="DepCentury Old Style" w:hAnsi="DepCentury Old Style" w:cs="MyriadPro-Regular"/>
        </w:rPr>
        <w:t xml:space="preserve"> target</w:t>
      </w:r>
      <w:r w:rsidR="001E27D8">
        <w:rPr>
          <w:rFonts w:ascii="DepCentury Old Style" w:hAnsi="DepCentury Old Style" w:cs="MyriadPro-Regular"/>
        </w:rPr>
        <w:t xml:space="preserve"> </w:t>
      </w:r>
      <w:r w:rsidR="001E27D8" w:rsidRPr="001E27D8">
        <w:rPr>
          <w:rFonts w:ascii="DepCentury Old Style" w:hAnsi="DepCentury Old Style" w:cs="MyriadPro-Regular"/>
        </w:rPr>
        <w:t>group or offer them a place on a labour</w:t>
      </w:r>
      <w:r w:rsidR="001E27D8">
        <w:rPr>
          <w:rFonts w:ascii="DepCentury Old Style" w:hAnsi="DepCentury Old Style" w:cs="MyriadPro-Regular"/>
        </w:rPr>
        <w:t xml:space="preserve"> </w:t>
      </w:r>
      <w:r w:rsidR="001E27D8" w:rsidRPr="001E27D8">
        <w:rPr>
          <w:rFonts w:ascii="DepCentury Old Style" w:hAnsi="DepCentury Old Style" w:cs="MyriadPro-Regular"/>
        </w:rPr>
        <w:t>market programme.</w:t>
      </w:r>
      <w:r w:rsidR="00257D30">
        <w:rPr>
          <w:rFonts w:ascii="DepCentury Old Style" w:hAnsi="DepCentury Old Style" w:cs="MyriadPro-Regular"/>
        </w:rPr>
        <w:t xml:space="preserve"> See more about specific initiatives at pages 30-37.</w:t>
      </w:r>
    </w:p>
    <w:p w:rsidR="00046293" w:rsidRDefault="00046293" w:rsidP="00EF4DF9">
      <w:pPr>
        <w:autoSpaceDE w:val="0"/>
        <w:autoSpaceDN w:val="0"/>
        <w:adjustRightInd w:val="0"/>
        <w:rPr>
          <w:rFonts w:ascii="DepCentury Old Style" w:hAnsi="DepCentury Old Style"/>
        </w:rPr>
      </w:pPr>
    </w:p>
    <w:p w:rsidR="000F1A66" w:rsidRDefault="000138E9" w:rsidP="00EF4DF9">
      <w:pPr>
        <w:autoSpaceDE w:val="0"/>
        <w:autoSpaceDN w:val="0"/>
        <w:adjustRightInd w:val="0"/>
        <w:rPr>
          <w:rStyle w:val="Strong"/>
          <w:rFonts w:ascii="DepCentury Old Style" w:hAnsi="DepCentury Old Style"/>
          <w:b w:val="0"/>
        </w:rPr>
      </w:pPr>
      <w:r>
        <w:rPr>
          <w:rFonts w:ascii="DepCentury Old Style" w:hAnsi="DepCentury Old Style"/>
        </w:rPr>
        <w:lastRenderedPageBreak/>
        <w:t>In Norway</w:t>
      </w:r>
      <w:r w:rsidRPr="00D00135">
        <w:rPr>
          <w:rFonts w:ascii="DepCentury Old Style" w:hAnsi="DepCentury Old Style"/>
        </w:rPr>
        <w:t xml:space="preserve"> </w:t>
      </w:r>
      <w:r w:rsidR="004D015E" w:rsidRPr="00D00135">
        <w:rPr>
          <w:rFonts w:ascii="DepCentury Old Style" w:hAnsi="DepCentury Old Style"/>
        </w:rPr>
        <w:t>there</w:t>
      </w:r>
      <w:r w:rsidR="004D015E">
        <w:rPr>
          <w:rFonts w:ascii="DepCentury Old Style" w:hAnsi="DepCentury Old Style"/>
        </w:rPr>
        <w:t xml:space="preserve"> are</w:t>
      </w:r>
      <w:r>
        <w:rPr>
          <w:rFonts w:ascii="DepCentury Old Style" w:hAnsi="DepCentury Old Style"/>
        </w:rPr>
        <w:t xml:space="preserve"> </w:t>
      </w:r>
      <w:r w:rsidR="003C28D5">
        <w:rPr>
          <w:rFonts w:ascii="DepCentury Old Style" w:hAnsi="DepCentury Old Style"/>
        </w:rPr>
        <w:t xml:space="preserve">also </w:t>
      </w:r>
      <w:r>
        <w:rPr>
          <w:rFonts w:ascii="DepCentury Old Style" w:hAnsi="DepCentury Old Style"/>
        </w:rPr>
        <w:t>labour market measures w</w:t>
      </w:r>
      <w:r w:rsidR="003C28D5">
        <w:rPr>
          <w:rFonts w:ascii="DepCentury Old Style" w:hAnsi="DepCentury Old Style"/>
        </w:rPr>
        <w:t>h</w:t>
      </w:r>
      <w:r>
        <w:rPr>
          <w:rFonts w:ascii="DepCentury Old Style" w:hAnsi="DepCentury Old Style"/>
        </w:rPr>
        <w:t>ich are general offers to everyone –</w:t>
      </w:r>
      <w:r w:rsidR="00EF4DF9">
        <w:rPr>
          <w:rFonts w:ascii="DepCentury Old Style" w:hAnsi="DepCentury Old Style"/>
        </w:rPr>
        <w:t xml:space="preserve"> including persons with disabilities. </w:t>
      </w:r>
      <w:r w:rsidR="000F1A66" w:rsidRPr="000F1A66">
        <w:rPr>
          <w:rStyle w:val="Strong"/>
          <w:rFonts w:ascii="DepCentury Old Style" w:hAnsi="DepCentury Old Style"/>
          <w:b w:val="0"/>
        </w:rPr>
        <w:t>Labour market measures are one of the most important policy instruments aimed at promoting a well-functioning labour market. Labour market measures aim at contributing to increased participation in employment, reduced unemployment and combating exclusion by helping people with problems on the labour market to find work and become active.</w:t>
      </w:r>
    </w:p>
    <w:p w:rsidR="00EF4DF9" w:rsidRPr="000F1A66" w:rsidRDefault="00EF4DF9" w:rsidP="00EF4DF9">
      <w:pPr>
        <w:autoSpaceDE w:val="0"/>
        <w:autoSpaceDN w:val="0"/>
        <w:adjustRightInd w:val="0"/>
        <w:rPr>
          <w:rFonts w:ascii="DepCentury Old Style" w:hAnsi="DepCentury Old Style"/>
        </w:rPr>
      </w:pPr>
    </w:p>
    <w:p w:rsidR="000F1A66" w:rsidRPr="000F1A66" w:rsidRDefault="000F1A66" w:rsidP="000F1A66">
      <w:pPr>
        <w:spacing w:after="240" w:line="312" w:lineRule="atLeast"/>
        <w:rPr>
          <w:rFonts w:ascii="DepCentury Old Style" w:hAnsi="DepCentury Old Style"/>
        </w:rPr>
      </w:pPr>
      <w:r w:rsidRPr="000F1A66">
        <w:rPr>
          <w:rFonts w:ascii="DepCentury Old Style" w:hAnsi="DepCentury Old Style"/>
        </w:rPr>
        <w:t>Labour market measures aim at improving the individual’s chances of finding employment through qualification and work training. The measures can be divided into the following categories: follow-up measures, job-finding measures, work experience, training, temporary jobs and work permanently adapted to the individual needs.</w:t>
      </w:r>
    </w:p>
    <w:p w:rsidR="000F1A66" w:rsidRPr="000F1A66" w:rsidRDefault="000F1A66" w:rsidP="000F1A66">
      <w:pPr>
        <w:spacing w:after="240" w:line="312" w:lineRule="atLeast"/>
        <w:rPr>
          <w:rFonts w:ascii="DepCentury Old Style" w:hAnsi="DepCentury Old Style"/>
        </w:rPr>
      </w:pPr>
      <w:r w:rsidRPr="000F1A66">
        <w:rPr>
          <w:rFonts w:ascii="DepCentury Old Style" w:hAnsi="DepCentury Old Style"/>
        </w:rPr>
        <w:t>The prioritised target groups are people with impaired work capacity, the long-term unemployed, youth, long-term recipients of social security benefits, immigrants (including new arrivals taking the introduction programme), and people who are no longer entitled to ordinary unemployment benefit. Some measures are reserved people with impaired work capacity.</w:t>
      </w:r>
    </w:p>
    <w:p w:rsidR="000F1A66" w:rsidRDefault="000F1A66" w:rsidP="000F1A66">
      <w:pPr>
        <w:spacing w:after="240" w:line="312" w:lineRule="atLeast"/>
        <w:rPr>
          <w:rFonts w:ascii="DepCentury Old Style" w:hAnsi="DepCentury Old Style"/>
        </w:rPr>
      </w:pPr>
      <w:r w:rsidRPr="000F1A66">
        <w:rPr>
          <w:rFonts w:ascii="DepCentury Old Style" w:hAnsi="DepCentury Old Style"/>
        </w:rPr>
        <w:t>Labour market measures are offered on the basis of an individual assessment of each individual’s need for assistance in finding employment.</w:t>
      </w:r>
    </w:p>
    <w:p w:rsidR="000F1A66" w:rsidRPr="006B56E4" w:rsidRDefault="000F1A66" w:rsidP="00296E10">
      <w:pPr>
        <w:autoSpaceDE w:val="0"/>
        <w:autoSpaceDN w:val="0"/>
        <w:adjustRightInd w:val="0"/>
        <w:rPr>
          <w:rFonts w:ascii="DepCentury Old Style" w:hAnsi="DepCentury Old Style"/>
        </w:rPr>
      </w:pPr>
    </w:p>
    <w:p w:rsidR="00FB5943" w:rsidRPr="00BF004A" w:rsidRDefault="00BF004A" w:rsidP="00FB5943">
      <w:pPr>
        <w:pStyle w:val="ListParagraph"/>
        <w:numPr>
          <w:ilvl w:val="0"/>
          <w:numId w:val="2"/>
        </w:numPr>
        <w:rPr>
          <w:rFonts w:ascii="DepCentury Old Style" w:hAnsi="DepCentury Old Style"/>
          <w:b/>
        </w:rPr>
      </w:pPr>
      <w:r w:rsidRPr="00BF004A">
        <w:rPr>
          <w:rFonts w:ascii="DepCentury Old Style" w:hAnsi="DepCentury Old Style"/>
          <w:b/>
        </w:rPr>
        <w:t>Detailed information on the measures your country has adopted to promote opportunities for self-employment, entrepreneurship, the development of cooperati</w:t>
      </w:r>
      <w:r w:rsidR="00256156">
        <w:rPr>
          <w:rFonts w:ascii="DepCentury Old Style" w:hAnsi="DepCentury Old Style"/>
          <w:b/>
        </w:rPr>
        <w:t>ves</w:t>
      </w:r>
      <w:r w:rsidRPr="00BF004A">
        <w:rPr>
          <w:rFonts w:ascii="DepCentury Old Style" w:hAnsi="DepCentury Old Style"/>
          <w:b/>
        </w:rPr>
        <w:t xml:space="preserve"> and starting one’s own business (article 27 (1) (f)).</w:t>
      </w:r>
    </w:p>
    <w:p w:rsidR="00BF004A" w:rsidRDefault="00BF004A" w:rsidP="00BF004A">
      <w:pPr>
        <w:rPr>
          <w:rFonts w:ascii="DepCentury Old Style" w:hAnsi="DepCentury Old Style"/>
        </w:rPr>
      </w:pPr>
    </w:p>
    <w:p w:rsidR="00CD7C3C" w:rsidRDefault="004B42E7" w:rsidP="00BF004A">
      <w:pPr>
        <w:rPr>
          <w:rFonts w:ascii="DepCentury Old Style" w:hAnsi="DepCentury Old Style"/>
        </w:rPr>
      </w:pPr>
      <w:r w:rsidRPr="004B42E7">
        <w:rPr>
          <w:rFonts w:ascii="DepCentury Old Style" w:hAnsi="DepCentury Old Style"/>
        </w:rPr>
        <w:t xml:space="preserve">The Norwegian </w:t>
      </w:r>
      <w:proofErr w:type="spellStart"/>
      <w:r w:rsidRPr="004B42E7">
        <w:rPr>
          <w:rFonts w:ascii="DepCentury Old Style" w:hAnsi="DepCentury Old Style"/>
        </w:rPr>
        <w:t>goverment</w:t>
      </w:r>
      <w:proofErr w:type="spellEnd"/>
      <w:r w:rsidRPr="004B42E7">
        <w:rPr>
          <w:rFonts w:ascii="DepCentury Old Style" w:hAnsi="DepCentury Old Style"/>
        </w:rPr>
        <w:t xml:space="preserve"> has not adopted any speci</w:t>
      </w:r>
      <w:r w:rsidR="00256156">
        <w:rPr>
          <w:rFonts w:ascii="DepCentury Old Style" w:hAnsi="DepCentury Old Style"/>
        </w:rPr>
        <w:t>fic</w:t>
      </w:r>
      <w:r w:rsidRPr="004B42E7">
        <w:rPr>
          <w:rFonts w:ascii="DepCentury Old Style" w:hAnsi="DepCentury Old Style"/>
        </w:rPr>
        <w:t xml:space="preserve"> measure to promote </w:t>
      </w:r>
      <w:r w:rsidR="00256156">
        <w:rPr>
          <w:rFonts w:ascii="DepCentury Old Style" w:hAnsi="DepCentury Old Style"/>
        </w:rPr>
        <w:t xml:space="preserve">such </w:t>
      </w:r>
      <w:r w:rsidRPr="004B42E7">
        <w:rPr>
          <w:rFonts w:ascii="DepCentury Old Style" w:hAnsi="DepCentury Old Style"/>
        </w:rPr>
        <w:t>opportunities</w:t>
      </w:r>
      <w:r w:rsidR="00256156">
        <w:rPr>
          <w:rFonts w:ascii="DepCentury Old Style" w:hAnsi="DepCentury Old Style"/>
        </w:rPr>
        <w:t xml:space="preserve">. </w:t>
      </w:r>
    </w:p>
    <w:p w:rsidR="00E923E7" w:rsidRDefault="00E923E7" w:rsidP="00BF004A">
      <w:pPr>
        <w:rPr>
          <w:rFonts w:ascii="DepCentury Old Style" w:hAnsi="DepCentury Old Style"/>
        </w:rPr>
      </w:pPr>
    </w:p>
    <w:p w:rsidR="00CD7C3C" w:rsidRDefault="00CD7C3C" w:rsidP="00BF004A">
      <w:pPr>
        <w:rPr>
          <w:rFonts w:ascii="DepCentury Old Style" w:hAnsi="DepCentury Old Style"/>
        </w:rPr>
      </w:pPr>
    </w:p>
    <w:p w:rsidR="00CD7C3C" w:rsidRPr="00F72BE5" w:rsidRDefault="00CD7C3C" w:rsidP="00CD7C3C">
      <w:pPr>
        <w:pStyle w:val="ListParagraph"/>
        <w:numPr>
          <w:ilvl w:val="0"/>
          <w:numId w:val="2"/>
        </w:numPr>
        <w:rPr>
          <w:rFonts w:ascii="DepCentury Old Style" w:hAnsi="DepCentury Old Style"/>
          <w:b/>
        </w:rPr>
      </w:pPr>
      <w:r w:rsidRPr="00F72BE5">
        <w:rPr>
          <w:rFonts w:ascii="DepCentury Old Style" w:hAnsi="DepCentury Old Style"/>
          <w:b/>
        </w:rPr>
        <w:t xml:space="preserve">Information on the measures adopted by your country to ensure that reasonable </w:t>
      </w:r>
      <w:r w:rsidR="00494091" w:rsidRPr="00F72BE5">
        <w:rPr>
          <w:rFonts w:ascii="DepCentury Old Style" w:hAnsi="DepCentury Old Style"/>
          <w:b/>
        </w:rPr>
        <w:t>accommodation</w:t>
      </w:r>
      <w:r w:rsidRPr="00F72BE5">
        <w:rPr>
          <w:rFonts w:ascii="DepCentury Old Style" w:hAnsi="DepCentury Old Style"/>
          <w:b/>
        </w:rPr>
        <w:t xml:space="preserve"> is provided to persons with disabilities in order to facilitate access to</w:t>
      </w:r>
      <w:r w:rsidR="00911A0E">
        <w:rPr>
          <w:rFonts w:ascii="DepCentury Old Style" w:hAnsi="DepCentury Old Style"/>
          <w:b/>
        </w:rPr>
        <w:t xml:space="preserve"> or</w:t>
      </w:r>
      <w:r w:rsidRPr="00F72BE5">
        <w:rPr>
          <w:rFonts w:ascii="DepCentury Old Style" w:hAnsi="DepCentury Old Style"/>
          <w:b/>
        </w:rPr>
        <w:t xml:space="preserve"> continuance of employme</w:t>
      </w:r>
      <w:r w:rsidR="00F72BE5" w:rsidRPr="00F72BE5">
        <w:rPr>
          <w:rFonts w:ascii="DepCentury Old Style" w:hAnsi="DepCentury Old Style"/>
          <w:b/>
        </w:rPr>
        <w:t>nt (articles 5 (3) and 27 (1) (i)).</w:t>
      </w:r>
    </w:p>
    <w:p w:rsidR="00F72BE5" w:rsidRPr="00914FF5" w:rsidRDefault="00F72BE5" w:rsidP="00F72BE5">
      <w:pPr>
        <w:rPr>
          <w:rFonts w:ascii="DepCentury Old Style" w:hAnsi="DepCentury Old Style"/>
        </w:rPr>
      </w:pPr>
    </w:p>
    <w:p w:rsidR="00183A6D" w:rsidRPr="00914FF5" w:rsidRDefault="00183A6D" w:rsidP="00183A6D">
      <w:pPr>
        <w:autoSpaceDE w:val="0"/>
        <w:autoSpaceDN w:val="0"/>
        <w:adjustRightInd w:val="0"/>
        <w:rPr>
          <w:rFonts w:ascii="DepCentury Old Style" w:hAnsi="DepCentury Old Style" w:cs="MyriadPro-Regular"/>
        </w:rPr>
      </w:pPr>
      <w:r w:rsidRPr="00914FF5">
        <w:rPr>
          <w:rFonts w:ascii="DepCentury Old Style" w:hAnsi="DepCentury Old Style" w:cs="MyriadPro-Regular"/>
        </w:rPr>
        <w:t>In the Jobs Strategy, the Government sets out the orientation of efforts within the priority areas over the coming years. In this way, the strategy identifies initiatives and schemes that will be of</w:t>
      </w:r>
      <w:r w:rsidR="00000E84">
        <w:rPr>
          <w:rFonts w:ascii="DepCentury Old Style" w:hAnsi="DepCentury Old Style" w:cs="MyriadPro-Regular"/>
        </w:rPr>
        <w:t xml:space="preserve"> </w:t>
      </w:r>
      <w:r w:rsidRPr="00914FF5">
        <w:rPr>
          <w:rFonts w:ascii="DepCentury Old Style" w:hAnsi="DepCentury Old Style" w:cs="MyriadPro-Regular"/>
        </w:rPr>
        <w:t>strategic importance in reducing the barriers to employment faced by people with disabilities</w:t>
      </w:r>
      <w:r w:rsidR="00871C49" w:rsidRPr="00914FF5">
        <w:rPr>
          <w:rFonts w:ascii="DepCentury Old Style" w:hAnsi="DepCentury Old Style" w:cs="MyriadPro-Regular"/>
        </w:rPr>
        <w:t>.</w:t>
      </w:r>
    </w:p>
    <w:p w:rsidR="00871C49" w:rsidRPr="00914FF5" w:rsidRDefault="00871C49" w:rsidP="00183A6D">
      <w:pPr>
        <w:autoSpaceDE w:val="0"/>
        <w:autoSpaceDN w:val="0"/>
        <w:adjustRightInd w:val="0"/>
        <w:rPr>
          <w:rFonts w:ascii="DepCentury Old Style" w:hAnsi="DepCentury Old Style" w:cs="MyriadPro-Regular"/>
        </w:rPr>
      </w:pPr>
    </w:p>
    <w:p w:rsidR="00183A6D" w:rsidRPr="00183A6D" w:rsidRDefault="00183A6D" w:rsidP="00914FF5">
      <w:pPr>
        <w:autoSpaceDE w:val="0"/>
        <w:autoSpaceDN w:val="0"/>
        <w:adjustRightInd w:val="0"/>
        <w:rPr>
          <w:rFonts w:ascii="DepCentury Old Style" w:hAnsi="DepCentury Old Style" w:cs="MyriadPro-Regular"/>
        </w:rPr>
      </w:pPr>
      <w:r w:rsidRPr="00914FF5">
        <w:rPr>
          <w:rFonts w:ascii="DepCentury Old Style" w:hAnsi="DepCentury Old Style" w:cs="MyriadPro-Regular"/>
        </w:rPr>
        <w:t xml:space="preserve">The Jobs Strategy attaches importance to strengthening and supplementing ordinary and general initiatives in different areas of policy with more targeted labour market instruments to compensate for different types of disabilities. </w:t>
      </w:r>
      <w:proofErr w:type="gramStart"/>
      <w:r w:rsidR="00914FF5" w:rsidRPr="00914FF5">
        <w:rPr>
          <w:rFonts w:ascii="DepCentury Old Style" w:hAnsi="DepCentury Old Style" w:cs="MyriadPro-Regular"/>
        </w:rPr>
        <w:t>In</w:t>
      </w:r>
      <w:r w:rsidR="00914FF5">
        <w:rPr>
          <w:rFonts w:ascii="DepCentury Old Style" w:hAnsi="DepCentury Old Style" w:cs="MyriadPro-Regular"/>
        </w:rPr>
        <w:t xml:space="preserve"> </w:t>
      </w:r>
      <w:r w:rsidR="00914FF5" w:rsidRPr="00914FF5">
        <w:rPr>
          <w:rFonts w:ascii="DepCentury Old Style" w:hAnsi="DepCentury Old Style" w:cs="MyriadPro-Regular"/>
        </w:rPr>
        <w:t>implementing different forms of workplace</w:t>
      </w:r>
      <w:r w:rsidR="00914FF5">
        <w:rPr>
          <w:rFonts w:ascii="DepCentury Old Style" w:hAnsi="DepCentury Old Style" w:cs="MyriadPro-Regular"/>
        </w:rPr>
        <w:t xml:space="preserve"> </w:t>
      </w:r>
      <w:r w:rsidR="00914FF5" w:rsidRPr="00914FF5">
        <w:rPr>
          <w:rFonts w:ascii="DepCentury Old Style" w:hAnsi="DepCentury Old Style" w:cs="MyriadPro-Regular"/>
        </w:rPr>
        <w:t>facilitation initiatives and supervisory schemes.</w:t>
      </w:r>
      <w:proofErr w:type="gramEnd"/>
      <w:r w:rsidR="00914FF5">
        <w:rPr>
          <w:rFonts w:ascii="DepCentury Old Style" w:hAnsi="DepCentury Old Style" w:cs="MyriadPro-Regular"/>
        </w:rPr>
        <w:t xml:space="preserve"> </w:t>
      </w:r>
      <w:r w:rsidR="00914FF5" w:rsidRPr="00914FF5">
        <w:rPr>
          <w:rFonts w:ascii="DepCentury Old Style" w:hAnsi="DepCentury Old Style" w:cs="MyriadPro-Regular"/>
        </w:rPr>
        <w:t>The idea is that when various supplementary</w:t>
      </w:r>
      <w:r w:rsidR="00914FF5">
        <w:rPr>
          <w:rFonts w:ascii="DepCentury Old Style" w:hAnsi="DepCentury Old Style" w:cs="MyriadPro-Regular"/>
        </w:rPr>
        <w:t xml:space="preserve"> </w:t>
      </w:r>
      <w:r w:rsidR="00914FF5" w:rsidRPr="00914FF5">
        <w:rPr>
          <w:rFonts w:ascii="DepCentury Old Style" w:hAnsi="DepCentury Old Style" w:cs="MyriadPro-Regular"/>
        </w:rPr>
        <w:t>services or compensatory solutions are combined</w:t>
      </w:r>
      <w:r w:rsidR="00914FF5">
        <w:rPr>
          <w:rFonts w:ascii="DepCentury Old Style" w:hAnsi="DepCentury Old Style" w:cs="MyriadPro-Regular"/>
        </w:rPr>
        <w:t xml:space="preserve"> </w:t>
      </w:r>
      <w:r w:rsidR="00914FF5" w:rsidRPr="00914FF5">
        <w:rPr>
          <w:rFonts w:ascii="DepCentury Old Style" w:hAnsi="DepCentury Old Style" w:cs="MyriadPro-Regular"/>
        </w:rPr>
        <w:t>with general instruments such as the use of labour</w:t>
      </w:r>
      <w:r w:rsidR="00914FF5">
        <w:rPr>
          <w:rFonts w:ascii="DepCentury Old Style" w:hAnsi="DepCentury Old Style" w:cs="MyriadPro-Regular"/>
        </w:rPr>
        <w:t xml:space="preserve"> </w:t>
      </w:r>
      <w:r w:rsidR="00914FF5" w:rsidRPr="00914FF5">
        <w:rPr>
          <w:rFonts w:ascii="DepCentury Old Style" w:hAnsi="DepCentury Old Style" w:cs="MyriadPro-Regular"/>
        </w:rPr>
        <w:t>market initiatives, this increases the chances of</w:t>
      </w:r>
      <w:r w:rsidR="00914FF5">
        <w:rPr>
          <w:rFonts w:ascii="DepCentury Old Style" w:hAnsi="DepCentury Old Style" w:cs="MyriadPro-Regular"/>
        </w:rPr>
        <w:t xml:space="preserve"> </w:t>
      </w:r>
      <w:r w:rsidR="00914FF5" w:rsidRPr="00914FF5">
        <w:rPr>
          <w:rFonts w:ascii="DepCentury Old Style" w:hAnsi="DepCentury Old Style" w:cs="MyriadPro-Regular"/>
        </w:rPr>
        <w:t>more young people with disabilities joining the</w:t>
      </w:r>
      <w:r w:rsidR="00914FF5">
        <w:rPr>
          <w:rFonts w:ascii="DepCentury Old Style" w:hAnsi="DepCentury Old Style" w:cs="MyriadPro-Regular"/>
        </w:rPr>
        <w:t xml:space="preserve"> </w:t>
      </w:r>
      <w:r w:rsidR="00914FF5" w:rsidRPr="00914FF5">
        <w:rPr>
          <w:rFonts w:ascii="DepCentury Old Style" w:hAnsi="DepCentury Old Style" w:cs="MyriadPro-Regular"/>
        </w:rPr>
        <w:t>labour market.</w:t>
      </w:r>
    </w:p>
    <w:p w:rsidR="00183A6D" w:rsidRDefault="00183A6D" w:rsidP="00C51635">
      <w:pPr>
        <w:autoSpaceDE w:val="0"/>
        <w:autoSpaceDN w:val="0"/>
        <w:adjustRightInd w:val="0"/>
        <w:rPr>
          <w:rFonts w:ascii="DepCentury Old Style" w:hAnsi="DepCentury Old Style" w:cs="MyriadPro-Regular"/>
        </w:rPr>
      </w:pPr>
    </w:p>
    <w:p w:rsidR="002F7F3B" w:rsidRDefault="002F7F3B" w:rsidP="00C51635">
      <w:pPr>
        <w:autoSpaceDE w:val="0"/>
        <w:autoSpaceDN w:val="0"/>
        <w:adjustRightInd w:val="0"/>
        <w:rPr>
          <w:rFonts w:ascii="DepCentury Old Style" w:hAnsi="DepCentury Old Style" w:cs="MyriadPro-Regular"/>
        </w:rPr>
      </w:pPr>
      <w:r>
        <w:rPr>
          <w:rFonts w:ascii="DepCentury Old Style" w:hAnsi="DepCentury Old Style" w:cs="MyriadPro-Regular"/>
        </w:rPr>
        <w:t>See more information on the Jobs Strategy’s policy instruments in the Jobs Strategy on page 25.</w:t>
      </w:r>
    </w:p>
    <w:p w:rsidR="00C51635" w:rsidRDefault="00C51635" w:rsidP="00C51635">
      <w:pPr>
        <w:autoSpaceDE w:val="0"/>
        <w:autoSpaceDN w:val="0"/>
        <w:adjustRightInd w:val="0"/>
        <w:rPr>
          <w:rFonts w:ascii="DepCentury Old Style" w:hAnsi="DepCentury Old Style" w:cs="MyriadPro-Regular"/>
        </w:rPr>
      </w:pPr>
    </w:p>
    <w:p w:rsidR="00C51635" w:rsidRDefault="002431F8" w:rsidP="00C51635">
      <w:pPr>
        <w:autoSpaceDE w:val="0"/>
        <w:autoSpaceDN w:val="0"/>
        <w:adjustRightInd w:val="0"/>
        <w:rPr>
          <w:rFonts w:ascii="DepCentury Old Style" w:hAnsi="DepCentury Old Style" w:cs="MyriadPro-Regular"/>
        </w:rPr>
      </w:pPr>
      <w:r>
        <w:rPr>
          <w:rFonts w:ascii="DepCentury Old Style" w:hAnsi="DepCentury Old Style" w:cs="MyriadPro-Regular"/>
        </w:rPr>
        <w:t xml:space="preserve">The Norwegian Government presents various </w:t>
      </w:r>
      <w:proofErr w:type="gramStart"/>
      <w:r>
        <w:rPr>
          <w:rFonts w:ascii="DepCentury Old Style" w:hAnsi="DepCentury Old Style" w:cs="MyriadPro-Regular"/>
        </w:rPr>
        <w:t>proposal</w:t>
      </w:r>
      <w:proofErr w:type="gramEnd"/>
      <w:r>
        <w:rPr>
          <w:rFonts w:ascii="DepCentury Old Style" w:hAnsi="DepCentury Old Style" w:cs="MyriadPro-Regular"/>
        </w:rPr>
        <w:t xml:space="preserve"> for initiatives for 2012 in the Jobs Strategy together with other proposals</w:t>
      </w:r>
      <w:r w:rsidR="002066E7">
        <w:rPr>
          <w:rFonts w:ascii="DepCentury Old Style" w:hAnsi="DepCentury Old Style" w:cs="MyriadPro-Regular"/>
        </w:rPr>
        <w:t xml:space="preserve"> currently under review</w:t>
      </w:r>
      <w:r>
        <w:rPr>
          <w:rFonts w:ascii="DepCentury Old Style" w:hAnsi="DepCentury Old Style" w:cs="MyriadPro-Regular"/>
        </w:rPr>
        <w:t>, see page 25 and pages 30-43 in the Jobs Strategy.</w:t>
      </w:r>
    </w:p>
    <w:p w:rsidR="00230950" w:rsidRPr="00C51635" w:rsidRDefault="00230950" w:rsidP="00230950">
      <w:pPr>
        <w:autoSpaceDE w:val="0"/>
        <w:autoSpaceDN w:val="0"/>
        <w:adjustRightInd w:val="0"/>
        <w:rPr>
          <w:rFonts w:ascii="DepCentury Old Style" w:hAnsi="DepCentury Old Style" w:cs="MyriadPro-Regular"/>
        </w:rPr>
      </w:pPr>
    </w:p>
    <w:p w:rsidR="00C51635" w:rsidRPr="00C51635" w:rsidRDefault="00C51635" w:rsidP="00C51635">
      <w:pPr>
        <w:autoSpaceDE w:val="0"/>
        <w:autoSpaceDN w:val="0"/>
        <w:adjustRightInd w:val="0"/>
        <w:rPr>
          <w:rFonts w:ascii="DepCentury Old Style" w:hAnsi="DepCentury Old Style"/>
        </w:rPr>
      </w:pPr>
    </w:p>
    <w:p w:rsidR="00F72BE5" w:rsidRPr="00DB26DC" w:rsidRDefault="00231A73" w:rsidP="00F72BE5">
      <w:pPr>
        <w:pStyle w:val="ListParagraph"/>
        <w:numPr>
          <w:ilvl w:val="0"/>
          <w:numId w:val="2"/>
        </w:numPr>
        <w:rPr>
          <w:rFonts w:ascii="DepCentury Old Style" w:hAnsi="DepCentury Old Style"/>
          <w:b/>
        </w:rPr>
      </w:pPr>
      <w:r w:rsidRPr="00DB26DC">
        <w:rPr>
          <w:rFonts w:ascii="DepCentury Old Style" w:hAnsi="DepCentury Old Style"/>
          <w:b/>
        </w:rPr>
        <w:t>Information on measures your country has to protect the rights of persons with disabilities, on an equal basis with others, to just and favourable conditions of work</w:t>
      </w:r>
      <w:r w:rsidR="00DB26DC" w:rsidRPr="00DB26DC">
        <w:rPr>
          <w:rFonts w:ascii="DepCentury Old Style" w:hAnsi="DepCentury Old Style"/>
          <w:b/>
        </w:rPr>
        <w:t>, including equal opportunities and equal remuneration for work of equal value, safe and safe and healthy working conditions, including protection from harassment, and the redress of grievances (article 27 (1) (b)).</w:t>
      </w:r>
    </w:p>
    <w:p w:rsidR="00DB26DC" w:rsidRPr="00C970E4" w:rsidRDefault="00DB26DC" w:rsidP="00DB26DC">
      <w:pPr>
        <w:rPr>
          <w:rFonts w:ascii="DepCentury Old Style" w:hAnsi="DepCentury Old Style"/>
          <w:b/>
        </w:rPr>
      </w:pPr>
    </w:p>
    <w:p w:rsidR="004A0A06" w:rsidRPr="00C970E4" w:rsidRDefault="004A0A06" w:rsidP="0045573C">
      <w:pPr>
        <w:pStyle w:val="Default"/>
        <w:rPr>
          <w:rFonts w:ascii="DepCentury Old Style" w:hAnsi="DepCentury Old Style"/>
          <w:lang w:val="en-GB"/>
        </w:rPr>
      </w:pPr>
      <w:r w:rsidRPr="00C970E4">
        <w:rPr>
          <w:rFonts w:ascii="DepCentury Old Style" w:hAnsi="DepCentury Old Style"/>
          <w:lang w:val="en-GB"/>
        </w:rPr>
        <w:t>Reference is made to question 2).</w:t>
      </w:r>
    </w:p>
    <w:p w:rsidR="004A0A06" w:rsidRPr="00C970E4" w:rsidRDefault="004A0A06" w:rsidP="0045573C">
      <w:pPr>
        <w:pStyle w:val="Default"/>
        <w:rPr>
          <w:rFonts w:ascii="DepCentury Old Style" w:hAnsi="DepCentury Old Style"/>
          <w:iCs/>
          <w:lang w:val="en-GB"/>
        </w:rPr>
      </w:pPr>
    </w:p>
    <w:p w:rsidR="00C9689F" w:rsidRPr="00C970E4" w:rsidRDefault="0045573C" w:rsidP="0045573C">
      <w:pPr>
        <w:pStyle w:val="Default"/>
        <w:rPr>
          <w:rFonts w:ascii="DepCentury Old Style" w:hAnsi="DepCentury Old Style" w:cs="DepCentury Old Style"/>
          <w:lang w:val="en-GB"/>
        </w:rPr>
      </w:pPr>
      <w:r w:rsidRPr="00C970E4">
        <w:rPr>
          <w:rFonts w:ascii="DepCentury Old Style" w:hAnsi="DepCentury Old Style"/>
          <w:iCs/>
          <w:lang w:val="en-GB"/>
        </w:rPr>
        <w:t>According to the Anti-Discrimination and Accessibility Act, people with functional disabilities are ensured protection against discrimination and harassment in all aspects of society, including at work.</w:t>
      </w:r>
      <w:r w:rsidR="00C9689F" w:rsidRPr="00C970E4">
        <w:rPr>
          <w:rFonts w:ascii="DepCentury Old Style" w:hAnsi="DepCentury Old Style" w:cs="DepCentury Old Style"/>
          <w:lang w:val="en-GB"/>
        </w:rPr>
        <w:t xml:space="preserve"> By harassment is meant acts, omissions or statements that seem or aim to seem offensive, frightening, hostile, degrading or humiliating. </w:t>
      </w:r>
    </w:p>
    <w:p w:rsidR="00C9689F" w:rsidRPr="00C970E4" w:rsidRDefault="00C9689F" w:rsidP="0045573C">
      <w:pPr>
        <w:pStyle w:val="Default"/>
        <w:rPr>
          <w:rFonts w:ascii="DepCentury Old Style" w:hAnsi="DepCentury Old Style" w:cs="DepCentury Old Style"/>
          <w:lang w:val="en-GB"/>
        </w:rPr>
      </w:pPr>
    </w:p>
    <w:p w:rsidR="00C9689F" w:rsidRPr="00C970E4" w:rsidRDefault="00C9689F" w:rsidP="00C9689F">
      <w:pPr>
        <w:autoSpaceDE w:val="0"/>
        <w:autoSpaceDN w:val="0"/>
        <w:adjustRightInd w:val="0"/>
        <w:rPr>
          <w:rFonts w:ascii="DepCentury Old Style" w:hAnsi="DepCentury Old Style" w:cs="DepCentury Old Style"/>
          <w:color w:val="000000"/>
        </w:rPr>
      </w:pPr>
      <w:r w:rsidRPr="00C970E4">
        <w:rPr>
          <w:rFonts w:ascii="DepCentury Old Style" w:hAnsi="DepCentury Old Style" w:cs="DepCentury Old Style"/>
          <w:color w:val="000000"/>
        </w:rPr>
        <w:t xml:space="preserve">Employers and the managements of organisations and educational institutions shall, within their areas of responsibility, prevent and seek to prevent harassment occurring in contravention of this section. </w:t>
      </w:r>
    </w:p>
    <w:p w:rsidR="00C9689F" w:rsidRPr="00C970E4" w:rsidRDefault="00C9689F" w:rsidP="00C9689F">
      <w:pPr>
        <w:autoSpaceDE w:val="0"/>
        <w:autoSpaceDN w:val="0"/>
        <w:adjustRightInd w:val="0"/>
        <w:rPr>
          <w:rFonts w:ascii="DepCentury Old Style" w:hAnsi="DepCentury Old Style" w:cs="DepCentury Old Style"/>
          <w:color w:val="000000"/>
        </w:rPr>
      </w:pPr>
    </w:p>
    <w:p w:rsidR="00C9689F" w:rsidRPr="00C970E4" w:rsidRDefault="00C9689F" w:rsidP="00C9689F">
      <w:pPr>
        <w:pStyle w:val="Default"/>
        <w:rPr>
          <w:rFonts w:ascii="DepCentury Old Style" w:hAnsi="DepCentury Old Style"/>
          <w:lang w:val="en-GB"/>
        </w:rPr>
      </w:pPr>
      <w:r w:rsidRPr="00C970E4">
        <w:rPr>
          <w:rFonts w:ascii="DepCentury Old Style" w:hAnsi="DepCentury Old Style" w:cs="DepCentury Old Style"/>
          <w:lang w:val="en-GB"/>
        </w:rPr>
        <w:t>Anyone who considers him/herself to be subject to discrimination in the work-sphere in breach o</w:t>
      </w:r>
      <w:r w:rsidR="00716CFA">
        <w:rPr>
          <w:rFonts w:ascii="DepCentury Old Style" w:hAnsi="DepCentury Old Style" w:cs="DepCentury Old Style"/>
          <w:lang w:val="en-GB"/>
        </w:rPr>
        <w:t>f</w:t>
      </w:r>
      <w:r w:rsidRPr="00C970E4">
        <w:rPr>
          <w:rFonts w:ascii="DepCentury Old Style" w:hAnsi="DepCentury Old Style" w:cs="DepCentury Old Style"/>
          <w:lang w:val="en-GB"/>
        </w:rPr>
        <w:t xml:space="preserve"> the Anti-Discrimination an</w:t>
      </w:r>
      <w:r w:rsidR="007321DD" w:rsidRPr="00C970E4">
        <w:rPr>
          <w:rFonts w:ascii="DepCentury Old Style" w:hAnsi="DepCentury Old Style" w:cs="DepCentury Old Style"/>
          <w:lang w:val="en-GB"/>
        </w:rPr>
        <w:t>d</w:t>
      </w:r>
      <w:r w:rsidRPr="00C970E4">
        <w:rPr>
          <w:rFonts w:ascii="DepCentury Old Style" w:hAnsi="DepCentury Old Style" w:cs="DepCentury Old Style"/>
          <w:lang w:val="en-GB"/>
        </w:rPr>
        <w:t xml:space="preserve"> Accessibility Act may seek compensation for financial loss and/or redress for non-economic loss. An order to pay compensation for breach of the prohibition on discrimination can only be imposed by the ordinary courts.</w:t>
      </w:r>
    </w:p>
    <w:p w:rsidR="00C9689F" w:rsidRPr="00C970E4" w:rsidRDefault="00C9689F" w:rsidP="0045573C">
      <w:pPr>
        <w:pStyle w:val="Default"/>
        <w:rPr>
          <w:rFonts w:ascii="DepCentury Old Style" w:hAnsi="DepCentury Old Style" w:cs="DepCentury Old Style"/>
          <w:lang w:val="en-GB"/>
        </w:rPr>
      </w:pPr>
    </w:p>
    <w:p w:rsidR="0045573C" w:rsidRPr="00C970E4" w:rsidRDefault="0045573C" w:rsidP="0045573C">
      <w:pPr>
        <w:pStyle w:val="Default"/>
        <w:rPr>
          <w:rFonts w:ascii="DepCentury Old Style" w:hAnsi="DepCentury Old Style"/>
          <w:iCs/>
          <w:lang w:val="en-GB"/>
        </w:rPr>
      </w:pPr>
      <w:r w:rsidRPr="00C970E4">
        <w:rPr>
          <w:rFonts w:ascii="DepCentury Old Style" w:hAnsi="DepCentury Old Style"/>
          <w:iCs/>
          <w:lang w:val="en-GB"/>
        </w:rPr>
        <w:t xml:space="preserve">The Act also provides rules stipulating that public enterprises and private enterprises that are addressed to the public must be accessible and universally designed. People with functional disabilities can, if they believe that their rights are violated, receive free advice on rights concerning work. In addition, they have the right to free complaint procedures if they believe that their rights are violated. </w:t>
      </w:r>
    </w:p>
    <w:p w:rsidR="0003575D" w:rsidRPr="00C970E4" w:rsidRDefault="0003575D" w:rsidP="0045573C">
      <w:pPr>
        <w:pStyle w:val="Default"/>
        <w:rPr>
          <w:rFonts w:ascii="DepCentury Old Style" w:hAnsi="DepCentury Old Style"/>
          <w:lang w:val="en-GB"/>
        </w:rPr>
      </w:pPr>
    </w:p>
    <w:p w:rsidR="0045573C" w:rsidRPr="00C970E4" w:rsidRDefault="0045573C" w:rsidP="0045573C">
      <w:pPr>
        <w:pStyle w:val="Default"/>
        <w:rPr>
          <w:rFonts w:ascii="DepCentury Old Style" w:hAnsi="DepCentury Old Style"/>
          <w:iCs/>
          <w:lang w:val="en-GB"/>
        </w:rPr>
      </w:pPr>
      <w:r w:rsidRPr="00C970E4">
        <w:rPr>
          <w:rFonts w:ascii="DepCentury Old Style" w:hAnsi="DepCentury Old Style"/>
          <w:iCs/>
          <w:lang w:val="en-GB"/>
        </w:rPr>
        <w:t xml:space="preserve">People with functional disabilities are comprised by the general provisions of the Working Environment Act. The Working Environment Act requires employers to protect employees against injuries and to create a fully satisfactory working environment. The Act also includes requirements regarding the psychosocial working environment, among other things the employees shall not be subjected to harassment or other improper conduct. The employer has, under certain conditions, responsibility and a duty to facilitate the work situation for employees where necessary. </w:t>
      </w:r>
    </w:p>
    <w:p w:rsidR="00E8242E" w:rsidRPr="00C970E4" w:rsidRDefault="00E8242E" w:rsidP="0045573C">
      <w:pPr>
        <w:pStyle w:val="Default"/>
        <w:rPr>
          <w:rFonts w:ascii="DepCentury Old Style" w:hAnsi="DepCentury Old Style"/>
          <w:lang w:val="en-GB"/>
        </w:rPr>
      </w:pPr>
    </w:p>
    <w:p w:rsidR="0045573C" w:rsidRPr="00C970E4" w:rsidRDefault="0045573C" w:rsidP="0045573C">
      <w:pPr>
        <w:rPr>
          <w:rFonts w:ascii="DepCentury Old Style" w:hAnsi="DepCentury Old Style"/>
        </w:rPr>
      </w:pPr>
      <w:r w:rsidRPr="00C970E4">
        <w:rPr>
          <w:rFonts w:ascii="DepCentury Old Style" w:hAnsi="DepCentury Old Style"/>
          <w:iCs/>
        </w:rPr>
        <w:t>Furthermore, the Working Environment Act includes provisions containing prohibitions against discrimination. The prohibition against discrimination applies to all aspects of an employment relationship, including the announcement of work and employment, wage and working conditions and termination. The Act also limits the employer's right to request health information when employing, and the employer's right to terminate the employment.</w:t>
      </w:r>
    </w:p>
    <w:p w:rsidR="0045573C" w:rsidRPr="00C970E4" w:rsidRDefault="0045573C" w:rsidP="00DB26DC">
      <w:pPr>
        <w:rPr>
          <w:rFonts w:ascii="DepCentury Old Style" w:hAnsi="DepCentury Old Style"/>
        </w:rPr>
      </w:pPr>
    </w:p>
    <w:p w:rsidR="00DB26DC" w:rsidRPr="00C970E4" w:rsidRDefault="00DB26DC" w:rsidP="00DB26DC">
      <w:pPr>
        <w:rPr>
          <w:rFonts w:ascii="DepCentury Old Style" w:hAnsi="DepCentury Old Style"/>
        </w:rPr>
      </w:pPr>
    </w:p>
    <w:p w:rsidR="00DB26DC" w:rsidRPr="00C970E4" w:rsidRDefault="00F537F6" w:rsidP="00F537F6">
      <w:pPr>
        <w:pStyle w:val="ListParagraph"/>
        <w:numPr>
          <w:ilvl w:val="0"/>
          <w:numId w:val="2"/>
        </w:numPr>
        <w:rPr>
          <w:rFonts w:ascii="DepCentury Old Style" w:hAnsi="DepCentury Old Style"/>
          <w:b/>
        </w:rPr>
      </w:pPr>
      <w:r w:rsidRPr="00C970E4">
        <w:rPr>
          <w:rFonts w:ascii="DepCentury Old Style" w:hAnsi="DepCentury Old Style"/>
          <w:b/>
        </w:rPr>
        <w:lastRenderedPageBreak/>
        <w:t xml:space="preserve">Detailed information on the poverty reduction measures, social security and income-maintenance schemes that your country </w:t>
      </w:r>
      <w:r w:rsidR="00A62A6F" w:rsidRPr="00C970E4">
        <w:rPr>
          <w:rFonts w:ascii="DepCentury Old Style" w:hAnsi="DepCentury Old Style"/>
          <w:b/>
        </w:rPr>
        <w:t>has developed to provide adeq</w:t>
      </w:r>
      <w:r w:rsidR="007B040C" w:rsidRPr="00C970E4">
        <w:rPr>
          <w:rFonts w:ascii="DepCentury Old Style" w:hAnsi="DepCentury Old Style"/>
          <w:b/>
        </w:rPr>
        <w:t>uate income support to persons with disabilities who, owing to disability or disability-related factors, have lost or rec</w:t>
      </w:r>
      <w:r w:rsidR="00040881">
        <w:rPr>
          <w:rFonts w:ascii="DepCentury Old Style" w:hAnsi="DepCentury Old Style"/>
          <w:b/>
        </w:rPr>
        <w:t>e</w:t>
      </w:r>
      <w:r w:rsidR="007B040C" w:rsidRPr="00C970E4">
        <w:rPr>
          <w:rFonts w:ascii="DepCentury Old Style" w:hAnsi="DepCentury Old Style"/>
          <w:b/>
        </w:rPr>
        <w:t xml:space="preserve">ived a reduction in their income from employment </w:t>
      </w:r>
      <w:r w:rsidR="00B72136" w:rsidRPr="00C970E4">
        <w:rPr>
          <w:rFonts w:ascii="DepCentury Old Style" w:hAnsi="DepCentury Old Style"/>
          <w:b/>
        </w:rPr>
        <w:t>(including self-employment) or have been denied employment opportunities (article 28 (2) (b) and (e)).</w:t>
      </w:r>
    </w:p>
    <w:p w:rsidR="00B72136" w:rsidRPr="00C970E4" w:rsidRDefault="00B72136" w:rsidP="00B72136">
      <w:pPr>
        <w:rPr>
          <w:rFonts w:ascii="DepCentury Old Style" w:hAnsi="DepCentury Old Style"/>
        </w:rPr>
      </w:pPr>
    </w:p>
    <w:p w:rsidR="00003A77" w:rsidRPr="00C970E4" w:rsidRDefault="00003A77" w:rsidP="00003A77">
      <w:pPr>
        <w:pStyle w:val="Default"/>
        <w:rPr>
          <w:rFonts w:ascii="DepCentury Old Style" w:hAnsi="DepCentury Old Style"/>
          <w:lang w:val="en-GB"/>
        </w:rPr>
      </w:pPr>
      <w:r w:rsidRPr="00C970E4">
        <w:rPr>
          <w:rFonts w:ascii="DepCentury Old Style" w:hAnsi="DepCentury Old Style"/>
          <w:lang w:val="en-GB"/>
        </w:rPr>
        <w:t>The National Insurance Scheme offers great financial aid and support to persons whose working capacity is reduced due to sickness, injury or disabili</w:t>
      </w:r>
      <w:r w:rsidR="00040881">
        <w:rPr>
          <w:rFonts w:ascii="DepCentury Old Style" w:hAnsi="DepCentury Old Style"/>
          <w:lang w:val="en-GB"/>
        </w:rPr>
        <w:t>t</w:t>
      </w:r>
      <w:r w:rsidRPr="00C970E4">
        <w:rPr>
          <w:rFonts w:ascii="DepCentury Old Style" w:hAnsi="DepCentury Old Style"/>
          <w:lang w:val="en-GB"/>
        </w:rPr>
        <w:t>y. As a gener</w:t>
      </w:r>
      <w:r w:rsidR="00ED6BC1" w:rsidRPr="00C970E4">
        <w:rPr>
          <w:rFonts w:ascii="DepCentury Old Style" w:hAnsi="DepCentury Old Style"/>
          <w:lang w:val="en-GB"/>
        </w:rPr>
        <w:t>a</w:t>
      </w:r>
      <w:r w:rsidRPr="00C970E4">
        <w:rPr>
          <w:rFonts w:ascii="DepCentury Old Style" w:hAnsi="DepCentury Old Style"/>
          <w:lang w:val="en-GB"/>
        </w:rPr>
        <w:t>l rule, all persons who are either resident or working as employees in Norway are compulsory insured under the National Insurance Sch</w:t>
      </w:r>
      <w:r w:rsidR="00040881">
        <w:rPr>
          <w:rFonts w:ascii="DepCentury Old Style" w:hAnsi="DepCentury Old Style"/>
          <w:lang w:val="en-GB"/>
        </w:rPr>
        <w:t xml:space="preserve">eme. The Scheme is financed by </w:t>
      </w:r>
      <w:r w:rsidRPr="00C970E4">
        <w:rPr>
          <w:rFonts w:ascii="DepCentury Old Style" w:hAnsi="DepCentury Old Style"/>
          <w:lang w:val="en-GB"/>
        </w:rPr>
        <w:t xml:space="preserve">contributions from employees, self-employed persons and other members, employers’ contributions and contributions from the state (taxes). </w:t>
      </w:r>
    </w:p>
    <w:p w:rsidR="00003A77" w:rsidRPr="00C970E4" w:rsidRDefault="00003A77" w:rsidP="00003A77">
      <w:pPr>
        <w:pStyle w:val="Default"/>
        <w:rPr>
          <w:rFonts w:ascii="DepCentury Old Style" w:hAnsi="DepCentury Old Style"/>
          <w:lang w:val="en-GB"/>
        </w:rPr>
      </w:pPr>
    </w:p>
    <w:p w:rsidR="00E8242E" w:rsidRPr="00C970E4" w:rsidRDefault="00003A77" w:rsidP="00003A77">
      <w:pPr>
        <w:rPr>
          <w:rFonts w:ascii="DepCentury Old Style" w:hAnsi="DepCentury Old Style"/>
        </w:rPr>
      </w:pPr>
      <w:r w:rsidRPr="00C970E4">
        <w:rPr>
          <w:rFonts w:ascii="DepCentury Old Style" w:hAnsi="DepCentury Old Style"/>
          <w:b/>
          <w:bCs/>
        </w:rPr>
        <w:t>Compensation for the loss of income due to due to illness, injury, disability, or defect</w:t>
      </w: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i/>
          <w:iCs/>
          <w:lang w:val="en-GB"/>
        </w:rPr>
        <w:t xml:space="preserve">Sickness pay (daily cash benefits in the case of sickness) </w:t>
      </w: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lang w:val="en-GB"/>
        </w:rPr>
        <w:t xml:space="preserve">An insured person who has an annual income of at least 0.5 times Basic Amount (41 061 NOK) is entitled to daily cash benefits in case of sickness/injury if he/she is incapable of working due to sickness/injury. It is, as a general rule, required that the occupational activity has lasted for at least 4 weeks. Daily cash benefits for employees equals 100 per cent of pensionable income from the first day of sickness. </w:t>
      </w:r>
      <w:r w:rsidR="00040881" w:rsidRPr="00C970E4">
        <w:rPr>
          <w:rFonts w:ascii="DepCentury Old Style" w:hAnsi="DepCentury Old Style"/>
          <w:lang w:val="en-GB"/>
        </w:rPr>
        <w:t>A self-employed person gets</w:t>
      </w:r>
      <w:r w:rsidRPr="00C970E4">
        <w:rPr>
          <w:rFonts w:ascii="DepCentury Old Style" w:hAnsi="DepCentury Old Style"/>
          <w:lang w:val="en-GB"/>
        </w:rPr>
        <w:t xml:space="preserve"> sickness benefits corresponding to 65 per cent of pensionable income from day 17. By voluntary paying a higher rate of contributions, self-employed persons may receive 65 per cent of pensionable income from the first day of sickness or 100 per cent from the seventeenth day of sickness or the first day of sickness. </w:t>
      </w:r>
    </w:p>
    <w:p w:rsidR="00003A77" w:rsidRPr="00C970E4" w:rsidRDefault="00003A77" w:rsidP="00E8242E">
      <w:pPr>
        <w:pStyle w:val="Default"/>
        <w:rPr>
          <w:rFonts w:ascii="DepCentury Old Style" w:hAnsi="DepCentury Old Style"/>
          <w:lang w:val="en-GB"/>
        </w:rPr>
      </w:pPr>
    </w:p>
    <w:p w:rsidR="00E8242E" w:rsidRPr="00C970E4" w:rsidRDefault="00E8242E" w:rsidP="00E8242E">
      <w:pPr>
        <w:rPr>
          <w:rFonts w:ascii="DepCentury Old Style" w:hAnsi="DepCentury Old Style"/>
        </w:rPr>
      </w:pPr>
      <w:r w:rsidRPr="00C970E4">
        <w:rPr>
          <w:rFonts w:ascii="DepCentury Old Style" w:hAnsi="DepCentury Old Style"/>
        </w:rPr>
        <w:t xml:space="preserve">If the person partially can </w:t>
      </w:r>
      <w:r w:rsidR="00040881" w:rsidRPr="00C970E4">
        <w:rPr>
          <w:rFonts w:ascii="DepCentury Old Style" w:hAnsi="DepCentury Old Style"/>
        </w:rPr>
        <w:t>fulfil</w:t>
      </w:r>
      <w:r w:rsidRPr="00C970E4">
        <w:rPr>
          <w:rFonts w:ascii="DepCentury Old Style" w:hAnsi="DepCentury Old Style"/>
        </w:rPr>
        <w:t xml:space="preserve"> his/her usual tasks or new tasks as a result of arrangements/organization in the work place, the daily cash benefits are proportionally reduced (i.e. 50 per cent cash benefit combined with 50 per cent salary).</w:t>
      </w:r>
    </w:p>
    <w:p w:rsidR="00E8242E" w:rsidRPr="00C970E4" w:rsidRDefault="00E8242E" w:rsidP="00E8242E">
      <w:pPr>
        <w:pStyle w:val="Default"/>
        <w:rPr>
          <w:rFonts w:ascii="DepCentury Old Style" w:hAnsi="DepCentury Old Style"/>
          <w:lang w:val="en-GB"/>
        </w:rPr>
      </w:pP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i/>
          <w:iCs/>
          <w:lang w:val="en-GB"/>
        </w:rPr>
        <w:t xml:space="preserve">Work assessment allowance </w:t>
      </w: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lang w:val="en-GB"/>
        </w:rPr>
        <w:t xml:space="preserve">Work Assessment Allowance is granted to insured persons between the age of 18 and 67 whose working capacity is reduced by at least 50 per cent due to illness, injury or defect. Work Assessment Allowance shall cover living expenses and is normally granted when the person in question is undergoing active treatment or vocational measures, or when the person in question has tried such measures and is still considered to have a certain possibility of becoming employed, and is being followed up by the Norwegian Labour and Welfare Service in order to be enabled to acquire of keep suitable employment. The benefit rate per year is 66 per cent of the pensionable income of the year before (or the average pensionable income of the last three calendar years) the working capacity was reduced by at least 50 per cent. Insured persons who had low, or no, pensionable income before the working capacity was reduced by at least 50 per cent, is guaranteed a minimal yearly benefit of 2 times Basic Amount (164 244 NOK). For persons born disabled or having become severe and permanently disabled before reaching the age of 26, the minimum allowance is 2.44 times Basic Amount (200 378 NOK). In addition, a child supplement is granted for each dependent child under the age of 18. </w:t>
      </w:r>
    </w:p>
    <w:p w:rsidR="00003A77" w:rsidRPr="00C970E4" w:rsidRDefault="00003A77" w:rsidP="00E8242E">
      <w:pPr>
        <w:pStyle w:val="Default"/>
        <w:rPr>
          <w:rFonts w:ascii="DepCentury Old Style" w:hAnsi="DepCentury Old Style"/>
          <w:lang w:val="en-GB"/>
        </w:rPr>
      </w:pP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lang w:val="en-GB"/>
        </w:rPr>
        <w:t xml:space="preserve">If the working capacity is reduced partially (at least 50 per cent but less </w:t>
      </w:r>
      <w:r w:rsidR="00C74E8F">
        <w:rPr>
          <w:rFonts w:ascii="DepCentury Old Style" w:hAnsi="DepCentury Old Style"/>
          <w:lang w:val="en-GB"/>
        </w:rPr>
        <w:t>than 100 per cent), Work Assess</w:t>
      </w:r>
      <w:r w:rsidRPr="00C970E4">
        <w:rPr>
          <w:rFonts w:ascii="DepCentury Old Style" w:hAnsi="DepCentury Old Style"/>
          <w:lang w:val="en-GB"/>
        </w:rPr>
        <w:t xml:space="preserve">ment Allowance is reduced proportionally. </w:t>
      </w:r>
    </w:p>
    <w:p w:rsidR="00003A77" w:rsidRPr="00C970E4" w:rsidRDefault="00003A77" w:rsidP="00E8242E">
      <w:pPr>
        <w:pStyle w:val="Default"/>
        <w:rPr>
          <w:rFonts w:ascii="DepCentury Old Style" w:hAnsi="DepCentury Old Style"/>
          <w:i/>
          <w:iCs/>
          <w:lang w:val="en-GB"/>
        </w:rPr>
      </w:pP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i/>
          <w:iCs/>
          <w:lang w:val="en-GB"/>
        </w:rPr>
        <w:t xml:space="preserve">Disability pension </w:t>
      </w: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lang w:val="en-GB"/>
        </w:rPr>
        <w:lastRenderedPageBreak/>
        <w:t>An insured person between 18 and 67, whose working capacity is permanently reduced by at least 50 per cent due to illness, injury or defect, is entitled to a disability pension if he/she has been insured with entitlement to pension benefits for at least three years up to the contingency. There are some exemptions from the 3-year-condition, especially if the person previously has been insured. Insured persons born disabled or having become severe and permanently disabled before reaching the age of 26, are guaranteed a minimum yearly pension of 202 848 NOK for persons living alone and 190 524 NOK for married/co-habitant persons.</w:t>
      </w:r>
    </w:p>
    <w:p w:rsidR="00E8242E" w:rsidRPr="00C970E4" w:rsidRDefault="00E8242E" w:rsidP="00E8242E">
      <w:pPr>
        <w:pStyle w:val="Default"/>
        <w:rPr>
          <w:rFonts w:ascii="DepCentury Old Style" w:hAnsi="DepCentury Old Style"/>
          <w:lang w:val="en-GB"/>
        </w:rPr>
      </w:pP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lang w:val="en-GB"/>
        </w:rPr>
        <w:t xml:space="preserve">If the working capacity is reduced partially (at least 50 per cent but less than 100 per cent), disability is reduced proportionally. </w:t>
      </w:r>
    </w:p>
    <w:p w:rsidR="00003A77" w:rsidRPr="00C970E4" w:rsidRDefault="00003A77" w:rsidP="00E8242E">
      <w:pPr>
        <w:pStyle w:val="Default"/>
        <w:rPr>
          <w:rFonts w:ascii="DepCentury Old Style" w:hAnsi="DepCentury Old Style"/>
          <w:b/>
          <w:bCs/>
          <w:lang w:val="en-GB"/>
        </w:rPr>
      </w:pP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b/>
          <w:bCs/>
          <w:lang w:val="en-GB"/>
        </w:rPr>
        <w:t xml:space="preserve">Technical aids </w:t>
      </w: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lang w:val="en-GB"/>
        </w:rPr>
        <w:t xml:space="preserve">An insured person with a disability may receive technical aids in order to obtain or retain work/employment and/or to function in his or her daily life. The aids vary from hearing aids, wheelchairs, specially adapted cars, computer software, </w:t>
      </w:r>
      <w:r w:rsidR="00C74E8F" w:rsidRPr="00C970E4">
        <w:rPr>
          <w:rFonts w:ascii="DepCentury Old Style" w:hAnsi="DepCentury Old Style"/>
          <w:lang w:val="en-GB"/>
        </w:rPr>
        <w:t>adaption</w:t>
      </w:r>
      <w:r w:rsidRPr="00C970E4">
        <w:rPr>
          <w:rFonts w:ascii="DepCentury Old Style" w:hAnsi="DepCentury Old Style"/>
          <w:lang w:val="en-GB"/>
        </w:rPr>
        <w:t xml:space="preserve"> in the work place, interpreter etc. </w:t>
      </w:r>
    </w:p>
    <w:p w:rsidR="00003A77" w:rsidRPr="00C970E4" w:rsidRDefault="00003A77" w:rsidP="00E8242E">
      <w:pPr>
        <w:pStyle w:val="Default"/>
        <w:rPr>
          <w:rFonts w:ascii="DepCentury Old Style" w:hAnsi="DepCentury Old Style"/>
          <w:b/>
          <w:bCs/>
          <w:lang w:val="en-GB"/>
        </w:rPr>
      </w:pP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b/>
          <w:bCs/>
          <w:lang w:val="en-GB"/>
        </w:rPr>
        <w:t xml:space="preserve">Compensation for significant extra expenses </w:t>
      </w: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lang w:val="en-GB"/>
        </w:rPr>
        <w:t xml:space="preserve">An insured person with a disability is entitled to basic benefit and attendance benefit. </w:t>
      </w: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lang w:val="en-GB"/>
        </w:rPr>
        <w:t xml:space="preserve">A basic benefit is granted if the disability involves significant extra expenses. There are six basic benefit rates, which are adjusted each year by Parliament. An attendance benefit is granted if the disabled person needs special attention or nursing. There are four attendance benefit rates, which are adjusted by Parliament. </w:t>
      </w:r>
    </w:p>
    <w:p w:rsidR="00003A77" w:rsidRPr="00C970E4" w:rsidRDefault="00003A77" w:rsidP="00E8242E">
      <w:pPr>
        <w:pStyle w:val="Default"/>
        <w:rPr>
          <w:rFonts w:ascii="DepCentury Old Style" w:hAnsi="DepCentury Old Style"/>
          <w:lang w:val="en-GB"/>
        </w:rPr>
      </w:pP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lang w:val="en-GB"/>
        </w:rPr>
        <w:t xml:space="preserve">Parents providing special attention and nursing for a child which have received attendance benefit for at least three </w:t>
      </w:r>
      <w:proofErr w:type="gramStart"/>
      <w:r w:rsidRPr="00C970E4">
        <w:rPr>
          <w:rFonts w:ascii="DepCentury Old Style" w:hAnsi="DepCentury Old Style"/>
          <w:lang w:val="en-GB"/>
        </w:rPr>
        <w:t>years,</w:t>
      </w:r>
      <w:proofErr w:type="gramEnd"/>
      <w:r w:rsidRPr="00C970E4">
        <w:rPr>
          <w:rFonts w:ascii="DepCentury Old Style" w:hAnsi="DepCentury Old Style"/>
          <w:lang w:val="en-GB"/>
        </w:rPr>
        <w:t xml:space="preserve"> are entitled to attendance benefit for three months after the attention and nursing has come to an end due to the death of the child. </w:t>
      </w:r>
    </w:p>
    <w:p w:rsidR="00AC2053" w:rsidRPr="00C970E4" w:rsidRDefault="00AC2053" w:rsidP="00E8242E">
      <w:pPr>
        <w:pStyle w:val="Default"/>
        <w:rPr>
          <w:rFonts w:ascii="DepCentury Old Style" w:hAnsi="DepCentury Old Style"/>
          <w:b/>
          <w:bCs/>
          <w:lang w:val="en-GB"/>
        </w:rPr>
      </w:pP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b/>
          <w:bCs/>
          <w:lang w:val="en-GB"/>
        </w:rPr>
        <w:t xml:space="preserve">Medical benefits during sickness </w:t>
      </w:r>
    </w:p>
    <w:p w:rsidR="00E8242E" w:rsidRPr="00C970E4" w:rsidRDefault="00E8242E" w:rsidP="00E8242E">
      <w:pPr>
        <w:pStyle w:val="Default"/>
        <w:rPr>
          <w:rFonts w:ascii="DepCentury Old Style" w:hAnsi="DepCentury Old Style"/>
          <w:lang w:val="en-GB"/>
        </w:rPr>
      </w:pPr>
      <w:r w:rsidRPr="00C970E4">
        <w:rPr>
          <w:rFonts w:ascii="DepCentury Old Style" w:hAnsi="DepCentury Old Style"/>
          <w:lang w:val="en-GB"/>
        </w:rPr>
        <w:t xml:space="preserve">All insured persons are granted free accommodation and treatment, including medicines, in hospitals. This follows from the provisions of the Act on Specialist Health Care and the Act on Mental Health Care. In the case of treatment given outside hospitals, the provisions of the Health and Care Services Act and the National Insurance Act apply. </w:t>
      </w:r>
    </w:p>
    <w:p w:rsidR="00003A77" w:rsidRPr="00C970E4" w:rsidRDefault="00003A77" w:rsidP="00E8242E">
      <w:pPr>
        <w:pStyle w:val="Default"/>
        <w:rPr>
          <w:rFonts w:ascii="DepCentury Old Style" w:hAnsi="DepCentury Old Style"/>
          <w:lang w:val="en-GB"/>
        </w:rPr>
      </w:pPr>
    </w:p>
    <w:p w:rsidR="00B72136" w:rsidRPr="00C970E4" w:rsidRDefault="00E8242E" w:rsidP="00003A77">
      <w:pPr>
        <w:pStyle w:val="Default"/>
        <w:rPr>
          <w:rFonts w:ascii="DepCentury Old Style" w:hAnsi="DepCentury Old Style"/>
          <w:lang w:val="en-GB"/>
        </w:rPr>
      </w:pPr>
      <w:r w:rsidRPr="00C970E4">
        <w:rPr>
          <w:rFonts w:ascii="DepCentury Old Style" w:hAnsi="DepCentury Old Style"/>
          <w:lang w:val="en-GB"/>
        </w:rPr>
        <w:t>The patient has to pay a share of the cost of treatment by a general practitioner or a specialist outside hospital, for treatment by a psychologist, for prescriptions of important drugs and for transportation expenses in connection with examination or treatment. The municipality, the regional health authority and/or the National Insurance cover the main part of the expenses. For reiterated prescriptions a new cost-sharing amount shall be paid when a supply equal to three months’ consumption has been received.</w:t>
      </w:r>
    </w:p>
    <w:p w:rsidR="00003A77" w:rsidRPr="00C970E4" w:rsidRDefault="00003A77" w:rsidP="00003A77">
      <w:pPr>
        <w:pStyle w:val="Default"/>
        <w:rPr>
          <w:rFonts w:ascii="DepCentury Old Style" w:hAnsi="DepCentury Old Style"/>
          <w:lang w:val="en-GB"/>
        </w:rPr>
      </w:pPr>
    </w:p>
    <w:p w:rsidR="00B72136" w:rsidRPr="00C970E4" w:rsidRDefault="00B72136" w:rsidP="00B72136">
      <w:pPr>
        <w:rPr>
          <w:rFonts w:ascii="DepCentury Old Style" w:hAnsi="DepCentury Old Style"/>
        </w:rPr>
      </w:pPr>
    </w:p>
    <w:p w:rsidR="00B72136" w:rsidRPr="00C970E4" w:rsidRDefault="00B72136" w:rsidP="00B72136">
      <w:pPr>
        <w:pStyle w:val="ListParagraph"/>
        <w:numPr>
          <w:ilvl w:val="0"/>
          <w:numId w:val="2"/>
        </w:numPr>
        <w:rPr>
          <w:rFonts w:ascii="DepCentury Old Style" w:hAnsi="DepCentury Old Style"/>
          <w:b/>
        </w:rPr>
      </w:pPr>
      <w:r w:rsidRPr="00C970E4">
        <w:rPr>
          <w:rFonts w:ascii="DepCentury Old Style" w:hAnsi="DepCentury Old Style"/>
          <w:b/>
        </w:rPr>
        <w:t>Information on efforts that your country has undertaken to ensure that persons with disabilities are able to exercise their labour and trade union rights on an equal basis with others (article 27 (1) (c)).</w:t>
      </w:r>
    </w:p>
    <w:p w:rsidR="00B72136" w:rsidRPr="00C970E4" w:rsidRDefault="00B72136" w:rsidP="00B72136">
      <w:pPr>
        <w:rPr>
          <w:rFonts w:ascii="DepCentury Old Style" w:hAnsi="DepCentury Old Style"/>
        </w:rPr>
      </w:pPr>
    </w:p>
    <w:p w:rsidR="00B72136" w:rsidRPr="00C970E4" w:rsidRDefault="00912104" w:rsidP="00B72136">
      <w:pPr>
        <w:rPr>
          <w:rFonts w:ascii="DepCentury Old Style" w:hAnsi="DepCentury Old Style"/>
        </w:rPr>
      </w:pPr>
      <w:r w:rsidRPr="00C970E4">
        <w:rPr>
          <w:rFonts w:ascii="DepCentury Old Style" w:hAnsi="DepCentury Old Style"/>
        </w:rPr>
        <w:t xml:space="preserve">The right to exercise the labour and trade union rights are equal for </w:t>
      </w:r>
      <w:r w:rsidR="006410EE" w:rsidRPr="00C970E4">
        <w:rPr>
          <w:rFonts w:ascii="DepCentury Old Style" w:hAnsi="DepCentury Old Style"/>
        </w:rPr>
        <w:t>everyone</w:t>
      </w:r>
      <w:r w:rsidRPr="00C970E4">
        <w:rPr>
          <w:rFonts w:ascii="DepCentury Old Style" w:hAnsi="DepCentury Old Style"/>
        </w:rPr>
        <w:t xml:space="preserve"> in Norway, and there are </w:t>
      </w:r>
      <w:r w:rsidR="00301D52" w:rsidRPr="00C970E4">
        <w:rPr>
          <w:rFonts w:ascii="DepCentury Old Style" w:hAnsi="DepCentury Old Style"/>
        </w:rPr>
        <w:t xml:space="preserve">not undertaken specific efforts </w:t>
      </w:r>
      <w:r w:rsidR="00284B1F" w:rsidRPr="00C970E4">
        <w:rPr>
          <w:rFonts w:ascii="DepCentury Old Style" w:hAnsi="DepCentury Old Style"/>
        </w:rPr>
        <w:t>for persons with disabilities. Se</w:t>
      </w:r>
      <w:r w:rsidR="008A7EEA">
        <w:rPr>
          <w:rFonts w:ascii="DepCentury Old Style" w:hAnsi="DepCentury Old Style"/>
        </w:rPr>
        <w:t>e</w:t>
      </w:r>
      <w:r w:rsidR="00284B1F" w:rsidRPr="00C970E4">
        <w:rPr>
          <w:rFonts w:ascii="DepCentury Old Style" w:hAnsi="DepCentury Old Style"/>
        </w:rPr>
        <w:t xml:space="preserve"> answer to question 7).</w:t>
      </w:r>
    </w:p>
    <w:p w:rsidR="00CB013A" w:rsidRPr="00C970E4" w:rsidRDefault="00CB013A" w:rsidP="00B72136">
      <w:pPr>
        <w:rPr>
          <w:rFonts w:ascii="DepCentury Old Style" w:hAnsi="DepCentury Old Style"/>
        </w:rPr>
      </w:pPr>
    </w:p>
    <w:p w:rsidR="00C33A1A" w:rsidRPr="00C970E4" w:rsidRDefault="00C33A1A" w:rsidP="00C33A1A">
      <w:pPr>
        <w:pStyle w:val="ListParagraph"/>
        <w:rPr>
          <w:rFonts w:ascii="DepCentury Old Style" w:hAnsi="DepCentury Old Style"/>
          <w:b/>
        </w:rPr>
      </w:pPr>
    </w:p>
    <w:p w:rsidR="00A01263" w:rsidRPr="00C970E4" w:rsidRDefault="00A01263" w:rsidP="00C33A1A">
      <w:pPr>
        <w:pStyle w:val="ListParagraph"/>
        <w:numPr>
          <w:ilvl w:val="0"/>
          <w:numId w:val="2"/>
        </w:numPr>
        <w:rPr>
          <w:rFonts w:ascii="DepCentury Old Style" w:hAnsi="DepCentury Old Style"/>
          <w:b/>
        </w:rPr>
      </w:pPr>
      <w:r w:rsidRPr="00C970E4">
        <w:rPr>
          <w:rFonts w:ascii="DepCentury Old Style" w:hAnsi="DepCentury Old Style"/>
          <w:b/>
        </w:rPr>
        <w:t>Information on the measure adopted by your country to closely consult with and actively invol</w:t>
      </w:r>
      <w:r w:rsidR="008A7EEA">
        <w:rPr>
          <w:rFonts w:ascii="DepCentury Old Style" w:hAnsi="DepCentury Old Style"/>
          <w:b/>
        </w:rPr>
        <w:t>v</w:t>
      </w:r>
      <w:r w:rsidRPr="00C970E4">
        <w:rPr>
          <w:rFonts w:ascii="DepCentury Old Style" w:hAnsi="DepCentury Old Style"/>
          <w:b/>
        </w:rPr>
        <w:t>e persons with disabilities and their representative organisations in the devel</w:t>
      </w:r>
      <w:r w:rsidR="008A7EEA">
        <w:rPr>
          <w:rFonts w:ascii="DepCentury Old Style" w:hAnsi="DepCentury Old Style"/>
          <w:b/>
        </w:rPr>
        <w:t>op</w:t>
      </w:r>
      <w:r w:rsidRPr="00C970E4">
        <w:rPr>
          <w:rFonts w:ascii="DepCentury Old Style" w:hAnsi="DepCentury Old Style"/>
          <w:b/>
        </w:rPr>
        <w:t>ment, implementation and monitoring of legislation</w:t>
      </w:r>
      <w:r w:rsidR="008A7EEA">
        <w:rPr>
          <w:rFonts w:ascii="DepCentury Old Style" w:hAnsi="DepCentury Old Style"/>
          <w:b/>
        </w:rPr>
        <w:t xml:space="preserve"> </w:t>
      </w:r>
      <w:r w:rsidRPr="00C970E4">
        <w:rPr>
          <w:rFonts w:ascii="DepCentury Old Style" w:hAnsi="DepCentury Old Style"/>
          <w:b/>
        </w:rPr>
        <w:t>and policies to promote and protect access to employment opportunities for persons with disabilities (article 4 (3) and 33 (3)).</w:t>
      </w:r>
    </w:p>
    <w:p w:rsidR="00A01263" w:rsidRPr="00C970E4" w:rsidRDefault="00A01263" w:rsidP="00A01263">
      <w:pPr>
        <w:rPr>
          <w:rFonts w:ascii="DepCentury Old Style" w:hAnsi="DepCentury Old Style"/>
          <w:b/>
        </w:rPr>
      </w:pPr>
    </w:p>
    <w:p w:rsidR="00144027" w:rsidRDefault="00144027" w:rsidP="00144027">
      <w:pPr>
        <w:rPr>
          <w:rFonts w:ascii="DepCentury Old Style" w:hAnsi="DepCentury Old Style"/>
        </w:rPr>
      </w:pPr>
      <w:r w:rsidRPr="00C970E4">
        <w:rPr>
          <w:rFonts w:ascii="DepCentury Old Style" w:hAnsi="DepCentury Old Style"/>
        </w:rPr>
        <w:t>Work on the Jobs Strategy has been widely informed by discussions with the National Disability Council of Norway</w:t>
      </w:r>
      <w:r w:rsidR="007F67C1" w:rsidRPr="00C970E4">
        <w:rPr>
          <w:rFonts w:ascii="DepCentury Old Style" w:hAnsi="DepCentury Old Style"/>
        </w:rPr>
        <w:t>.</w:t>
      </w:r>
      <w:r w:rsidRPr="00C970E4">
        <w:rPr>
          <w:rFonts w:ascii="DepCentury Old Style" w:hAnsi="DepCentury Old Style"/>
        </w:rPr>
        <w:t xml:space="preserve"> Two panels have been commissioned to submit proposals for initiatives: a panel of representatives</w:t>
      </w:r>
      <w:r w:rsidR="007F67C1" w:rsidRPr="00C970E4">
        <w:rPr>
          <w:rFonts w:ascii="DepCentury Old Style" w:hAnsi="DepCentury Old Style"/>
        </w:rPr>
        <w:t xml:space="preserve"> </w:t>
      </w:r>
      <w:r w:rsidRPr="00C970E4">
        <w:rPr>
          <w:rFonts w:ascii="DepCentury Old Style" w:hAnsi="DepCentury Old Style"/>
        </w:rPr>
        <w:t>of organisations for people with disabilities and a panel of labour market and busines</w:t>
      </w:r>
      <w:r w:rsidRPr="00144027">
        <w:rPr>
          <w:rFonts w:ascii="DepCentury Old Style" w:hAnsi="DepCentury Old Style"/>
        </w:rPr>
        <w:t>s and industry</w:t>
      </w:r>
      <w:r>
        <w:rPr>
          <w:rFonts w:ascii="DepCentury Old Style" w:hAnsi="DepCentury Old Style"/>
        </w:rPr>
        <w:t xml:space="preserve"> </w:t>
      </w:r>
      <w:r w:rsidRPr="00144027">
        <w:rPr>
          <w:rFonts w:ascii="DepCentury Old Style" w:hAnsi="DepCentury Old Style"/>
        </w:rPr>
        <w:t>representatives.</w:t>
      </w:r>
    </w:p>
    <w:p w:rsidR="002C6055" w:rsidRPr="002C6055" w:rsidRDefault="002C6055" w:rsidP="000A51CF">
      <w:pPr>
        <w:autoSpaceDE w:val="0"/>
        <w:autoSpaceDN w:val="0"/>
        <w:adjustRightInd w:val="0"/>
        <w:rPr>
          <w:rFonts w:ascii="DepCentury Old Style" w:hAnsi="DepCentury Old Style" w:cs="MyriadPro-Regular"/>
        </w:rPr>
      </w:pPr>
    </w:p>
    <w:p w:rsidR="002C6055" w:rsidRPr="002C6055" w:rsidRDefault="002C6055" w:rsidP="002C6055">
      <w:pPr>
        <w:autoSpaceDE w:val="0"/>
        <w:autoSpaceDN w:val="0"/>
        <w:adjustRightInd w:val="0"/>
        <w:rPr>
          <w:rFonts w:ascii="DepCentury Old Style" w:hAnsi="DepCentury Old Style" w:cs="MyriadPro-Regular"/>
        </w:rPr>
      </w:pPr>
      <w:r w:rsidRPr="002C6055">
        <w:rPr>
          <w:rFonts w:ascii="DepCentury Old Style" w:hAnsi="DepCentury Old Style" w:cs="MyriadPro-Regular"/>
        </w:rPr>
        <w:t>Opening up the labour market to those seeking entry will entail active participation by employees and employers, organisations representing people with disabilities and job-seekers themselves. These activities entail</w:t>
      </w:r>
      <w:r>
        <w:rPr>
          <w:rFonts w:ascii="DepCentury Old Style" w:hAnsi="DepCentury Old Style" w:cs="MyriadPro-Regular"/>
        </w:rPr>
        <w:t xml:space="preserve"> </w:t>
      </w:r>
      <w:r w:rsidRPr="002C6055">
        <w:rPr>
          <w:rFonts w:ascii="DepCentury Old Style" w:hAnsi="DepCentury Old Style" w:cs="MyriadPro-Regular"/>
        </w:rPr>
        <w:t>the active involvement of organisations and</w:t>
      </w:r>
    </w:p>
    <w:p w:rsidR="002C6055" w:rsidRDefault="002C6055" w:rsidP="002C6055">
      <w:pPr>
        <w:autoSpaceDE w:val="0"/>
        <w:autoSpaceDN w:val="0"/>
        <w:adjustRightInd w:val="0"/>
        <w:rPr>
          <w:rFonts w:ascii="DepCentury Old Style" w:hAnsi="DepCentury Old Style" w:cs="MyriadPro-Regular"/>
        </w:rPr>
      </w:pPr>
      <w:r w:rsidRPr="002C6055">
        <w:rPr>
          <w:rFonts w:ascii="DepCentury Old Style" w:hAnsi="DepCentury Old Style" w:cs="MyriadPro-Regular"/>
        </w:rPr>
        <w:t>institutions for people with disabilities in order to</w:t>
      </w:r>
      <w:r>
        <w:rPr>
          <w:rFonts w:ascii="DepCentury Old Style" w:hAnsi="DepCentury Old Style" w:cs="MyriadPro-Regular"/>
        </w:rPr>
        <w:t xml:space="preserve"> </w:t>
      </w:r>
      <w:r w:rsidRPr="002C6055">
        <w:rPr>
          <w:rFonts w:ascii="DepCentury Old Style" w:hAnsi="DepCentury Old Style" w:cs="MyriadPro-Regular"/>
        </w:rPr>
        <w:t>build up the Labour and Welfare Service’s</w:t>
      </w:r>
      <w:r>
        <w:rPr>
          <w:rFonts w:ascii="DepCentury Old Style" w:hAnsi="DepCentury Old Style" w:cs="MyriadPro-Regular"/>
        </w:rPr>
        <w:t xml:space="preserve"> </w:t>
      </w:r>
      <w:r w:rsidRPr="002C6055">
        <w:rPr>
          <w:rFonts w:ascii="DepCentury Old Style" w:hAnsi="DepCentury Old Style" w:cs="MyriadPro-Regular"/>
        </w:rPr>
        <w:t>expertise in this field and to provide inputs for</w:t>
      </w:r>
      <w:r>
        <w:rPr>
          <w:rFonts w:ascii="DepCentury Old Style" w:hAnsi="DepCentury Old Style" w:cs="MyriadPro-Regular"/>
        </w:rPr>
        <w:t xml:space="preserve"> </w:t>
      </w:r>
      <w:proofErr w:type="spellStart"/>
      <w:r w:rsidRPr="002C6055">
        <w:rPr>
          <w:rFonts w:ascii="DepCentury Old Style" w:hAnsi="DepCentury Old Style" w:cs="MyriadPro-Regular"/>
        </w:rPr>
        <w:t>ongoing</w:t>
      </w:r>
      <w:proofErr w:type="spellEnd"/>
      <w:r w:rsidRPr="002C6055">
        <w:rPr>
          <w:rFonts w:ascii="DepCentury Old Style" w:hAnsi="DepCentury Old Style" w:cs="MyriadPro-Regular"/>
        </w:rPr>
        <w:t xml:space="preserve"> work on the strategy.</w:t>
      </w:r>
    </w:p>
    <w:p w:rsidR="002C6055" w:rsidRDefault="002C6055" w:rsidP="002C6055">
      <w:pPr>
        <w:autoSpaceDE w:val="0"/>
        <w:autoSpaceDN w:val="0"/>
        <w:adjustRightInd w:val="0"/>
        <w:rPr>
          <w:rFonts w:ascii="DepCentury Old Style" w:hAnsi="DepCentury Old Style" w:cs="MyriadPro-Regular"/>
        </w:rPr>
      </w:pPr>
    </w:p>
    <w:p w:rsidR="00D969F1" w:rsidRPr="00D969F1" w:rsidRDefault="00D969F1" w:rsidP="00E868FD">
      <w:pPr>
        <w:autoSpaceDE w:val="0"/>
        <w:autoSpaceDN w:val="0"/>
        <w:adjustRightInd w:val="0"/>
        <w:rPr>
          <w:rFonts w:ascii="DepCentury Old Style" w:hAnsi="DepCentury Old Style" w:cs="MyriadPro-Regular"/>
        </w:rPr>
      </w:pPr>
      <w:r w:rsidRPr="00E868FD">
        <w:rPr>
          <w:rFonts w:ascii="DepCentury Old Style" w:hAnsi="DepCentury Old Style" w:cs="MyriadPro-Regular"/>
        </w:rPr>
        <w:t xml:space="preserve">As written in the Jobs Strategy </w:t>
      </w:r>
      <w:r w:rsidR="00E868FD">
        <w:rPr>
          <w:rFonts w:ascii="DepCentury Old Style" w:hAnsi="DepCentury Old Style" w:cs="MyriadPro-Regular"/>
        </w:rPr>
        <w:t>a</w:t>
      </w:r>
      <w:r w:rsidR="00E868FD" w:rsidRPr="00E868FD">
        <w:rPr>
          <w:rFonts w:ascii="DepCentury Old Style" w:hAnsi="DepCentury Old Style" w:cs="MyriadPro-Regular"/>
        </w:rPr>
        <w:t>rrangements must be made to facilitate active</w:t>
      </w:r>
      <w:r w:rsidR="00E868FD">
        <w:rPr>
          <w:rFonts w:ascii="DepCentury Old Style" w:hAnsi="DepCentury Old Style" w:cs="MyriadPro-Regular"/>
        </w:rPr>
        <w:t xml:space="preserve"> </w:t>
      </w:r>
      <w:r w:rsidR="00E868FD" w:rsidRPr="00E868FD">
        <w:rPr>
          <w:rFonts w:ascii="DepCentury Old Style" w:hAnsi="DepCentury Old Style" w:cs="MyriadPro-Regular"/>
        </w:rPr>
        <w:t>involvement by organisations for people with</w:t>
      </w:r>
      <w:r w:rsidR="00E868FD">
        <w:rPr>
          <w:rFonts w:ascii="DepCentury Old Style" w:hAnsi="DepCentury Old Style" w:cs="MyriadPro-Regular"/>
        </w:rPr>
        <w:t xml:space="preserve"> </w:t>
      </w:r>
      <w:r w:rsidR="00E868FD" w:rsidRPr="00E868FD">
        <w:rPr>
          <w:rFonts w:ascii="DepCentury Old Style" w:hAnsi="DepCentury Old Style" w:cs="MyriadPro-Regular"/>
        </w:rPr>
        <w:t>disabilities, the social partners and other key</w:t>
      </w:r>
      <w:r w:rsidR="00E868FD">
        <w:rPr>
          <w:rFonts w:ascii="DepCentury Old Style" w:hAnsi="DepCentury Old Style" w:cs="MyriadPro-Regular"/>
        </w:rPr>
        <w:t xml:space="preserve"> </w:t>
      </w:r>
      <w:r w:rsidR="00E868FD" w:rsidRPr="00E868FD">
        <w:rPr>
          <w:rFonts w:ascii="DepCentury Old Style" w:hAnsi="DepCentury Old Style" w:cs="MyriadPro-Regular"/>
        </w:rPr>
        <w:t xml:space="preserve">stakeholders. </w:t>
      </w:r>
      <w:r w:rsidR="00E868FD">
        <w:rPr>
          <w:rFonts w:ascii="DepCentury Old Style" w:hAnsi="DepCentury Old Style" w:cs="MyriadPro-Regular"/>
        </w:rPr>
        <w:t>D</w:t>
      </w:r>
      <w:r w:rsidRPr="00D969F1">
        <w:rPr>
          <w:rFonts w:ascii="DepCentury Old Style" w:hAnsi="DepCentury Old Style" w:cs="MyriadPro-Regular"/>
        </w:rPr>
        <w:t xml:space="preserve">issemination of information </w:t>
      </w:r>
      <w:r w:rsidR="00E868FD">
        <w:rPr>
          <w:rFonts w:ascii="DepCentury Old Style" w:hAnsi="DepCentury Old Style" w:cs="MyriadPro-Regular"/>
        </w:rPr>
        <w:t xml:space="preserve">is </w:t>
      </w:r>
      <w:r w:rsidRPr="00D969F1">
        <w:rPr>
          <w:rFonts w:ascii="DepCentury Old Style" w:hAnsi="DepCentury Old Style" w:cs="MyriadPro-Regular"/>
        </w:rPr>
        <w:t>also important</w:t>
      </w:r>
      <w:r>
        <w:rPr>
          <w:rFonts w:ascii="DepCentury Old Style" w:hAnsi="DepCentury Old Style" w:cs="MyriadPro-Regular"/>
        </w:rPr>
        <w:t xml:space="preserve"> </w:t>
      </w:r>
      <w:r w:rsidRPr="00D969F1">
        <w:rPr>
          <w:rFonts w:ascii="DepCentury Old Style" w:hAnsi="DepCentury Old Style" w:cs="MyriadPro-Regular"/>
        </w:rPr>
        <w:t>to keep user organisations and other affected</w:t>
      </w:r>
      <w:r>
        <w:rPr>
          <w:rFonts w:ascii="DepCentury Old Style" w:hAnsi="DepCentury Old Style" w:cs="MyriadPro-Regular"/>
        </w:rPr>
        <w:t xml:space="preserve"> </w:t>
      </w:r>
      <w:r w:rsidRPr="00D969F1">
        <w:rPr>
          <w:rFonts w:ascii="DepCentury Old Style" w:hAnsi="DepCentury Old Style" w:cs="MyriadPro-Regular"/>
        </w:rPr>
        <w:t xml:space="preserve">stakeholders informed of work on the </w:t>
      </w:r>
      <w:r>
        <w:rPr>
          <w:rFonts w:ascii="DepCentury Old Style" w:hAnsi="DepCentury Old Style" w:cs="MyriadPro-Regular"/>
        </w:rPr>
        <w:t>Jobs S</w:t>
      </w:r>
      <w:r w:rsidRPr="00D969F1">
        <w:rPr>
          <w:rFonts w:ascii="DepCentury Old Style" w:hAnsi="DepCentury Old Style" w:cs="MyriadPro-Regular"/>
        </w:rPr>
        <w:t>trategy.</w:t>
      </w:r>
    </w:p>
    <w:p w:rsidR="00D969F1" w:rsidRDefault="00D969F1" w:rsidP="002C6055">
      <w:pPr>
        <w:autoSpaceDE w:val="0"/>
        <w:autoSpaceDN w:val="0"/>
        <w:adjustRightInd w:val="0"/>
        <w:rPr>
          <w:rFonts w:ascii="DepCentury Old Style" w:hAnsi="DepCentury Old Style" w:cs="MyriadPro-Regular"/>
        </w:rPr>
      </w:pPr>
    </w:p>
    <w:p w:rsidR="002C6055" w:rsidRPr="002C6055" w:rsidRDefault="00AB0819" w:rsidP="002C6055">
      <w:pPr>
        <w:autoSpaceDE w:val="0"/>
        <w:autoSpaceDN w:val="0"/>
        <w:adjustRightInd w:val="0"/>
        <w:rPr>
          <w:rFonts w:ascii="DepCentury Old Style" w:hAnsi="DepCentury Old Style" w:cs="MyriadPro-Regular"/>
        </w:rPr>
      </w:pPr>
      <w:r>
        <w:rPr>
          <w:rFonts w:ascii="DepCentury Old Style" w:hAnsi="DepCentury Old Style" w:cs="MyriadPro-Regular"/>
        </w:rPr>
        <w:t>The Minister of Labour is also holding</w:t>
      </w:r>
      <w:r w:rsidR="002C6055">
        <w:rPr>
          <w:rFonts w:ascii="DepCentury Old Style" w:hAnsi="DepCentury Old Style" w:cs="MyriadPro-Regular"/>
        </w:rPr>
        <w:t xml:space="preserve"> meetings with the or</w:t>
      </w:r>
      <w:r w:rsidR="00816E6A">
        <w:rPr>
          <w:rFonts w:ascii="DepCentury Old Style" w:hAnsi="DepCentury Old Style" w:cs="MyriadPro-Regular"/>
        </w:rPr>
        <w:t>g</w:t>
      </w:r>
      <w:r w:rsidR="002C6055">
        <w:rPr>
          <w:rFonts w:ascii="DepCentury Old Style" w:hAnsi="DepCentury Old Style" w:cs="MyriadPro-Regular"/>
        </w:rPr>
        <w:t xml:space="preserve">anisations representing people with disabilities </w:t>
      </w:r>
      <w:r>
        <w:rPr>
          <w:rFonts w:ascii="DepCentury Old Style" w:hAnsi="DepCentury Old Style" w:cs="MyriadPro-Regular"/>
        </w:rPr>
        <w:t>during the year.</w:t>
      </w:r>
    </w:p>
    <w:p w:rsidR="002C6055" w:rsidRDefault="002C6055" w:rsidP="002C6055">
      <w:pPr>
        <w:autoSpaceDE w:val="0"/>
        <w:autoSpaceDN w:val="0"/>
        <w:adjustRightInd w:val="0"/>
        <w:rPr>
          <w:rFonts w:ascii="DepCentury Old Style" w:hAnsi="DepCentury Old Style" w:cs="MyriadPro-Regular"/>
        </w:rPr>
      </w:pPr>
    </w:p>
    <w:p w:rsidR="00A01263" w:rsidRPr="00A01263" w:rsidRDefault="00A01263" w:rsidP="00A01263">
      <w:pPr>
        <w:rPr>
          <w:rFonts w:ascii="DepCentury Old Style" w:hAnsi="DepCentury Old Style"/>
        </w:rPr>
      </w:pPr>
    </w:p>
    <w:p w:rsidR="00A01263" w:rsidRPr="00924606" w:rsidRDefault="00A01263" w:rsidP="00726228">
      <w:pPr>
        <w:pStyle w:val="ListParagraph"/>
        <w:numPr>
          <w:ilvl w:val="0"/>
          <w:numId w:val="2"/>
        </w:numPr>
        <w:rPr>
          <w:rFonts w:ascii="DepCentury Old Style" w:hAnsi="DepCentury Old Style"/>
          <w:b/>
        </w:rPr>
      </w:pPr>
      <w:r w:rsidRPr="00924606">
        <w:rPr>
          <w:rFonts w:ascii="DepCentury Old Style" w:hAnsi="DepCentury Old Style"/>
          <w:b/>
        </w:rPr>
        <w:t>Recent statistical data on the number of persons with disabilitie</w:t>
      </w:r>
      <w:r w:rsidR="00924606" w:rsidRPr="00924606">
        <w:rPr>
          <w:rFonts w:ascii="DepCentury Old Style" w:hAnsi="DepCentury Old Style"/>
          <w:b/>
        </w:rPr>
        <w:t>s employed in the public sector, disa</w:t>
      </w:r>
      <w:r w:rsidR="00E070E6">
        <w:rPr>
          <w:rFonts w:ascii="DepCentury Old Style" w:hAnsi="DepCentury Old Style"/>
          <w:b/>
        </w:rPr>
        <w:t>g</w:t>
      </w:r>
      <w:r w:rsidR="00924606" w:rsidRPr="00924606">
        <w:rPr>
          <w:rFonts w:ascii="DepCentury Old Style" w:hAnsi="DepCentury Old Style"/>
          <w:b/>
        </w:rPr>
        <w:t>gregated on basis of age, sex and</w:t>
      </w:r>
      <w:r w:rsidR="008075A1">
        <w:rPr>
          <w:rFonts w:ascii="DepCentury Old Style" w:hAnsi="DepCentury Old Style"/>
          <w:b/>
        </w:rPr>
        <w:t xml:space="preserve"> type of</w:t>
      </w:r>
      <w:r w:rsidR="00924606" w:rsidRPr="00924606">
        <w:rPr>
          <w:rFonts w:ascii="DepCentury Old Style" w:hAnsi="DepCentury Old Style"/>
          <w:b/>
        </w:rPr>
        <w:t xml:space="preserve"> disability (article 31).</w:t>
      </w:r>
    </w:p>
    <w:p w:rsidR="00B72136" w:rsidRDefault="00B72136" w:rsidP="00B72136">
      <w:pPr>
        <w:rPr>
          <w:rFonts w:ascii="DepCentury Old Style" w:hAnsi="DepCentury Old Style"/>
        </w:rPr>
      </w:pPr>
    </w:p>
    <w:p w:rsidR="00CB56BB" w:rsidRPr="00AC6D12" w:rsidRDefault="00CB56BB" w:rsidP="00CB56BB">
      <w:pPr>
        <w:rPr>
          <w:rFonts w:ascii="DepCentury Old Style" w:hAnsi="DepCentury Old Style"/>
        </w:rPr>
      </w:pPr>
      <w:r>
        <w:rPr>
          <w:rFonts w:ascii="DepCentury Old Style" w:hAnsi="DepCentury Old Style"/>
        </w:rPr>
        <w:t>S</w:t>
      </w:r>
      <w:r w:rsidRPr="00AC6D12">
        <w:rPr>
          <w:rFonts w:ascii="DepCentury Old Style" w:hAnsi="DepCentury Old Style"/>
        </w:rPr>
        <w:t>tatistical data from Q2 2011:</w:t>
      </w:r>
    </w:p>
    <w:p w:rsidR="00CB56BB" w:rsidRDefault="00CB56BB" w:rsidP="00CB56BB">
      <w:pPr>
        <w:rPr>
          <w:rFonts w:ascii="DepCentury Old Style" w:hAnsi="DepCentury Old Style"/>
          <w:b/>
        </w:rPr>
      </w:pPr>
      <w:r w:rsidRPr="00AC6D12">
        <w:rPr>
          <w:rFonts w:ascii="DepCentury Old Style" w:hAnsi="DepCentury Old Style"/>
          <w:b/>
        </w:rPr>
        <w:t xml:space="preserve">Employed persons with disabilities in private and public sector, </w:t>
      </w:r>
    </w:p>
    <w:p w:rsidR="00CB56BB" w:rsidRPr="00AC6D12" w:rsidRDefault="00CB56BB" w:rsidP="00CB56BB">
      <w:pPr>
        <w:rPr>
          <w:rFonts w:ascii="DepCentury Old Style" w:hAnsi="DepCentury Old Style"/>
          <w:b/>
        </w:rPr>
      </w:pPr>
      <w:proofErr w:type="gramStart"/>
      <w:r w:rsidRPr="00AC6D12">
        <w:rPr>
          <w:rFonts w:ascii="DepCentury Old Style" w:hAnsi="DepCentury Old Style"/>
          <w:b/>
        </w:rPr>
        <w:t>age</w:t>
      </w:r>
      <w:proofErr w:type="gramEnd"/>
      <w:r w:rsidRPr="00AC6D12">
        <w:rPr>
          <w:rFonts w:ascii="DepCentury Old Style" w:hAnsi="DepCentury Old Style"/>
          <w:b/>
        </w:rPr>
        <w:t xml:space="preserve"> group 15- 66:</w:t>
      </w:r>
    </w:p>
    <w:p w:rsidR="00CB56BB" w:rsidRPr="00AC6D12" w:rsidRDefault="00CB56BB" w:rsidP="00CB56BB">
      <w:pPr>
        <w:rPr>
          <w:rFonts w:ascii="DepCentury Old Style" w:hAnsi="DepCentury Old Style"/>
        </w:rPr>
      </w:pPr>
      <w:r w:rsidRPr="00AC6D12">
        <w:rPr>
          <w:rFonts w:ascii="DepCentury Old Style" w:hAnsi="DepCentury Old Style"/>
        </w:rPr>
        <w:t xml:space="preserve"> </w:t>
      </w:r>
    </w:p>
    <w:tbl>
      <w:tblPr>
        <w:tblStyle w:val="TableGrid"/>
        <w:tblW w:w="0" w:type="auto"/>
        <w:tblLook w:val="04A0" w:firstRow="1" w:lastRow="0" w:firstColumn="1" w:lastColumn="0" w:noHBand="0" w:noVBand="1"/>
      </w:tblPr>
      <w:tblGrid>
        <w:gridCol w:w="1668"/>
        <w:gridCol w:w="2409"/>
        <w:gridCol w:w="4395"/>
      </w:tblGrid>
      <w:tr w:rsidR="00CB56BB" w:rsidRPr="00AC6D12" w:rsidTr="00CB56BB">
        <w:tc>
          <w:tcPr>
            <w:tcW w:w="1668" w:type="dxa"/>
          </w:tcPr>
          <w:p w:rsidR="00CB56BB" w:rsidRPr="00AC6D12" w:rsidRDefault="00CB56BB" w:rsidP="00CB56BB">
            <w:pPr>
              <w:rPr>
                <w:rFonts w:ascii="DepCentury Old Style" w:hAnsi="DepCentury Old Style"/>
              </w:rPr>
            </w:pPr>
          </w:p>
        </w:tc>
        <w:tc>
          <w:tcPr>
            <w:tcW w:w="2409" w:type="dxa"/>
          </w:tcPr>
          <w:p w:rsidR="00CB56BB" w:rsidRPr="00AC6D12" w:rsidRDefault="00CB56BB" w:rsidP="00CB56BB">
            <w:pPr>
              <w:rPr>
                <w:rFonts w:ascii="DepCentury Old Style" w:hAnsi="DepCentury Old Style"/>
                <w:b/>
              </w:rPr>
            </w:pPr>
            <w:r w:rsidRPr="00AC6D12">
              <w:rPr>
                <w:rFonts w:ascii="DepCentury Old Style" w:hAnsi="DepCentury Old Style"/>
                <w:b/>
              </w:rPr>
              <w:t>Employees in total</w:t>
            </w:r>
          </w:p>
        </w:tc>
        <w:tc>
          <w:tcPr>
            <w:tcW w:w="4395" w:type="dxa"/>
          </w:tcPr>
          <w:p w:rsidR="00CB56BB" w:rsidRPr="00AC6D12" w:rsidRDefault="00CB56BB" w:rsidP="00CB56BB">
            <w:pPr>
              <w:rPr>
                <w:rFonts w:ascii="DepCentury Old Style" w:hAnsi="DepCentury Old Style"/>
                <w:b/>
              </w:rPr>
            </w:pPr>
            <w:r w:rsidRPr="00AC6D12">
              <w:rPr>
                <w:rFonts w:ascii="DepCentury Old Style" w:hAnsi="DepCentury Old Style"/>
                <w:b/>
              </w:rPr>
              <w:t xml:space="preserve">Employed persons with disabilities </w:t>
            </w:r>
          </w:p>
        </w:tc>
      </w:tr>
      <w:tr w:rsidR="00CB56BB" w:rsidRPr="00AC6D12" w:rsidTr="00CB56BB">
        <w:tc>
          <w:tcPr>
            <w:tcW w:w="1668" w:type="dxa"/>
          </w:tcPr>
          <w:p w:rsidR="00CB56BB" w:rsidRPr="00AC6D12" w:rsidRDefault="00CB56BB" w:rsidP="00CB56BB">
            <w:pPr>
              <w:rPr>
                <w:rFonts w:ascii="DepCentury Old Style" w:hAnsi="DepCentury Old Style"/>
                <w:b/>
              </w:rPr>
            </w:pPr>
            <w:r w:rsidRPr="00AC6D12">
              <w:rPr>
                <w:rFonts w:ascii="DepCentury Old Style" w:hAnsi="DepCentury Old Style"/>
                <w:b/>
              </w:rPr>
              <w:t>Both gender</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2 337</w:t>
            </w:r>
            <w:r w:rsidRPr="00AC6D12">
              <w:t> </w:t>
            </w:r>
            <w:r w:rsidRPr="00AC6D12">
              <w:rPr>
                <w:rFonts w:ascii="DepCentury Old Style" w:hAnsi="DepCentury Old Style"/>
              </w:rPr>
              <w:t>000 (100%)</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201</w:t>
            </w:r>
            <w:r w:rsidRPr="00AC6D12">
              <w:t> </w:t>
            </w:r>
            <w:r w:rsidRPr="00AC6D12">
              <w:rPr>
                <w:rFonts w:ascii="DepCentury Old Style" w:hAnsi="DepCentury Old Style"/>
              </w:rPr>
              <w:t>000 (9.0%)</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Public sector</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807</w:t>
            </w:r>
            <w:r w:rsidRPr="00AC6D12">
              <w:t> </w:t>
            </w:r>
            <w:r w:rsidRPr="00AC6D12">
              <w:rPr>
                <w:rFonts w:ascii="DepCentury Old Style" w:hAnsi="DepCentury Old Style"/>
              </w:rPr>
              <w:t>000 (100%)</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80</w:t>
            </w:r>
            <w:r w:rsidRPr="00AC6D12">
              <w:t> </w:t>
            </w:r>
            <w:r w:rsidRPr="00AC6D12">
              <w:rPr>
                <w:rFonts w:ascii="DepCentury Old Style" w:hAnsi="DepCentury Old Style"/>
              </w:rPr>
              <w:t>000 (9</w:t>
            </w:r>
            <w:proofErr w:type="gramStart"/>
            <w:r w:rsidRPr="00AC6D12">
              <w:rPr>
                <w:rFonts w:ascii="DepCentury Old Style" w:hAnsi="DepCentury Old Style"/>
              </w:rPr>
              <w:t>,9</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b/>
              </w:rPr>
            </w:pPr>
          </w:p>
        </w:tc>
        <w:tc>
          <w:tcPr>
            <w:tcW w:w="2409" w:type="dxa"/>
          </w:tcPr>
          <w:p w:rsidR="00CB56BB" w:rsidRPr="00AC6D12" w:rsidRDefault="00CB56BB" w:rsidP="00CB56BB">
            <w:pPr>
              <w:jc w:val="right"/>
              <w:rPr>
                <w:rFonts w:ascii="DepCentury Old Style" w:hAnsi="DepCentury Old Style"/>
              </w:rPr>
            </w:pPr>
          </w:p>
        </w:tc>
        <w:tc>
          <w:tcPr>
            <w:tcW w:w="4395" w:type="dxa"/>
          </w:tcPr>
          <w:p w:rsidR="00CB56BB" w:rsidRPr="00AC6D12" w:rsidRDefault="00CB56BB" w:rsidP="00CB56BB">
            <w:pPr>
              <w:jc w:val="right"/>
              <w:rPr>
                <w:rFonts w:ascii="DepCentury Old Style" w:hAnsi="DepCentury Old Style"/>
              </w:rPr>
            </w:pPr>
          </w:p>
        </w:tc>
      </w:tr>
      <w:tr w:rsidR="00CB56BB" w:rsidRPr="00AC6D12" w:rsidTr="00CB56BB">
        <w:tc>
          <w:tcPr>
            <w:tcW w:w="1668" w:type="dxa"/>
          </w:tcPr>
          <w:p w:rsidR="00CB56BB" w:rsidRPr="00AC6D12" w:rsidRDefault="00CB56BB" w:rsidP="00CB56BB">
            <w:pPr>
              <w:rPr>
                <w:rFonts w:ascii="DepCentury Old Style" w:hAnsi="DepCentury Old Style"/>
                <w:b/>
              </w:rPr>
            </w:pPr>
            <w:r w:rsidRPr="00AC6D12">
              <w:rPr>
                <w:rFonts w:ascii="DepCentury Old Style" w:hAnsi="DepCentury Old Style"/>
                <w:b/>
              </w:rPr>
              <w:t>Male</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1</w:t>
            </w:r>
            <w:r w:rsidRPr="00AC6D12">
              <w:t> </w:t>
            </w:r>
            <w:r w:rsidRPr="00AC6D12">
              <w:rPr>
                <w:rFonts w:ascii="DepCentury Old Style" w:hAnsi="DepCentury Old Style"/>
              </w:rPr>
              <w:t>199</w:t>
            </w:r>
            <w:r w:rsidRPr="00AC6D12">
              <w:t> </w:t>
            </w:r>
            <w:r w:rsidRPr="00AC6D12">
              <w:rPr>
                <w:rFonts w:ascii="DepCentury Old Style" w:hAnsi="DepCentury Old Style"/>
              </w:rPr>
              <w:t>000 (100%)</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93</w:t>
            </w:r>
            <w:r w:rsidRPr="00AC6D12">
              <w:t> </w:t>
            </w:r>
            <w:r w:rsidRPr="00AC6D12">
              <w:rPr>
                <w:rFonts w:ascii="DepCentury Old Style" w:hAnsi="DepCentury Old Style"/>
              </w:rPr>
              <w:t>000 (7</w:t>
            </w:r>
            <w:proofErr w:type="gramStart"/>
            <w:r w:rsidRPr="00AC6D12">
              <w:rPr>
                <w:rFonts w:ascii="DepCentury Old Style" w:hAnsi="DepCentury Old Style"/>
              </w:rPr>
              <w:t>,7</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Public sector</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242</w:t>
            </w:r>
            <w:r w:rsidRPr="00AC6D12">
              <w:t> </w:t>
            </w:r>
            <w:r w:rsidRPr="00AC6D12">
              <w:rPr>
                <w:rFonts w:ascii="DepCentury Old Style" w:hAnsi="DepCentury Old Style"/>
              </w:rPr>
              <w:t>000 (100%)</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21</w:t>
            </w:r>
            <w:r w:rsidRPr="00AC6D12">
              <w:t> </w:t>
            </w:r>
            <w:r w:rsidRPr="00AC6D12">
              <w:rPr>
                <w:rFonts w:ascii="DepCentury Old Style" w:hAnsi="DepCentury Old Style"/>
              </w:rPr>
              <w:t>000 (8</w:t>
            </w:r>
            <w:proofErr w:type="gramStart"/>
            <w:r w:rsidRPr="00AC6D12">
              <w:rPr>
                <w:rFonts w:ascii="DepCentury Old Style" w:hAnsi="DepCentury Old Style"/>
              </w:rPr>
              <w:t>,6</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b/>
              </w:rPr>
            </w:pPr>
          </w:p>
        </w:tc>
        <w:tc>
          <w:tcPr>
            <w:tcW w:w="2409" w:type="dxa"/>
          </w:tcPr>
          <w:p w:rsidR="00CB56BB" w:rsidRPr="00AC6D12" w:rsidRDefault="00CB56BB" w:rsidP="00CB56BB">
            <w:pPr>
              <w:jc w:val="right"/>
              <w:rPr>
                <w:rFonts w:ascii="DepCentury Old Style" w:hAnsi="DepCentury Old Style"/>
              </w:rPr>
            </w:pPr>
          </w:p>
        </w:tc>
        <w:tc>
          <w:tcPr>
            <w:tcW w:w="4395" w:type="dxa"/>
          </w:tcPr>
          <w:p w:rsidR="00CB56BB" w:rsidRPr="00AC6D12" w:rsidRDefault="00CB56BB" w:rsidP="00CB56BB">
            <w:pPr>
              <w:jc w:val="right"/>
              <w:rPr>
                <w:rFonts w:ascii="DepCentury Old Style" w:hAnsi="DepCentury Old Style"/>
              </w:rPr>
            </w:pPr>
          </w:p>
        </w:tc>
      </w:tr>
      <w:tr w:rsidR="00CB56BB" w:rsidRPr="00AC6D12" w:rsidTr="00CB56BB">
        <w:tc>
          <w:tcPr>
            <w:tcW w:w="1668" w:type="dxa"/>
          </w:tcPr>
          <w:p w:rsidR="00CB56BB" w:rsidRPr="00AC6D12" w:rsidRDefault="00CB56BB" w:rsidP="00CB56BB">
            <w:pPr>
              <w:rPr>
                <w:rFonts w:ascii="DepCentury Old Style" w:hAnsi="DepCentury Old Style"/>
                <w:b/>
              </w:rPr>
            </w:pPr>
            <w:r w:rsidRPr="00AC6D12">
              <w:rPr>
                <w:rFonts w:ascii="DepCentury Old Style" w:hAnsi="DepCentury Old Style"/>
                <w:b/>
              </w:rPr>
              <w:t>Female</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1 139</w:t>
            </w:r>
            <w:r w:rsidRPr="00AC6D12">
              <w:t> </w:t>
            </w:r>
            <w:r w:rsidRPr="00AC6D12">
              <w:rPr>
                <w:rFonts w:ascii="DepCentury Old Style" w:hAnsi="DepCentury Old Style"/>
              </w:rPr>
              <w:t>000 (100%)</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117</w:t>
            </w:r>
            <w:r w:rsidRPr="00AC6D12">
              <w:t> </w:t>
            </w:r>
            <w:r w:rsidRPr="00AC6D12">
              <w:rPr>
                <w:rFonts w:ascii="DepCentury Old Style" w:hAnsi="DepCentury Old Style"/>
              </w:rPr>
              <w:t>000 (10</w:t>
            </w:r>
            <w:proofErr w:type="gramStart"/>
            <w:r w:rsidRPr="00AC6D12">
              <w:rPr>
                <w:rFonts w:ascii="DepCentury Old Style" w:hAnsi="DepCentury Old Style"/>
              </w:rPr>
              <w:t>,3</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Public sector</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565</w:t>
            </w:r>
            <w:r w:rsidRPr="00AC6D12">
              <w:t> </w:t>
            </w:r>
            <w:r w:rsidRPr="00AC6D12">
              <w:rPr>
                <w:rFonts w:ascii="DepCentury Old Style" w:hAnsi="DepCentury Old Style"/>
              </w:rPr>
              <w:t>000 (100%)</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59</w:t>
            </w:r>
            <w:r w:rsidRPr="00AC6D12">
              <w:t> </w:t>
            </w:r>
            <w:r w:rsidRPr="00AC6D12">
              <w:rPr>
                <w:rFonts w:ascii="DepCentury Old Style" w:hAnsi="DepCentury Old Style"/>
              </w:rPr>
              <w:t>000 (10</w:t>
            </w:r>
            <w:proofErr w:type="gramStart"/>
            <w:r w:rsidRPr="00AC6D12">
              <w:rPr>
                <w:rFonts w:ascii="DepCentury Old Style" w:hAnsi="DepCentury Old Style"/>
              </w:rPr>
              <w:t>,4</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p>
        </w:tc>
        <w:tc>
          <w:tcPr>
            <w:tcW w:w="2409" w:type="dxa"/>
          </w:tcPr>
          <w:p w:rsidR="00CB56BB" w:rsidRPr="00AC6D12" w:rsidRDefault="00CB56BB" w:rsidP="00CB56BB">
            <w:pPr>
              <w:jc w:val="right"/>
              <w:rPr>
                <w:rFonts w:ascii="DepCentury Old Style" w:hAnsi="DepCentury Old Style"/>
              </w:rPr>
            </w:pPr>
          </w:p>
        </w:tc>
        <w:tc>
          <w:tcPr>
            <w:tcW w:w="4395" w:type="dxa"/>
          </w:tcPr>
          <w:p w:rsidR="00CB56BB" w:rsidRPr="00AC6D12" w:rsidRDefault="00CB56BB" w:rsidP="00CB56BB">
            <w:pPr>
              <w:jc w:val="right"/>
              <w:rPr>
                <w:rFonts w:ascii="DepCentury Old Style" w:hAnsi="DepCentury Old Style"/>
              </w:rPr>
            </w:pPr>
          </w:p>
        </w:tc>
      </w:tr>
    </w:tbl>
    <w:p w:rsidR="00CB56BB" w:rsidRPr="00AC6D12" w:rsidRDefault="00CB56BB" w:rsidP="00CB56BB">
      <w:pPr>
        <w:rPr>
          <w:rFonts w:ascii="DepCentury Old Style" w:hAnsi="DepCentury Old Style"/>
        </w:rPr>
      </w:pPr>
    </w:p>
    <w:p w:rsidR="00CB56BB" w:rsidRPr="00AC6D12" w:rsidRDefault="00CB56BB" w:rsidP="00CB56BB">
      <w:pPr>
        <w:rPr>
          <w:rFonts w:ascii="DepCentury Old Style" w:hAnsi="DepCentury Old Style"/>
        </w:rPr>
      </w:pPr>
    </w:p>
    <w:p w:rsidR="00CB56BB" w:rsidRPr="00AC6D12" w:rsidRDefault="00CB56BB" w:rsidP="00CB56BB">
      <w:pPr>
        <w:rPr>
          <w:rFonts w:ascii="DepCentury Old Style" w:hAnsi="DepCentury Old Style"/>
          <w:b/>
        </w:rPr>
      </w:pPr>
      <w:r w:rsidRPr="00AC6D12">
        <w:rPr>
          <w:rFonts w:ascii="DepCentury Old Style" w:hAnsi="DepCentury Old Style"/>
          <w:b/>
        </w:rPr>
        <w:t>Employed persons with disabilities – age and gender, age group 15-66:</w:t>
      </w:r>
    </w:p>
    <w:p w:rsidR="00CB56BB" w:rsidRDefault="00BD5493" w:rsidP="00CB56BB">
      <w:pPr>
        <w:rPr>
          <w:rFonts w:ascii="DepCentury Old Style" w:hAnsi="DepCentury Old Style"/>
        </w:rPr>
      </w:pPr>
      <w:r>
        <w:rPr>
          <w:rFonts w:ascii="DepCentury Old Style" w:hAnsi="DepCentury Old Style"/>
        </w:rPr>
        <w:t>(</w:t>
      </w:r>
      <w:proofErr w:type="gramStart"/>
      <w:r>
        <w:rPr>
          <w:rFonts w:ascii="DepCentury Old Style" w:hAnsi="DepCentury Old Style"/>
        </w:rPr>
        <w:t>in</w:t>
      </w:r>
      <w:proofErr w:type="gramEnd"/>
      <w:r>
        <w:rPr>
          <w:rFonts w:ascii="DepCentury Old Style" w:hAnsi="DepCentury Old Style"/>
        </w:rPr>
        <w:t xml:space="preserve"> private and public sector together)</w:t>
      </w:r>
    </w:p>
    <w:p w:rsidR="00BD5493" w:rsidRPr="00AC6D12" w:rsidRDefault="00BD5493" w:rsidP="00CB56BB">
      <w:pPr>
        <w:rPr>
          <w:rFonts w:ascii="DepCentury Old Style" w:hAnsi="DepCentury Old Style"/>
        </w:rPr>
      </w:pPr>
    </w:p>
    <w:tbl>
      <w:tblPr>
        <w:tblStyle w:val="TableGrid"/>
        <w:tblW w:w="0" w:type="auto"/>
        <w:tblLook w:val="04A0" w:firstRow="1" w:lastRow="0" w:firstColumn="1" w:lastColumn="0" w:noHBand="0" w:noVBand="1"/>
      </w:tblPr>
      <w:tblGrid>
        <w:gridCol w:w="1668"/>
        <w:gridCol w:w="2409"/>
        <w:gridCol w:w="4395"/>
      </w:tblGrid>
      <w:tr w:rsidR="00CB56BB" w:rsidRPr="00AC6D12" w:rsidTr="00CB56BB">
        <w:tc>
          <w:tcPr>
            <w:tcW w:w="1668" w:type="dxa"/>
          </w:tcPr>
          <w:p w:rsidR="00CB56BB" w:rsidRPr="00AC6D12" w:rsidRDefault="00CB56BB" w:rsidP="00CB56BB">
            <w:pPr>
              <w:rPr>
                <w:rFonts w:ascii="DepCentury Old Style" w:hAnsi="DepCentury Old Style"/>
              </w:rPr>
            </w:pPr>
          </w:p>
        </w:tc>
        <w:tc>
          <w:tcPr>
            <w:tcW w:w="2409" w:type="dxa"/>
          </w:tcPr>
          <w:p w:rsidR="00CB56BB" w:rsidRPr="00AC6D12" w:rsidRDefault="00CB56BB" w:rsidP="00CB56BB">
            <w:pPr>
              <w:rPr>
                <w:rFonts w:ascii="DepCentury Old Style" w:hAnsi="DepCentury Old Style"/>
                <w:b/>
              </w:rPr>
            </w:pPr>
            <w:r w:rsidRPr="00AC6D12">
              <w:rPr>
                <w:rFonts w:ascii="DepCentury Old Style" w:hAnsi="DepCentury Old Style"/>
                <w:b/>
              </w:rPr>
              <w:t>Employees in total</w:t>
            </w:r>
          </w:p>
        </w:tc>
        <w:tc>
          <w:tcPr>
            <w:tcW w:w="4395" w:type="dxa"/>
          </w:tcPr>
          <w:p w:rsidR="00CB56BB" w:rsidRPr="00AC6D12" w:rsidRDefault="00CB56BB" w:rsidP="00CB56BB">
            <w:pPr>
              <w:rPr>
                <w:rFonts w:ascii="DepCentury Old Style" w:hAnsi="DepCentury Old Style"/>
                <w:b/>
              </w:rPr>
            </w:pPr>
            <w:r w:rsidRPr="00AC6D12">
              <w:rPr>
                <w:rFonts w:ascii="DepCentury Old Style" w:hAnsi="DepCentury Old Style"/>
                <w:b/>
              </w:rPr>
              <w:t>Employed persons with disabilities</w:t>
            </w:r>
          </w:p>
        </w:tc>
      </w:tr>
      <w:tr w:rsidR="00CB56BB" w:rsidRPr="00AC6D12" w:rsidTr="00CB56BB">
        <w:tc>
          <w:tcPr>
            <w:tcW w:w="1668" w:type="dxa"/>
          </w:tcPr>
          <w:p w:rsidR="00CB56BB" w:rsidRPr="00AC6D12" w:rsidRDefault="00CB56BB" w:rsidP="00CB56BB">
            <w:pPr>
              <w:rPr>
                <w:rFonts w:ascii="DepCentury Old Style" w:hAnsi="DepCentury Old Style"/>
                <w:b/>
              </w:rPr>
            </w:pPr>
            <w:r w:rsidRPr="00AC6D12">
              <w:rPr>
                <w:rFonts w:ascii="DepCentury Old Style" w:hAnsi="DepCentury Old Style"/>
                <w:b/>
              </w:rPr>
              <w:t>In total</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2</w:t>
            </w:r>
            <w:r w:rsidRPr="00AC6D12">
              <w:t> </w:t>
            </w:r>
            <w:r w:rsidRPr="00AC6D12">
              <w:rPr>
                <w:rFonts w:ascii="DepCentury Old Style" w:hAnsi="DepCentury Old Style"/>
              </w:rPr>
              <w:t>337</w:t>
            </w:r>
            <w:r w:rsidRPr="00AC6D12">
              <w:t> </w:t>
            </w:r>
            <w:r w:rsidRPr="00AC6D12">
              <w:rPr>
                <w:rFonts w:ascii="DepCentury Old Style" w:hAnsi="DepCentury Old Style"/>
              </w:rPr>
              <w:t>000 (100%)</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210</w:t>
            </w:r>
            <w:r w:rsidRPr="00AC6D12">
              <w:t> </w:t>
            </w:r>
            <w:r w:rsidRPr="00AC6D12">
              <w:rPr>
                <w:rFonts w:ascii="DepCentury Old Style" w:hAnsi="DepCentury Old Style"/>
              </w:rPr>
              <w:t>000 (100%)</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15-24</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322</w:t>
            </w:r>
            <w:r w:rsidRPr="00AC6D12">
              <w:t> </w:t>
            </w:r>
            <w:r w:rsidRPr="00AC6D12">
              <w:rPr>
                <w:rFonts w:ascii="DepCentury Old Style" w:hAnsi="DepCentury Old Style"/>
              </w:rPr>
              <w:t>000 (13</w:t>
            </w:r>
            <w:proofErr w:type="gramStart"/>
            <w:r w:rsidRPr="00AC6D12">
              <w:rPr>
                <w:rFonts w:ascii="DepCentury Old Style" w:hAnsi="DepCentury Old Style"/>
              </w:rPr>
              <w:t>,8</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19</w:t>
            </w:r>
            <w:r w:rsidRPr="00AC6D12">
              <w:t> </w:t>
            </w:r>
            <w:r w:rsidRPr="00AC6D12">
              <w:rPr>
                <w:rFonts w:ascii="DepCentury Old Style" w:hAnsi="DepCentury Old Style"/>
              </w:rPr>
              <w:t>000 (9</w:t>
            </w:r>
            <w:proofErr w:type="gramStart"/>
            <w:r w:rsidRPr="00AC6D12">
              <w:rPr>
                <w:rFonts w:ascii="DepCentury Old Style" w:hAnsi="DepCentury Old Style"/>
              </w:rPr>
              <w:t>,2</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25-39</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794</w:t>
            </w:r>
            <w:r w:rsidRPr="00AC6D12">
              <w:t> </w:t>
            </w:r>
            <w:r w:rsidRPr="00AC6D12">
              <w:rPr>
                <w:rFonts w:ascii="DepCentury Old Style" w:hAnsi="DepCentury Old Style"/>
              </w:rPr>
              <w:t>000 (34</w:t>
            </w:r>
            <w:proofErr w:type="gramStart"/>
            <w:r w:rsidRPr="00AC6D12">
              <w:rPr>
                <w:rFonts w:ascii="DepCentury Old Style" w:hAnsi="DepCentury Old Style"/>
              </w:rPr>
              <w:t>,0</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52</w:t>
            </w:r>
            <w:r w:rsidRPr="00AC6D12">
              <w:t> </w:t>
            </w:r>
            <w:r w:rsidRPr="00AC6D12">
              <w:rPr>
                <w:rFonts w:ascii="DepCentury Old Style" w:hAnsi="DepCentury Old Style"/>
              </w:rPr>
              <w:t>000 (24</w:t>
            </w:r>
            <w:proofErr w:type="gramStart"/>
            <w:r w:rsidRPr="00AC6D12">
              <w:rPr>
                <w:rFonts w:ascii="DepCentury Old Style" w:hAnsi="DepCentury Old Style"/>
              </w:rPr>
              <w:t>,5</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40-54</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826</w:t>
            </w:r>
            <w:r w:rsidRPr="00AC6D12">
              <w:t> </w:t>
            </w:r>
            <w:r w:rsidRPr="00AC6D12">
              <w:rPr>
                <w:rFonts w:ascii="DepCentury Old Style" w:hAnsi="DepCentury Old Style"/>
              </w:rPr>
              <w:t>000 (35</w:t>
            </w:r>
            <w:proofErr w:type="gramStart"/>
            <w:r w:rsidRPr="00AC6D12">
              <w:rPr>
                <w:rFonts w:ascii="DepCentury Old Style" w:hAnsi="DepCentury Old Style"/>
              </w:rPr>
              <w:t>,3</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78</w:t>
            </w:r>
            <w:r w:rsidRPr="00AC6D12">
              <w:t> </w:t>
            </w:r>
            <w:r w:rsidRPr="00AC6D12">
              <w:rPr>
                <w:rFonts w:ascii="DepCentury Old Style" w:hAnsi="DepCentury Old Style"/>
              </w:rPr>
              <w:t>000 (37</w:t>
            </w:r>
            <w:proofErr w:type="gramStart"/>
            <w:r w:rsidRPr="00AC6D12">
              <w:rPr>
                <w:rFonts w:ascii="DepCentury Old Style" w:hAnsi="DepCentury Old Style"/>
              </w:rPr>
              <w:t>,1</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55-59</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212</w:t>
            </w:r>
            <w:r w:rsidRPr="00AC6D12">
              <w:t> </w:t>
            </w:r>
            <w:r w:rsidRPr="00AC6D12">
              <w:rPr>
                <w:rFonts w:ascii="DepCentury Old Style" w:hAnsi="DepCentury Old Style"/>
              </w:rPr>
              <w:t>000 (9</w:t>
            </w:r>
            <w:proofErr w:type="gramStart"/>
            <w:r w:rsidRPr="00AC6D12">
              <w:rPr>
                <w:rFonts w:ascii="DepCentury Old Style" w:hAnsi="DepCentury Old Style"/>
              </w:rPr>
              <w:t>,1</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30</w:t>
            </w:r>
            <w:r w:rsidRPr="00AC6D12">
              <w:t> </w:t>
            </w:r>
            <w:r w:rsidRPr="00AC6D12">
              <w:rPr>
                <w:rFonts w:ascii="DepCentury Old Style" w:hAnsi="DepCentury Old Style"/>
              </w:rPr>
              <w:t>000 (14</w:t>
            </w:r>
            <w:proofErr w:type="gramStart"/>
            <w:r w:rsidRPr="00AC6D12">
              <w:rPr>
                <w:rFonts w:ascii="DepCentury Old Style" w:hAnsi="DepCentury Old Style"/>
              </w:rPr>
              <w:t>,1</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 xml:space="preserve">60-66 </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184</w:t>
            </w:r>
            <w:r w:rsidRPr="00AC6D12">
              <w:t> </w:t>
            </w:r>
            <w:r w:rsidRPr="00AC6D12">
              <w:rPr>
                <w:rFonts w:ascii="DepCentury Old Style" w:hAnsi="DepCentury Old Style"/>
              </w:rPr>
              <w:t>000 (7</w:t>
            </w:r>
            <w:proofErr w:type="gramStart"/>
            <w:r w:rsidRPr="00AC6D12">
              <w:rPr>
                <w:rFonts w:ascii="DepCentury Old Style" w:hAnsi="DepCentury Old Style"/>
              </w:rPr>
              <w:t>,9</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32</w:t>
            </w:r>
            <w:r w:rsidRPr="00AC6D12">
              <w:t> </w:t>
            </w:r>
            <w:r w:rsidRPr="00AC6D12">
              <w:rPr>
                <w:rFonts w:ascii="DepCentury Old Style" w:hAnsi="DepCentury Old Style"/>
              </w:rPr>
              <w:t>000 (15</w:t>
            </w:r>
            <w:proofErr w:type="gramStart"/>
            <w:r w:rsidRPr="00AC6D12">
              <w:rPr>
                <w:rFonts w:ascii="DepCentury Old Style" w:hAnsi="DepCentury Old Style"/>
              </w:rPr>
              <w:t>,1</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b/>
              </w:rPr>
            </w:pPr>
          </w:p>
        </w:tc>
        <w:tc>
          <w:tcPr>
            <w:tcW w:w="2409" w:type="dxa"/>
          </w:tcPr>
          <w:p w:rsidR="00CB56BB" w:rsidRPr="00AC6D12" w:rsidRDefault="00CB56BB" w:rsidP="00CB56BB">
            <w:pPr>
              <w:jc w:val="right"/>
              <w:rPr>
                <w:rFonts w:ascii="DepCentury Old Style" w:hAnsi="DepCentury Old Style"/>
              </w:rPr>
            </w:pPr>
          </w:p>
        </w:tc>
        <w:tc>
          <w:tcPr>
            <w:tcW w:w="4395" w:type="dxa"/>
          </w:tcPr>
          <w:p w:rsidR="00CB56BB" w:rsidRPr="00AC6D12" w:rsidRDefault="00CB56BB" w:rsidP="00CB56BB">
            <w:pPr>
              <w:jc w:val="right"/>
              <w:rPr>
                <w:rFonts w:ascii="DepCentury Old Style" w:hAnsi="DepCentury Old Style"/>
              </w:rPr>
            </w:pPr>
          </w:p>
        </w:tc>
      </w:tr>
      <w:tr w:rsidR="00CB56BB" w:rsidRPr="00AC6D12" w:rsidTr="00CB56BB">
        <w:tc>
          <w:tcPr>
            <w:tcW w:w="1668" w:type="dxa"/>
          </w:tcPr>
          <w:p w:rsidR="00CB56BB" w:rsidRPr="00AC6D12" w:rsidRDefault="00CB56BB" w:rsidP="00CB56BB">
            <w:pPr>
              <w:rPr>
                <w:rFonts w:ascii="DepCentury Old Style" w:hAnsi="DepCentury Old Style"/>
                <w:b/>
              </w:rPr>
            </w:pPr>
            <w:r w:rsidRPr="00AC6D12">
              <w:rPr>
                <w:rFonts w:ascii="DepCentury Old Style" w:hAnsi="DepCentury Old Style"/>
                <w:b/>
              </w:rPr>
              <w:t>Male</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1 199</w:t>
            </w:r>
            <w:r w:rsidRPr="00AC6D12">
              <w:t> </w:t>
            </w:r>
            <w:r w:rsidRPr="00AC6D12">
              <w:rPr>
                <w:rFonts w:ascii="DepCentury Old Style" w:hAnsi="DepCentury Old Style"/>
              </w:rPr>
              <w:t>000 (51</w:t>
            </w:r>
            <w:proofErr w:type="gramStart"/>
            <w:r w:rsidRPr="00AC6D12">
              <w:rPr>
                <w:rFonts w:ascii="DepCentury Old Style" w:hAnsi="DepCentury Old Style"/>
              </w:rPr>
              <w:t>,3</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93</w:t>
            </w:r>
            <w:r w:rsidRPr="00AC6D12">
              <w:t> </w:t>
            </w:r>
            <w:r w:rsidRPr="00AC6D12">
              <w:rPr>
                <w:rFonts w:ascii="DepCentury Old Style" w:hAnsi="DepCentury Old Style"/>
              </w:rPr>
              <w:t>000 (44</w:t>
            </w:r>
            <w:proofErr w:type="gramStart"/>
            <w:r w:rsidRPr="00AC6D12">
              <w:rPr>
                <w:rFonts w:ascii="DepCentury Old Style" w:hAnsi="DepCentury Old Style"/>
              </w:rPr>
              <w:t>,2</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15-24</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163</w:t>
            </w:r>
            <w:r w:rsidRPr="00AC6D12">
              <w:t> </w:t>
            </w:r>
            <w:r w:rsidRPr="00AC6D12">
              <w:rPr>
                <w:rFonts w:ascii="DepCentury Old Style" w:hAnsi="DepCentury Old Style"/>
              </w:rPr>
              <w:t>000 (7</w:t>
            </w:r>
            <w:proofErr w:type="gramStart"/>
            <w:r w:rsidRPr="00AC6D12">
              <w:rPr>
                <w:rFonts w:ascii="DepCentury Old Style" w:hAnsi="DepCentury Old Style"/>
              </w:rPr>
              <w:t>,05</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10</w:t>
            </w:r>
            <w:r w:rsidRPr="00AC6D12">
              <w:t> </w:t>
            </w:r>
            <w:r w:rsidRPr="00AC6D12">
              <w:rPr>
                <w:rFonts w:ascii="DepCentury Old Style" w:hAnsi="DepCentury Old Style"/>
              </w:rPr>
              <w:t>000 (5</w:t>
            </w:r>
            <w:proofErr w:type="gramStart"/>
            <w:r w:rsidRPr="00AC6D12">
              <w:rPr>
                <w:rFonts w:ascii="DepCentury Old Style" w:hAnsi="DepCentury Old Style"/>
              </w:rPr>
              <w:t>,0</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25-39</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412</w:t>
            </w:r>
            <w:r w:rsidRPr="00AC6D12">
              <w:t> </w:t>
            </w:r>
            <w:r w:rsidRPr="00AC6D12">
              <w:rPr>
                <w:rFonts w:ascii="DepCentury Old Style" w:hAnsi="DepCentury Old Style"/>
              </w:rPr>
              <w:t>000 (17</w:t>
            </w:r>
            <w:proofErr w:type="gramStart"/>
            <w:r w:rsidRPr="00AC6D12">
              <w:rPr>
                <w:rFonts w:ascii="DepCentury Old Style" w:hAnsi="DepCentury Old Style"/>
              </w:rPr>
              <w:t>,6</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27</w:t>
            </w:r>
            <w:r w:rsidRPr="00AC6D12">
              <w:t> </w:t>
            </w:r>
            <w:r w:rsidRPr="00AC6D12">
              <w:rPr>
                <w:rFonts w:ascii="DepCentury Old Style" w:hAnsi="DepCentury Old Style"/>
              </w:rPr>
              <w:t>000 (12</w:t>
            </w:r>
            <w:proofErr w:type="gramStart"/>
            <w:r w:rsidRPr="00AC6D12">
              <w:rPr>
                <w:rFonts w:ascii="DepCentury Old Style" w:hAnsi="DepCentury Old Style"/>
              </w:rPr>
              <w:t>,9</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40-54</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425</w:t>
            </w:r>
            <w:r w:rsidRPr="00AC6D12">
              <w:t> </w:t>
            </w:r>
            <w:r w:rsidRPr="00AC6D12">
              <w:rPr>
                <w:rFonts w:ascii="DepCentury Old Style" w:hAnsi="DepCentury Old Style"/>
              </w:rPr>
              <w:t>000 (18</w:t>
            </w:r>
            <w:proofErr w:type="gramStart"/>
            <w:r w:rsidRPr="00AC6D12">
              <w:rPr>
                <w:rFonts w:ascii="DepCentury Old Style" w:hAnsi="DepCentury Old Style"/>
              </w:rPr>
              <w:t>,2</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29</w:t>
            </w:r>
            <w:r w:rsidRPr="00AC6D12">
              <w:t> </w:t>
            </w:r>
            <w:r w:rsidRPr="00AC6D12">
              <w:rPr>
                <w:rFonts w:ascii="DepCentury Old Style" w:hAnsi="DepCentury Old Style"/>
              </w:rPr>
              <w:t>000 (13</w:t>
            </w:r>
            <w:proofErr w:type="gramStart"/>
            <w:r w:rsidRPr="00AC6D12">
              <w:rPr>
                <w:rFonts w:ascii="DepCentury Old Style" w:hAnsi="DepCentury Old Style"/>
              </w:rPr>
              <w:t>,9</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55-59</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104</w:t>
            </w:r>
            <w:r w:rsidRPr="00AC6D12">
              <w:t> </w:t>
            </w:r>
            <w:r w:rsidRPr="00AC6D12">
              <w:rPr>
                <w:rFonts w:ascii="DepCentury Old Style" w:hAnsi="DepCentury Old Style"/>
              </w:rPr>
              <w:t>000 (4</w:t>
            </w:r>
            <w:proofErr w:type="gramStart"/>
            <w:r w:rsidRPr="00AC6D12">
              <w:rPr>
                <w:rFonts w:ascii="DepCentury Old Style" w:hAnsi="DepCentury Old Style"/>
              </w:rPr>
              <w:t>,4</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11</w:t>
            </w:r>
            <w:r w:rsidRPr="00AC6D12">
              <w:t> </w:t>
            </w:r>
            <w:r w:rsidRPr="00AC6D12">
              <w:rPr>
                <w:rFonts w:ascii="DepCentury Old Style" w:hAnsi="DepCentury Old Style"/>
              </w:rPr>
              <w:t>000 (5</w:t>
            </w:r>
            <w:proofErr w:type="gramStart"/>
            <w:r w:rsidRPr="00AC6D12">
              <w:rPr>
                <w:rFonts w:ascii="DepCentury Old Style" w:hAnsi="DepCentury Old Style"/>
              </w:rPr>
              <w:t>,3</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60-66</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97</w:t>
            </w:r>
            <w:r w:rsidRPr="00AC6D12">
              <w:t> </w:t>
            </w:r>
            <w:r w:rsidRPr="00AC6D12">
              <w:rPr>
                <w:rFonts w:ascii="DepCentury Old Style" w:hAnsi="DepCentury Old Style"/>
              </w:rPr>
              <w:t>000 (4</w:t>
            </w:r>
            <w:proofErr w:type="gramStart"/>
            <w:r w:rsidRPr="00AC6D12">
              <w:rPr>
                <w:rFonts w:ascii="DepCentury Old Style" w:hAnsi="DepCentury Old Style"/>
              </w:rPr>
              <w:t>,1</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15</w:t>
            </w:r>
            <w:r w:rsidRPr="00AC6D12">
              <w:t> </w:t>
            </w:r>
            <w:r w:rsidRPr="00AC6D12">
              <w:rPr>
                <w:rFonts w:ascii="DepCentury Old Style" w:hAnsi="DepCentury Old Style"/>
              </w:rPr>
              <w:t>000 (7</w:t>
            </w:r>
            <w:proofErr w:type="gramStart"/>
            <w:r w:rsidRPr="00AC6D12">
              <w:rPr>
                <w:rFonts w:ascii="DepCentury Old Style" w:hAnsi="DepCentury Old Style"/>
              </w:rPr>
              <w:t>,1</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p>
        </w:tc>
        <w:tc>
          <w:tcPr>
            <w:tcW w:w="2409" w:type="dxa"/>
          </w:tcPr>
          <w:p w:rsidR="00CB56BB" w:rsidRPr="00AC6D12" w:rsidRDefault="00CB56BB" w:rsidP="00CB56BB">
            <w:pPr>
              <w:jc w:val="right"/>
              <w:rPr>
                <w:rFonts w:ascii="DepCentury Old Style" w:hAnsi="DepCentury Old Style"/>
              </w:rPr>
            </w:pPr>
          </w:p>
        </w:tc>
        <w:tc>
          <w:tcPr>
            <w:tcW w:w="4395" w:type="dxa"/>
          </w:tcPr>
          <w:p w:rsidR="00CB56BB" w:rsidRPr="00AC6D12" w:rsidRDefault="00CB56BB" w:rsidP="00CB56BB">
            <w:pPr>
              <w:jc w:val="right"/>
              <w:rPr>
                <w:rFonts w:ascii="DepCentury Old Style" w:hAnsi="DepCentury Old Style"/>
              </w:rPr>
            </w:pPr>
          </w:p>
        </w:tc>
      </w:tr>
      <w:tr w:rsidR="00CB56BB" w:rsidRPr="00AC6D12" w:rsidTr="00CB56BB">
        <w:tc>
          <w:tcPr>
            <w:tcW w:w="1668" w:type="dxa"/>
          </w:tcPr>
          <w:p w:rsidR="00CB56BB" w:rsidRPr="00AC6D12" w:rsidRDefault="00CB56BB" w:rsidP="00CB56BB">
            <w:pPr>
              <w:rPr>
                <w:rFonts w:ascii="DepCentury Old Style" w:hAnsi="DepCentury Old Style"/>
                <w:b/>
              </w:rPr>
            </w:pPr>
            <w:r w:rsidRPr="00AC6D12">
              <w:rPr>
                <w:rFonts w:ascii="DepCentury Old Style" w:hAnsi="DepCentury Old Style"/>
                <w:b/>
              </w:rPr>
              <w:t>Female</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1</w:t>
            </w:r>
            <w:r w:rsidRPr="00AC6D12">
              <w:t> </w:t>
            </w:r>
            <w:r w:rsidRPr="00AC6D12">
              <w:rPr>
                <w:rFonts w:ascii="DepCentury Old Style" w:hAnsi="DepCentury Old Style"/>
              </w:rPr>
              <w:t>139</w:t>
            </w:r>
            <w:r w:rsidRPr="00AC6D12">
              <w:t> </w:t>
            </w:r>
            <w:r w:rsidRPr="00AC6D12">
              <w:rPr>
                <w:rFonts w:ascii="DepCentury Old Style" w:hAnsi="DepCentury Old Style"/>
              </w:rPr>
              <w:t>000 (48</w:t>
            </w:r>
            <w:proofErr w:type="gramStart"/>
            <w:r w:rsidRPr="00AC6D12">
              <w:rPr>
                <w:rFonts w:ascii="DepCentury Old Style" w:hAnsi="DepCentury Old Style"/>
              </w:rPr>
              <w:t>,7</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117</w:t>
            </w:r>
            <w:r w:rsidRPr="00AC6D12">
              <w:t> </w:t>
            </w:r>
            <w:r w:rsidRPr="00AC6D12">
              <w:rPr>
                <w:rFonts w:ascii="DepCentury Old Style" w:hAnsi="DepCentury Old Style"/>
              </w:rPr>
              <w:t>000 (55</w:t>
            </w:r>
            <w:proofErr w:type="gramStart"/>
            <w:r w:rsidRPr="00AC6D12">
              <w:rPr>
                <w:rFonts w:ascii="DepCentury Old Style" w:hAnsi="DepCentury Old Style"/>
              </w:rPr>
              <w:t>,8</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15-24</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159 00 (6</w:t>
            </w:r>
            <w:proofErr w:type="gramStart"/>
            <w:r w:rsidRPr="00AC6D12">
              <w:rPr>
                <w:rFonts w:ascii="DepCentury Old Style" w:hAnsi="DepCentury Old Style"/>
              </w:rPr>
              <w:t>,8</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9</w:t>
            </w:r>
            <w:r w:rsidRPr="00AC6D12">
              <w:t> </w:t>
            </w:r>
            <w:r w:rsidRPr="00AC6D12">
              <w:rPr>
                <w:rFonts w:ascii="DepCentury Old Style" w:hAnsi="DepCentury Old Style"/>
              </w:rPr>
              <w:t>000 (4</w:t>
            </w:r>
            <w:proofErr w:type="gramStart"/>
            <w:r w:rsidRPr="00AC6D12">
              <w:rPr>
                <w:rFonts w:ascii="DepCentury Old Style" w:hAnsi="DepCentury Old Style"/>
              </w:rPr>
              <w:t>,2</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25-39</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383</w:t>
            </w:r>
            <w:r w:rsidRPr="00AC6D12">
              <w:t> </w:t>
            </w:r>
            <w:r w:rsidRPr="00AC6D12">
              <w:rPr>
                <w:rFonts w:ascii="DepCentury Old Style" w:hAnsi="DepCentury Old Style"/>
              </w:rPr>
              <w:t>000 (16</w:t>
            </w:r>
            <w:proofErr w:type="gramStart"/>
            <w:r w:rsidRPr="00AC6D12">
              <w:rPr>
                <w:rFonts w:ascii="DepCentury Old Style" w:hAnsi="DepCentury Old Style"/>
              </w:rPr>
              <w:t>,4</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24</w:t>
            </w:r>
            <w:r w:rsidRPr="00AC6D12">
              <w:t> </w:t>
            </w:r>
            <w:r w:rsidRPr="00AC6D12">
              <w:rPr>
                <w:rFonts w:ascii="DepCentury Old Style" w:hAnsi="DepCentury Old Style"/>
              </w:rPr>
              <w:t>000 (11</w:t>
            </w:r>
            <w:proofErr w:type="gramStart"/>
            <w:r w:rsidRPr="00AC6D12">
              <w:rPr>
                <w:rFonts w:ascii="DepCentury Old Style" w:hAnsi="DepCentury Old Style"/>
              </w:rPr>
              <w:t>,6</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40-54</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401</w:t>
            </w:r>
            <w:r w:rsidRPr="00AC6D12">
              <w:t> </w:t>
            </w:r>
            <w:r w:rsidRPr="00AC6D12">
              <w:rPr>
                <w:rFonts w:ascii="DepCentury Old Style" w:hAnsi="DepCentury Old Style"/>
              </w:rPr>
              <w:t>000 (17</w:t>
            </w:r>
            <w:proofErr w:type="gramStart"/>
            <w:r w:rsidRPr="00AC6D12">
              <w:rPr>
                <w:rFonts w:ascii="DepCentury Old Style" w:hAnsi="DepCentury Old Style"/>
              </w:rPr>
              <w:t>,2</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49</w:t>
            </w:r>
            <w:r w:rsidRPr="00AC6D12">
              <w:t> </w:t>
            </w:r>
            <w:r w:rsidRPr="00AC6D12">
              <w:rPr>
                <w:rFonts w:ascii="DepCentury Old Style" w:hAnsi="DepCentury Old Style"/>
              </w:rPr>
              <w:t>000 (23</w:t>
            </w:r>
            <w:proofErr w:type="gramStart"/>
            <w:r w:rsidRPr="00AC6D12">
              <w:rPr>
                <w:rFonts w:ascii="DepCentury Old Style" w:hAnsi="DepCentury Old Style"/>
              </w:rPr>
              <w:t>,2</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55-59</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108</w:t>
            </w:r>
            <w:r w:rsidRPr="00AC6D12">
              <w:t> </w:t>
            </w:r>
            <w:r w:rsidRPr="00AC6D12">
              <w:rPr>
                <w:rFonts w:ascii="DepCentury Old Style" w:hAnsi="DepCentury Old Style"/>
              </w:rPr>
              <w:t>000 (4</w:t>
            </w:r>
            <w:proofErr w:type="gramStart"/>
            <w:r w:rsidRPr="00AC6D12">
              <w:rPr>
                <w:rFonts w:ascii="DepCentury Old Style" w:hAnsi="DepCentury Old Style"/>
              </w:rPr>
              <w:t>,6</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19</w:t>
            </w:r>
            <w:r w:rsidRPr="00AC6D12">
              <w:t> </w:t>
            </w:r>
            <w:r w:rsidRPr="00AC6D12">
              <w:rPr>
                <w:rFonts w:ascii="DepCentury Old Style" w:hAnsi="DepCentury Old Style"/>
              </w:rPr>
              <w:t>000 (8</w:t>
            </w:r>
            <w:proofErr w:type="gramStart"/>
            <w:r w:rsidRPr="00AC6D12">
              <w:rPr>
                <w:rFonts w:ascii="DepCentury Old Style" w:hAnsi="DepCentury Old Style"/>
              </w:rPr>
              <w:t>,9</w:t>
            </w:r>
            <w:proofErr w:type="gramEnd"/>
            <w:r w:rsidRPr="00AC6D12">
              <w:rPr>
                <w:rFonts w:ascii="DepCentury Old Style" w:hAnsi="DepCentury Old Style"/>
              </w:rPr>
              <w:t>%)</w:t>
            </w:r>
          </w:p>
        </w:tc>
      </w:tr>
      <w:tr w:rsidR="00CB56BB" w:rsidRPr="00AC6D12" w:rsidTr="00CB56BB">
        <w:tc>
          <w:tcPr>
            <w:tcW w:w="1668" w:type="dxa"/>
          </w:tcPr>
          <w:p w:rsidR="00CB56BB" w:rsidRPr="00AC6D12" w:rsidRDefault="00CB56BB" w:rsidP="00CB56BB">
            <w:pPr>
              <w:rPr>
                <w:rFonts w:ascii="DepCentury Old Style" w:hAnsi="DepCentury Old Style"/>
              </w:rPr>
            </w:pPr>
            <w:r w:rsidRPr="00AC6D12">
              <w:rPr>
                <w:rFonts w:ascii="DepCentury Old Style" w:hAnsi="DepCentury Old Style"/>
              </w:rPr>
              <w:t>60-66</w:t>
            </w:r>
          </w:p>
        </w:tc>
        <w:tc>
          <w:tcPr>
            <w:tcW w:w="2409" w:type="dxa"/>
          </w:tcPr>
          <w:p w:rsidR="00CB56BB" w:rsidRPr="00AC6D12" w:rsidRDefault="00CB56BB" w:rsidP="00CB56BB">
            <w:pPr>
              <w:jc w:val="right"/>
              <w:rPr>
                <w:rFonts w:ascii="DepCentury Old Style" w:hAnsi="DepCentury Old Style"/>
              </w:rPr>
            </w:pPr>
            <w:r w:rsidRPr="00AC6D12">
              <w:rPr>
                <w:rFonts w:ascii="DepCentury Old Style" w:hAnsi="DepCentury Old Style"/>
              </w:rPr>
              <w:t>87</w:t>
            </w:r>
            <w:r w:rsidRPr="00AC6D12">
              <w:t> </w:t>
            </w:r>
            <w:r w:rsidRPr="00AC6D12">
              <w:rPr>
                <w:rFonts w:ascii="DepCentury Old Style" w:hAnsi="DepCentury Old Style"/>
              </w:rPr>
              <w:t>000 (3</w:t>
            </w:r>
            <w:proofErr w:type="gramStart"/>
            <w:r w:rsidRPr="00AC6D12">
              <w:rPr>
                <w:rFonts w:ascii="DepCentury Old Style" w:hAnsi="DepCentury Old Style"/>
              </w:rPr>
              <w:t>,7</w:t>
            </w:r>
            <w:proofErr w:type="gramEnd"/>
            <w:r w:rsidRPr="00AC6D12">
              <w:rPr>
                <w:rFonts w:ascii="DepCentury Old Style" w:hAnsi="DepCentury Old Style"/>
              </w:rPr>
              <w:t>%)</w:t>
            </w:r>
          </w:p>
        </w:tc>
        <w:tc>
          <w:tcPr>
            <w:tcW w:w="4395" w:type="dxa"/>
          </w:tcPr>
          <w:p w:rsidR="00CB56BB" w:rsidRPr="00AC6D12" w:rsidRDefault="00CB56BB" w:rsidP="00CB56BB">
            <w:pPr>
              <w:jc w:val="right"/>
              <w:rPr>
                <w:rFonts w:ascii="DepCentury Old Style" w:hAnsi="DepCentury Old Style"/>
              </w:rPr>
            </w:pPr>
            <w:r w:rsidRPr="00AC6D12">
              <w:rPr>
                <w:rFonts w:ascii="DepCentury Old Style" w:hAnsi="DepCentury Old Style"/>
              </w:rPr>
              <w:t>17</w:t>
            </w:r>
            <w:r w:rsidRPr="00AC6D12">
              <w:t> </w:t>
            </w:r>
            <w:r w:rsidRPr="00AC6D12">
              <w:rPr>
                <w:rFonts w:ascii="DepCentury Old Style" w:hAnsi="DepCentury Old Style"/>
              </w:rPr>
              <w:t>000 (8</w:t>
            </w:r>
            <w:proofErr w:type="gramStart"/>
            <w:r w:rsidRPr="00AC6D12">
              <w:rPr>
                <w:rFonts w:ascii="DepCentury Old Style" w:hAnsi="DepCentury Old Style"/>
              </w:rPr>
              <w:t>,0</w:t>
            </w:r>
            <w:proofErr w:type="gramEnd"/>
            <w:r w:rsidRPr="00AC6D12">
              <w:rPr>
                <w:rFonts w:ascii="DepCentury Old Style" w:hAnsi="DepCentury Old Style"/>
              </w:rPr>
              <w:t>%)</w:t>
            </w:r>
          </w:p>
        </w:tc>
      </w:tr>
    </w:tbl>
    <w:p w:rsidR="00CB56BB" w:rsidRPr="00AC6D12" w:rsidRDefault="00CB56BB" w:rsidP="00CB56BB">
      <w:pPr>
        <w:rPr>
          <w:rFonts w:ascii="DepCentury Old Style" w:hAnsi="DepCentury Old Style"/>
        </w:rPr>
      </w:pPr>
    </w:p>
    <w:p w:rsidR="00CB56BB" w:rsidRDefault="00CB56BB" w:rsidP="00CB56BB">
      <w:pPr>
        <w:rPr>
          <w:rFonts w:ascii="DepCentury Old Style" w:hAnsi="DepCentury Old Style"/>
        </w:rPr>
      </w:pPr>
      <w:r w:rsidRPr="00AC6D12">
        <w:rPr>
          <w:rFonts w:ascii="DepCentury Old Style" w:hAnsi="DepCentury Old Style"/>
        </w:rPr>
        <w:t xml:space="preserve"> </w:t>
      </w:r>
    </w:p>
    <w:p w:rsidR="00E070E6" w:rsidRDefault="00EE1C97" w:rsidP="00B72136">
      <w:pPr>
        <w:rPr>
          <w:rFonts w:ascii="DepCentury Old Style" w:hAnsi="DepCentury Old Style"/>
        </w:rPr>
      </w:pPr>
      <w:r>
        <w:rPr>
          <w:rFonts w:ascii="DepCentury Old Style" w:hAnsi="DepCentury Old Style"/>
        </w:rPr>
        <w:t xml:space="preserve">There are </w:t>
      </w:r>
      <w:r w:rsidR="0086367C">
        <w:rPr>
          <w:rFonts w:ascii="DepCentury Old Style" w:hAnsi="DepCentury Old Style"/>
        </w:rPr>
        <w:t>no</w:t>
      </w:r>
      <w:r>
        <w:rPr>
          <w:rFonts w:ascii="DepCentury Old Style" w:hAnsi="DepCentury Old Style"/>
        </w:rPr>
        <w:t xml:space="preserve"> statistical data</w:t>
      </w:r>
      <w:r w:rsidR="0086367C">
        <w:rPr>
          <w:rFonts w:ascii="DepCentury Old Style" w:hAnsi="DepCentury Old Style"/>
        </w:rPr>
        <w:t xml:space="preserve"> available</w:t>
      </w:r>
      <w:r>
        <w:rPr>
          <w:rFonts w:ascii="DepCentury Old Style" w:hAnsi="DepCentury Old Style"/>
        </w:rPr>
        <w:t xml:space="preserve"> on the number of </w:t>
      </w:r>
      <w:r w:rsidR="00241249">
        <w:rPr>
          <w:rFonts w:ascii="DepCentury Old Style" w:hAnsi="DepCentury Old Style"/>
        </w:rPr>
        <w:t xml:space="preserve">employed </w:t>
      </w:r>
      <w:r>
        <w:rPr>
          <w:rFonts w:ascii="DepCentury Old Style" w:hAnsi="DepCentury Old Style"/>
        </w:rPr>
        <w:t>persons with disability and the type of disability.</w:t>
      </w:r>
    </w:p>
    <w:p w:rsidR="00E070E6" w:rsidRDefault="00E070E6" w:rsidP="00B72136">
      <w:pPr>
        <w:rPr>
          <w:rFonts w:ascii="DepCentury Old Style" w:hAnsi="DepCentury Old Style"/>
        </w:rPr>
      </w:pPr>
    </w:p>
    <w:p w:rsidR="00924606" w:rsidRDefault="00924606" w:rsidP="00B72136">
      <w:pPr>
        <w:rPr>
          <w:rFonts w:ascii="DepCentury Old Style" w:hAnsi="DepCentury Old Style"/>
        </w:rPr>
      </w:pPr>
    </w:p>
    <w:p w:rsidR="00924606" w:rsidRPr="00924606" w:rsidRDefault="00924606" w:rsidP="00924606">
      <w:pPr>
        <w:pStyle w:val="ListParagraph"/>
        <w:numPr>
          <w:ilvl w:val="0"/>
          <w:numId w:val="2"/>
        </w:numPr>
        <w:rPr>
          <w:rFonts w:ascii="DepCentury Old Style" w:hAnsi="DepCentury Old Style"/>
          <w:b/>
        </w:rPr>
      </w:pPr>
      <w:r w:rsidRPr="00924606">
        <w:rPr>
          <w:rFonts w:ascii="DepCentury Old Style" w:hAnsi="DepCentury Old Style"/>
          <w:b/>
        </w:rPr>
        <w:t>Is your country involved in international cooperation programmes related to the promotion of work and employment opportunities for persons with disabilities? Please describe the ways the programmes are inclusive of and accessible to persons with disabilities (article 32).</w:t>
      </w:r>
    </w:p>
    <w:p w:rsidR="00B72136" w:rsidRDefault="00B72136" w:rsidP="00B72136">
      <w:pPr>
        <w:rPr>
          <w:rFonts w:ascii="DepCentury Old Style" w:hAnsi="DepCentury Old Style"/>
        </w:rPr>
      </w:pPr>
    </w:p>
    <w:p w:rsidR="00780328" w:rsidRPr="00980570" w:rsidRDefault="00AF2515" w:rsidP="00D9785E">
      <w:pPr>
        <w:rPr>
          <w:rFonts w:ascii="DepCentury Old Style" w:hAnsi="DepCentury Old Style"/>
        </w:rPr>
      </w:pPr>
      <w:r>
        <w:rPr>
          <w:rFonts w:ascii="DepCentury Old Style" w:hAnsi="DepCentury Old Style"/>
        </w:rPr>
        <w:t xml:space="preserve">Norway is involved in </w:t>
      </w:r>
      <w:r w:rsidR="00881D49">
        <w:rPr>
          <w:rFonts w:ascii="DepCentury Old Style" w:hAnsi="DepCentury Old Style"/>
        </w:rPr>
        <w:t xml:space="preserve">a </w:t>
      </w:r>
      <w:r w:rsidR="0086367C">
        <w:rPr>
          <w:rFonts w:ascii="DepCentury Old Style" w:hAnsi="DepCentury Old Style"/>
        </w:rPr>
        <w:t>Nordic</w:t>
      </w:r>
      <w:r w:rsidR="00881D49">
        <w:rPr>
          <w:rFonts w:ascii="DepCentury Old Style" w:hAnsi="DepCentury Old Style"/>
        </w:rPr>
        <w:t xml:space="preserve"> cooperation </w:t>
      </w:r>
      <w:r>
        <w:rPr>
          <w:rFonts w:ascii="DepCentury Old Style" w:hAnsi="DepCentury Old Style"/>
        </w:rPr>
        <w:t xml:space="preserve">on </w:t>
      </w:r>
      <w:r w:rsidR="002E2D43">
        <w:rPr>
          <w:rFonts w:ascii="DepCentury Old Style" w:hAnsi="DepCentury Old Style"/>
        </w:rPr>
        <w:t xml:space="preserve">the promotion of work </w:t>
      </w:r>
      <w:r w:rsidR="00023775">
        <w:rPr>
          <w:rFonts w:ascii="DepCentury Old Style" w:hAnsi="DepCentury Old Style"/>
        </w:rPr>
        <w:t xml:space="preserve">and </w:t>
      </w:r>
      <w:r w:rsidR="002E2D43">
        <w:rPr>
          <w:rFonts w:ascii="DepCentury Old Style" w:hAnsi="DepCentury Old Style"/>
        </w:rPr>
        <w:t>employment</w:t>
      </w:r>
      <w:r w:rsidR="00023775">
        <w:rPr>
          <w:rFonts w:ascii="DepCentury Old Style" w:hAnsi="DepCentury Old Style"/>
        </w:rPr>
        <w:t xml:space="preserve"> opportunities for </w:t>
      </w:r>
      <w:r>
        <w:rPr>
          <w:rFonts w:ascii="DepCentury Old Style" w:hAnsi="DepCentury Old Style"/>
        </w:rPr>
        <w:t xml:space="preserve">persons with disabilities as a member of </w:t>
      </w:r>
      <w:r w:rsidR="00881D49">
        <w:rPr>
          <w:rFonts w:ascii="DepCentury Old Style" w:hAnsi="DepCentury Old Style"/>
        </w:rPr>
        <w:t>the Nordic Council</w:t>
      </w:r>
      <w:r w:rsidR="0013777D">
        <w:rPr>
          <w:rFonts w:ascii="DepCentury Old Style" w:hAnsi="DepCentury Old Style"/>
        </w:rPr>
        <w:t xml:space="preserve">. </w:t>
      </w:r>
      <w:r w:rsidR="00023775">
        <w:rPr>
          <w:rFonts w:ascii="DepCentury Old Style" w:hAnsi="DepCentury Old Style"/>
        </w:rPr>
        <w:t xml:space="preserve">This is also </w:t>
      </w:r>
      <w:r w:rsidR="0013777D">
        <w:rPr>
          <w:rFonts w:ascii="DepCentury Old Style" w:hAnsi="DepCentury Old Style"/>
        </w:rPr>
        <w:t>a</w:t>
      </w:r>
      <w:r w:rsidR="00D9785E">
        <w:rPr>
          <w:rFonts w:ascii="DepCentury Old Style" w:hAnsi="DepCentury Old Style"/>
        </w:rPr>
        <w:t xml:space="preserve"> central topic in the </w:t>
      </w:r>
      <w:r w:rsidR="00D9785E" w:rsidRPr="00780328">
        <w:rPr>
          <w:rFonts w:ascii="DepCentury Old Style" w:hAnsi="DepCentury Old Style"/>
        </w:rPr>
        <w:t>Nordic Centre for Welfare</w:t>
      </w:r>
      <w:r w:rsidR="004F5A2E">
        <w:rPr>
          <w:rFonts w:ascii="DepCentury Old Style" w:hAnsi="DepCentury Old Style"/>
        </w:rPr>
        <w:t xml:space="preserve"> </w:t>
      </w:r>
      <w:r w:rsidR="004F5A2E" w:rsidRPr="00780328">
        <w:rPr>
          <w:rFonts w:ascii="DepCentury Old Style" w:hAnsi="DepCentury Old Style"/>
        </w:rPr>
        <w:t>and Social Issues</w:t>
      </w:r>
      <w:r w:rsidR="00D9785E">
        <w:rPr>
          <w:rFonts w:ascii="DepCentury Old Style" w:hAnsi="DepCentury Old Style"/>
        </w:rPr>
        <w:t>, an institution under</w:t>
      </w:r>
      <w:r w:rsidR="0013777D">
        <w:rPr>
          <w:rFonts w:ascii="DepCentury Old Style" w:hAnsi="DepCentury Old Style"/>
        </w:rPr>
        <w:t>lying</w:t>
      </w:r>
      <w:r w:rsidR="00D9785E">
        <w:rPr>
          <w:rFonts w:ascii="DepCentury Old Style" w:hAnsi="DepCentury Old Style"/>
        </w:rPr>
        <w:t xml:space="preserve"> the Nordic Council. N</w:t>
      </w:r>
      <w:r w:rsidR="00780328" w:rsidRPr="00780328">
        <w:rPr>
          <w:rFonts w:ascii="DepCentury Old Style" w:hAnsi="DepCentury Old Style"/>
        </w:rPr>
        <w:t>ordic Centre for Welfare and Social Issues meets the challenges of developing the Nordic welfare model. The work aims to promote inclusion of vulnerable groups, equal treatment for all, social solidarity and access to guaranteed safety and quality in social services.</w:t>
      </w:r>
    </w:p>
    <w:p w:rsidR="00980570" w:rsidRDefault="00E50E1F" w:rsidP="00D9785E">
      <w:pPr>
        <w:spacing w:before="100" w:beforeAutospacing="1" w:after="100" w:afterAutospacing="1"/>
        <w:rPr>
          <w:rFonts w:ascii="DepCentury Old Style" w:hAnsi="DepCentury Old Style"/>
        </w:rPr>
      </w:pPr>
      <w:r>
        <w:rPr>
          <w:rFonts w:ascii="DepCentury Old Style" w:hAnsi="DepCentury Old Style"/>
        </w:rPr>
        <w:t>Nordic co</w:t>
      </w:r>
      <w:r w:rsidR="00980570" w:rsidRPr="00980570">
        <w:rPr>
          <w:rFonts w:ascii="DepCentury Old Style" w:hAnsi="DepCentury Old Style"/>
        </w:rPr>
        <w:t>operation on people with disabilities is channelled by means of a variety of tools and institutions, such as the concept of 'design for all', in which the Nordic Disability Policy Council plays an important role. The Nordic Welfare Centre (NVC) plays an important role in disabled issues, aids for people with disabilities and for training personnel for the deaf-blind.</w:t>
      </w:r>
      <w:r w:rsidR="00D9785E">
        <w:rPr>
          <w:rFonts w:ascii="DepCentury Old Style" w:hAnsi="DepCentury Old Style"/>
        </w:rPr>
        <w:t xml:space="preserve"> For more information </w:t>
      </w:r>
      <w:r>
        <w:rPr>
          <w:rFonts w:ascii="DepCentury Old Style" w:hAnsi="DepCentury Old Style"/>
        </w:rPr>
        <w:t>about this</w:t>
      </w:r>
      <w:r w:rsidR="00756EC7">
        <w:rPr>
          <w:rFonts w:ascii="DepCentury Old Style" w:hAnsi="DepCentury Old Style"/>
        </w:rPr>
        <w:t>,</w:t>
      </w:r>
      <w:r>
        <w:rPr>
          <w:rFonts w:ascii="DepCentury Old Style" w:hAnsi="DepCentury Old Style"/>
        </w:rPr>
        <w:t xml:space="preserve"> </w:t>
      </w:r>
      <w:r w:rsidR="00D9785E">
        <w:rPr>
          <w:rFonts w:ascii="DepCentury Old Style" w:hAnsi="DepCentury Old Style"/>
        </w:rPr>
        <w:t xml:space="preserve">see: </w:t>
      </w:r>
      <w:hyperlink r:id="rId10" w:history="1">
        <w:r w:rsidR="00980570" w:rsidRPr="00D12A90">
          <w:rPr>
            <w:rStyle w:val="Hyperlink"/>
            <w:rFonts w:ascii="DepCentury Old Style" w:hAnsi="DepCentury Old Style"/>
          </w:rPr>
          <w:t>http://www.norden.org/en/about-nordic-co-operation/areas-of-co-operation/disabilities/people-with-disabilities</w:t>
        </w:r>
      </w:hyperlink>
    </w:p>
    <w:p w:rsidR="00980570" w:rsidRDefault="00980570">
      <w:pPr>
        <w:rPr>
          <w:rFonts w:ascii="DepCentury Old Style" w:hAnsi="DepCentury Old Style"/>
        </w:rPr>
      </w:pPr>
    </w:p>
    <w:sectPr w:rsidR="00980570" w:rsidSect="005E2DE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EEA" w:rsidRDefault="008A7EEA" w:rsidP="006410EE">
      <w:r>
        <w:separator/>
      </w:r>
    </w:p>
  </w:endnote>
  <w:endnote w:type="continuationSeparator" w:id="0">
    <w:p w:rsidR="008A7EEA" w:rsidRDefault="008A7EEA" w:rsidP="0064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Gentium Basic">
    <w:altName w:val="Gentium Bas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638"/>
      <w:docPartObj>
        <w:docPartGallery w:val="Page Numbers (Bottom of Page)"/>
        <w:docPartUnique/>
      </w:docPartObj>
    </w:sdtPr>
    <w:sdtEndPr/>
    <w:sdtContent>
      <w:p w:rsidR="008A7EEA" w:rsidRDefault="0093724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A7EEA" w:rsidRDefault="008A7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EEA" w:rsidRDefault="008A7EEA" w:rsidP="006410EE">
      <w:r>
        <w:separator/>
      </w:r>
    </w:p>
  </w:footnote>
  <w:footnote w:type="continuationSeparator" w:id="0">
    <w:p w:rsidR="008A7EEA" w:rsidRDefault="008A7EEA" w:rsidP="00641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5227"/>
    <w:multiLevelType w:val="hybridMultilevel"/>
    <w:tmpl w:val="9C0034AC"/>
    <w:lvl w:ilvl="0" w:tplc="354E3D7E">
      <w:start w:val="1"/>
      <w:numFmt w:val="decimal"/>
      <w:lvlText w:val="%1)"/>
      <w:lvlJc w:val="left"/>
      <w:pPr>
        <w:ind w:left="720" w:hanging="360"/>
      </w:pPr>
      <w:rPr>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01D21DC"/>
    <w:multiLevelType w:val="hybridMultilevel"/>
    <w:tmpl w:val="37A87E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6110CE5"/>
    <w:multiLevelType w:val="hybridMultilevel"/>
    <w:tmpl w:val="9E6C3D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6A9685F"/>
    <w:multiLevelType w:val="hybridMultilevel"/>
    <w:tmpl w:val="F882179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77885E3B"/>
    <w:multiLevelType w:val="hybridMultilevel"/>
    <w:tmpl w:val="C43E192C"/>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2D"/>
    <w:rsid w:val="00000E84"/>
    <w:rsid w:val="00003A77"/>
    <w:rsid w:val="000138E9"/>
    <w:rsid w:val="000236C2"/>
    <w:rsid w:val="00023775"/>
    <w:rsid w:val="000278E1"/>
    <w:rsid w:val="0003575D"/>
    <w:rsid w:val="00040881"/>
    <w:rsid w:val="000443D2"/>
    <w:rsid w:val="00046293"/>
    <w:rsid w:val="0004770E"/>
    <w:rsid w:val="0005669E"/>
    <w:rsid w:val="000A51CF"/>
    <w:rsid w:val="000B2B7A"/>
    <w:rsid w:val="000F1A66"/>
    <w:rsid w:val="001343C3"/>
    <w:rsid w:val="0013777D"/>
    <w:rsid w:val="0014184D"/>
    <w:rsid w:val="00144027"/>
    <w:rsid w:val="001603F6"/>
    <w:rsid w:val="00183A6D"/>
    <w:rsid w:val="001928F8"/>
    <w:rsid w:val="00196205"/>
    <w:rsid w:val="001A5F50"/>
    <w:rsid w:val="001E27D8"/>
    <w:rsid w:val="002066E7"/>
    <w:rsid w:val="00230950"/>
    <w:rsid w:val="00231A73"/>
    <w:rsid w:val="00235DC4"/>
    <w:rsid w:val="00241249"/>
    <w:rsid w:val="002431F8"/>
    <w:rsid w:val="0025077B"/>
    <w:rsid w:val="00256156"/>
    <w:rsid w:val="00257D30"/>
    <w:rsid w:val="00282BFE"/>
    <w:rsid w:val="00284B1F"/>
    <w:rsid w:val="00296E10"/>
    <w:rsid w:val="002C426C"/>
    <w:rsid w:val="002C6055"/>
    <w:rsid w:val="002D2E11"/>
    <w:rsid w:val="002E2D43"/>
    <w:rsid w:val="002F0B12"/>
    <w:rsid w:val="002F7DB2"/>
    <w:rsid w:val="002F7F3B"/>
    <w:rsid w:val="00301D52"/>
    <w:rsid w:val="00305FF1"/>
    <w:rsid w:val="00314445"/>
    <w:rsid w:val="003210C8"/>
    <w:rsid w:val="00323799"/>
    <w:rsid w:val="003308A6"/>
    <w:rsid w:val="00375702"/>
    <w:rsid w:val="00382F45"/>
    <w:rsid w:val="003B4B21"/>
    <w:rsid w:val="003C28D5"/>
    <w:rsid w:val="00407F43"/>
    <w:rsid w:val="00411DB9"/>
    <w:rsid w:val="00425C3B"/>
    <w:rsid w:val="0045573C"/>
    <w:rsid w:val="00475932"/>
    <w:rsid w:val="00494091"/>
    <w:rsid w:val="004A0A06"/>
    <w:rsid w:val="004A3400"/>
    <w:rsid w:val="004A45E7"/>
    <w:rsid w:val="004B42E7"/>
    <w:rsid w:val="004B6CF3"/>
    <w:rsid w:val="004C736D"/>
    <w:rsid w:val="004D015E"/>
    <w:rsid w:val="004F39CE"/>
    <w:rsid w:val="004F5A2E"/>
    <w:rsid w:val="0057207E"/>
    <w:rsid w:val="00587BCF"/>
    <w:rsid w:val="00597C5B"/>
    <w:rsid w:val="005B3083"/>
    <w:rsid w:val="005E13EF"/>
    <w:rsid w:val="005E2DE2"/>
    <w:rsid w:val="005F471B"/>
    <w:rsid w:val="00607F4C"/>
    <w:rsid w:val="00627BCF"/>
    <w:rsid w:val="006410EE"/>
    <w:rsid w:val="00642781"/>
    <w:rsid w:val="0064306E"/>
    <w:rsid w:val="006B56E4"/>
    <w:rsid w:val="006B7EB7"/>
    <w:rsid w:val="006C1B14"/>
    <w:rsid w:val="006D764B"/>
    <w:rsid w:val="006E0E46"/>
    <w:rsid w:val="006E0F62"/>
    <w:rsid w:val="006F3E7E"/>
    <w:rsid w:val="006F7248"/>
    <w:rsid w:val="00716CFA"/>
    <w:rsid w:val="0072182D"/>
    <w:rsid w:val="00726228"/>
    <w:rsid w:val="007321DD"/>
    <w:rsid w:val="00756EC7"/>
    <w:rsid w:val="00780328"/>
    <w:rsid w:val="007B040C"/>
    <w:rsid w:val="007D663B"/>
    <w:rsid w:val="007E5EEC"/>
    <w:rsid w:val="007F67C1"/>
    <w:rsid w:val="00804950"/>
    <w:rsid w:val="008075A1"/>
    <w:rsid w:val="00816E6A"/>
    <w:rsid w:val="0083052D"/>
    <w:rsid w:val="0086367C"/>
    <w:rsid w:val="00871C49"/>
    <w:rsid w:val="0088067C"/>
    <w:rsid w:val="00881D49"/>
    <w:rsid w:val="008A7EEA"/>
    <w:rsid w:val="008F39A8"/>
    <w:rsid w:val="00906DF8"/>
    <w:rsid w:val="00910DAD"/>
    <w:rsid w:val="00911A0E"/>
    <w:rsid w:val="00912104"/>
    <w:rsid w:val="00913F74"/>
    <w:rsid w:val="00914FF5"/>
    <w:rsid w:val="00924606"/>
    <w:rsid w:val="00933B29"/>
    <w:rsid w:val="0093724B"/>
    <w:rsid w:val="009427A8"/>
    <w:rsid w:val="0094664C"/>
    <w:rsid w:val="00947E1C"/>
    <w:rsid w:val="0096349A"/>
    <w:rsid w:val="00980570"/>
    <w:rsid w:val="00984B49"/>
    <w:rsid w:val="009913AA"/>
    <w:rsid w:val="009D51AB"/>
    <w:rsid w:val="009E49D4"/>
    <w:rsid w:val="009E6DF2"/>
    <w:rsid w:val="009F6E46"/>
    <w:rsid w:val="00A01263"/>
    <w:rsid w:val="00A43072"/>
    <w:rsid w:val="00A4380E"/>
    <w:rsid w:val="00A5532E"/>
    <w:rsid w:val="00A579B2"/>
    <w:rsid w:val="00A62A6F"/>
    <w:rsid w:val="00A62B01"/>
    <w:rsid w:val="00A965E0"/>
    <w:rsid w:val="00AB0819"/>
    <w:rsid w:val="00AB68A3"/>
    <w:rsid w:val="00AC2053"/>
    <w:rsid w:val="00AC7AFF"/>
    <w:rsid w:val="00AF2515"/>
    <w:rsid w:val="00B21B6A"/>
    <w:rsid w:val="00B55FB3"/>
    <w:rsid w:val="00B71676"/>
    <w:rsid w:val="00B72136"/>
    <w:rsid w:val="00B72454"/>
    <w:rsid w:val="00B92BDB"/>
    <w:rsid w:val="00B96003"/>
    <w:rsid w:val="00BB629D"/>
    <w:rsid w:val="00BD2118"/>
    <w:rsid w:val="00BD31D5"/>
    <w:rsid w:val="00BD5493"/>
    <w:rsid w:val="00BD5CF2"/>
    <w:rsid w:val="00BF004A"/>
    <w:rsid w:val="00BF76B8"/>
    <w:rsid w:val="00C054EB"/>
    <w:rsid w:val="00C269A9"/>
    <w:rsid w:val="00C33A1A"/>
    <w:rsid w:val="00C51635"/>
    <w:rsid w:val="00C529CF"/>
    <w:rsid w:val="00C64341"/>
    <w:rsid w:val="00C74E8F"/>
    <w:rsid w:val="00C9689F"/>
    <w:rsid w:val="00C970E4"/>
    <w:rsid w:val="00CB013A"/>
    <w:rsid w:val="00CB56BB"/>
    <w:rsid w:val="00CD1054"/>
    <w:rsid w:val="00CD69F7"/>
    <w:rsid w:val="00CD7C3C"/>
    <w:rsid w:val="00CF1330"/>
    <w:rsid w:val="00D00135"/>
    <w:rsid w:val="00D65B78"/>
    <w:rsid w:val="00D76B9F"/>
    <w:rsid w:val="00D87478"/>
    <w:rsid w:val="00D92051"/>
    <w:rsid w:val="00D969F1"/>
    <w:rsid w:val="00D9785E"/>
    <w:rsid w:val="00DB26DC"/>
    <w:rsid w:val="00DC2B85"/>
    <w:rsid w:val="00DC36A0"/>
    <w:rsid w:val="00E070E6"/>
    <w:rsid w:val="00E148BE"/>
    <w:rsid w:val="00E50E1F"/>
    <w:rsid w:val="00E61A8C"/>
    <w:rsid w:val="00E6525A"/>
    <w:rsid w:val="00E8242E"/>
    <w:rsid w:val="00E83276"/>
    <w:rsid w:val="00E868FD"/>
    <w:rsid w:val="00E923E7"/>
    <w:rsid w:val="00EB4B84"/>
    <w:rsid w:val="00EB5DF4"/>
    <w:rsid w:val="00EB6916"/>
    <w:rsid w:val="00ED579C"/>
    <w:rsid w:val="00ED6BC1"/>
    <w:rsid w:val="00EE1C97"/>
    <w:rsid w:val="00EE683E"/>
    <w:rsid w:val="00EF4DF9"/>
    <w:rsid w:val="00F07080"/>
    <w:rsid w:val="00F22641"/>
    <w:rsid w:val="00F303A0"/>
    <w:rsid w:val="00F430DB"/>
    <w:rsid w:val="00F537F6"/>
    <w:rsid w:val="00F5483A"/>
    <w:rsid w:val="00F72BE5"/>
    <w:rsid w:val="00F753B4"/>
    <w:rsid w:val="00F82029"/>
    <w:rsid w:val="00FB5943"/>
    <w:rsid w:val="00FF4D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DE2"/>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52D"/>
    <w:pPr>
      <w:ind w:left="720"/>
      <w:contextualSpacing/>
    </w:pPr>
  </w:style>
  <w:style w:type="paragraph" w:styleId="NoSpacing">
    <w:name w:val="No Spacing"/>
    <w:uiPriority w:val="1"/>
    <w:qFormat/>
    <w:rsid w:val="00144027"/>
    <w:rPr>
      <w:sz w:val="24"/>
      <w:szCs w:val="24"/>
    </w:rPr>
  </w:style>
  <w:style w:type="paragraph" w:customStyle="1" w:styleId="Brd">
    <w:name w:val="Brød"/>
    <w:basedOn w:val="Normal"/>
    <w:rsid w:val="00ED579C"/>
    <w:pPr>
      <w:widowControl w:val="0"/>
      <w:suppressAutoHyphens/>
      <w:autoSpaceDE w:val="0"/>
      <w:autoSpaceDN w:val="0"/>
      <w:adjustRightInd w:val="0"/>
      <w:spacing w:line="288" w:lineRule="atLeast"/>
      <w:textAlignment w:val="center"/>
    </w:pPr>
    <w:rPr>
      <w:rFonts w:ascii="MyriadPro-Regular" w:hAnsi="MyriadPro-Regular" w:cs="MyriadPro-Regular"/>
      <w:snapToGrid w:val="0"/>
      <w:color w:val="000000"/>
      <w:spacing w:val="-2"/>
      <w:lang w:eastAsia="da-DK"/>
    </w:rPr>
  </w:style>
  <w:style w:type="character" w:styleId="Hyperlink">
    <w:name w:val="Hyperlink"/>
    <w:basedOn w:val="DefaultParagraphFont"/>
    <w:uiPriority w:val="99"/>
    <w:unhideWhenUsed/>
    <w:rsid w:val="005F471B"/>
    <w:rPr>
      <w:color w:val="0000FF" w:themeColor="hyperlink"/>
      <w:u w:val="single"/>
    </w:rPr>
  </w:style>
  <w:style w:type="paragraph" w:customStyle="1" w:styleId="Default">
    <w:name w:val="Default"/>
    <w:rsid w:val="0045573C"/>
    <w:pPr>
      <w:autoSpaceDE w:val="0"/>
      <w:autoSpaceDN w:val="0"/>
      <w:adjustRightInd w:val="0"/>
    </w:pPr>
    <w:rPr>
      <w:rFonts w:ascii="Gentium Basic" w:hAnsi="Gentium Basic" w:cs="Gentium Basic"/>
      <w:color w:val="000000"/>
      <w:sz w:val="24"/>
      <w:szCs w:val="24"/>
    </w:rPr>
  </w:style>
  <w:style w:type="paragraph" w:styleId="NormalWeb">
    <w:name w:val="Normal (Web)"/>
    <w:basedOn w:val="Normal"/>
    <w:uiPriority w:val="99"/>
    <w:semiHidden/>
    <w:unhideWhenUsed/>
    <w:rsid w:val="00CB013A"/>
    <w:pPr>
      <w:spacing w:after="240"/>
    </w:pPr>
    <w:rPr>
      <w:sz w:val="26"/>
      <w:szCs w:val="26"/>
    </w:rPr>
  </w:style>
  <w:style w:type="paragraph" w:customStyle="1" w:styleId="textingress">
    <w:name w:val="textingress"/>
    <w:basedOn w:val="Normal"/>
    <w:rsid w:val="00CB013A"/>
    <w:pPr>
      <w:spacing w:after="240"/>
    </w:pPr>
    <w:rPr>
      <w:sz w:val="26"/>
      <w:szCs w:val="26"/>
    </w:rPr>
  </w:style>
  <w:style w:type="paragraph" w:styleId="BalloonText">
    <w:name w:val="Balloon Text"/>
    <w:basedOn w:val="Normal"/>
    <w:link w:val="BalloonTextChar"/>
    <w:uiPriority w:val="99"/>
    <w:semiHidden/>
    <w:unhideWhenUsed/>
    <w:rsid w:val="00CB013A"/>
    <w:rPr>
      <w:rFonts w:ascii="Tahoma" w:hAnsi="Tahoma" w:cs="Tahoma"/>
      <w:sz w:val="16"/>
      <w:szCs w:val="16"/>
    </w:rPr>
  </w:style>
  <w:style w:type="character" w:customStyle="1" w:styleId="BalloonTextChar">
    <w:name w:val="Balloon Text Char"/>
    <w:basedOn w:val="DefaultParagraphFont"/>
    <w:link w:val="BalloonText"/>
    <w:uiPriority w:val="99"/>
    <w:semiHidden/>
    <w:rsid w:val="00CB013A"/>
    <w:rPr>
      <w:rFonts w:ascii="Tahoma" w:hAnsi="Tahoma" w:cs="Tahoma"/>
      <w:sz w:val="16"/>
      <w:szCs w:val="16"/>
    </w:rPr>
  </w:style>
  <w:style w:type="character" w:styleId="Strong">
    <w:name w:val="Strong"/>
    <w:basedOn w:val="DefaultParagraphFont"/>
    <w:uiPriority w:val="22"/>
    <w:qFormat/>
    <w:rsid w:val="000F1A66"/>
    <w:rPr>
      <w:b/>
      <w:bCs/>
    </w:rPr>
  </w:style>
  <w:style w:type="table" w:styleId="TableGrid">
    <w:name w:val="Table Grid"/>
    <w:basedOn w:val="TableNormal"/>
    <w:uiPriority w:val="59"/>
    <w:rsid w:val="00CB5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410EE"/>
    <w:pPr>
      <w:tabs>
        <w:tab w:val="center" w:pos="4513"/>
        <w:tab w:val="right" w:pos="9026"/>
      </w:tabs>
    </w:pPr>
  </w:style>
  <w:style w:type="character" w:customStyle="1" w:styleId="HeaderChar">
    <w:name w:val="Header Char"/>
    <w:basedOn w:val="DefaultParagraphFont"/>
    <w:link w:val="Header"/>
    <w:uiPriority w:val="99"/>
    <w:semiHidden/>
    <w:rsid w:val="006410EE"/>
    <w:rPr>
      <w:sz w:val="24"/>
      <w:szCs w:val="24"/>
    </w:rPr>
  </w:style>
  <w:style w:type="paragraph" w:styleId="Footer">
    <w:name w:val="footer"/>
    <w:basedOn w:val="Normal"/>
    <w:link w:val="FooterChar"/>
    <w:uiPriority w:val="99"/>
    <w:unhideWhenUsed/>
    <w:rsid w:val="006410EE"/>
    <w:pPr>
      <w:tabs>
        <w:tab w:val="center" w:pos="4513"/>
        <w:tab w:val="right" w:pos="9026"/>
      </w:tabs>
    </w:pPr>
  </w:style>
  <w:style w:type="character" w:customStyle="1" w:styleId="FooterChar">
    <w:name w:val="Footer Char"/>
    <w:basedOn w:val="DefaultParagraphFont"/>
    <w:link w:val="Footer"/>
    <w:uiPriority w:val="99"/>
    <w:rsid w:val="006410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DE2"/>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52D"/>
    <w:pPr>
      <w:ind w:left="720"/>
      <w:contextualSpacing/>
    </w:pPr>
  </w:style>
  <w:style w:type="paragraph" w:styleId="NoSpacing">
    <w:name w:val="No Spacing"/>
    <w:uiPriority w:val="1"/>
    <w:qFormat/>
    <w:rsid w:val="00144027"/>
    <w:rPr>
      <w:sz w:val="24"/>
      <w:szCs w:val="24"/>
    </w:rPr>
  </w:style>
  <w:style w:type="paragraph" w:customStyle="1" w:styleId="Brd">
    <w:name w:val="Brød"/>
    <w:basedOn w:val="Normal"/>
    <w:rsid w:val="00ED579C"/>
    <w:pPr>
      <w:widowControl w:val="0"/>
      <w:suppressAutoHyphens/>
      <w:autoSpaceDE w:val="0"/>
      <w:autoSpaceDN w:val="0"/>
      <w:adjustRightInd w:val="0"/>
      <w:spacing w:line="288" w:lineRule="atLeast"/>
      <w:textAlignment w:val="center"/>
    </w:pPr>
    <w:rPr>
      <w:rFonts w:ascii="MyriadPro-Regular" w:hAnsi="MyriadPro-Regular" w:cs="MyriadPro-Regular"/>
      <w:snapToGrid w:val="0"/>
      <w:color w:val="000000"/>
      <w:spacing w:val="-2"/>
      <w:lang w:eastAsia="da-DK"/>
    </w:rPr>
  </w:style>
  <w:style w:type="character" w:styleId="Hyperlink">
    <w:name w:val="Hyperlink"/>
    <w:basedOn w:val="DefaultParagraphFont"/>
    <w:uiPriority w:val="99"/>
    <w:unhideWhenUsed/>
    <w:rsid w:val="005F471B"/>
    <w:rPr>
      <w:color w:val="0000FF" w:themeColor="hyperlink"/>
      <w:u w:val="single"/>
    </w:rPr>
  </w:style>
  <w:style w:type="paragraph" w:customStyle="1" w:styleId="Default">
    <w:name w:val="Default"/>
    <w:rsid w:val="0045573C"/>
    <w:pPr>
      <w:autoSpaceDE w:val="0"/>
      <w:autoSpaceDN w:val="0"/>
      <w:adjustRightInd w:val="0"/>
    </w:pPr>
    <w:rPr>
      <w:rFonts w:ascii="Gentium Basic" w:hAnsi="Gentium Basic" w:cs="Gentium Basic"/>
      <w:color w:val="000000"/>
      <w:sz w:val="24"/>
      <w:szCs w:val="24"/>
    </w:rPr>
  </w:style>
  <w:style w:type="paragraph" w:styleId="NormalWeb">
    <w:name w:val="Normal (Web)"/>
    <w:basedOn w:val="Normal"/>
    <w:uiPriority w:val="99"/>
    <w:semiHidden/>
    <w:unhideWhenUsed/>
    <w:rsid w:val="00CB013A"/>
    <w:pPr>
      <w:spacing w:after="240"/>
    </w:pPr>
    <w:rPr>
      <w:sz w:val="26"/>
      <w:szCs w:val="26"/>
    </w:rPr>
  </w:style>
  <w:style w:type="paragraph" w:customStyle="1" w:styleId="textingress">
    <w:name w:val="textingress"/>
    <w:basedOn w:val="Normal"/>
    <w:rsid w:val="00CB013A"/>
    <w:pPr>
      <w:spacing w:after="240"/>
    </w:pPr>
    <w:rPr>
      <w:sz w:val="26"/>
      <w:szCs w:val="26"/>
    </w:rPr>
  </w:style>
  <w:style w:type="paragraph" w:styleId="BalloonText">
    <w:name w:val="Balloon Text"/>
    <w:basedOn w:val="Normal"/>
    <w:link w:val="BalloonTextChar"/>
    <w:uiPriority w:val="99"/>
    <w:semiHidden/>
    <w:unhideWhenUsed/>
    <w:rsid w:val="00CB013A"/>
    <w:rPr>
      <w:rFonts w:ascii="Tahoma" w:hAnsi="Tahoma" w:cs="Tahoma"/>
      <w:sz w:val="16"/>
      <w:szCs w:val="16"/>
    </w:rPr>
  </w:style>
  <w:style w:type="character" w:customStyle="1" w:styleId="BalloonTextChar">
    <w:name w:val="Balloon Text Char"/>
    <w:basedOn w:val="DefaultParagraphFont"/>
    <w:link w:val="BalloonText"/>
    <w:uiPriority w:val="99"/>
    <w:semiHidden/>
    <w:rsid w:val="00CB013A"/>
    <w:rPr>
      <w:rFonts w:ascii="Tahoma" w:hAnsi="Tahoma" w:cs="Tahoma"/>
      <w:sz w:val="16"/>
      <w:szCs w:val="16"/>
    </w:rPr>
  </w:style>
  <w:style w:type="character" w:styleId="Strong">
    <w:name w:val="Strong"/>
    <w:basedOn w:val="DefaultParagraphFont"/>
    <w:uiPriority w:val="22"/>
    <w:qFormat/>
    <w:rsid w:val="000F1A66"/>
    <w:rPr>
      <w:b/>
      <w:bCs/>
    </w:rPr>
  </w:style>
  <w:style w:type="table" w:styleId="TableGrid">
    <w:name w:val="Table Grid"/>
    <w:basedOn w:val="TableNormal"/>
    <w:uiPriority w:val="59"/>
    <w:rsid w:val="00CB5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410EE"/>
    <w:pPr>
      <w:tabs>
        <w:tab w:val="center" w:pos="4513"/>
        <w:tab w:val="right" w:pos="9026"/>
      </w:tabs>
    </w:pPr>
  </w:style>
  <w:style w:type="character" w:customStyle="1" w:styleId="HeaderChar">
    <w:name w:val="Header Char"/>
    <w:basedOn w:val="DefaultParagraphFont"/>
    <w:link w:val="Header"/>
    <w:uiPriority w:val="99"/>
    <w:semiHidden/>
    <w:rsid w:val="006410EE"/>
    <w:rPr>
      <w:sz w:val="24"/>
      <w:szCs w:val="24"/>
    </w:rPr>
  </w:style>
  <w:style w:type="paragraph" w:styleId="Footer">
    <w:name w:val="footer"/>
    <w:basedOn w:val="Normal"/>
    <w:link w:val="FooterChar"/>
    <w:uiPriority w:val="99"/>
    <w:unhideWhenUsed/>
    <w:rsid w:val="006410EE"/>
    <w:pPr>
      <w:tabs>
        <w:tab w:val="center" w:pos="4513"/>
        <w:tab w:val="right" w:pos="9026"/>
      </w:tabs>
    </w:pPr>
  </w:style>
  <w:style w:type="character" w:customStyle="1" w:styleId="FooterChar">
    <w:name w:val="Footer Char"/>
    <w:basedOn w:val="DefaultParagraphFont"/>
    <w:link w:val="Footer"/>
    <w:uiPriority w:val="99"/>
    <w:rsid w:val="00641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0362">
      <w:bodyDiv w:val="1"/>
      <w:marLeft w:val="0"/>
      <w:marRight w:val="0"/>
      <w:marTop w:val="0"/>
      <w:marBottom w:val="0"/>
      <w:divBdr>
        <w:top w:val="none" w:sz="0" w:space="0" w:color="auto"/>
        <w:left w:val="none" w:sz="0" w:space="0" w:color="auto"/>
        <w:bottom w:val="none" w:sz="0" w:space="0" w:color="auto"/>
        <w:right w:val="none" w:sz="0" w:space="0" w:color="auto"/>
      </w:divBdr>
    </w:div>
    <w:div w:id="209466839">
      <w:bodyDiv w:val="1"/>
      <w:marLeft w:val="0"/>
      <w:marRight w:val="0"/>
      <w:marTop w:val="0"/>
      <w:marBottom w:val="0"/>
      <w:divBdr>
        <w:top w:val="none" w:sz="0" w:space="0" w:color="auto"/>
        <w:left w:val="none" w:sz="0" w:space="0" w:color="auto"/>
        <w:bottom w:val="none" w:sz="0" w:space="0" w:color="auto"/>
        <w:right w:val="none" w:sz="0" w:space="0" w:color="auto"/>
      </w:divBdr>
    </w:div>
    <w:div w:id="520050569">
      <w:bodyDiv w:val="1"/>
      <w:marLeft w:val="0"/>
      <w:marRight w:val="0"/>
      <w:marTop w:val="0"/>
      <w:marBottom w:val="0"/>
      <w:divBdr>
        <w:top w:val="none" w:sz="0" w:space="0" w:color="auto"/>
        <w:left w:val="none" w:sz="0" w:space="0" w:color="auto"/>
        <w:bottom w:val="none" w:sz="0" w:space="0" w:color="auto"/>
        <w:right w:val="none" w:sz="0" w:space="0" w:color="auto"/>
      </w:divBdr>
      <w:divsChild>
        <w:div w:id="2028172207">
          <w:marLeft w:val="0"/>
          <w:marRight w:val="0"/>
          <w:marTop w:val="376"/>
          <w:marBottom w:val="0"/>
          <w:divBdr>
            <w:top w:val="none" w:sz="0" w:space="0" w:color="auto"/>
            <w:left w:val="none" w:sz="0" w:space="0" w:color="auto"/>
            <w:bottom w:val="none" w:sz="0" w:space="0" w:color="auto"/>
            <w:right w:val="none" w:sz="0" w:space="0" w:color="auto"/>
          </w:divBdr>
          <w:divsChild>
            <w:div w:id="62676962">
              <w:marLeft w:val="0"/>
              <w:marRight w:val="0"/>
              <w:marTop w:val="0"/>
              <w:marBottom w:val="0"/>
              <w:divBdr>
                <w:top w:val="single" w:sz="4" w:space="0" w:color="7F7F7F"/>
                <w:left w:val="single" w:sz="4" w:space="0" w:color="7F7F7F"/>
                <w:bottom w:val="single" w:sz="4" w:space="0" w:color="7F7F7F"/>
                <w:right w:val="single" w:sz="4" w:space="0" w:color="7F7F7F"/>
              </w:divBdr>
              <w:divsChild>
                <w:div w:id="1309941839">
                  <w:marLeft w:val="0"/>
                  <w:marRight w:val="0"/>
                  <w:marTop w:val="0"/>
                  <w:marBottom w:val="0"/>
                  <w:divBdr>
                    <w:top w:val="none" w:sz="0" w:space="0" w:color="auto"/>
                    <w:left w:val="none" w:sz="0" w:space="0" w:color="016585"/>
                    <w:bottom w:val="none" w:sz="0" w:space="0" w:color="auto"/>
                    <w:right w:val="none" w:sz="0" w:space="0" w:color="FFFFFF"/>
                  </w:divBdr>
                  <w:divsChild>
                    <w:div w:id="69424293">
                      <w:marLeft w:val="0"/>
                      <w:marRight w:val="0"/>
                      <w:marTop w:val="0"/>
                      <w:marBottom w:val="0"/>
                      <w:divBdr>
                        <w:top w:val="none" w:sz="0" w:space="0" w:color="auto"/>
                        <w:left w:val="none" w:sz="0" w:space="0" w:color="auto"/>
                        <w:bottom w:val="none" w:sz="0" w:space="0" w:color="auto"/>
                        <w:right w:val="none" w:sz="0" w:space="0" w:color="auto"/>
                      </w:divBdr>
                      <w:divsChild>
                        <w:div w:id="1929121022">
                          <w:marLeft w:val="0"/>
                          <w:marRight w:val="0"/>
                          <w:marTop w:val="0"/>
                          <w:marBottom w:val="0"/>
                          <w:divBdr>
                            <w:top w:val="none" w:sz="0" w:space="0" w:color="auto"/>
                            <w:left w:val="none" w:sz="0" w:space="0" w:color="auto"/>
                            <w:bottom w:val="none" w:sz="0" w:space="0" w:color="auto"/>
                            <w:right w:val="none" w:sz="0" w:space="0" w:color="auto"/>
                          </w:divBdr>
                          <w:divsChild>
                            <w:div w:id="1115949490">
                              <w:marLeft w:val="0"/>
                              <w:marRight w:val="0"/>
                              <w:marTop w:val="0"/>
                              <w:marBottom w:val="0"/>
                              <w:divBdr>
                                <w:top w:val="none" w:sz="0" w:space="0" w:color="auto"/>
                                <w:left w:val="none" w:sz="0" w:space="0" w:color="auto"/>
                                <w:bottom w:val="none" w:sz="0" w:space="0" w:color="auto"/>
                                <w:right w:val="none" w:sz="0" w:space="0" w:color="auto"/>
                              </w:divBdr>
                              <w:divsChild>
                                <w:div w:id="473913805">
                                  <w:marLeft w:val="0"/>
                                  <w:marRight w:val="0"/>
                                  <w:marTop w:val="0"/>
                                  <w:marBottom w:val="0"/>
                                  <w:divBdr>
                                    <w:top w:val="none" w:sz="0" w:space="0" w:color="auto"/>
                                    <w:left w:val="none" w:sz="0" w:space="0" w:color="auto"/>
                                    <w:bottom w:val="none" w:sz="0" w:space="0" w:color="auto"/>
                                    <w:right w:val="none" w:sz="0" w:space="0" w:color="auto"/>
                                  </w:divBdr>
                                  <w:divsChild>
                                    <w:div w:id="261302512">
                                      <w:marLeft w:val="0"/>
                                      <w:marRight w:val="0"/>
                                      <w:marTop w:val="0"/>
                                      <w:marBottom w:val="0"/>
                                      <w:divBdr>
                                        <w:top w:val="none" w:sz="0" w:space="0" w:color="auto"/>
                                        <w:left w:val="none" w:sz="0" w:space="0" w:color="auto"/>
                                        <w:bottom w:val="none" w:sz="0" w:space="0" w:color="auto"/>
                                        <w:right w:val="none" w:sz="0" w:space="0" w:color="auto"/>
                                      </w:divBdr>
                                      <w:divsChild>
                                        <w:div w:id="18752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141059">
      <w:bodyDiv w:val="1"/>
      <w:marLeft w:val="0"/>
      <w:marRight w:val="0"/>
      <w:marTop w:val="0"/>
      <w:marBottom w:val="0"/>
      <w:divBdr>
        <w:top w:val="none" w:sz="0" w:space="0" w:color="auto"/>
        <w:left w:val="none" w:sz="0" w:space="0" w:color="auto"/>
        <w:bottom w:val="none" w:sz="0" w:space="0" w:color="auto"/>
        <w:right w:val="none" w:sz="0" w:space="0" w:color="auto"/>
      </w:divBdr>
      <w:divsChild>
        <w:div w:id="1251156461">
          <w:marLeft w:val="0"/>
          <w:marRight w:val="0"/>
          <w:marTop w:val="0"/>
          <w:marBottom w:val="0"/>
          <w:divBdr>
            <w:top w:val="none" w:sz="0" w:space="0" w:color="auto"/>
            <w:left w:val="none" w:sz="0" w:space="0" w:color="auto"/>
            <w:bottom w:val="none" w:sz="0" w:space="0" w:color="auto"/>
            <w:right w:val="none" w:sz="0" w:space="0" w:color="auto"/>
          </w:divBdr>
          <w:divsChild>
            <w:div w:id="1235319722">
              <w:marLeft w:val="0"/>
              <w:marRight w:val="0"/>
              <w:marTop w:val="0"/>
              <w:marBottom w:val="0"/>
              <w:divBdr>
                <w:top w:val="none" w:sz="0" w:space="0" w:color="auto"/>
                <w:left w:val="none" w:sz="0" w:space="0" w:color="auto"/>
                <w:bottom w:val="none" w:sz="0" w:space="0" w:color="auto"/>
                <w:right w:val="none" w:sz="0" w:space="0" w:color="auto"/>
              </w:divBdr>
              <w:divsChild>
                <w:div w:id="2105614810">
                  <w:marLeft w:val="0"/>
                  <w:marRight w:val="0"/>
                  <w:marTop w:val="0"/>
                  <w:marBottom w:val="0"/>
                  <w:divBdr>
                    <w:top w:val="none" w:sz="0" w:space="0" w:color="auto"/>
                    <w:left w:val="none" w:sz="0" w:space="0" w:color="auto"/>
                    <w:bottom w:val="none" w:sz="0" w:space="0" w:color="auto"/>
                    <w:right w:val="none" w:sz="0" w:space="0" w:color="auto"/>
                  </w:divBdr>
                  <w:divsChild>
                    <w:div w:id="1095977615">
                      <w:marLeft w:val="0"/>
                      <w:marRight w:val="0"/>
                      <w:marTop w:val="0"/>
                      <w:marBottom w:val="0"/>
                      <w:divBdr>
                        <w:top w:val="none" w:sz="0" w:space="0" w:color="auto"/>
                        <w:left w:val="none" w:sz="0" w:space="0" w:color="auto"/>
                        <w:bottom w:val="none" w:sz="0" w:space="0" w:color="auto"/>
                        <w:right w:val="none" w:sz="0" w:space="0" w:color="auto"/>
                      </w:divBdr>
                      <w:divsChild>
                        <w:div w:id="188030830">
                          <w:marLeft w:val="0"/>
                          <w:marRight w:val="0"/>
                          <w:marTop w:val="0"/>
                          <w:marBottom w:val="0"/>
                          <w:divBdr>
                            <w:top w:val="none" w:sz="0" w:space="0" w:color="auto"/>
                            <w:left w:val="none" w:sz="0" w:space="0" w:color="auto"/>
                            <w:bottom w:val="none" w:sz="0" w:space="0" w:color="auto"/>
                            <w:right w:val="none" w:sz="0" w:space="0" w:color="auto"/>
                          </w:divBdr>
                          <w:divsChild>
                            <w:div w:id="1641031496">
                              <w:marLeft w:val="0"/>
                              <w:marRight w:val="0"/>
                              <w:marTop w:val="0"/>
                              <w:marBottom w:val="0"/>
                              <w:divBdr>
                                <w:top w:val="none" w:sz="0" w:space="0" w:color="auto"/>
                                <w:left w:val="none" w:sz="0" w:space="0" w:color="auto"/>
                                <w:bottom w:val="none" w:sz="0" w:space="0" w:color="auto"/>
                                <w:right w:val="none" w:sz="0" w:space="0" w:color="auto"/>
                              </w:divBdr>
                              <w:divsChild>
                                <w:div w:id="1787578679">
                                  <w:marLeft w:val="0"/>
                                  <w:marRight w:val="0"/>
                                  <w:marTop w:val="0"/>
                                  <w:marBottom w:val="0"/>
                                  <w:divBdr>
                                    <w:top w:val="none" w:sz="0" w:space="0" w:color="auto"/>
                                    <w:left w:val="none" w:sz="0" w:space="0" w:color="auto"/>
                                    <w:bottom w:val="none" w:sz="0" w:space="0" w:color="auto"/>
                                    <w:right w:val="none" w:sz="0" w:space="0" w:color="auto"/>
                                  </w:divBdr>
                                  <w:divsChild>
                                    <w:div w:id="1607150691">
                                      <w:marLeft w:val="0"/>
                                      <w:marRight w:val="0"/>
                                      <w:marTop w:val="0"/>
                                      <w:marBottom w:val="0"/>
                                      <w:divBdr>
                                        <w:top w:val="none" w:sz="0" w:space="0" w:color="auto"/>
                                        <w:left w:val="none" w:sz="0" w:space="0" w:color="auto"/>
                                        <w:bottom w:val="none" w:sz="0" w:space="0" w:color="auto"/>
                                        <w:right w:val="none" w:sz="0" w:space="0" w:color="auto"/>
                                      </w:divBdr>
                                      <w:divsChild>
                                        <w:div w:id="1640646467">
                                          <w:marLeft w:val="0"/>
                                          <w:marRight w:val="0"/>
                                          <w:marTop w:val="0"/>
                                          <w:marBottom w:val="0"/>
                                          <w:divBdr>
                                            <w:top w:val="none" w:sz="0" w:space="0" w:color="auto"/>
                                            <w:left w:val="none" w:sz="0" w:space="0" w:color="auto"/>
                                            <w:bottom w:val="none" w:sz="0" w:space="0" w:color="auto"/>
                                            <w:right w:val="none" w:sz="0" w:space="0" w:color="auto"/>
                                          </w:divBdr>
                                          <w:divsChild>
                                            <w:div w:id="480778461">
                                              <w:marLeft w:val="0"/>
                                              <w:marRight w:val="0"/>
                                              <w:marTop w:val="0"/>
                                              <w:marBottom w:val="0"/>
                                              <w:divBdr>
                                                <w:top w:val="none" w:sz="0" w:space="0" w:color="auto"/>
                                                <w:left w:val="none" w:sz="0" w:space="0" w:color="auto"/>
                                                <w:bottom w:val="none" w:sz="0" w:space="0" w:color="auto"/>
                                                <w:right w:val="none" w:sz="0" w:space="0" w:color="auto"/>
                                              </w:divBdr>
                                              <w:divsChild>
                                                <w:div w:id="1398475003">
                                                  <w:marLeft w:val="0"/>
                                                  <w:marRight w:val="0"/>
                                                  <w:marTop w:val="0"/>
                                                  <w:marBottom w:val="0"/>
                                                  <w:divBdr>
                                                    <w:top w:val="none" w:sz="0" w:space="0" w:color="auto"/>
                                                    <w:left w:val="none" w:sz="0" w:space="0" w:color="auto"/>
                                                    <w:bottom w:val="none" w:sz="0" w:space="0" w:color="auto"/>
                                                    <w:right w:val="none" w:sz="0" w:space="0" w:color="auto"/>
                                                  </w:divBdr>
                                                  <w:divsChild>
                                                    <w:div w:id="465466378">
                                                      <w:marLeft w:val="0"/>
                                                      <w:marRight w:val="0"/>
                                                      <w:marTop w:val="0"/>
                                                      <w:marBottom w:val="0"/>
                                                      <w:divBdr>
                                                        <w:top w:val="none" w:sz="0" w:space="0" w:color="auto"/>
                                                        <w:left w:val="none" w:sz="0" w:space="0" w:color="auto"/>
                                                        <w:bottom w:val="none" w:sz="0" w:space="0" w:color="auto"/>
                                                        <w:right w:val="none" w:sz="0" w:space="0" w:color="auto"/>
                                                      </w:divBdr>
                                                      <w:divsChild>
                                                        <w:div w:id="1562709260">
                                                          <w:marLeft w:val="0"/>
                                                          <w:marRight w:val="0"/>
                                                          <w:marTop w:val="0"/>
                                                          <w:marBottom w:val="0"/>
                                                          <w:divBdr>
                                                            <w:top w:val="none" w:sz="0" w:space="0" w:color="auto"/>
                                                            <w:left w:val="none" w:sz="0" w:space="0" w:color="auto"/>
                                                            <w:bottom w:val="none" w:sz="0" w:space="0" w:color="auto"/>
                                                            <w:right w:val="none" w:sz="0" w:space="0" w:color="auto"/>
                                                          </w:divBdr>
                                                          <w:divsChild>
                                                            <w:div w:id="9113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1228396">
      <w:bodyDiv w:val="1"/>
      <w:marLeft w:val="0"/>
      <w:marRight w:val="0"/>
      <w:marTop w:val="0"/>
      <w:marBottom w:val="0"/>
      <w:divBdr>
        <w:top w:val="none" w:sz="0" w:space="0" w:color="auto"/>
        <w:left w:val="none" w:sz="0" w:space="0" w:color="auto"/>
        <w:bottom w:val="none" w:sz="0" w:space="0" w:color="auto"/>
        <w:right w:val="none" w:sz="0" w:space="0" w:color="auto"/>
      </w:divBdr>
      <w:divsChild>
        <w:div w:id="1498036025">
          <w:marLeft w:val="0"/>
          <w:marRight w:val="0"/>
          <w:marTop w:val="322"/>
          <w:marBottom w:val="0"/>
          <w:divBdr>
            <w:top w:val="none" w:sz="0" w:space="0" w:color="auto"/>
            <w:left w:val="none" w:sz="0" w:space="0" w:color="auto"/>
            <w:bottom w:val="none" w:sz="0" w:space="0" w:color="auto"/>
            <w:right w:val="none" w:sz="0" w:space="0" w:color="auto"/>
          </w:divBdr>
          <w:divsChild>
            <w:div w:id="792939948">
              <w:marLeft w:val="0"/>
              <w:marRight w:val="0"/>
              <w:marTop w:val="0"/>
              <w:marBottom w:val="0"/>
              <w:divBdr>
                <w:top w:val="single" w:sz="4" w:space="0" w:color="7F7F7F"/>
                <w:left w:val="single" w:sz="4" w:space="0" w:color="7F7F7F"/>
                <w:bottom w:val="single" w:sz="4" w:space="0" w:color="7F7F7F"/>
                <w:right w:val="single" w:sz="4" w:space="0" w:color="7F7F7F"/>
              </w:divBdr>
              <w:divsChild>
                <w:div w:id="26227133">
                  <w:marLeft w:val="0"/>
                  <w:marRight w:val="0"/>
                  <w:marTop w:val="0"/>
                  <w:marBottom w:val="0"/>
                  <w:divBdr>
                    <w:top w:val="none" w:sz="0" w:space="0" w:color="auto"/>
                    <w:left w:val="none" w:sz="0" w:space="0" w:color="016585"/>
                    <w:bottom w:val="none" w:sz="0" w:space="0" w:color="auto"/>
                    <w:right w:val="none" w:sz="0" w:space="0" w:color="FFFFFF"/>
                  </w:divBdr>
                  <w:divsChild>
                    <w:div w:id="333385946">
                      <w:marLeft w:val="0"/>
                      <w:marRight w:val="0"/>
                      <w:marTop w:val="0"/>
                      <w:marBottom w:val="0"/>
                      <w:divBdr>
                        <w:top w:val="none" w:sz="0" w:space="0" w:color="auto"/>
                        <w:left w:val="none" w:sz="0" w:space="0" w:color="auto"/>
                        <w:bottom w:val="none" w:sz="0" w:space="0" w:color="auto"/>
                        <w:right w:val="none" w:sz="0" w:space="0" w:color="auto"/>
                      </w:divBdr>
                      <w:divsChild>
                        <w:div w:id="1011882503">
                          <w:marLeft w:val="0"/>
                          <w:marRight w:val="0"/>
                          <w:marTop w:val="0"/>
                          <w:marBottom w:val="0"/>
                          <w:divBdr>
                            <w:top w:val="none" w:sz="0" w:space="0" w:color="auto"/>
                            <w:left w:val="none" w:sz="0" w:space="0" w:color="auto"/>
                            <w:bottom w:val="none" w:sz="0" w:space="0" w:color="auto"/>
                            <w:right w:val="none" w:sz="0" w:space="0" w:color="auto"/>
                          </w:divBdr>
                          <w:divsChild>
                            <w:div w:id="762458604">
                              <w:marLeft w:val="0"/>
                              <w:marRight w:val="0"/>
                              <w:marTop w:val="0"/>
                              <w:marBottom w:val="0"/>
                              <w:divBdr>
                                <w:top w:val="none" w:sz="0" w:space="0" w:color="auto"/>
                                <w:left w:val="none" w:sz="0" w:space="0" w:color="auto"/>
                                <w:bottom w:val="none" w:sz="0" w:space="0" w:color="auto"/>
                                <w:right w:val="none" w:sz="0" w:space="0" w:color="auto"/>
                              </w:divBdr>
                              <w:divsChild>
                                <w:div w:id="98334769">
                                  <w:marLeft w:val="0"/>
                                  <w:marRight w:val="0"/>
                                  <w:marTop w:val="0"/>
                                  <w:marBottom w:val="0"/>
                                  <w:divBdr>
                                    <w:top w:val="none" w:sz="0" w:space="0" w:color="auto"/>
                                    <w:left w:val="none" w:sz="0" w:space="0" w:color="auto"/>
                                    <w:bottom w:val="single" w:sz="4" w:space="0" w:color="E1E5B8"/>
                                    <w:right w:val="none" w:sz="0" w:space="0" w:color="auto"/>
                                  </w:divBdr>
                                  <w:divsChild>
                                    <w:div w:id="449476076">
                                      <w:marLeft w:val="0"/>
                                      <w:marRight w:val="0"/>
                                      <w:marTop w:val="0"/>
                                      <w:marBottom w:val="0"/>
                                      <w:divBdr>
                                        <w:top w:val="none" w:sz="0" w:space="0" w:color="auto"/>
                                        <w:left w:val="none" w:sz="0" w:space="0" w:color="auto"/>
                                        <w:bottom w:val="none" w:sz="0" w:space="0" w:color="auto"/>
                                        <w:right w:val="none" w:sz="0" w:space="0" w:color="auto"/>
                                      </w:divBdr>
                                      <w:divsChild>
                                        <w:div w:id="6522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353942">
      <w:bodyDiv w:val="1"/>
      <w:marLeft w:val="0"/>
      <w:marRight w:val="0"/>
      <w:marTop w:val="0"/>
      <w:marBottom w:val="0"/>
      <w:divBdr>
        <w:top w:val="none" w:sz="0" w:space="0" w:color="auto"/>
        <w:left w:val="none" w:sz="0" w:space="0" w:color="auto"/>
        <w:bottom w:val="none" w:sz="0" w:space="0" w:color="auto"/>
        <w:right w:val="none" w:sz="0" w:space="0" w:color="auto"/>
      </w:divBdr>
      <w:divsChild>
        <w:div w:id="1901095601">
          <w:marLeft w:val="0"/>
          <w:marRight w:val="0"/>
          <w:marTop w:val="0"/>
          <w:marBottom w:val="0"/>
          <w:divBdr>
            <w:top w:val="none" w:sz="0" w:space="0" w:color="auto"/>
            <w:left w:val="none" w:sz="0" w:space="0" w:color="auto"/>
            <w:bottom w:val="none" w:sz="0" w:space="0" w:color="auto"/>
            <w:right w:val="none" w:sz="0" w:space="0" w:color="auto"/>
          </w:divBdr>
          <w:divsChild>
            <w:div w:id="2074229687">
              <w:marLeft w:val="0"/>
              <w:marRight w:val="0"/>
              <w:marTop w:val="0"/>
              <w:marBottom w:val="0"/>
              <w:divBdr>
                <w:top w:val="none" w:sz="0" w:space="0" w:color="auto"/>
                <w:left w:val="none" w:sz="0" w:space="0" w:color="auto"/>
                <w:bottom w:val="none" w:sz="0" w:space="0" w:color="auto"/>
                <w:right w:val="none" w:sz="0" w:space="0" w:color="auto"/>
              </w:divBdr>
              <w:divsChild>
                <w:div w:id="382606027">
                  <w:marLeft w:val="0"/>
                  <w:marRight w:val="0"/>
                  <w:marTop w:val="0"/>
                  <w:marBottom w:val="0"/>
                  <w:divBdr>
                    <w:top w:val="none" w:sz="0" w:space="0" w:color="auto"/>
                    <w:left w:val="none" w:sz="0" w:space="0" w:color="auto"/>
                    <w:bottom w:val="none" w:sz="0" w:space="0" w:color="auto"/>
                    <w:right w:val="none" w:sz="0" w:space="0" w:color="auto"/>
                  </w:divBdr>
                  <w:divsChild>
                    <w:div w:id="1503277137">
                      <w:marLeft w:val="0"/>
                      <w:marRight w:val="0"/>
                      <w:marTop w:val="0"/>
                      <w:marBottom w:val="0"/>
                      <w:divBdr>
                        <w:top w:val="none" w:sz="0" w:space="0" w:color="auto"/>
                        <w:left w:val="none" w:sz="0" w:space="0" w:color="auto"/>
                        <w:bottom w:val="none" w:sz="0" w:space="0" w:color="auto"/>
                        <w:right w:val="none" w:sz="0" w:space="0" w:color="auto"/>
                      </w:divBdr>
                      <w:divsChild>
                        <w:div w:id="405804940">
                          <w:marLeft w:val="0"/>
                          <w:marRight w:val="0"/>
                          <w:marTop w:val="0"/>
                          <w:marBottom w:val="0"/>
                          <w:divBdr>
                            <w:top w:val="none" w:sz="0" w:space="0" w:color="auto"/>
                            <w:left w:val="none" w:sz="0" w:space="0" w:color="auto"/>
                            <w:bottom w:val="none" w:sz="0" w:space="0" w:color="auto"/>
                            <w:right w:val="none" w:sz="0" w:space="0" w:color="auto"/>
                          </w:divBdr>
                          <w:divsChild>
                            <w:div w:id="2127775676">
                              <w:marLeft w:val="0"/>
                              <w:marRight w:val="0"/>
                              <w:marTop w:val="0"/>
                              <w:marBottom w:val="0"/>
                              <w:divBdr>
                                <w:top w:val="none" w:sz="0" w:space="0" w:color="auto"/>
                                <w:left w:val="none" w:sz="0" w:space="0" w:color="auto"/>
                                <w:bottom w:val="none" w:sz="0" w:space="0" w:color="auto"/>
                                <w:right w:val="none" w:sz="0" w:space="0" w:color="auto"/>
                              </w:divBdr>
                              <w:divsChild>
                                <w:div w:id="430666436">
                                  <w:marLeft w:val="0"/>
                                  <w:marRight w:val="0"/>
                                  <w:marTop w:val="0"/>
                                  <w:marBottom w:val="0"/>
                                  <w:divBdr>
                                    <w:top w:val="none" w:sz="0" w:space="0" w:color="auto"/>
                                    <w:left w:val="none" w:sz="0" w:space="0" w:color="auto"/>
                                    <w:bottom w:val="none" w:sz="0" w:space="0" w:color="auto"/>
                                    <w:right w:val="none" w:sz="0" w:space="0" w:color="auto"/>
                                  </w:divBdr>
                                  <w:divsChild>
                                    <w:div w:id="588782368">
                                      <w:marLeft w:val="0"/>
                                      <w:marRight w:val="0"/>
                                      <w:marTop w:val="0"/>
                                      <w:marBottom w:val="0"/>
                                      <w:divBdr>
                                        <w:top w:val="none" w:sz="0" w:space="0" w:color="auto"/>
                                        <w:left w:val="none" w:sz="0" w:space="0" w:color="auto"/>
                                        <w:bottom w:val="none" w:sz="0" w:space="0" w:color="auto"/>
                                        <w:right w:val="none" w:sz="0" w:space="0" w:color="auto"/>
                                      </w:divBdr>
                                      <w:divsChild>
                                        <w:div w:id="1508403241">
                                          <w:marLeft w:val="0"/>
                                          <w:marRight w:val="0"/>
                                          <w:marTop w:val="0"/>
                                          <w:marBottom w:val="0"/>
                                          <w:divBdr>
                                            <w:top w:val="none" w:sz="0" w:space="0" w:color="auto"/>
                                            <w:left w:val="none" w:sz="0" w:space="0" w:color="auto"/>
                                            <w:bottom w:val="none" w:sz="0" w:space="0" w:color="auto"/>
                                            <w:right w:val="none" w:sz="0" w:space="0" w:color="auto"/>
                                          </w:divBdr>
                                          <w:divsChild>
                                            <w:div w:id="804011582">
                                              <w:marLeft w:val="0"/>
                                              <w:marRight w:val="0"/>
                                              <w:marTop w:val="0"/>
                                              <w:marBottom w:val="0"/>
                                              <w:divBdr>
                                                <w:top w:val="none" w:sz="0" w:space="0" w:color="auto"/>
                                                <w:left w:val="none" w:sz="0" w:space="0" w:color="auto"/>
                                                <w:bottom w:val="none" w:sz="0" w:space="0" w:color="auto"/>
                                                <w:right w:val="none" w:sz="0" w:space="0" w:color="auto"/>
                                              </w:divBdr>
                                              <w:divsChild>
                                                <w:div w:id="397019068">
                                                  <w:marLeft w:val="0"/>
                                                  <w:marRight w:val="0"/>
                                                  <w:marTop w:val="0"/>
                                                  <w:marBottom w:val="0"/>
                                                  <w:divBdr>
                                                    <w:top w:val="none" w:sz="0" w:space="0" w:color="auto"/>
                                                    <w:left w:val="none" w:sz="0" w:space="0" w:color="auto"/>
                                                    <w:bottom w:val="none" w:sz="0" w:space="0" w:color="auto"/>
                                                    <w:right w:val="none" w:sz="0" w:space="0" w:color="auto"/>
                                                  </w:divBdr>
                                                  <w:divsChild>
                                                    <w:div w:id="16935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norden.org/en/about-nordic-co-operation/areas-of-co-operation/disabilities/people-with-disabilities" TargetMode="External"/><Relationship Id="rId4" Type="http://schemas.microsoft.com/office/2007/relationships/stylesWithEffects" Target="stylesWithEffects.xml"/><Relationship Id="rId9" Type="http://schemas.openxmlformats.org/officeDocument/2006/relationships/hyperlink" Target="http://www.regjeringen.no/pages/35160671/AD_Jobbstrategi_ENGELSK.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818948-F71C-4378-ABD2-C56386EB0B24}"/>
</file>

<file path=customXml/itemProps2.xml><?xml version="1.0" encoding="utf-8"?>
<ds:datastoreItem xmlns:ds="http://schemas.openxmlformats.org/officeDocument/2006/customXml" ds:itemID="{F8D6C01E-8D66-4AC0-991A-F808EDCC00E3}"/>
</file>

<file path=customXml/itemProps3.xml><?xml version="1.0" encoding="utf-8"?>
<ds:datastoreItem xmlns:ds="http://schemas.openxmlformats.org/officeDocument/2006/customXml" ds:itemID="{BD8C6744-BD95-4030-B18A-5B624BAC83FB}"/>
</file>

<file path=customXml/itemProps4.xml><?xml version="1.0" encoding="utf-8"?>
<ds:datastoreItem xmlns:ds="http://schemas.openxmlformats.org/officeDocument/2006/customXml" ds:itemID="{35F3C099-1442-4E13-A3AB-1F6A4EA2CF4B}"/>
</file>

<file path=docProps/app.xml><?xml version="1.0" encoding="utf-8"?>
<Properties xmlns="http://schemas.openxmlformats.org/officeDocument/2006/extended-properties" xmlns:vt="http://schemas.openxmlformats.org/officeDocument/2006/docPropsVTypes">
  <Template>Normal</Template>
  <TotalTime>1</TotalTime>
  <Pages>10</Pages>
  <Words>4580</Words>
  <Characters>26107</Characters>
  <Application>Microsoft Office Word</Application>
  <DocSecurity>0</DocSecurity>
  <Lines>217</Lines>
  <Paragraphs>61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STATEN</Company>
  <LinksUpToDate>false</LinksUpToDate>
  <CharactersWithSpaces>30626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Kjerstin Hartløv</dc:creator>
  <cp:lastModifiedBy>Krista Maria Orama</cp:lastModifiedBy>
  <cp:revision>2</cp:revision>
  <cp:lastPrinted>2012-08-09T10:39:00Z</cp:lastPrinted>
  <dcterms:created xsi:type="dcterms:W3CDTF">2012-08-14T14:41:00Z</dcterms:created>
  <dcterms:modified xsi:type="dcterms:W3CDTF">2012-08-14T14:41:00Z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1099000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