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1C9F1" w14:textId="196FF9CE" w:rsidR="008B384D" w:rsidRDefault="00B72740" w:rsidP="008B384D">
      <w:pPr>
        <w:jc w:val="center"/>
        <w:rPr>
          <w:rFonts w:ascii="MetaPro-Norm" w:hAnsi="MetaPro-Norm"/>
          <w:b/>
          <w:bCs/>
        </w:rPr>
      </w:pPr>
      <w:r>
        <w:rPr>
          <w:rFonts w:ascii="MetaPro-Norm" w:hAnsi="MetaPro-Norm"/>
          <w:b/>
          <w:bCs/>
          <w:noProof/>
          <w:lang w:eastAsia="en-GB"/>
        </w:rPr>
        <w:drawing>
          <wp:inline distT="0" distB="0" distL="0" distR="0" wp14:anchorId="6966FB00" wp14:editId="6A793540">
            <wp:extent cx="914400" cy="91440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05A019C0" w14:textId="1C46B369" w:rsidR="0020323C" w:rsidRPr="00625170" w:rsidRDefault="00F045F5" w:rsidP="00F045F5">
      <w:pPr>
        <w:jc w:val="center"/>
        <w:rPr>
          <w:rFonts w:ascii="MetaPro-Norm" w:hAnsi="MetaPro-Norm"/>
          <w:b/>
          <w:bCs/>
          <w:sz w:val="24"/>
          <w:szCs w:val="24"/>
        </w:rPr>
      </w:pPr>
      <w:r w:rsidRPr="00625170">
        <w:rPr>
          <w:rFonts w:ascii="MetaPro-Norm" w:hAnsi="MetaPro-Norm"/>
          <w:b/>
          <w:bCs/>
          <w:sz w:val="24"/>
          <w:szCs w:val="24"/>
        </w:rPr>
        <w:t xml:space="preserve">Human Rights Watch submission </w:t>
      </w:r>
      <w:r w:rsidR="00554938" w:rsidRPr="00625170">
        <w:rPr>
          <w:rFonts w:ascii="MetaPro-Norm" w:hAnsi="MetaPro-Norm"/>
          <w:b/>
          <w:bCs/>
          <w:sz w:val="24"/>
          <w:szCs w:val="24"/>
        </w:rPr>
        <w:t>to</w:t>
      </w:r>
      <w:r w:rsidRPr="00625170">
        <w:rPr>
          <w:rFonts w:ascii="MetaPro-Norm" w:hAnsi="MetaPro-Norm"/>
          <w:b/>
          <w:bCs/>
          <w:sz w:val="24"/>
          <w:szCs w:val="24"/>
        </w:rPr>
        <w:t xml:space="preserve"> the </w:t>
      </w:r>
      <w:r w:rsidR="00ED6EC5" w:rsidRPr="00625170">
        <w:rPr>
          <w:rFonts w:ascii="MetaPro-Norm" w:hAnsi="MetaPro-Norm"/>
          <w:b/>
          <w:bCs/>
          <w:sz w:val="24"/>
          <w:szCs w:val="24"/>
        </w:rPr>
        <w:t xml:space="preserve">UN </w:t>
      </w:r>
      <w:r w:rsidRPr="00625170">
        <w:rPr>
          <w:rFonts w:ascii="MetaPro-Norm" w:hAnsi="MetaPro-Norm"/>
          <w:b/>
          <w:bCs/>
          <w:sz w:val="24"/>
          <w:szCs w:val="24"/>
        </w:rPr>
        <w:t xml:space="preserve">Special Rapporteur on the </w:t>
      </w:r>
      <w:r w:rsidR="00A6092E">
        <w:rPr>
          <w:rFonts w:ascii="MetaPro-Norm" w:hAnsi="MetaPro-Norm"/>
          <w:b/>
          <w:bCs/>
          <w:sz w:val="24"/>
          <w:szCs w:val="24"/>
        </w:rPr>
        <w:t>r</w:t>
      </w:r>
      <w:r w:rsidRPr="00625170">
        <w:rPr>
          <w:rFonts w:ascii="MetaPro-Norm" w:hAnsi="MetaPro-Norm"/>
          <w:b/>
          <w:bCs/>
          <w:sz w:val="24"/>
          <w:szCs w:val="24"/>
        </w:rPr>
        <w:t xml:space="preserve">ight to </w:t>
      </w:r>
      <w:r w:rsidR="00A6092E">
        <w:rPr>
          <w:rFonts w:ascii="MetaPro-Norm" w:hAnsi="MetaPro-Norm"/>
          <w:b/>
          <w:bCs/>
          <w:sz w:val="24"/>
          <w:szCs w:val="24"/>
        </w:rPr>
        <w:t>e</w:t>
      </w:r>
      <w:r w:rsidRPr="00625170">
        <w:rPr>
          <w:rFonts w:ascii="MetaPro-Norm" w:hAnsi="MetaPro-Norm"/>
          <w:b/>
          <w:bCs/>
          <w:sz w:val="24"/>
          <w:szCs w:val="24"/>
        </w:rPr>
        <w:t xml:space="preserve">ducation’s consultation on the cultural dimension of the right to education </w:t>
      </w:r>
    </w:p>
    <w:p w14:paraId="445535A9" w14:textId="77777777" w:rsidR="00251E56" w:rsidRDefault="00251E56" w:rsidP="00F045F5">
      <w:pPr>
        <w:rPr>
          <w:rFonts w:ascii="MetaPro-Norm" w:hAnsi="MetaPro-Norm"/>
        </w:rPr>
      </w:pPr>
    </w:p>
    <w:p w14:paraId="2880F655" w14:textId="4676DD97" w:rsidR="00C8491E" w:rsidRDefault="00F2285F" w:rsidP="00F045F5">
      <w:pPr>
        <w:rPr>
          <w:rFonts w:ascii="MetaPro-Norm" w:hAnsi="MetaPro-Norm"/>
        </w:rPr>
      </w:pPr>
      <w:r>
        <w:rPr>
          <w:rFonts w:ascii="MetaPro-Norm" w:hAnsi="MetaPro-Norm"/>
        </w:rPr>
        <w:t xml:space="preserve">Human Rights Watch </w:t>
      </w:r>
      <w:r w:rsidR="00153F2D">
        <w:rPr>
          <w:rFonts w:ascii="MetaPro-Norm" w:hAnsi="MetaPro-Norm"/>
        </w:rPr>
        <w:t>welcomes the Special Rapporteur</w:t>
      </w:r>
      <w:r w:rsidR="00EE6DE9">
        <w:rPr>
          <w:rFonts w:ascii="MetaPro-Norm" w:hAnsi="MetaPro-Norm"/>
        </w:rPr>
        <w:t xml:space="preserve"> on</w:t>
      </w:r>
      <w:r w:rsidR="0036012E">
        <w:rPr>
          <w:rFonts w:ascii="MetaPro-Norm" w:hAnsi="MetaPro-Norm"/>
        </w:rPr>
        <w:t xml:space="preserve"> the right to</w:t>
      </w:r>
      <w:r w:rsidR="00EE6DE9">
        <w:rPr>
          <w:rFonts w:ascii="MetaPro-Norm" w:hAnsi="MetaPro-Norm"/>
        </w:rPr>
        <w:t xml:space="preserve"> </w:t>
      </w:r>
      <w:r w:rsidR="00554938">
        <w:rPr>
          <w:rFonts w:ascii="MetaPro-Norm" w:hAnsi="MetaPro-Norm"/>
        </w:rPr>
        <w:t>e</w:t>
      </w:r>
      <w:r w:rsidR="00EE6DE9">
        <w:rPr>
          <w:rFonts w:ascii="MetaPro-Norm" w:hAnsi="MetaPro-Norm"/>
        </w:rPr>
        <w:t xml:space="preserve">ducation’s consultation on the </w:t>
      </w:r>
      <w:r w:rsidR="00B5377E">
        <w:rPr>
          <w:rFonts w:ascii="MetaPro-Norm" w:hAnsi="MetaPro-Norm"/>
        </w:rPr>
        <w:t>cultural dimension of the right to education.</w:t>
      </w:r>
      <w:r w:rsidR="00D71D67">
        <w:rPr>
          <w:rFonts w:ascii="MetaPro-Norm" w:hAnsi="MetaPro-Norm"/>
        </w:rPr>
        <w:t xml:space="preserve"> </w:t>
      </w:r>
    </w:p>
    <w:p w14:paraId="1F6034FB" w14:textId="60FC15CA" w:rsidR="00E27AD6" w:rsidRDefault="00C8491E" w:rsidP="00F045F5">
      <w:pPr>
        <w:rPr>
          <w:rFonts w:ascii="MetaPro-Norm" w:hAnsi="MetaPro-Norm"/>
        </w:rPr>
      </w:pPr>
      <w:r>
        <w:rPr>
          <w:rFonts w:ascii="MetaPro-Norm" w:hAnsi="MetaPro-Norm"/>
        </w:rPr>
        <w:t>This submission</w:t>
      </w:r>
      <w:r w:rsidR="000712EB">
        <w:rPr>
          <w:rFonts w:ascii="MetaPro-Norm" w:hAnsi="MetaPro-Norm"/>
        </w:rPr>
        <w:t xml:space="preserve"> </w:t>
      </w:r>
      <w:r w:rsidR="00F045F5" w:rsidRPr="00171DCB">
        <w:rPr>
          <w:rFonts w:ascii="MetaPro-Norm" w:hAnsi="MetaPro-Norm"/>
        </w:rPr>
        <w:t xml:space="preserve">is based </w:t>
      </w:r>
      <w:r w:rsidR="00D8266C" w:rsidRPr="00171DCB">
        <w:rPr>
          <w:rFonts w:ascii="MetaPro-Norm" w:hAnsi="MetaPro-Norm"/>
        </w:rPr>
        <w:t xml:space="preserve">on </w:t>
      </w:r>
      <w:r w:rsidR="00D8266C">
        <w:rPr>
          <w:rFonts w:ascii="MetaPro-Norm" w:hAnsi="MetaPro-Norm"/>
        </w:rPr>
        <w:t>research</w:t>
      </w:r>
      <w:r w:rsidR="00D71048">
        <w:rPr>
          <w:rFonts w:ascii="MetaPro-Norm" w:hAnsi="MetaPro-Norm"/>
        </w:rPr>
        <w:t xml:space="preserve"> and analysis</w:t>
      </w:r>
      <w:r w:rsidR="00D8266C">
        <w:rPr>
          <w:rFonts w:ascii="MetaPro-Norm" w:hAnsi="MetaPro-Norm"/>
        </w:rPr>
        <w:t xml:space="preserve"> conducted by Human Rights Watch on </w:t>
      </w:r>
      <w:r w:rsidR="00D8266C" w:rsidRPr="00171DCB">
        <w:rPr>
          <w:rFonts w:ascii="MetaPro-Norm" w:hAnsi="MetaPro-Norm"/>
        </w:rPr>
        <w:t>discrimination</w:t>
      </w:r>
      <w:r w:rsidR="00D8266C">
        <w:rPr>
          <w:rFonts w:ascii="MetaPro-Norm" w:hAnsi="MetaPro-Norm"/>
        </w:rPr>
        <w:t xml:space="preserve"> against </w:t>
      </w:r>
      <w:r w:rsidR="00D8266C" w:rsidRPr="00171DCB">
        <w:rPr>
          <w:rFonts w:ascii="MetaPro-Norm" w:hAnsi="MetaPro-Norm"/>
        </w:rPr>
        <w:t>groups of children and adolescents</w:t>
      </w:r>
      <w:r w:rsidR="00D8266C">
        <w:rPr>
          <w:rFonts w:ascii="MetaPro-Norm" w:hAnsi="MetaPro-Norm"/>
        </w:rPr>
        <w:t xml:space="preserve"> within many education systems</w:t>
      </w:r>
      <w:r w:rsidR="00E07857">
        <w:rPr>
          <w:rFonts w:ascii="MetaPro-Norm" w:hAnsi="MetaPro-Norm"/>
        </w:rPr>
        <w:t>, often in the name of culture or tradition</w:t>
      </w:r>
      <w:r w:rsidR="00634C78">
        <w:rPr>
          <w:rFonts w:ascii="MetaPro-Norm" w:hAnsi="MetaPro-Norm"/>
        </w:rPr>
        <w:t xml:space="preserve">, </w:t>
      </w:r>
      <w:r w:rsidR="00F045F5" w:rsidRPr="00171DCB">
        <w:rPr>
          <w:rFonts w:ascii="MetaPro-Norm" w:hAnsi="MetaPro-Norm"/>
        </w:rPr>
        <w:t xml:space="preserve">including on </w:t>
      </w:r>
      <w:r w:rsidR="006E4EB3">
        <w:rPr>
          <w:rFonts w:ascii="MetaPro-Norm" w:hAnsi="MetaPro-Norm"/>
        </w:rPr>
        <w:t>barriers to mother</w:t>
      </w:r>
      <w:r w:rsidR="00554938">
        <w:rPr>
          <w:rFonts w:ascii="MetaPro-Norm" w:hAnsi="MetaPro-Norm"/>
        </w:rPr>
        <w:t>-</w:t>
      </w:r>
      <w:r w:rsidR="006E4EB3">
        <w:rPr>
          <w:rFonts w:ascii="MetaPro-Norm" w:hAnsi="MetaPro-Norm"/>
        </w:rPr>
        <w:t xml:space="preserve">tongue education, </w:t>
      </w:r>
      <w:r w:rsidR="0077230B">
        <w:rPr>
          <w:rFonts w:ascii="MetaPro-Norm" w:hAnsi="MetaPro-Norm"/>
        </w:rPr>
        <w:t xml:space="preserve">discrimination against </w:t>
      </w:r>
      <w:r w:rsidR="00B25E0B">
        <w:rPr>
          <w:rFonts w:ascii="MetaPro-Norm" w:hAnsi="MetaPro-Norm"/>
        </w:rPr>
        <w:t xml:space="preserve">girls </w:t>
      </w:r>
      <w:r w:rsidR="0077230B">
        <w:rPr>
          <w:rFonts w:ascii="MetaPro-Norm" w:hAnsi="MetaPro-Norm"/>
        </w:rPr>
        <w:t xml:space="preserve">and bullying of </w:t>
      </w:r>
      <w:r w:rsidR="00026298">
        <w:rPr>
          <w:rFonts w:ascii="MetaPro-Norm" w:hAnsi="MetaPro-Norm"/>
        </w:rPr>
        <w:t>lesbian, gay, bisexual and transgender (</w:t>
      </w:r>
      <w:r w:rsidR="00F045F5" w:rsidRPr="00171DCB">
        <w:rPr>
          <w:rFonts w:ascii="MetaPro-Norm" w:hAnsi="MetaPro-Norm"/>
        </w:rPr>
        <w:t>LGBT</w:t>
      </w:r>
      <w:r w:rsidR="00026298">
        <w:rPr>
          <w:rFonts w:ascii="MetaPro-Norm" w:hAnsi="MetaPro-Norm"/>
        </w:rPr>
        <w:t>)</w:t>
      </w:r>
      <w:r w:rsidR="00F045F5" w:rsidRPr="00171DCB">
        <w:rPr>
          <w:rFonts w:ascii="MetaPro-Norm" w:hAnsi="MetaPro-Norm"/>
        </w:rPr>
        <w:t xml:space="preserve"> </w:t>
      </w:r>
      <w:r w:rsidR="0077230B">
        <w:rPr>
          <w:rFonts w:ascii="MetaPro-Norm" w:hAnsi="MetaPro-Norm"/>
        </w:rPr>
        <w:t>children and young adults</w:t>
      </w:r>
      <w:r w:rsidR="00F045F5" w:rsidRPr="00171DCB">
        <w:rPr>
          <w:rFonts w:ascii="MetaPro-Norm" w:hAnsi="MetaPro-Norm"/>
        </w:rPr>
        <w:t xml:space="preserve">, </w:t>
      </w:r>
      <w:r w:rsidR="005A77C9">
        <w:rPr>
          <w:rFonts w:ascii="MetaPro-Norm" w:hAnsi="MetaPro-Norm"/>
        </w:rPr>
        <w:t>and</w:t>
      </w:r>
      <w:r w:rsidR="006E4EB3">
        <w:rPr>
          <w:rFonts w:ascii="MetaPro-Norm" w:hAnsi="MetaPro-Norm"/>
        </w:rPr>
        <w:t xml:space="preserve"> </w:t>
      </w:r>
      <w:r w:rsidR="005A57EE">
        <w:rPr>
          <w:rFonts w:ascii="MetaPro-Norm" w:hAnsi="MetaPro-Norm"/>
        </w:rPr>
        <w:t xml:space="preserve">limitations on </w:t>
      </w:r>
      <w:r w:rsidR="005C1846">
        <w:rPr>
          <w:rFonts w:ascii="MetaPro-Norm" w:hAnsi="MetaPro-Norm"/>
        </w:rPr>
        <w:t>comprehensive sexuality education</w:t>
      </w:r>
      <w:r w:rsidR="00F045F5" w:rsidRPr="00171DCB">
        <w:rPr>
          <w:rFonts w:ascii="MetaPro-Norm" w:hAnsi="MetaPro-Norm"/>
        </w:rPr>
        <w:t>.</w:t>
      </w:r>
      <w:r w:rsidR="005A77C9">
        <w:rPr>
          <w:rStyle w:val="FootnoteReference"/>
          <w:rFonts w:ascii="MetaPro-Norm" w:hAnsi="MetaPro-Norm"/>
        </w:rPr>
        <w:footnoteReference w:id="1"/>
      </w:r>
      <w:r w:rsidR="00F045F5" w:rsidRPr="00171DCB">
        <w:rPr>
          <w:rFonts w:ascii="MetaPro-Norm" w:hAnsi="MetaPro-Norm"/>
        </w:rPr>
        <w:t xml:space="preserve"> </w:t>
      </w:r>
      <w:r>
        <w:rPr>
          <w:rFonts w:ascii="MetaPro-Norm" w:hAnsi="MetaPro-Norm"/>
        </w:rPr>
        <w:t>It</w:t>
      </w:r>
      <w:r w:rsidR="00634C78">
        <w:rPr>
          <w:rFonts w:ascii="MetaPro-Norm" w:hAnsi="MetaPro-Norm"/>
        </w:rPr>
        <w:t xml:space="preserve"> includes </w:t>
      </w:r>
      <w:r w:rsidR="00554938">
        <w:rPr>
          <w:rFonts w:ascii="MetaPro-Norm" w:hAnsi="MetaPro-Norm"/>
        </w:rPr>
        <w:t>information</w:t>
      </w:r>
      <w:r w:rsidR="00273B26">
        <w:rPr>
          <w:rFonts w:ascii="MetaPro-Norm" w:hAnsi="MetaPro-Norm"/>
        </w:rPr>
        <w:t xml:space="preserve"> </w:t>
      </w:r>
      <w:r w:rsidR="00634C78">
        <w:rPr>
          <w:rFonts w:ascii="MetaPro-Norm" w:hAnsi="MetaPro-Norm"/>
        </w:rPr>
        <w:t xml:space="preserve">from </w:t>
      </w:r>
      <w:r w:rsidR="004055DC">
        <w:rPr>
          <w:rFonts w:ascii="MetaPro-Norm" w:hAnsi="MetaPro-Norm"/>
        </w:rPr>
        <w:t>different countries</w:t>
      </w:r>
      <w:r>
        <w:rPr>
          <w:rFonts w:ascii="MetaPro-Norm" w:hAnsi="MetaPro-Norm"/>
        </w:rPr>
        <w:t xml:space="preserve">, based primarily on children’s and young adults’ testimony, </w:t>
      </w:r>
      <w:r w:rsidR="004055DC">
        <w:rPr>
          <w:rFonts w:ascii="MetaPro-Norm" w:hAnsi="MetaPro-Norm"/>
        </w:rPr>
        <w:t>t</w:t>
      </w:r>
      <w:r w:rsidR="00E1082E">
        <w:rPr>
          <w:rFonts w:ascii="MetaPro-Norm" w:hAnsi="MetaPro-Norm"/>
        </w:rPr>
        <w:t xml:space="preserve">o provide the Special Rapporteur on </w:t>
      </w:r>
      <w:r w:rsidR="00554938">
        <w:rPr>
          <w:rFonts w:ascii="MetaPro-Norm" w:hAnsi="MetaPro-Norm"/>
        </w:rPr>
        <w:t>e</w:t>
      </w:r>
      <w:r w:rsidR="00E1082E">
        <w:rPr>
          <w:rFonts w:ascii="MetaPro-Norm" w:hAnsi="MetaPro-Norm"/>
        </w:rPr>
        <w:t xml:space="preserve">ducation with concrete examples of how </w:t>
      </w:r>
      <w:r w:rsidR="00C0204D">
        <w:rPr>
          <w:rFonts w:ascii="MetaPro-Norm" w:hAnsi="MetaPro-Norm"/>
        </w:rPr>
        <w:t xml:space="preserve">various state-endorsed </w:t>
      </w:r>
      <w:r>
        <w:rPr>
          <w:rFonts w:ascii="MetaPro-Norm" w:hAnsi="MetaPro-Norm"/>
        </w:rPr>
        <w:t>interpretations</w:t>
      </w:r>
      <w:r w:rsidR="00C0204D">
        <w:rPr>
          <w:rFonts w:ascii="MetaPro-Norm" w:hAnsi="MetaPro-Norm"/>
        </w:rPr>
        <w:t xml:space="preserve"> of “</w:t>
      </w:r>
      <w:r w:rsidR="00E1082E">
        <w:rPr>
          <w:rFonts w:ascii="MetaPro-Norm" w:hAnsi="MetaPro-Norm"/>
        </w:rPr>
        <w:t xml:space="preserve">cultural </w:t>
      </w:r>
      <w:r>
        <w:rPr>
          <w:rFonts w:ascii="MetaPro-Norm" w:hAnsi="MetaPro-Norm"/>
        </w:rPr>
        <w:t>diversity” and the cultural rights of individuals</w:t>
      </w:r>
      <w:r w:rsidR="00E1082E">
        <w:rPr>
          <w:rFonts w:ascii="MetaPro-Norm" w:hAnsi="MetaPro-Norm"/>
        </w:rPr>
        <w:t xml:space="preserve"> conflict with government’s </w:t>
      </w:r>
      <w:r>
        <w:rPr>
          <w:rFonts w:ascii="MetaPro-Norm" w:hAnsi="MetaPro-Norm"/>
        </w:rPr>
        <w:t xml:space="preserve">international obligations </w:t>
      </w:r>
      <w:r w:rsidR="00E1082E">
        <w:rPr>
          <w:rFonts w:ascii="MetaPro-Norm" w:hAnsi="MetaPro-Norm"/>
        </w:rPr>
        <w:t xml:space="preserve">to </w:t>
      </w:r>
      <w:r w:rsidR="00554938">
        <w:rPr>
          <w:rFonts w:ascii="MetaPro-Norm" w:hAnsi="MetaPro-Norm"/>
        </w:rPr>
        <w:t>ensure</w:t>
      </w:r>
      <w:r w:rsidR="00E1082E">
        <w:rPr>
          <w:rFonts w:ascii="MetaPro-Norm" w:hAnsi="MetaPro-Norm"/>
        </w:rPr>
        <w:t xml:space="preserve"> </w:t>
      </w:r>
      <w:r w:rsidR="007E4A64">
        <w:rPr>
          <w:rFonts w:ascii="MetaPro-Norm" w:hAnsi="MetaPro-Norm"/>
        </w:rPr>
        <w:t>rights to and through education.</w:t>
      </w:r>
    </w:p>
    <w:p w14:paraId="17FAE035" w14:textId="77777777" w:rsidR="00D66B40" w:rsidRPr="00171DCB" w:rsidRDefault="00D66B40" w:rsidP="00F045F5">
      <w:pPr>
        <w:rPr>
          <w:rFonts w:ascii="MetaPro-Norm" w:hAnsi="MetaPro-Norm"/>
        </w:rPr>
      </w:pPr>
    </w:p>
    <w:p w14:paraId="5B18BBCC" w14:textId="5AA28A5C" w:rsidR="00F045F5" w:rsidRPr="0062574E" w:rsidRDefault="0069766C" w:rsidP="0062574E">
      <w:pPr>
        <w:pStyle w:val="ListParagraph"/>
        <w:numPr>
          <w:ilvl w:val="0"/>
          <w:numId w:val="1"/>
        </w:numPr>
        <w:rPr>
          <w:rFonts w:ascii="MetaPro-Norm" w:hAnsi="MetaPro-Norm"/>
          <w:b/>
          <w:bCs/>
        </w:rPr>
      </w:pPr>
      <w:r w:rsidRPr="0062574E">
        <w:rPr>
          <w:rFonts w:ascii="MetaPro-Norm" w:hAnsi="MetaPro-Norm"/>
          <w:b/>
          <w:bCs/>
        </w:rPr>
        <w:t xml:space="preserve">Mother-tongue education </w:t>
      </w:r>
    </w:p>
    <w:p w14:paraId="189F74B6" w14:textId="071381B4" w:rsidR="008638DD" w:rsidRDefault="00734DF8" w:rsidP="00F045F5">
      <w:pPr>
        <w:rPr>
          <w:rFonts w:ascii="MetaPro-Norm" w:hAnsi="MetaPro-Norm"/>
        </w:rPr>
      </w:pPr>
      <w:r>
        <w:rPr>
          <w:rFonts w:ascii="MetaPro-Norm" w:hAnsi="MetaPro-Norm"/>
        </w:rPr>
        <w:t xml:space="preserve">Cultural dimensions of the right to education include the rights of minorities </w:t>
      </w:r>
      <w:r w:rsidR="00CD3A3A">
        <w:rPr>
          <w:rFonts w:ascii="MetaPro-Norm" w:hAnsi="MetaPro-Norm"/>
        </w:rPr>
        <w:t xml:space="preserve">not </w:t>
      </w:r>
      <w:r w:rsidR="00554938">
        <w:rPr>
          <w:rFonts w:ascii="MetaPro-Norm" w:hAnsi="MetaPro-Norm"/>
        </w:rPr>
        <w:t xml:space="preserve">to </w:t>
      </w:r>
      <w:r w:rsidR="00CD3A3A">
        <w:rPr>
          <w:rFonts w:ascii="MetaPro-Norm" w:hAnsi="MetaPro-Norm"/>
        </w:rPr>
        <w:t>be denied thei</w:t>
      </w:r>
      <w:r w:rsidR="003760A3">
        <w:rPr>
          <w:rFonts w:ascii="MetaPro-Norm" w:hAnsi="MetaPro-Norm"/>
        </w:rPr>
        <w:t>r right to use their own language</w:t>
      </w:r>
      <w:r w:rsidR="00826093">
        <w:rPr>
          <w:rFonts w:ascii="MetaPro-Norm" w:hAnsi="MetaPro-Norm"/>
        </w:rPr>
        <w:t xml:space="preserve">. States are </w:t>
      </w:r>
      <w:r w:rsidR="00191DA2">
        <w:rPr>
          <w:rFonts w:ascii="MetaPro-Norm" w:hAnsi="MetaPro-Norm"/>
        </w:rPr>
        <w:t>require</w:t>
      </w:r>
      <w:r w:rsidR="00826093">
        <w:rPr>
          <w:rFonts w:ascii="MetaPro-Norm" w:hAnsi="MetaPro-Norm"/>
        </w:rPr>
        <w:t>d</w:t>
      </w:r>
      <w:r w:rsidR="00191DA2">
        <w:rPr>
          <w:rFonts w:ascii="MetaPro-Norm" w:hAnsi="MetaPro-Norm"/>
        </w:rPr>
        <w:t xml:space="preserve"> to, wherever possible, allow minorities to have adequate opportunities to receive instruction in their mother tongue, as well as to ensure </w:t>
      </w:r>
      <w:r w:rsidR="00191DA2">
        <w:rPr>
          <w:rFonts w:ascii="MetaPro-Norm" w:hAnsi="MetaPro-Norm"/>
        </w:rPr>
        <w:lastRenderedPageBreak/>
        <w:t>that the history, traditions and cultures of minorities are reflected in education</w:t>
      </w:r>
      <w:r>
        <w:rPr>
          <w:rFonts w:ascii="MetaPro-Norm" w:hAnsi="MetaPro-Norm"/>
        </w:rPr>
        <w:t>.</w:t>
      </w:r>
      <w:r w:rsidR="006F5ECD">
        <w:rPr>
          <w:rStyle w:val="FootnoteReference"/>
          <w:rFonts w:ascii="MetaPro-Norm" w:hAnsi="MetaPro-Norm"/>
        </w:rPr>
        <w:footnoteReference w:id="2"/>
      </w:r>
      <w:r w:rsidR="004E14F0">
        <w:rPr>
          <w:rFonts w:ascii="MetaPro-Norm" w:hAnsi="MetaPro-Norm"/>
        </w:rPr>
        <w:t xml:space="preserve"> </w:t>
      </w:r>
      <w:r w:rsidR="004E14F0" w:rsidRPr="004E14F0">
        <w:rPr>
          <w:rFonts w:ascii="MetaPro-Norm" w:hAnsi="MetaPro-Norm"/>
        </w:rPr>
        <w:t xml:space="preserve">International law </w:t>
      </w:r>
      <w:r w:rsidR="004E14F0">
        <w:rPr>
          <w:rFonts w:ascii="MetaPro-Norm" w:hAnsi="MetaPro-Norm"/>
        </w:rPr>
        <w:t xml:space="preserve">also </w:t>
      </w:r>
      <w:r w:rsidR="00554938">
        <w:rPr>
          <w:rFonts w:ascii="MetaPro-Norm" w:hAnsi="MetaPro-Norm"/>
        </w:rPr>
        <w:t>obligates</w:t>
      </w:r>
      <w:r w:rsidR="00175888">
        <w:rPr>
          <w:rFonts w:ascii="MetaPro-Norm" w:hAnsi="MetaPro-Norm"/>
        </w:rPr>
        <w:t xml:space="preserve"> states</w:t>
      </w:r>
      <w:r w:rsidR="00554938" w:rsidRPr="004E14F0">
        <w:rPr>
          <w:rFonts w:ascii="MetaPro-Norm" w:hAnsi="MetaPro-Norm"/>
        </w:rPr>
        <w:t xml:space="preserve"> </w:t>
      </w:r>
      <w:r w:rsidR="00175888" w:rsidRPr="004E14F0">
        <w:rPr>
          <w:rFonts w:ascii="MetaPro-Norm" w:hAnsi="MetaPro-Norm"/>
        </w:rPr>
        <w:t>to give parents the freedom to choose alternative forms of education, and, in the case of those from minority and indigenous communities, to establish their own educational institutions</w:t>
      </w:r>
      <w:r w:rsidR="004E14F0" w:rsidRPr="004E14F0">
        <w:rPr>
          <w:rFonts w:ascii="MetaPro-Norm" w:hAnsi="MetaPro-Norm"/>
        </w:rPr>
        <w:t>.</w:t>
      </w:r>
      <w:r w:rsidR="004E14F0">
        <w:rPr>
          <w:rStyle w:val="FootnoteReference"/>
          <w:rFonts w:ascii="MetaPro-Norm" w:hAnsi="MetaPro-Norm"/>
        </w:rPr>
        <w:footnoteReference w:id="3"/>
      </w:r>
      <w:r w:rsidR="004E14F0" w:rsidRPr="004E14F0">
        <w:rPr>
          <w:rFonts w:ascii="MetaPro-Norm" w:hAnsi="MetaPro-Norm"/>
        </w:rPr>
        <w:t xml:space="preserve"> </w:t>
      </w:r>
      <w:r w:rsidR="005E3839">
        <w:rPr>
          <w:rFonts w:ascii="MetaPro-Norm" w:hAnsi="MetaPro-Norm"/>
        </w:rPr>
        <w:t xml:space="preserve">Although </w:t>
      </w:r>
      <w:r w:rsidR="005E3839" w:rsidRPr="005E3839">
        <w:rPr>
          <w:rFonts w:ascii="MetaPro-Norm" w:hAnsi="MetaPro-Norm"/>
        </w:rPr>
        <w:t>international law expects state</w:t>
      </w:r>
      <w:r w:rsidR="00486CB2">
        <w:rPr>
          <w:rFonts w:ascii="MetaPro-Norm" w:hAnsi="MetaPro-Norm"/>
        </w:rPr>
        <w:t>s to ensure education is directed to</w:t>
      </w:r>
      <w:r w:rsidR="002241EB">
        <w:rPr>
          <w:rFonts w:ascii="MetaPro-Norm" w:hAnsi="MetaPro-Norm"/>
        </w:rPr>
        <w:t xml:space="preserve"> ensure children’s respect fo</w:t>
      </w:r>
      <w:r w:rsidR="006413B1">
        <w:rPr>
          <w:rFonts w:ascii="MetaPro-Norm" w:hAnsi="MetaPro-Norm"/>
        </w:rPr>
        <w:t>r national</w:t>
      </w:r>
      <w:r w:rsidR="005E3839" w:rsidRPr="005E3839">
        <w:rPr>
          <w:rFonts w:ascii="MetaPro-Norm" w:hAnsi="MetaPro-Norm"/>
        </w:rPr>
        <w:t xml:space="preserve"> culture</w:t>
      </w:r>
      <w:r w:rsidR="00D54F57">
        <w:rPr>
          <w:rFonts w:ascii="MetaPro-Norm" w:hAnsi="MetaPro-Norm"/>
        </w:rPr>
        <w:t xml:space="preserve"> and</w:t>
      </w:r>
      <w:r w:rsidR="005E3839" w:rsidRPr="005E3839">
        <w:rPr>
          <w:rFonts w:ascii="MetaPro-Norm" w:hAnsi="MetaPro-Norm"/>
        </w:rPr>
        <w:t xml:space="preserve"> values, </w:t>
      </w:r>
      <w:r w:rsidR="002A4797">
        <w:rPr>
          <w:rFonts w:ascii="MetaPro-Norm" w:hAnsi="MetaPro-Norm"/>
        </w:rPr>
        <w:t>this obligation also includes respect for children’s</w:t>
      </w:r>
      <w:r w:rsidR="005E3839" w:rsidRPr="005E3839">
        <w:rPr>
          <w:rFonts w:ascii="MetaPro-Norm" w:hAnsi="MetaPro-Norm"/>
        </w:rPr>
        <w:t xml:space="preserve"> own cultural identity, language and values.</w:t>
      </w:r>
      <w:r w:rsidR="00652FFE">
        <w:rPr>
          <w:rStyle w:val="FootnoteReference"/>
          <w:rFonts w:ascii="MetaPro-Norm" w:hAnsi="MetaPro-Norm"/>
        </w:rPr>
        <w:footnoteReference w:id="4"/>
      </w:r>
      <w:r w:rsidR="005E3839" w:rsidRPr="005E3839">
        <w:rPr>
          <w:rFonts w:ascii="MetaPro-Norm" w:hAnsi="MetaPro-Norm"/>
        </w:rPr>
        <w:t xml:space="preserve">  </w:t>
      </w:r>
    </w:p>
    <w:p w14:paraId="245FD6CF" w14:textId="1116578B" w:rsidR="00E96926" w:rsidRDefault="009D6529" w:rsidP="00F045F5">
      <w:pPr>
        <w:rPr>
          <w:rFonts w:ascii="MetaPro-Norm" w:hAnsi="MetaPro-Norm"/>
        </w:rPr>
      </w:pPr>
      <w:r>
        <w:rPr>
          <w:rFonts w:ascii="MetaPro-Norm" w:hAnsi="MetaPro-Norm"/>
        </w:rPr>
        <w:t xml:space="preserve">Human Rights Watch conducted research </w:t>
      </w:r>
      <w:r w:rsidR="00BC3EB1">
        <w:rPr>
          <w:rFonts w:ascii="MetaPro-Norm" w:hAnsi="MetaPro-Norm"/>
        </w:rPr>
        <w:t>in the Tibet Autonomous Region (TAR) to document how the</w:t>
      </w:r>
      <w:r w:rsidR="00791500">
        <w:rPr>
          <w:rFonts w:ascii="MetaPro-Norm" w:hAnsi="MetaPro-Norm"/>
        </w:rPr>
        <w:t xml:space="preserve"> Chinese government’s </w:t>
      </w:r>
      <w:r w:rsidR="0035755D">
        <w:rPr>
          <w:rFonts w:ascii="MetaPro-Norm" w:hAnsi="MetaPro-Norm"/>
        </w:rPr>
        <w:t>use of</w:t>
      </w:r>
      <w:r w:rsidR="00FF606D">
        <w:rPr>
          <w:rFonts w:ascii="MetaPro-Norm" w:hAnsi="MetaPro-Norm"/>
        </w:rPr>
        <w:t xml:space="preserve"> education </w:t>
      </w:r>
      <w:r w:rsidR="0035755D">
        <w:rPr>
          <w:rFonts w:ascii="MetaPro-Norm" w:hAnsi="MetaPro-Norm"/>
        </w:rPr>
        <w:t xml:space="preserve">as a tool </w:t>
      </w:r>
      <w:r w:rsidR="00FF606D">
        <w:rPr>
          <w:rFonts w:ascii="MetaPro-Norm" w:hAnsi="MetaPro-Norm"/>
        </w:rPr>
        <w:t xml:space="preserve">to </w:t>
      </w:r>
      <w:r w:rsidR="00A713B6">
        <w:rPr>
          <w:rFonts w:ascii="MetaPro-Norm" w:hAnsi="MetaPro-Norm"/>
        </w:rPr>
        <w:t>assimilate minorities in China</w:t>
      </w:r>
      <w:r w:rsidR="0017047B" w:rsidRPr="0017047B">
        <w:rPr>
          <w:rFonts w:ascii="MetaPro-Norm" w:hAnsi="MetaPro-Norm"/>
        </w:rPr>
        <w:t xml:space="preserve"> </w:t>
      </w:r>
      <w:r w:rsidR="0017047B">
        <w:rPr>
          <w:rFonts w:ascii="MetaPro-Norm" w:hAnsi="MetaPro-Norm"/>
        </w:rPr>
        <w:t>impacts on Tibetan children’s cultural rights</w:t>
      </w:r>
      <w:r w:rsidR="00801992">
        <w:rPr>
          <w:rFonts w:ascii="MetaPro-Norm" w:hAnsi="MetaPro-Norm"/>
        </w:rPr>
        <w:t>, including through education</w:t>
      </w:r>
      <w:r w:rsidR="0017047B">
        <w:rPr>
          <w:rFonts w:ascii="MetaPro-Norm" w:hAnsi="MetaPro-Norm"/>
        </w:rPr>
        <w:t>.</w:t>
      </w:r>
      <w:r w:rsidR="00801992">
        <w:rPr>
          <w:rStyle w:val="FootnoteReference"/>
          <w:rFonts w:ascii="MetaPro-Norm" w:hAnsi="MetaPro-Norm"/>
        </w:rPr>
        <w:footnoteReference w:id="5"/>
      </w:r>
      <w:r w:rsidR="0079305E" w:rsidRPr="00D35E7A">
        <w:rPr>
          <w:rFonts w:ascii="MetaPro-Norm" w:hAnsi="MetaPro-Norm"/>
          <w:highlight w:val="yellow"/>
        </w:rPr>
        <w:t xml:space="preserve"> </w:t>
      </w:r>
    </w:p>
    <w:p w14:paraId="40D4FFAA" w14:textId="40CCCD22" w:rsidR="0069766C" w:rsidRDefault="007E62E2" w:rsidP="00F045F5">
      <w:pPr>
        <w:rPr>
          <w:rFonts w:ascii="MetaPro-Norm" w:hAnsi="MetaPro-Norm"/>
        </w:rPr>
      </w:pPr>
      <w:r w:rsidRPr="009A069E">
        <w:rPr>
          <w:rFonts w:ascii="MetaPro-Norm" w:hAnsi="MetaPro-Norm"/>
        </w:rPr>
        <w:t>Human</w:t>
      </w:r>
      <w:r>
        <w:rPr>
          <w:rFonts w:ascii="MetaPro-Norm" w:hAnsi="MetaPro-Norm"/>
        </w:rPr>
        <w:t xml:space="preserve"> Rights Watch </w:t>
      </w:r>
      <w:r w:rsidR="002D7AD6">
        <w:rPr>
          <w:rFonts w:ascii="MetaPro-Norm" w:hAnsi="MetaPro-Norm"/>
        </w:rPr>
        <w:t xml:space="preserve">found </w:t>
      </w:r>
      <w:r>
        <w:rPr>
          <w:rFonts w:ascii="MetaPro-Norm" w:hAnsi="MetaPro-Norm"/>
        </w:rPr>
        <w:t xml:space="preserve">that </w:t>
      </w:r>
      <w:r w:rsidR="0092583A">
        <w:rPr>
          <w:rFonts w:ascii="MetaPro-Norm" w:hAnsi="MetaPro-Norm"/>
        </w:rPr>
        <w:t>the Chinese government’s</w:t>
      </w:r>
      <w:r w:rsidR="00077105">
        <w:rPr>
          <w:rFonts w:ascii="MetaPro-Norm" w:hAnsi="MetaPro-Norm"/>
        </w:rPr>
        <w:t xml:space="preserve"> education</w:t>
      </w:r>
      <w:r w:rsidR="009E7FD2">
        <w:rPr>
          <w:rFonts w:ascii="MetaPro-Norm" w:hAnsi="MetaPro-Norm"/>
        </w:rPr>
        <w:t xml:space="preserve"> policy</w:t>
      </w:r>
      <w:r w:rsidR="00077105">
        <w:rPr>
          <w:rFonts w:ascii="MetaPro-Norm" w:hAnsi="MetaPro-Norm"/>
        </w:rPr>
        <w:t xml:space="preserve"> is significantly reducing </w:t>
      </w:r>
      <w:r w:rsidR="001954F5">
        <w:rPr>
          <w:rFonts w:ascii="MetaPro-Norm" w:hAnsi="MetaPro-Norm"/>
        </w:rPr>
        <w:t xml:space="preserve">Tibetan children’s </w:t>
      </w:r>
      <w:r w:rsidR="00077105">
        <w:rPr>
          <w:rFonts w:ascii="MetaPro-Norm" w:hAnsi="MetaPro-Norm"/>
        </w:rPr>
        <w:t>access to mother-tongue education</w:t>
      </w:r>
      <w:r w:rsidR="00D33D53">
        <w:rPr>
          <w:rFonts w:ascii="MetaPro-Norm" w:hAnsi="MetaPro-Norm"/>
        </w:rPr>
        <w:t xml:space="preserve"> at all levels of education</w:t>
      </w:r>
      <w:r w:rsidR="00D670C5">
        <w:rPr>
          <w:rFonts w:ascii="MetaPro-Norm" w:hAnsi="MetaPro-Norm"/>
        </w:rPr>
        <w:t>,</w:t>
      </w:r>
      <w:r w:rsidR="000C69C5" w:rsidRPr="000C69C5">
        <w:rPr>
          <w:rStyle w:val="FootnoteReference"/>
          <w:rFonts w:ascii="MetaPro-Norm" w:hAnsi="MetaPro-Norm"/>
        </w:rPr>
        <w:t xml:space="preserve"> </w:t>
      </w:r>
      <w:r w:rsidR="00D670C5">
        <w:rPr>
          <w:rFonts w:ascii="MetaPro-Norm" w:hAnsi="MetaPro-Norm"/>
        </w:rPr>
        <w:t>including through the limited availability of official textbooks in Tibetan language</w:t>
      </w:r>
      <w:r w:rsidR="00AE4B52">
        <w:rPr>
          <w:rFonts w:ascii="MetaPro-Norm" w:hAnsi="MetaPro-Norm"/>
        </w:rPr>
        <w:t xml:space="preserve"> and </w:t>
      </w:r>
      <w:r w:rsidR="00B6264C">
        <w:rPr>
          <w:rFonts w:ascii="MetaPro-Norm" w:hAnsi="MetaPro-Norm"/>
        </w:rPr>
        <w:t xml:space="preserve">of Tibetan teachers who are hired to teach in </w:t>
      </w:r>
      <w:r w:rsidR="00986C86">
        <w:rPr>
          <w:rFonts w:ascii="MetaPro-Norm" w:hAnsi="MetaPro-Norm"/>
        </w:rPr>
        <w:t xml:space="preserve">government-run </w:t>
      </w:r>
      <w:r w:rsidR="00B6264C">
        <w:rPr>
          <w:rFonts w:ascii="MetaPro-Norm" w:hAnsi="MetaPro-Norm"/>
        </w:rPr>
        <w:t>schools</w:t>
      </w:r>
      <w:r w:rsidR="00AE4B52">
        <w:rPr>
          <w:rFonts w:ascii="MetaPro-Norm" w:hAnsi="MetaPro-Norm"/>
        </w:rPr>
        <w:t xml:space="preserve">. In addition, </w:t>
      </w:r>
      <w:r w:rsidR="00F223FE">
        <w:rPr>
          <w:rFonts w:ascii="MetaPro-Norm" w:hAnsi="MetaPro-Norm"/>
        </w:rPr>
        <w:t>Tibetan-medium private schools–which, in some areas, were the only type of schools where children could learn in their mother tongue</w:t>
      </w:r>
      <w:r w:rsidR="00F2624A">
        <w:rPr>
          <w:rFonts w:ascii="MetaPro-Norm" w:hAnsi="MetaPro-Norm"/>
        </w:rPr>
        <w:t>—have been forcibly closed</w:t>
      </w:r>
      <w:r w:rsidR="00B6264C">
        <w:rPr>
          <w:rFonts w:ascii="MetaPro-Norm" w:hAnsi="MetaPro-Norm"/>
        </w:rPr>
        <w:t>.</w:t>
      </w:r>
      <w:r w:rsidR="000C69C5" w:rsidRPr="000C69C5">
        <w:rPr>
          <w:rStyle w:val="FootnoteReference"/>
          <w:rFonts w:ascii="MetaPro-Norm" w:hAnsi="MetaPro-Norm"/>
        </w:rPr>
        <w:t xml:space="preserve"> </w:t>
      </w:r>
    </w:p>
    <w:p w14:paraId="1717CE76" w14:textId="50A32558" w:rsidR="004E7C3F" w:rsidRPr="00171DCB" w:rsidRDefault="00F9739C" w:rsidP="00F045F5">
      <w:pPr>
        <w:rPr>
          <w:rFonts w:ascii="MetaPro-Norm" w:hAnsi="MetaPro-Norm"/>
        </w:rPr>
      </w:pPr>
      <w:r>
        <w:rPr>
          <w:rFonts w:ascii="MetaPro-Norm" w:hAnsi="MetaPro-Norm"/>
        </w:rPr>
        <w:t xml:space="preserve">In 2019, </w:t>
      </w:r>
      <w:r w:rsidR="002C1DAC">
        <w:rPr>
          <w:rFonts w:ascii="MetaPro-Norm" w:hAnsi="MetaPro-Norm"/>
        </w:rPr>
        <w:t xml:space="preserve">Chinese authorities </w:t>
      </w:r>
      <w:r w:rsidR="00B84BE8">
        <w:rPr>
          <w:rFonts w:ascii="MetaPro-Norm" w:hAnsi="MetaPro-Norm"/>
        </w:rPr>
        <w:t>in Qin</w:t>
      </w:r>
      <w:r w:rsidR="000543E4">
        <w:rPr>
          <w:rFonts w:ascii="MetaPro-Norm" w:hAnsi="MetaPro-Norm"/>
        </w:rPr>
        <w:t>g</w:t>
      </w:r>
      <w:r w:rsidR="00B84BE8">
        <w:rPr>
          <w:rFonts w:ascii="MetaPro-Norm" w:hAnsi="MetaPro-Norm"/>
        </w:rPr>
        <w:t xml:space="preserve">hai province </w:t>
      </w:r>
      <w:r w:rsidR="00581F0E">
        <w:rPr>
          <w:rFonts w:ascii="MetaPro-Norm" w:hAnsi="MetaPro-Norm"/>
        </w:rPr>
        <w:t xml:space="preserve">banned Tibetan children </w:t>
      </w:r>
      <w:r w:rsidR="00793D53">
        <w:rPr>
          <w:rFonts w:ascii="MetaPro-Norm" w:hAnsi="MetaPro-Norm"/>
        </w:rPr>
        <w:t>a</w:t>
      </w:r>
      <w:r w:rsidR="00A37213">
        <w:rPr>
          <w:rFonts w:ascii="MetaPro-Norm" w:hAnsi="MetaPro-Norm"/>
        </w:rPr>
        <w:t>ttending classes</w:t>
      </w:r>
      <w:r w:rsidR="000D3E86">
        <w:rPr>
          <w:rFonts w:ascii="MetaPro-Norm" w:hAnsi="MetaPro-Norm"/>
        </w:rPr>
        <w:t xml:space="preserve"> in local monasteries</w:t>
      </w:r>
      <w:r w:rsidR="00F17AD2">
        <w:rPr>
          <w:rFonts w:ascii="MetaPro-Norm" w:hAnsi="MetaPro-Norm"/>
        </w:rPr>
        <w:t>, where children</w:t>
      </w:r>
      <w:r w:rsidR="00181EC1">
        <w:rPr>
          <w:rFonts w:ascii="MetaPro-Norm" w:hAnsi="MetaPro-Norm"/>
        </w:rPr>
        <w:t xml:space="preserve"> would usually</w:t>
      </w:r>
      <w:r w:rsidR="00F17AD2">
        <w:rPr>
          <w:rFonts w:ascii="MetaPro-Norm" w:hAnsi="MetaPro-Norm"/>
        </w:rPr>
        <w:t xml:space="preserve"> </w:t>
      </w:r>
      <w:r w:rsidR="00F52728">
        <w:rPr>
          <w:rFonts w:ascii="MetaPro-Norm" w:hAnsi="MetaPro-Norm"/>
        </w:rPr>
        <w:t xml:space="preserve">receive informal lessons taught by monks </w:t>
      </w:r>
      <w:r w:rsidR="00C12440">
        <w:rPr>
          <w:rFonts w:ascii="MetaPro-Norm" w:hAnsi="MetaPro-Norm"/>
        </w:rPr>
        <w:t xml:space="preserve">during school holidays. </w:t>
      </w:r>
      <w:r w:rsidR="002B27B5">
        <w:rPr>
          <w:rFonts w:ascii="MetaPro-Norm" w:hAnsi="MetaPro-Norm"/>
        </w:rPr>
        <w:t>These classes were popular in Tibetan areas</w:t>
      </w:r>
      <w:r w:rsidR="00AC68E8">
        <w:rPr>
          <w:rFonts w:ascii="MetaPro-Norm" w:hAnsi="MetaPro-Norm"/>
        </w:rPr>
        <w:t xml:space="preserve">, particularly to teach the Tibetan language, </w:t>
      </w:r>
      <w:r w:rsidR="0010257A">
        <w:rPr>
          <w:rFonts w:ascii="MetaPro-Norm" w:hAnsi="MetaPro-Norm"/>
        </w:rPr>
        <w:t>in response to its progressive removal</w:t>
      </w:r>
      <w:r w:rsidR="00314310">
        <w:rPr>
          <w:rFonts w:ascii="MetaPro-Norm" w:hAnsi="MetaPro-Norm"/>
        </w:rPr>
        <w:t xml:space="preserve"> from government-run schools.</w:t>
      </w:r>
      <w:r w:rsidR="009064BB">
        <w:rPr>
          <w:rStyle w:val="FootnoteReference"/>
          <w:rFonts w:ascii="MetaPro-Norm" w:hAnsi="MetaPro-Norm"/>
        </w:rPr>
        <w:footnoteReference w:id="6"/>
      </w:r>
    </w:p>
    <w:p w14:paraId="40EBA391" w14:textId="0BE668CC" w:rsidR="0069766C" w:rsidRDefault="00410096" w:rsidP="00F045F5">
      <w:pPr>
        <w:rPr>
          <w:rFonts w:ascii="MetaPro-Norm" w:hAnsi="MetaPro-Norm"/>
        </w:rPr>
      </w:pPr>
      <w:r>
        <w:rPr>
          <w:rFonts w:ascii="MetaPro-Norm" w:hAnsi="MetaPro-Norm"/>
        </w:rPr>
        <w:t xml:space="preserve">Human Rights Watch </w:t>
      </w:r>
      <w:r w:rsidR="0071081C">
        <w:rPr>
          <w:rFonts w:ascii="MetaPro-Norm" w:hAnsi="MetaPro-Norm"/>
        </w:rPr>
        <w:t>also</w:t>
      </w:r>
      <w:r>
        <w:rPr>
          <w:rFonts w:ascii="MetaPro-Norm" w:hAnsi="MetaPro-Norm"/>
        </w:rPr>
        <w:t xml:space="preserve"> found that the </w:t>
      </w:r>
      <w:r w:rsidR="00952A26" w:rsidRPr="00603A4F">
        <w:rPr>
          <w:rFonts w:ascii="MetaPro-Norm" w:hAnsi="MetaPro-Norm"/>
        </w:rPr>
        <w:t>government’s policy</w:t>
      </w:r>
      <w:r w:rsidR="00C81BBF">
        <w:rPr>
          <w:rFonts w:ascii="MetaPro-Norm" w:hAnsi="MetaPro-Norm"/>
        </w:rPr>
        <w:t xml:space="preserve"> on </w:t>
      </w:r>
      <w:r w:rsidR="00952A26" w:rsidRPr="00603A4F">
        <w:rPr>
          <w:rFonts w:ascii="MetaPro-Norm" w:hAnsi="MetaPro-Norm"/>
        </w:rPr>
        <w:t>“bilingual education,”</w:t>
      </w:r>
      <w:r w:rsidR="00430B67">
        <w:rPr>
          <w:rFonts w:ascii="MetaPro-Norm" w:hAnsi="MetaPro-Norm"/>
        </w:rPr>
        <w:t xml:space="preserve"> in</w:t>
      </w:r>
      <w:r w:rsidR="0079746B">
        <w:rPr>
          <w:rFonts w:ascii="MetaPro-Norm" w:hAnsi="MetaPro-Norm"/>
        </w:rPr>
        <w:t>troduced in 2010 for all schools in all minority areas of China</w:t>
      </w:r>
      <w:r w:rsidR="002112BD">
        <w:rPr>
          <w:rFonts w:ascii="MetaPro-Norm" w:hAnsi="MetaPro-Norm"/>
        </w:rPr>
        <w:t xml:space="preserve">, </w:t>
      </w:r>
      <w:r w:rsidR="00952A26" w:rsidRPr="00603A4F">
        <w:rPr>
          <w:rFonts w:ascii="MetaPro-Norm" w:hAnsi="MetaPro-Norm"/>
        </w:rPr>
        <w:t xml:space="preserve">is in practice leading to the gradual replacement of Tibetan by Chinese as the medium of instruction in primary schools throughout the region, except for classes studying Tibetan as a language. </w:t>
      </w:r>
      <w:r w:rsidR="002716A6">
        <w:rPr>
          <w:rFonts w:ascii="MetaPro-Norm" w:hAnsi="MetaPro-Norm"/>
        </w:rPr>
        <w:t>N</w:t>
      </w:r>
      <w:r w:rsidR="00952A26" w:rsidRPr="00603A4F">
        <w:rPr>
          <w:rFonts w:ascii="MetaPro-Norm" w:hAnsi="MetaPro-Norm"/>
        </w:rPr>
        <w:t xml:space="preserve">ew educational practices introduced by the government in the TAR are now leading kindergartens to use Chinese as the teaching language </w:t>
      </w:r>
      <w:r w:rsidR="001954F5">
        <w:rPr>
          <w:rFonts w:ascii="MetaPro-Norm" w:hAnsi="MetaPro-Norm"/>
        </w:rPr>
        <w:t>from the age of 3</w:t>
      </w:r>
      <w:r w:rsidR="00952A26" w:rsidRPr="00603A4F">
        <w:rPr>
          <w:rFonts w:ascii="MetaPro-Norm" w:hAnsi="MetaPro-Norm"/>
        </w:rPr>
        <w:t>.</w:t>
      </w:r>
    </w:p>
    <w:p w14:paraId="47325BC3" w14:textId="2F7AD497" w:rsidR="00306F4F" w:rsidRDefault="00B536AF" w:rsidP="00F045F5">
      <w:pPr>
        <w:rPr>
          <w:rFonts w:ascii="MetaPro-Norm" w:hAnsi="MetaPro-Norm"/>
        </w:rPr>
      </w:pPr>
      <w:r>
        <w:rPr>
          <w:rFonts w:ascii="MetaPro-Norm" w:hAnsi="MetaPro-Norm"/>
        </w:rPr>
        <w:t xml:space="preserve">The government has also introduced </w:t>
      </w:r>
      <w:r w:rsidRPr="00B536AF">
        <w:rPr>
          <w:rFonts w:ascii="MetaPro-Norm" w:hAnsi="MetaPro-Norm"/>
        </w:rPr>
        <w:t xml:space="preserve">“concentrated schooling,” </w:t>
      </w:r>
      <w:r>
        <w:rPr>
          <w:rFonts w:ascii="MetaPro-Norm" w:hAnsi="MetaPro-Norm"/>
        </w:rPr>
        <w:t xml:space="preserve">which entails </w:t>
      </w:r>
      <w:r w:rsidRPr="00B536AF">
        <w:rPr>
          <w:rFonts w:ascii="MetaPro-Norm" w:hAnsi="MetaPro-Norm"/>
        </w:rPr>
        <w:t xml:space="preserve">closing local schools in rural areas and consolidating them in a nearby town, where rural students usually have to board. While this brings benefits in terms of facilities and standards, it also reduces children’s </w:t>
      </w:r>
      <w:r w:rsidRPr="00B536AF">
        <w:rPr>
          <w:rFonts w:ascii="MetaPro-Norm" w:hAnsi="MetaPro-Norm"/>
        </w:rPr>
        <w:lastRenderedPageBreak/>
        <w:t>contact with their family and with a Tibetan-speaking environment</w:t>
      </w:r>
      <w:r w:rsidR="002716A6">
        <w:rPr>
          <w:rFonts w:ascii="MetaPro-Norm" w:hAnsi="MetaPro-Norm"/>
        </w:rPr>
        <w:t>, and</w:t>
      </w:r>
      <w:r w:rsidRPr="00B536AF">
        <w:rPr>
          <w:rFonts w:ascii="MetaPro-Norm" w:hAnsi="MetaPro-Norm"/>
        </w:rPr>
        <w:t xml:space="preserve"> can weaken children’s access to and familiarity with their own language</w:t>
      </w:r>
      <w:r w:rsidR="00005141">
        <w:rPr>
          <w:rFonts w:ascii="MetaPro-Norm" w:hAnsi="MetaPro-Norm"/>
        </w:rPr>
        <w:t xml:space="preserve"> and culture</w:t>
      </w:r>
      <w:r w:rsidRPr="00B536AF">
        <w:rPr>
          <w:rFonts w:ascii="MetaPro-Norm" w:hAnsi="MetaPro-Norm"/>
        </w:rPr>
        <w:t>.</w:t>
      </w:r>
    </w:p>
    <w:p w14:paraId="155A25B1" w14:textId="77777777" w:rsidR="006E1254" w:rsidRPr="00B25E0B" w:rsidRDefault="006E1254" w:rsidP="006E1254">
      <w:pPr>
        <w:rPr>
          <w:rFonts w:ascii="MetaPro-Norm" w:hAnsi="MetaPro-Norm"/>
          <w:i/>
          <w:iCs/>
        </w:rPr>
      </w:pPr>
      <w:r w:rsidRPr="00B25E0B">
        <w:rPr>
          <w:rFonts w:ascii="MetaPro-Norm" w:hAnsi="MetaPro-Norm"/>
          <w:i/>
          <w:iCs/>
        </w:rPr>
        <w:t xml:space="preserve">We recommend that the Special Rapporteur: </w:t>
      </w:r>
    </w:p>
    <w:p w14:paraId="20B5EBB3" w14:textId="7820C725" w:rsidR="00952A26" w:rsidRDefault="003C598B" w:rsidP="003C598B">
      <w:pPr>
        <w:pStyle w:val="ListParagraph"/>
        <w:numPr>
          <w:ilvl w:val="0"/>
          <w:numId w:val="5"/>
        </w:numPr>
        <w:rPr>
          <w:rFonts w:ascii="MetaPro-Norm" w:hAnsi="MetaPro-Norm"/>
        </w:rPr>
      </w:pPr>
      <w:r>
        <w:rPr>
          <w:rFonts w:ascii="MetaPro-Norm" w:hAnsi="MetaPro-Norm"/>
        </w:rPr>
        <w:t xml:space="preserve">Reminds </w:t>
      </w:r>
      <w:r w:rsidR="00D373F3">
        <w:rPr>
          <w:rFonts w:ascii="MetaPro-Norm" w:hAnsi="MetaPro-Norm"/>
        </w:rPr>
        <w:t xml:space="preserve">governments of their international obligations </w:t>
      </w:r>
      <w:r w:rsidR="0012540E">
        <w:rPr>
          <w:rFonts w:ascii="MetaPro-Norm" w:hAnsi="MetaPro-Norm"/>
        </w:rPr>
        <w:t xml:space="preserve">to </w:t>
      </w:r>
      <w:r w:rsidR="00C92A8A">
        <w:rPr>
          <w:rFonts w:ascii="MetaPro-Norm" w:hAnsi="MetaPro-Norm"/>
        </w:rPr>
        <w:t xml:space="preserve">fully </w:t>
      </w:r>
      <w:r w:rsidR="0012540E">
        <w:rPr>
          <w:rFonts w:ascii="MetaPro-Norm" w:hAnsi="MetaPro-Norm"/>
        </w:rPr>
        <w:t xml:space="preserve">respect </w:t>
      </w:r>
      <w:r w:rsidR="009A738C">
        <w:rPr>
          <w:rFonts w:ascii="MetaPro-Norm" w:hAnsi="MetaPro-Norm"/>
        </w:rPr>
        <w:t xml:space="preserve">children’s right to learn </w:t>
      </w:r>
      <w:r w:rsidR="008F0D07">
        <w:rPr>
          <w:rFonts w:ascii="MetaPro-Norm" w:hAnsi="MetaPro-Norm"/>
        </w:rPr>
        <w:t xml:space="preserve">about their </w:t>
      </w:r>
      <w:r w:rsidR="00F508C1">
        <w:rPr>
          <w:rFonts w:ascii="MetaPro-Norm" w:hAnsi="MetaPro-Norm"/>
        </w:rPr>
        <w:t xml:space="preserve">own </w:t>
      </w:r>
      <w:r w:rsidR="008F0D07" w:rsidRPr="005E3839">
        <w:rPr>
          <w:rFonts w:ascii="MetaPro-Norm" w:hAnsi="MetaPro-Norm"/>
        </w:rPr>
        <w:t>cultural identity, language and values</w:t>
      </w:r>
      <w:r w:rsidR="002537C5">
        <w:rPr>
          <w:rFonts w:ascii="MetaPro-Norm" w:hAnsi="MetaPro-Norm"/>
        </w:rPr>
        <w:t xml:space="preserve"> in school</w:t>
      </w:r>
      <w:r w:rsidR="00206F32">
        <w:rPr>
          <w:rFonts w:ascii="MetaPro-Norm" w:hAnsi="MetaPro-Norm"/>
        </w:rPr>
        <w:t>;</w:t>
      </w:r>
      <w:r w:rsidR="007B18BD">
        <w:rPr>
          <w:rFonts w:ascii="MetaPro-Norm" w:hAnsi="MetaPro-Norm"/>
        </w:rPr>
        <w:t xml:space="preserve"> </w:t>
      </w:r>
    </w:p>
    <w:p w14:paraId="43E68978" w14:textId="61F330DA" w:rsidR="007515D8" w:rsidRPr="003C598B" w:rsidRDefault="00CB413D" w:rsidP="003C598B">
      <w:pPr>
        <w:pStyle w:val="ListParagraph"/>
        <w:numPr>
          <w:ilvl w:val="0"/>
          <w:numId w:val="5"/>
        </w:numPr>
        <w:rPr>
          <w:rFonts w:ascii="MetaPro-Norm" w:hAnsi="MetaPro-Norm"/>
        </w:rPr>
      </w:pPr>
      <w:r>
        <w:rPr>
          <w:rFonts w:ascii="MetaPro-Norm" w:hAnsi="MetaPro-Norm"/>
        </w:rPr>
        <w:t xml:space="preserve">Urges governments to ensure </w:t>
      </w:r>
      <w:r w:rsidR="008F1AF8">
        <w:rPr>
          <w:rFonts w:ascii="MetaPro-Norm" w:hAnsi="MetaPro-Norm"/>
        </w:rPr>
        <w:t>indige</w:t>
      </w:r>
      <w:r w:rsidR="00593C1B">
        <w:rPr>
          <w:rFonts w:ascii="MetaPro-Norm" w:hAnsi="MetaPro-Norm"/>
        </w:rPr>
        <w:t>nous children, chil</w:t>
      </w:r>
      <w:r w:rsidR="00AF0F00">
        <w:rPr>
          <w:rFonts w:ascii="MetaPro-Norm" w:hAnsi="MetaPro-Norm"/>
        </w:rPr>
        <w:t xml:space="preserve">dren belonging to ethnic minorities, </w:t>
      </w:r>
      <w:r w:rsidR="00DB0B97">
        <w:rPr>
          <w:rFonts w:ascii="MetaPro-Norm" w:hAnsi="MetaPro-Norm"/>
        </w:rPr>
        <w:t xml:space="preserve">and protected groups, are able to </w:t>
      </w:r>
      <w:r w:rsidR="002D3357">
        <w:rPr>
          <w:rFonts w:ascii="MetaPro-Norm" w:hAnsi="MetaPro-Norm"/>
        </w:rPr>
        <w:t>receive instruction</w:t>
      </w:r>
      <w:r w:rsidR="00DB0B97">
        <w:rPr>
          <w:rFonts w:ascii="MetaPro-Norm" w:hAnsi="MetaPro-Norm"/>
        </w:rPr>
        <w:t xml:space="preserve"> in their mother tongue, in line with international best practice</w:t>
      </w:r>
      <w:r w:rsidR="00A41123">
        <w:rPr>
          <w:rFonts w:ascii="MetaPro-Norm" w:hAnsi="MetaPro-Norm"/>
        </w:rPr>
        <w:t xml:space="preserve">; </w:t>
      </w:r>
      <w:r w:rsidR="00316116">
        <w:rPr>
          <w:rFonts w:ascii="MetaPro-Norm" w:hAnsi="MetaPro-Norm"/>
        </w:rPr>
        <w:t xml:space="preserve">and to </w:t>
      </w:r>
      <w:r w:rsidR="005A00F2">
        <w:rPr>
          <w:rFonts w:ascii="MetaPro-Norm" w:hAnsi="MetaPro-Norm"/>
        </w:rPr>
        <w:t>respect</w:t>
      </w:r>
      <w:r w:rsidR="00852895">
        <w:rPr>
          <w:rFonts w:ascii="MetaPro-Norm" w:hAnsi="MetaPro-Norm"/>
        </w:rPr>
        <w:t xml:space="preserve"> </w:t>
      </w:r>
      <w:r w:rsidR="009E0B81">
        <w:rPr>
          <w:rFonts w:ascii="MetaPro-Norm" w:hAnsi="MetaPro-Norm"/>
        </w:rPr>
        <w:t xml:space="preserve">communities’ </w:t>
      </w:r>
      <w:r w:rsidR="006F0BF8">
        <w:rPr>
          <w:rFonts w:ascii="MetaPro-Norm" w:hAnsi="MetaPro-Norm"/>
        </w:rPr>
        <w:t>right to</w:t>
      </w:r>
      <w:r w:rsidR="00771205">
        <w:rPr>
          <w:rFonts w:ascii="MetaPro-Norm" w:hAnsi="MetaPro-Norm"/>
        </w:rPr>
        <w:t xml:space="preserve"> preserve</w:t>
      </w:r>
      <w:r w:rsidR="00852895">
        <w:rPr>
          <w:rFonts w:ascii="MetaPro-Norm" w:hAnsi="MetaPro-Norm"/>
        </w:rPr>
        <w:t xml:space="preserve"> their language and </w:t>
      </w:r>
      <w:r w:rsidR="00316116">
        <w:rPr>
          <w:rFonts w:ascii="MetaPro-Norm" w:hAnsi="MetaPro-Norm"/>
        </w:rPr>
        <w:t>culture, including through extracurricular activities.</w:t>
      </w:r>
    </w:p>
    <w:p w14:paraId="210871CF" w14:textId="77777777" w:rsidR="003C598B" w:rsidRPr="003C598B" w:rsidRDefault="003C598B" w:rsidP="003C598B">
      <w:pPr>
        <w:rPr>
          <w:rFonts w:ascii="MetaPro-Norm" w:hAnsi="MetaPro-Norm"/>
        </w:rPr>
      </w:pPr>
    </w:p>
    <w:p w14:paraId="35A6A643" w14:textId="3AA73477" w:rsidR="00762220" w:rsidRPr="00762220" w:rsidRDefault="00B25E0B" w:rsidP="00F045F5">
      <w:pPr>
        <w:pStyle w:val="ListParagraph"/>
        <w:numPr>
          <w:ilvl w:val="0"/>
          <w:numId w:val="1"/>
        </w:numPr>
        <w:rPr>
          <w:rFonts w:ascii="MetaPro-Norm" w:hAnsi="MetaPro-Norm"/>
        </w:rPr>
      </w:pPr>
      <w:r>
        <w:rPr>
          <w:rFonts w:ascii="MetaPro-Norm" w:hAnsi="MetaPro-Norm"/>
          <w:b/>
          <w:bCs/>
        </w:rPr>
        <w:t>I</w:t>
      </w:r>
      <w:r w:rsidR="0069766C" w:rsidRPr="00762220">
        <w:rPr>
          <w:rFonts w:ascii="MetaPro-Norm" w:hAnsi="MetaPro-Norm"/>
          <w:b/>
          <w:bCs/>
        </w:rPr>
        <w:t>nclusi</w:t>
      </w:r>
      <w:r w:rsidR="00005141" w:rsidRPr="00762220">
        <w:rPr>
          <w:rFonts w:ascii="MetaPro-Norm" w:hAnsi="MetaPro-Norm"/>
          <w:b/>
          <w:bCs/>
        </w:rPr>
        <w:t>ve</w:t>
      </w:r>
      <w:r w:rsidR="00501FE5" w:rsidRPr="00762220">
        <w:rPr>
          <w:rFonts w:ascii="MetaPro-Norm" w:hAnsi="MetaPro-Norm"/>
          <w:b/>
          <w:bCs/>
        </w:rPr>
        <w:t xml:space="preserve"> and quality education</w:t>
      </w:r>
      <w:r w:rsidR="002B5E4E">
        <w:rPr>
          <w:rFonts w:ascii="MetaPro-Norm" w:hAnsi="MetaPro-Norm"/>
          <w:b/>
          <w:bCs/>
        </w:rPr>
        <w:t xml:space="preserve">, </w:t>
      </w:r>
      <w:r w:rsidR="002B5E4E" w:rsidRPr="00762220">
        <w:rPr>
          <w:rFonts w:ascii="MetaPro-Norm" w:hAnsi="MetaPro-Norm"/>
          <w:b/>
          <w:bCs/>
        </w:rPr>
        <w:t xml:space="preserve">including </w:t>
      </w:r>
      <w:r w:rsidR="002B5E4E">
        <w:rPr>
          <w:rFonts w:ascii="MetaPro-Norm" w:hAnsi="MetaPro-Norm"/>
          <w:b/>
          <w:bCs/>
        </w:rPr>
        <w:t>children’s</w:t>
      </w:r>
      <w:r w:rsidR="002B5E4E" w:rsidRPr="00762220">
        <w:rPr>
          <w:rFonts w:ascii="MetaPro-Norm" w:hAnsi="MetaPro-Norm"/>
          <w:b/>
          <w:bCs/>
        </w:rPr>
        <w:t xml:space="preserve"> right to learn in safe environments </w:t>
      </w:r>
      <w:r w:rsidR="002B5E4E">
        <w:rPr>
          <w:rFonts w:ascii="MetaPro-Norm" w:hAnsi="MetaPro-Norm"/>
          <w:b/>
          <w:bCs/>
        </w:rPr>
        <w:t>and comprehensive sexuality education</w:t>
      </w:r>
      <w:r w:rsidR="00501FE5" w:rsidRPr="00762220">
        <w:rPr>
          <w:rFonts w:ascii="MetaPro-Norm" w:hAnsi="MetaPro-Norm"/>
          <w:b/>
          <w:bCs/>
        </w:rPr>
        <w:t xml:space="preserve"> </w:t>
      </w:r>
    </w:p>
    <w:p w14:paraId="7D2EE5EE" w14:textId="1B5DC557" w:rsidR="001B5D99" w:rsidRDefault="00762220" w:rsidP="00F045F5">
      <w:pPr>
        <w:rPr>
          <w:rFonts w:ascii="MetaPro-Norm" w:hAnsi="MetaPro-Norm"/>
        </w:rPr>
      </w:pPr>
      <w:r w:rsidRPr="000A1536">
        <w:rPr>
          <w:rFonts w:ascii="MetaPro-Norm" w:hAnsi="MetaPro-Norm"/>
        </w:rPr>
        <w:t>H</w:t>
      </w:r>
      <w:r w:rsidR="008960AD" w:rsidRPr="000A1536">
        <w:rPr>
          <w:rFonts w:ascii="MetaPro-Norm" w:hAnsi="MetaPro-Norm"/>
        </w:rPr>
        <w:t xml:space="preserve">uman Rights Watch </w:t>
      </w:r>
      <w:r w:rsidR="00A63B0F">
        <w:rPr>
          <w:rFonts w:ascii="MetaPro-Norm" w:hAnsi="MetaPro-Norm"/>
        </w:rPr>
        <w:t>w</w:t>
      </w:r>
      <w:r w:rsidR="00290BCB">
        <w:rPr>
          <w:rFonts w:ascii="MetaPro-Norm" w:hAnsi="MetaPro-Norm"/>
        </w:rPr>
        <w:t>ould like to draw the Special Rapporteur</w:t>
      </w:r>
      <w:r w:rsidR="001E19A7">
        <w:rPr>
          <w:rFonts w:ascii="MetaPro-Norm" w:hAnsi="MetaPro-Norm"/>
        </w:rPr>
        <w:t>’</w:t>
      </w:r>
      <w:r w:rsidR="00290BCB">
        <w:rPr>
          <w:rFonts w:ascii="MetaPro-Norm" w:hAnsi="MetaPro-Norm"/>
        </w:rPr>
        <w:t xml:space="preserve">s attention to instances where </w:t>
      </w:r>
      <w:r w:rsidR="003D6E37">
        <w:rPr>
          <w:rFonts w:ascii="MetaPro-Norm" w:hAnsi="MetaPro-Norm"/>
        </w:rPr>
        <w:t>government</w:t>
      </w:r>
      <w:r w:rsidR="00716152">
        <w:rPr>
          <w:rFonts w:ascii="MetaPro-Norm" w:hAnsi="MetaPro-Norm"/>
        </w:rPr>
        <w:t>s adhere to</w:t>
      </w:r>
      <w:r w:rsidR="005D47A1" w:rsidRPr="00762220">
        <w:rPr>
          <w:rFonts w:ascii="MetaPro-Norm" w:hAnsi="MetaPro-Norm"/>
        </w:rPr>
        <w:t xml:space="preserve"> </w:t>
      </w:r>
      <w:r w:rsidR="00256D93" w:rsidRPr="00762220">
        <w:rPr>
          <w:rFonts w:ascii="MetaPro-Norm" w:hAnsi="MetaPro-Norm"/>
        </w:rPr>
        <w:t>inherently discriminatory or unlawful</w:t>
      </w:r>
      <w:r w:rsidR="00256D93">
        <w:rPr>
          <w:rFonts w:ascii="MetaPro-Norm" w:hAnsi="MetaPro-Norm"/>
        </w:rPr>
        <w:t xml:space="preserve"> </w:t>
      </w:r>
      <w:r w:rsidR="005D47A1" w:rsidRPr="00762220">
        <w:rPr>
          <w:rFonts w:ascii="MetaPro-Norm" w:hAnsi="MetaPro-Norm"/>
        </w:rPr>
        <w:t>policies</w:t>
      </w:r>
      <w:r w:rsidR="006E2C39" w:rsidRPr="00762220">
        <w:rPr>
          <w:rFonts w:ascii="MetaPro-Norm" w:hAnsi="MetaPro-Norm"/>
        </w:rPr>
        <w:t xml:space="preserve"> or </w:t>
      </w:r>
      <w:r w:rsidR="005D47A1" w:rsidRPr="00762220">
        <w:rPr>
          <w:rFonts w:ascii="MetaPro-Norm" w:hAnsi="MetaPro-Norm"/>
        </w:rPr>
        <w:t>practice</w:t>
      </w:r>
      <w:r w:rsidR="0022533A" w:rsidRPr="00762220">
        <w:rPr>
          <w:rFonts w:ascii="MetaPro-Norm" w:hAnsi="MetaPro-Norm"/>
        </w:rPr>
        <w:t>s</w:t>
      </w:r>
      <w:r w:rsidR="00256D93">
        <w:rPr>
          <w:rFonts w:ascii="MetaPro-Norm" w:hAnsi="MetaPro-Norm"/>
        </w:rPr>
        <w:t xml:space="preserve"> </w:t>
      </w:r>
      <w:r w:rsidR="002D7AD4">
        <w:rPr>
          <w:rFonts w:ascii="MetaPro-Norm" w:hAnsi="MetaPro-Norm"/>
        </w:rPr>
        <w:t>in the name of protecting culture or traditional practices</w:t>
      </w:r>
      <w:r w:rsidR="00BA069C">
        <w:rPr>
          <w:rFonts w:ascii="MetaPro-Norm" w:hAnsi="MetaPro-Norm"/>
        </w:rPr>
        <w:t>, a</w:t>
      </w:r>
      <w:r w:rsidR="00765A37">
        <w:rPr>
          <w:rFonts w:ascii="MetaPro-Norm" w:hAnsi="MetaPro-Norm"/>
        </w:rPr>
        <w:t>s well as</w:t>
      </w:r>
      <w:r w:rsidR="00BA069C">
        <w:rPr>
          <w:rFonts w:ascii="MetaPro-Norm" w:hAnsi="MetaPro-Norm"/>
        </w:rPr>
        <w:t xml:space="preserve"> government’s failure to</w:t>
      </w:r>
      <w:r w:rsidR="00D513FD" w:rsidRPr="00762220">
        <w:rPr>
          <w:rFonts w:ascii="MetaPro-Norm" w:hAnsi="MetaPro-Norm"/>
        </w:rPr>
        <w:t xml:space="preserve"> tackle </w:t>
      </w:r>
      <w:r w:rsidR="002E6CB1">
        <w:rPr>
          <w:rFonts w:ascii="MetaPro-Norm" w:hAnsi="MetaPro-Norm"/>
        </w:rPr>
        <w:t xml:space="preserve">and eliminate </w:t>
      </w:r>
      <w:r w:rsidR="00150D84">
        <w:rPr>
          <w:rFonts w:ascii="MetaPro-Norm" w:hAnsi="MetaPro-Norm"/>
        </w:rPr>
        <w:t xml:space="preserve">deeply entrenched </w:t>
      </w:r>
      <w:r w:rsidR="00D513FD" w:rsidRPr="00762220">
        <w:rPr>
          <w:rFonts w:ascii="MetaPro-Norm" w:hAnsi="MetaPro-Norm"/>
        </w:rPr>
        <w:t xml:space="preserve">“cultural” </w:t>
      </w:r>
      <w:r w:rsidR="00570C1F" w:rsidRPr="00762220">
        <w:rPr>
          <w:rFonts w:ascii="MetaPro-Norm" w:hAnsi="MetaPro-Norm"/>
        </w:rPr>
        <w:t>behaviors</w:t>
      </w:r>
      <w:r w:rsidR="00765A37">
        <w:rPr>
          <w:rFonts w:ascii="MetaPro-Norm" w:hAnsi="MetaPro-Norm"/>
        </w:rPr>
        <w:t xml:space="preserve"> in education systems</w:t>
      </w:r>
      <w:r w:rsidR="00803CF5">
        <w:rPr>
          <w:rFonts w:ascii="MetaPro-Norm" w:hAnsi="MetaPro-Norm"/>
        </w:rPr>
        <w:t xml:space="preserve">. </w:t>
      </w:r>
      <w:r w:rsidR="00973C0A">
        <w:rPr>
          <w:rFonts w:ascii="MetaPro-Norm" w:hAnsi="MetaPro-Norm"/>
        </w:rPr>
        <w:t>Human Rights Watch research has shown that</w:t>
      </w:r>
      <w:r w:rsidR="00570C1F" w:rsidRPr="00762220">
        <w:rPr>
          <w:rFonts w:ascii="MetaPro-Norm" w:hAnsi="MetaPro-Norm"/>
        </w:rPr>
        <w:t xml:space="preserve"> </w:t>
      </w:r>
      <w:r w:rsidR="00C3197E">
        <w:rPr>
          <w:rFonts w:ascii="MetaPro-Norm" w:hAnsi="MetaPro-Norm"/>
        </w:rPr>
        <w:t>both</w:t>
      </w:r>
      <w:r w:rsidR="00875A33" w:rsidRPr="00762220">
        <w:rPr>
          <w:rFonts w:ascii="MetaPro-Norm" w:hAnsi="MetaPro-Norm"/>
        </w:rPr>
        <w:t xml:space="preserve"> </w:t>
      </w:r>
      <w:r w:rsidR="003B250D" w:rsidRPr="00762220">
        <w:rPr>
          <w:rFonts w:ascii="MetaPro-Norm" w:hAnsi="MetaPro-Norm"/>
        </w:rPr>
        <w:t xml:space="preserve">lead to the </w:t>
      </w:r>
      <w:r w:rsidR="00FA23D6" w:rsidRPr="00762220">
        <w:rPr>
          <w:rFonts w:ascii="MetaPro-Norm" w:hAnsi="MetaPro-Norm"/>
        </w:rPr>
        <w:t>exclusion</w:t>
      </w:r>
      <w:r w:rsidR="003B250D" w:rsidRPr="00762220">
        <w:rPr>
          <w:rFonts w:ascii="MetaPro-Norm" w:hAnsi="MetaPro-Norm"/>
        </w:rPr>
        <w:t xml:space="preserve"> of </w:t>
      </w:r>
      <w:r w:rsidR="00EE6DE2">
        <w:rPr>
          <w:rFonts w:ascii="MetaPro-Norm" w:hAnsi="MetaPro-Norm"/>
        </w:rPr>
        <w:t xml:space="preserve">many </w:t>
      </w:r>
      <w:r w:rsidR="003B250D" w:rsidRPr="00762220">
        <w:rPr>
          <w:rFonts w:ascii="MetaPro-Norm" w:hAnsi="MetaPro-Norm"/>
        </w:rPr>
        <w:t>children</w:t>
      </w:r>
      <w:r w:rsidR="00875A33" w:rsidRPr="00762220">
        <w:rPr>
          <w:rFonts w:ascii="MetaPro-Norm" w:hAnsi="MetaPro-Norm"/>
        </w:rPr>
        <w:t xml:space="preserve"> </w:t>
      </w:r>
      <w:r w:rsidR="009C3408">
        <w:rPr>
          <w:rFonts w:ascii="MetaPro-Norm" w:hAnsi="MetaPro-Norm"/>
        </w:rPr>
        <w:t>from school</w:t>
      </w:r>
      <w:r w:rsidR="00FB1DF5" w:rsidRPr="00762220">
        <w:rPr>
          <w:rFonts w:ascii="MetaPro-Norm" w:hAnsi="MetaPro-Norm"/>
        </w:rPr>
        <w:t>;</w:t>
      </w:r>
      <w:r w:rsidR="003B250D" w:rsidRPr="00762220">
        <w:rPr>
          <w:rFonts w:ascii="MetaPro-Norm" w:hAnsi="MetaPro-Norm"/>
        </w:rPr>
        <w:t xml:space="preserve"> </w:t>
      </w:r>
      <w:r w:rsidR="0090137E" w:rsidRPr="00762220">
        <w:rPr>
          <w:rFonts w:ascii="MetaPro-Norm" w:hAnsi="MetaPro-Norm"/>
        </w:rPr>
        <w:t>endanger</w:t>
      </w:r>
      <w:r w:rsidR="00FB1DF5" w:rsidRPr="00762220">
        <w:rPr>
          <w:rFonts w:ascii="MetaPro-Norm" w:hAnsi="MetaPro-Norm"/>
        </w:rPr>
        <w:t xml:space="preserve"> </w:t>
      </w:r>
      <w:r w:rsidR="00385B23">
        <w:rPr>
          <w:rFonts w:ascii="MetaPro-Norm" w:hAnsi="MetaPro-Norm"/>
        </w:rPr>
        <w:t xml:space="preserve">and </w:t>
      </w:r>
      <w:r w:rsidR="00FB1DF5" w:rsidRPr="00762220">
        <w:rPr>
          <w:rFonts w:ascii="MetaPro-Norm" w:hAnsi="MetaPro-Norm"/>
        </w:rPr>
        <w:t>significantly limit</w:t>
      </w:r>
      <w:r w:rsidR="0090137E" w:rsidRPr="00762220">
        <w:rPr>
          <w:rFonts w:ascii="MetaPro-Norm" w:hAnsi="MetaPro-Norm"/>
        </w:rPr>
        <w:t xml:space="preserve"> </w:t>
      </w:r>
      <w:r w:rsidR="00973C0A">
        <w:rPr>
          <w:rFonts w:ascii="MetaPro-Norm" w:hAnsi="MetaPro-Norm"/>
        </w:rPr>
        <w:t xml:space="preserve">children’s </w:t>
      </w:r>
      <w:r w:rsidR="0090137E" w:rsidRPr="00762220">
        <w:rPr>
          <w:rFonts w:ascii="MetaPro-Norm" w:hAnsi="MetaPro-Norm"/>
        </w:rPr>
        <w:t xml:space="preserve">participation in </w:t>
      </w:r>
      <w:r w:rsidR="009C3408">
        <w:rPr>
          <w:rFonts w:ascii="MetaPro-Norm" w:hAnsi="MetaPro-Norm"/>
        </w:rPr>
        <w:t>classrooms</w:t>
      </w:r>
      <w:r w:rsidR="0071081C">
        <w:rPr>
          <w:rFonts w:ascii="MetaPro-Norm" w:hAnsi="MetaPro-Norm"/>
        </w:rPr>
        <w:t>;</w:t>
      </w:r>
      <w:r w:rsidR="009C3408">
        <w:rPr>
          <w:rFonts w:ascii="MetaPro-Norm" w:hAnsi="MetaPro-Norm"/>
        </w:rPr>
        <w:t xml:space="preserve"> </w:t>
      </w:r>
      <w:r w:rsidR="00FB1DF5" w:rsidRPr="00762220">
        <w:rPr>
          <w:rFonts w:ascii="MetaPro-Norm" w:hAnsi="MetaPro-Norm"/>
        </w:rPr>
        <w:t xml:space="preserve">and undermine </w:t>
      </w:r>
      <w:r w:rsidR="007972D5">
        <w:rPr>
          <w:rFonts w:ascii="MetaPro-Norm" w:hAnsi="MetaPro-Norm"/>
        </w:rPr>
        <w:t>their</w:t>
      </w:r>
      <w:r w:rsidR="00FB1DF5" w:rsidRPr="00762220">
        <w:rPr>
          <w:rFonts w:ascii="MetaPro-Norm" w:hAnsi="MetaPro-Norm"/>
        </w:rPr>
        <w:t xml:space="preserve"> enjoyment of quality education</w:t>
      </w:r>
      <w:r w:rsidR="00C8534C">
        <w:rPr>
          <w:rFonts w:ascii="MetaPro-Norm" w:hAnsi="MetaPro-Norm"/>
        </w:rPr>
        <w:t>, including their right to comprehensive sexuality education.</w:t>
      </w:r>
    </w:p>
    <w:p w14:paraId="0D4ED5D5" w14:textId="3D625611" w:rsidR="00E02409" w:rsidRDefault="00FF14C9" w:rsidP="00F045F5">
      <w:pPr>
        <w:rPr>
          <w:rFonts w:ascii="MetaPro-Norm" w:hAnsi="MetaPro-Norm"/>
        </w:rPr>
      </w:pPr>
      <w:r>
        <w:rPr>
          <w:rFonts w:ascii="MetaPro-Norm" w:hAnsi="MetaPro-Norm"/>
        </w:rPr>
        <w:t xml:space="preserve">Human Rights Watch research has shown that girls’ </w:t>
      </w:r>
      <w:r w:rsidR="00933C2C">
        <w:rPr>
          <w:rFonts w:ascii="MetaPro-Norm" w:hAnsi="MetaPro-Norm"/>
        </w:rPr>
        <w:t xml:space="preserve">right </w:t>
      </w:r>
      <w:r w:rsidR="00F43C3A">
        <w:rPr>
          <w:rFonts w:ascii="MetaPro-Norm" w:hAnsi="MetaPro-Norm"/>
        </w:rPr>
        <w:t xml:space="preserve">to </w:t>
      </w:r>
      <w:r>
        <w:rPr>
          <w:rFonts w:ascii="MetaPro-Norm" w:hAnsi="MetaPro-Norm"/>
        </w:rPr>
        <w:t xml:space="preserve">education </w:t>
      </w:r>
      <w:r w:rsidR="000D6332">
        <w:rPr>
          <w:rFonts w:ascii="MetaPro-Norm" w:hAnsi="MetaPro-Norm"/>
        </w:rPr>
        <w:t>is particularly affected by such</w:t>
      </w:r>
      <w:r w:rsidR="0054376E">
        <w:rPr>
          <w:rFonts w:ascii="MetaPro-Norm" w:hAnsi="MetaPro-Norm"/>
        </w:rPr>
        <w:t xml:space="preserve"> practices</w:t>
      </w:r>
      <w:r w:rsidR="006D147C">
        <w:rPr>
          <w:rFonts w:ascii="MetaPro-Norm" w:hAnsi="MetaPro-Norm"/>
        </w:rPr>
        <w:t xml:space="preserve">. </w:t>
      </w:r>
      <w:r w:rsidR="005C4338">
        <w:rPr>
          <w:rFonts w:ascii="MetaPro-Norm" w:hAnsi="MetaPro-Norm"/>
        </w:rPr>
        <w:t xml:space="preserve">For example, in Tanzania, </w:t>
      </w:r>
      <w:r w:rsidR="001C1AC7">
        <w:rPr>
          <w:rFonts w:ascii="MetaPro-Norm" w:hAnsi="MetaPro-Norm"/>
        </w:rPr>
        <w:t xml:space="preserve">the government maintains a </w:t>
      </w:r>
      <w:r w:rsidR="005C4338">
        <w:rPr>
          <w:rFonts w:ascii="MetaPro-Norm" w:hAnsi="MetaPro-Norm"/>
        </w:rPr>
        <w:t>discriminatory ban against pregnant students and adolescent mothers</w:t>
      </w:r>
      <w:r w:rsidR="00CE3108">
        <w:rPr>
          <w:rFonts w:ascii="MetaPro-Norm" w:hAnsi="MetaPro-Norm"/>
        </w:rPr>
        <w:t xml:space="preserve"> that</w:t>
      </w:r>
      <w:r w:rsidR="005C4338">
        <w:rPr>
          <w:rFonts w:ascii="MetaPro-Norm" w:hAnsi="MetaPro-Norm"/>
        </w:rPr>
        <w:t xml:space="preserve"> block</w:t>
      </w:r>
      <w:r w:rsidR="00CE3108">
        <w:rPr>
          <w:rFonts w:ascii="MetaPro-Norm" w:hAnsi="MetaPro-Norm"/>
        </w:rPr>
        <w:t>s</w:t>
      </w:r>
      <w:r w:rsidR="005C4338">
        <w:rPr>
          <w:rFonts w:ascii="MetaPro-Norm" w:hAnsi="MetaPro-Norm"/>
        </w:rPr>
        <w:t xml:space="preserve"> them from </w:t>
      </w:r>
      <w:r w:rsidR="00CE3108">
        <w:rPr>
          <w:rFonts w:ascii="MetaPro-Norm" w:hAnsi="MetaPro-Norm"/>
        </w:rPr>
        <w:t>public</w:t>
      </w:r>
      <w:r w:rsidR="005C4338">
        <w:rPr>
          <w:rFonts w:ascii="MetaPro-Norm" w:hAnsi="MetaPro-Norm"/>
        </w:rPr>
        <w:t xml:space="preserve"> education</w:t>
      </w:r>
      <w:r w:rsidR="00A47BD4">
        <w:rPr>
          <w:rFonts w:ascii="MetaPro-Norm" w:hAnsi="MetaPro-Norm"/>
        </w:rPr>
        <w:t>. S</w:t>
      </w:r>
      <w:r w:rsidR="005C4338">
        <w:rPr>
          <w:rFonts w:ascii="MetaPro-Norm" w:hAnsi="MetaPro-Norm"/>
        </w:rPr>
        <w:t>enior government officials have often cited “African tradition,” and Tanzanian cultural practices</w:t>
      </w:r>
      <w:r w:rsidR="00443A9A">
        <w:rPr>
          <w:rFonts w:ascii="MetaPro-Norm" w:hAnsi="MetaPro-Norm"/>
        </w:rPr>
        <w:t xml:space="preserve"> as reasons to justify </w:t>
      </w:r>
      <w:r w:rsidR="00692397">
        <w:rPr>
          <w:rFonts w:ascii="MetaPro-Norm" w:hAnsi="MetaPro-Norm"/>
        </w:rPr>
        <w:t xml:space="preserve">and maintain </w:t>
      </w:r>
      <w:r w:rsidR="00443A9A">
        <w:rPr>
          <w:rFonts w:ascii="MetaPro-Norm" w:hAnsi="MetaPro-Norm"/>
        </w:rPr>
        <w:t>th</w:t>
      </w:r>
      <w:r w:rsidR="009D2074">
        <w:rPr>
          <w:rFonts w:ascii="MetaPro-Norm" w:hAnsi="MetaPro-Norm"/>
        </w:rPr>
        <w:t>is</w:t>
      </w:r>
      <w:r w:rsidR="00443A9A">
        <w:rPr>
          <w:rFonts w:ascii="MetaPro-Norm" w:hAnsi="MetaPro-Norm"/>
        </w:rPr>
        <w:t xml:space="preserve"> ban</w:t>
      </w:r>
      <w:r w:rsidR="00C140FB">
        <w:rPr>
          <w:rFonts w:ascii="MetaPro-Norm" w:hAnsi="MetaPro-Norm"/>
        </w:rPr>
        <w:t>,</w:t>
      </w:r>
      <w:r w:rsidR="00692397">
        <w:rPr>
          <w:rFonts w:ascii="MetaPro-Norm" w:hAnsi="MetaPro-Norm"/>
        </w:rPr>
        <w:t xml:space="preserve"> despite widespread </w:t>
      </w:r>
      <w:r w:rsidR="00B25E0B">
        <w:rPr>
          <w:rFonts w:ascii="MetaPro-Norm" w:hAnsi="MetaPro-Norm"/>
        </w:rPr>
        <w:t>support for girls to stay in school</w:t>
      </w:r>
      <w:r w:rsidR="00692397">
        <w:rPr>
          <w:rFonts w:ascii="MetaPro-Norm" w:hAnsi="MetaPro-Norm"/>
        </w:rPr>
        <w:t xml:space="preserve"> from civil society</w:t>
      </w:r>
      <w:r w:rsidR="0071081C">
        <w:rPr>
          <w:rFonts w:ascii="MetaPro-Norm" w:hAnsi="MetaPro-Norm"/>
        </w:rPr>
        <w:t xml:space="preserve"> </w:t>
      </w:r>
      <w:r w:rsidR="00E02409">
        <w:rPr>
          <w:rFonts w:ascii="MetaPro-Norm" w:hAnsi="MetaPro-Norm"/>
        </w:rPr>
        <w:t>and Tanzanian citizens</w:t>
      </w:r>
      <w:r w:rsidR="00C140FB">
        <w:rPr>
          <w:rFonts w:ascii="MetaPro-Norm" w:hAnsi="MetaPro-Norm"/>
        </w:rPr>
        <w:t xml:space="preserve"> alike</w:t>
      </w:r>
      <w:r w:rsidR="005C4338">
        <w:rPr>
          <w:rFonts w:ascii="MetaPro-Norm" w:hAnsi="MetaPro-Norm"/>
        </w:rPr>
        <w:t>.</w:t>
      </w:r>
      <w:r w:rsidR="005C4338">
        <w:rPr>
          <w:rStyle w:val="FootnoteReference"/>
          <w:rFonts w:ascii="MetaPro-Norm" w:hAnsi="MetaPro-Norm"/>
        </w:rPr>
        <w:footnoteReference w:id="7"/>
      </w:r>
      <w:r w:rsidR="004D2CC3">
        <w:rPr>
          <w:rFonts w:ascii="MetaPro-Norm" w:hAnsi="MetaPro-Norm"/>
        </w:rPr>
        <w:t xml:space="preserve"> Human Rights Watch research </w:t>
      </w:r>
      <w:r w:rsidR="00B0452A">
        <w:rPr>
          <w:rFonts w:ascii="MetaPro-Norm" w:hAnsi="MetaPro-Norm"/>
        </w:rPr>
        <w:t xml:space="preserve">in </w:t>
      </w:r>
      <w:r w:rsidR="00EC0B32">
        <w:rPr>
          <w:rFonts w:ascii="MetaPro-Norm" w:hAnsi="MetaPro-Norm"/>
        </w:rPr>
        <w:t xml:space="preserve">other </w:t>
      </w:r>
      <w:r w:rsidR="00B0452A">
        <w:rPr>
          <w:rFonts w:ascii="MetaPro-Norm" w:hAnsi="MetaPro-Norm"/>
        </w:rPr>
        <w:t xml:space="preserve">African </w:t>
      </w:r>
      <w:r w:rsidR="00B0452A">
        <w:rPr>
          <w:rFonts w:ascii="MetaPro-Norm" w:hAnsi="MetaPro-Norm"/>
        </w:rPr>
        <w:lastRenderedPageBreak/>
        <w:t xml:space="preserve">countries </w:t>
      </w:r>
      <w:r w:rsidR="004A5CEA">
        <w:rPr>
          <w:rFonts w:ascii="MetaPro-Norm" w:hAnsi="MetaPro-Norm"/>
        </w:rPr>
        <w:t xml:space="preserve">where </w:t>
      </w:r>
      <w:r w:rsidR="00CD3E0E">
        <w:rPr>
          <w:rFonts w:ascii="MetaPro-Norm" w:hAnsi="MetaPro-Norm"/>
        </w:rPr>
        <w:t xml:space="preserve">policies uphold girls’ right to stay in school </w:t>
      </w:r>
      <w:r w:rsidR="00801992">
        <w:rPr>
          <w:rFonts w:ascii="MetaPro-Norm" w:hAnsi="MetaPro-Norm"/>
        </w:rPr>
        <w:t xml:space="preserve">shows that </w:t>
      </w:r>
      <w:r w:rsidR="00106DBA">
        <w:rPr>
          <w:rFonts w:ascii="MetaPro-Norm" w:hAnsi="MetaPro-Norm"/>
        </w:rPr>
        <w:t xml:space="preserve">public </w:t>
      </w:r>
      <w:r w:rsidR="00B63DF8">
        <w:rPr>
          <w:rFonts w:ascii="MetaPro-Norm" w:hAnsi="MetaPro-Norm"/>
        </w:rPr>
        <w:t xml:space="preserve">school officials </w:t>
      </w:r>
      <w:r w:rsidR="00106DBA">
        <w:rPr>
          <w:rFonts w:ascii="MetaPro-Norm" w:hAnsi="MetaPro-Norm"/>
        </w:rPr>
        <w:t xml:space="preserve">often </w:t>
      </w:r>
      <w:r w:rsidR="00B63DF8">
        <w:rPr>
          <w:rFonts w:ascii="MetaPro-Norm" w:hAnsi="MetaPro-Norm"/>
        </w:rPr>
        <w:t>cite cultural or traditional grounds</w:t>
      </w:r>
      <w:r w:rsidR="00106DBA">
        <w:rPr>
          <w:rFonts w:ascii="MetaPro-Norm" w:hAnsi="MetaPro-Norm"/>
        </w:rPr>
        <w:t xml:space="preserve"> to contravene such policies</w:t>
      </w:r>
      <w:r w:rsidR="00B63DF8">
        <w:rPr>
          <w:rFonts w:ascii="MetaPro-Norm" w:hAnsi="MetaPro-Norm"/>
        </w:rPr>
        <w:t>.</w:t>
      </w:r>
      <w:r w:rsidR="00E2525C">
        <w:rPr>
          <w:rStyle w:val="FootnoteReference"/>
          <w:rFonts w:ascii="MetaPro-Norm" w:hAnsi="MetaPro-Norm"/>
        </w:rPr>
        <w:footnoteReference w:id="8"/>
      </w:r>
    </w:p>
    <w:p w14:paraId="60272C90" w14:textId="5D2D95FB" w:rsidR="0025306A" w:rsidRDefault="005641F7" w:rsidP="00F045F5">
      <w:pPr>
        <w:rPr>
          <w:rFonts w:ascii="MetaPro-Norm" w:hAnsi="MetaPro-Norm"/>
        </w:rPr>
      </w:pPr>
      <w:r>
        <w:rPr>
          <w:rFonts w:ascii="MetaPro-Norm" w:hAnsi="MetaPro-Norm"/>
        </w:rPr>
        <w:t xml:space="preserve">Human Rights Watch research in countries </w:t>
      </w:r>
      <w:r w:rsidR="0071081C">
        <w:rPr>
          <w:rFonts w:ascii="MetaPro-Norm" w:hAnsi="MetaPro-Norm"/>
        </w:rPr>
        <w:t xml:space="preserve">such as </w:t>
      </w:r>
      <w:r w:rsidR="0025306A">
        <w:rPr>
          <w:rFonts w:ascii="MetaPro-Norm" w:hAnsi="MetaPro-Norm"/>
        </w:rPr>
        <w:t xml:space="preserve">Japan, </w:t>
      </w:r>
      <w:r>
        <w:rPr>
          <w:rFonts w:ascii="MetaPro-Norm" w:hAnsi="MetaPro-Norm"/>
        </w:rPr>
        <w:t xml:space="preserve">the Philippines, the United States, </w:t>
      </w:r>
      <w:r w:rsidR="0071081C">
        <w:rPr>
          <w:rFonts w:ascii="MetaPro-Norm" w:hAnsi="MetaPro-Norm"/>
        </w:rPr>
        <w:t xml:space="preserve">and </w:t>
      </w:r>
      <w:r>
        <w:rPr>
          <w:rFonts w:ascii="MetaPro-Norm" w:hAnsi="MetaPro-Norm"/>
        </w:rPr>
        <w:t xml:space="preserve">Vietnam </w:t>
      </w:r>
      <w:r w:rsidR="00FD2AF9">
        <w:rPr>
          <w:rFonts w:ascii="MetaPro-Norm" w:hAnsi="MetaPro-Norm"/>
        </w:rPr>
        <w:t xml:space="preserve">also shows that many </w:t>
      </w:r>
      <w:r w:rsidR="0040019A">
        <w:rPr>
          <w:rFonts w:ascii="MetaPro-Norm" w:hAnsi="MetaPro-Norm"/>
        </w:rPr>
        <w:t>lesbian, gay, bisexual and trans</w:t>
      </w:r>
      <w:r w:rsidR="0071081C">
        <w:rPr>
          <w:rFonts w:ascii="MetaPro-Norm" w:hAnsi="MetaPro-Norm"/>
        </w:rPr>
        <w:t>gender</w:t>
      </w:r>
      <w:r w:rsidR="0040019A">
        <w:rPr>
          <w:rFonts w:ascii="MetaPro-Norm" w:hAnsi="MetaPro-Norm"/>
        </w:rPr>
        <w:t xml:space="preserve"> (LGBT) children are </w:t>
      </w:r>
      <w:r w:rsidR="0040019A" w:rsidRPr="00C732A3">
        <w:rPr>
          <w:rFonts w:ascii="MetaPro-Norm" w:hAnsi="MetaPro-Norm"/>
        </w:rPr>
        <w:t>denied the right to education when bullying, exclusion, and discriminatory policies prevent them from participating in the classroom or attending school. LGBT students’ right to education is also curtailed when teachers and curricula do not include information that is relevant to their development or are outwardly discriminatory toward LGBT people.</w:t>
      </w:r>
      <w:r w:rsidR="005F0F4F">
        <w:rPr>
          <w:rStyle w:val="FootnoteReference"/>
          <w:rFonts w:ascii="MetaPro-Norm" w:hAnsi="MetaPro-Norm"/>
        </w:rPr>
        <w:footnoteReference w:id="9"/>
      </w:r>
      <w:r w:rsidR="0040019A">
        <w:rPr>
          <w:rFonts w:ascii="MetaPro-Norm" w:hAnsi="MetaPro-Norm"/>
        </w:rPr>
        <w:t xml:space="preserve"> </w:t>
      </w:r>
      <w:r w:rsidR="0025306A">
        <w:rPr>
          <w:rFonts w:ascii="MetaPro-Norm" w:hAnsi="MetaPro-Norm"/>
        </w:rPr>
        <w:t>In some contexts, such as Japan</w:t>
      </w:r>
      <w:r w:rsidR="00EC0B32">
        <w:rPr>
          <w:rFonts w:ascii="MetaPro-Norm" w:hAnsi="MetaPro-Norm"/>
        </w:rPr>
        <w:t xml:space="preserve"> and the Philippines</w:t>
      </w:r>
      <w:r w:rsidR="0025306A">
        <w:rPr>
          <w:rFonts w:ascii="MetaPro-Norm" w:hAnsi="MetaPro-Norm"/>
        </w:rPr>
        <w:t>, rigid gender norms are enacted through education policies—such as strict school uniform rules—and enforced by teachers and other school staff who scold students for deviating from those norms in their attire or behavior.</w:t>
      </w:r>
      <w:r w:rsidR="0025306A">
        <w:rPr>
          <w:rStyle w:val="FootnoteReference"/>
          <w:rFonts w:ascii="MetaPro-Norm" w:hAnsi="MetaPro-Norm"/>
        </w:rPr>
        <w:footnoteReference w:id="10"/>
      </w:r>
    </w:p>
    <w:p w14:paraId="6D324109" w14:textId="4580CB1E" w:rsidR="001A0782" w:rsidRDefault="00026298" w:rsidP="00F045F5">
      <w:pPr>
        <w:rPr>
          <w:rFonts w:ascii="MetaPro-Norm" w:hAnsi="MetaPro-Norm"/>
        </w:rPr>
      </w:pPr>
      <w:r>
        <w:rPr>
          <w:rFonts w:ascii="MetaPro-Norm" w:hAnsi="MetaPro-Norm"/>
        </w:rPr>
        <w:t xml:space="preserve">In </w:t>
      </w:r>
      <w:r w:rsidR="0025306A">
        <w:rPr>
          <w:rFonts w:ascii="MetaPro-Norm" w:hAnsi="MetaPro-Norm"/>
        </w:rPr>
        <w:t>other</w:t>
      </w:r>
      <w:r>
        <w:rPr>
          <w:rFonts w:ascii="MetaPro-Norm" w:hAnsi="MetaPro-Norm"/>
        </w:rPr>
        <w:t xml:space="preserve"> contexts, politicians invoke culture and tradition to curtail</w:t>
      </w:r>
      <w:r w:rsidR="00B05FAF">
        <w:rPr>
          <w:rFonts w:ascii="MetaPro-Norm" w:hAnsi="MetaPro-Norm"/>
        </w:rPr>
        <w:t xml:space="preserve"> the right to</w:t>
      </w:r>
      <w:r>
        <w:rPr>
          <w:rFonts w:ascii="MetaPro-Norm" w:hAnsi="MetaPro-Norm"/>
        </w:rPr>
        <w:t xml:space="preserve"> education. </w:t>
      </w:r>
      <w:r w:rsidR="0025306A">
        <w:rPr>
          <w:rFonts w:ascii="MetaPro-Norm" w:hAnsi="MetaPro-Norm"/>
        </w:rPr>
        <w:t>One example is Russia’s “gay propaganda” law.</w:t>
      </w:r>
      <w:r w:rsidR="00E96E83">
        <w:rPr>
          <w:rStyle w:val="FootnoteReference"/>
          <w:rFonts w:ascii="MetaPro-Norm" w:hAnsi="MetaPro-Norm"/>
        </w:rPr>
        <w:footnoteReference w:id="11"/>
      </w:r>
      <w:r w:rsidR="0025306A">
        <w:rPr>
          <w:rFonts w:ascii="MetaPro-Norm" w:hAnsi="MetaPro-Norm"/>
        </w:rPr>
        <w:t xml:space="preserve"> The 2013 law </w:t>
      </w:r>
      <w:r w:rsidR="0025306A" w:rsidRPr="0025306A">
        <w:rPr>
          <w:rFonts w:ascii="MetaPro-Norm" w:hAnsi="MetaPro-Norm"/>
        </w:rPr>
        <w:t>targets vulnerable sexual and gender minorities for political gain. The legislation, formally titled the law “aimed at protecting children from information promoting the denial of traditional family values,” bans the “promotion of nontraditional sexual relations to minors”—a reference universally understood to mean a ban on providing children access to information about LGBT people’s lives.</w:t>
      </w:r>
      <w:r w:rsidR="001240F0" w:rsidRPr="008A3686">
        <w:rPr>
          <w:rFonts w:ascii="MetaPro-Norm" w:hAnsi="MetaPro-Norm"/>
        </w:rPr>
        <w:t xml:space="preserve"> </w:t>
      </w:r>
      <w:r w:rsidR="008A3686" w:rsidRPr="008A3686">
        <w:rPr>
          <w:rFonts w:ascii="MetaPro-Norm" w:hAnsi="MetaPro-Norm"/>
        </w:rPr>
        <w:t>Language of “traditional values” has historically been used by the Russian government to curtail human rights—both domestically and in international fora, such as the UN Human Rights Council.</w:t>
      </w:r>
      <w:r w:rsidR="008A3686">
        <w:rPr>
          <w:rStyle w:val="FootnoteReference"/>
          <w:rFonts w:ascii="MetaPro-Norm" w:hAnsi="MetaPro-Norm"/>
        </w:rPr>
        <w:footnoteReference w:id="12"/>
      </w:r>
    </w:p>
    <w:p w14:paraId="0C582A89" w14:textId="447F6A35" w:rsidR="00026298" w:rsidRDefault="00026298" w:rsidP="00F045F5">
      <w:pPr>
        <w:rPr>
          <w:rFonts w:ascii="MetaPro-Norm" w:hAnsi="MetaPro-Norm"/>
        </w:rPr>
      </w:pPr>
      <w:r>
        <w:rPr>
          <w:rFonts w:ascii="MetaPro-Norm" w:hAnsi="MetaPro-Norm"/>
        </w:rPr>
        <w:lastRenderedPageBreak/>
        <w:t xml:space="preserve">Human Rights Watch conveyed our concerns </w:t>
      </w:r>
      <w:r w:rsidR="0025306A">
        <w:rPr>
          <w:rFonts w:ascii="MetaPro-Norm" w:hAnsi="MetaPro-Norm"/>
        </w:rPr>
        <w:t xml:space="preserve">about the </w:t>
      </w:r>
      <w:r w:rsidR="00EC0B32">
        <w:rPr>
          <w:rFonts w:ascii="MetaPro-Norm" w:hAnsi="MetaPro-Norm"/>
        </w:rPr>
        <w:t xml:space="preserve">2013 </w:t>
      </w:r>
      <w:r w:rsidR="0025306A">
        <w:rPr>
          <w:rFonts w:ascii="MetaPro-Norm" w:hAnsi="MetaPro-Norm"/>
        </w:rPr>
        <w:t xml:space="preserve">law’s impact on education </w:t>
      </w:r>
      <w:r>
        <w:rPr>
          <w:rFonts w:ascii="MetaPro-Norm" w:hAnsi="MetaPro-Norm"/>
        </w:rPr>
        <w:t xml:space="preserve">to </w:t>
      </w:r>
      <w:r w:rsidR="0071081C">
        <w:rPr>
          <w:rFonts w:ascii="MetaPro-Norm" w:hAnsi="MetaPro-Norm"/>
        </w:rPr>
        <w:t>Russia’s</w:t>
      </w:r>
      <w:r>
        <w:rPr>
          <w:rFonts w:ascii="MetaPro-Norm" w:hAnsi="MetaPro-Norm"/>
        </w:rPr>
        <w:t xml:space="preserve"> </w:t>
      </w:r>
      <w:r w:rsidR="0071081C">
        <w:rPr>
          <w:rFonts w:ascii="MetaPro-Norm" w:hAnsi="MetaPro-Norm"/>
        </w:rPr>
        <w:t>M</w:t>
      </w:r>
      <w:r>
        <w:rPr>
          <w:rFonts w:ascii="MetaPro-Norm" w:hAnsi="MetaPro-Norm"/>
        </w:rPr>
        <w:t xml:space="preserve">inistry of </w:t>
      </w:r>
      <w:r w:rsidR="0071081C">
        <w:rPr>
          <w:rFonts w:ascii="MetaPro-Norm" w:hAnsi="MetaPro-Norm"/>
        </w:rPr>
        <w:t>E</w:t>
      </w:r>
      <w:r>
        <w:rPr>
          <w:rFonts w:ascii="MetaPro-Norm" w:hAnsi="MetaPro-Norm"/>
        </w:rPr>
        <w:t>ducation</w:t>
      </w:r>
      <w:r w:rsidR="0025306A">
        <w:rPr>
          <w:rFonts w:ascii="MetaPro-Norm" w:hAnsi="MetaPro-Norm"/>
        </w:rPr>
        <w:t>. The</w:t>
      </w:r>
      <w:r>
        <w:rPr>
          <w:rFonts w:ascii="MetaPro-Norm" w:hAnsi="MetaPro-Norm"/>
        </w:rPr>
        <w:t xml:space="preserve"> ministry responded </w:t>
      </w:r>
      <w:r w:rsidRPr="00026298">
        <w:rPr>
          <w:rFonts w:ascii="MetaPro-Norm" w:hAnsi="MetaPro-Norm"/>
        </w:rPr>
        <w:t>that it was responsible for ensuring that education was “based on the spiritual and moral values of the people of the Russian Federation, and historic and national-culture traditions</w:t>
      </w:r>
      <w:r w:rsidR="0026351C">
        <w:rPr>
          <w:rFonts w:ascii="MetaPro-Norm" w:hAnsi="MetaPro-Norm"/>
        </w:rPr>
        <w:t>,</w:t>
      </w:r>
      <w:r w:rsidRPr="00026298">
        <w:rPr>
          <w:rFonts w:ascii="MetaPro-Norm" w:hAnsi="MetaPro-Norm"/>
        </w:rPr>
        <w:t>” which included “awareness and acceptance of their traditional family values and awareness of the responsibility towards the family, society, state and humanity.”</w:t>
      </w:r>
    </w:p>
    <w:p w14:paraId="12A00DA1" w14:textId="77777777" w:rsidR="00807DEE" w:rsidRDefault="00807DEE" w:rsidP="00F045F5"/>
    <w:p w14:paraId="08FE9F28" w14:textId="13BCFF30" w:rsidR="00625007" w:rsidRPr="004A38B0" w:rsidRDefault="004A38B0" w:rsidP="00B03162">
      <w:pPr>
        <w:rPr>
          <w:rFonts w:ascii="MetaPro-Norm" w:hAnsi="MetaPro-Norm"/>
          <w:b/>
          <w:bCs/>
        </w:rPr>
      </w:pPr>
      <w:r w:rsidRPr="004A38B0">
        <w:rPr>
          <w:rFonts w:ascii="MetaPro-Norm" w:hAnsi="MetaPro-Norm"/>
          <w:b/>
          <w:bCs/>
        </w:rPr>
        <w:t>Comprehensive Sexuality Education</w:t>
      </w:r>
    </w:p>
    <w:p w14:paraId="446CD0B6" w14:textId="046DF28C" w:rsidR="002D45C2" w:rsidRDefault="002D45C2" w:rsidP="00B03162">
      <w:pPr>
        <w:rPr>
          <w:rFonts w:ascii="MetaPro-Norm" w:hAnsi="MetaPro-Norm"/>
        </w:rPr>
      </w:pPr>
      <w:r w:rsidRPr="00B03162">
        <w:rPr>
          <w:rFonts w:ascii="MetaPro-Norm" w:hAnsi="MetaPro-Norm"/>
        </w:rPr>
        <w:t>Adolescent children’s right to information about sexual and reproductive health is guaranteed under international law. The right to information is set forth in numerous human rights treaties,</w:t>
      </w:r>
      <w:r w:rsidR="006673A1">
        <w:rPr>
          <w:rStyle w:val="FootnoteReference"/>
          <w:rFonts w:ascii="MetaPro-Norm" w:hAnsi="MetaPro-Norm"/>
        </w:rPr>
        <w:footnoteReference w:id="13"/>
      </w:r>
      <w:r w:rsidRPr="00B03162">
        <w:rPr>
          <w:rFonts w:ascii="MetaPro-Norm" w:hAnsi="MetaPro-Norm"/>
        </w:rPr>
        <w:t xml:space="preserve"> and includes both a negative obligation for states to refrain from interference with the provision of information by private parties and a positive responsibility to provide complete and accurate information necessary for the protection and promotion of rights, including the right to health.</w:t>
      </w:r>
      <w:r w:rsidR="009D397E">
        <w:rPr>
          <w:rStyle w:val="FootnoteReference"/>
          <w:rFonts w:ascii="MetaPro-Norm" w:hAnsi="MetaPro-Norm"/>
        </w:rPr>
        <w:footnoteReference w:id="14"/>
      </w:r>
    </w:p>
    <w:p w14:paraId="674C6FB7" w14:textId="1084EC2D" w:rsidR="00B14285" w:rsidRPr="00943112" w:rsidRDefault="00AA0431" w:rsidP="00B03162">
      <w:pPr>
        <w:rPr>
          <w:rFonts w:ascii="MetaPro-Norm" w:hAnsi="MetaPro-Norm"/>
          <w:b/>
          <w:bCs/>
        </w:rPr>
      </w:pPr>
      <w:r>
        <w:rPr>
          <w:rFonts w:ascii="MetaPro-Norm" w:hAnsi="MetaPro-Norm"/>
        </w:rPr>
        <w:t xml:space="preserve">The Committee on the Rights of the Child and the Committee on Economic, Social and Cultural Rights have </w:t>
      </w:r>
      <w:r w:rsidR="007B58C6">
        <w:rPr>
          <w:rFonts w:ascii="MetaPro-Norm" w:hAnsi="MetaPro-Norm"/>
        </w:rPr>
        <w:t xml:space="preserve">clarified that the </w:t>
      </w:r>
      <w:r w:rsidR="00B14285">
        <w:rPr>
          <w:rFonts w:ascii="MetaPro-Norm" w:hAnsi="MetaPro-Norm"/>
        </w:rPr>
        <w:t xml:space="preserve">right to education includes the right to </w:t>
      </w:r>
      <w:r w:rsidR="001F5D03">
        <w:rPr>
          <w:rFonts w:ascii="MetaPro-Norm" w:hAnsi="MetaPro-Norm"/>
        </w:rPr>
        <w:t>comprehensive sexuality e</w:t>
      </w:r>
      <w:r w:rsidR="00B14285">
        <w:rPr>
          <w:rFonts w:ascii="MetaPro-Norm" w:hAnsi="MetaPro-Norm"/>
        </w:rPr>
        <w:t>ducation</w:t>
      </w:r>
      <w:r w:rsidR="001F5D03" w:rsidRPr="004908C7">
        <w:rPr>
          <w:rFonts w:ascii="MetaPro-Norm" w:hAnsi="MetaPro-Norm"/>
        </w:rPr>
        <w:t>.</w:t>
      </w:r>
      <w:r w:rsidR="002D5999">
        <w:rPr>
          <w:rStyle w:val="FootnoteReference"/>
          <w:rFonts w:ascii="MetaPro-Norm" w:hAnsi="MetaPro-Norm"/>
        </w:rPr>
        <w:footnoteReference w:id="15"/>
      </w:r>
      <w:r w:rsidR="00960705">
        <w:rPr>
          <w:rFonts w:ascii="MetaPro-Norm" w:hAnsi="MetaPro-Norm"/>
        </w:rPr>
        <w:t xml:space="preserve"> </w:t>
      </w:r>
      <w:r w:rsidR="00D85C87">
        <w:rPr>
          <w:rFonts w:ascii="MetaPro-Norm" w:hAnsi="MetaPro-Norm"/>
        </w:rPr>
        <w:t>Government</w:t>
      </w:r>
      <w:r w:rsidR="00D35E7A">
        <w:rPr>
          <w:rFonts w:ascii="MetaPro-Norm" w:hAnsi="MetaPro-Norm"/>
        </w:rPr>
        <w:t>s are encouraged to adhere to i</w:t>
      </w:r>
      <w:r w:rsidR="00943112" w:rsidRPr="0034451B">
        <w:rPr>
          <w:rFonts w:ascii="MetaPro-Norm" w:hAnsi="MetaPro-Norm"/>
        </w:rPr>
        <w:t xml:space="preserve">nternational technical guidance </w:t>
      </w:r>
      <w:r w:rsidR="00B25E0B">
        <w:rPr>
          <w:rFonts w:ascii="MetaPro-Norm" w:hAnsi="MetaPro-Norm"/>
        </w:rPr>
        <w:t xml:space="preserve">on sexuality education </w:t>
      </w:r>
      <w:r w:rsidR="00943112" w:rsidRPr="0034451B">
        <w:rPr>
          <w:rFonts w:ascii="MetaPro-Norm" w:hAnsi="MetaPro-Norm"/>
        </w:rPr>
        <w:t>published jointly by the United Nations Educational, Scientific, and Cultural Organization (UNESCO) and other UN agencies</w:t>
      </w:r>
      <w:r w:rsidR="00D35E7A">
        <w:rPr>
          <w:rFonts w:ascii="MetaPro-Norm" w:hAnsi="MetaPro-Norm"/>
        </w:rPr>
        <w:t>.</w:t>
      </w:r>
      <w:r w:rsidR="00D35E7A" w:rsidRPr="0034451B">
        <w:rPr>
          <w:rStyle w:val="FootnoteReference"/>
          <w:rFonts w:ascii="MetaPro-Norm" w:hAnsi="MetaPro-Norm"/>
        </w:rPr>
        <w:footnoteReference w:id="16"/>
      </w:r>
      <w:r w:rsidR="00D35E7A" w:rsidRPr="0034451B">
        <w:rPr>
          <w:rFonts w:ascii="MetaPro-Norm" w:hAnsi="MetaPro-Norm"/>
        </w:rPr>
        <w:t xml:space="preserve"> </w:t>
      </w:r>
      <w:r w:rsidR="00D35E7A">
        <w:rPr>
          <w:rFonts w:ascii="MetaPro-Norm" w:hAnsi="MetaPro-Norm"/>
        </w:rPr>
        <w:t xml:space="preserve">This </w:t>
      </w:r>
      <w:r w:rsidR="00D35E7A">
        <w:rPr>
          <w:rFonts w:ascii="MetaPro-Norm" w:hAnsi="MetaPro-Norm"/>
        </w:rPr>
        <w:lastRenderedPageBreak/>
        <w:t xml:space="preserve">guidance </w:t>
      </w:r>
      <w:r w:rsidR="00943112">
        <w:rPr>
          <w:rFonts w:ascii="MetaPro-Norm" w:hAnsi="MetaPro-Norm"/>
        </w:rPr>
        <w:t xml:space="preserve">takes into account the importance of developing curricula and materials on comprehensive sexuality education that are </w:t>
      </w:r>
      <w:r w:rsidR="00943112" w:rsidRPr="00EC0B32">
        <w:rPr>
          <w:rFonts w:ascii="MetaPro-Norm" w:hAnsi="MetaPro-Norm"/>
        </w:rPr>
        <w:t>culturally responsive and relevant, and context appropriate,</w:t>
      </w:r>
      <w:r w:rsidR="00943112">
        <w:rPr>
          <w:rFonts w:ascii="MetaPro-Norm" w:hAnsi="MetaPro-Norm"/>
          <w:b/>
          <w:bCs/>
        </w:rPr>
        <w:t xml:space="preserve"> </w:t>
      </w:r>
      <w:r w:rsidR="00943112" w:rsidRPr="00137141">
        <w:rPr>
          <w:rFonts w:ascii="MetaPro-Norm" w:hAnsi="MetaPro-Norm"/>
        </w:rPr>
        <w:t>analy</w:t>
      </w:r>
      <w:r w:rsidR="0026351C">
        <w:rPr>
          <w:rFonts w:ascii="MetaPro-Norm" w:hAnsi="MetaPro-Norm"/>
        </w:rPr>
        <w:t>z</w:t>
      </w:r>
      <w:r w:rsidR="00943112" w:rsidRPr="00137141">
        <w:rPr>
          <w:rFonts w:ascii="MetaPro-Norm" w:hAnsi="MetaPro-Norm"/>
        </w:rPr>
        <w:t>ing how cultural norms influence people’s choices and relationships</w:t>
      </w:r>
      <w:r w:rsidR="00943112">
        <w:rPr>
          <w:rFonts w:ascii="MetaPro-Norm" w:hAnsi="MetaPro-Norm"/>
          <w:b/>
          <w:bCs/>
        </w:rPr>
        <w:t>.</w:t>
      </w:r>
      <w:r w:rsidR="00943112">
        <w:rPr>
          <w:rStyle w:val="FootnoteReference"/>
          <w:rFonts w:ascii="MetaPro-Norm" w:hAnsi="MetaPro-Norm"/>
          <w:b/>
          <w:bCs/>
        </w:rPr>
        <w:footnoteReference w:id="17"/>
      </w:r>
    </w:p>
    <w:p w14:paraId="5E787BFD" w14:textId="592BF433" w:rsidR="001F5D03" w:rsidRDefault="001F5D03" w:rsidP="00B03162">
      <w:pPr>
        <w:rPr>
          <w:rFonts w:ascii="MetaPro-Norm" w:hAnsi="MetaPro-Norm"/>
        </w:rPr>
      </w:pPr>
      <w:r>
        <w:rPr>
          <w:rFonts w:ascii="MetaPro-Norm" w:hAnsi="MetaPro-Norm"/>
        </w:rPr>
        <w:t>However,</w:t>
      </w:r>
      <w:r w:rsidR="00787674">
        <w:rPr>
          <w:rFonts w:ascii="MetaPro-Norm" w:hAnsi="MetaPro-Norm"/>
        </w:rPr>
        <w:t xml:space="preserve"> </w:t>
      </w:r>
      <w:r w:rsidR="007370C8">
        <w:rPr>
          <w:rFonts w:ascii="MetaPro-Norm" w:hAnsi="MetaPro-Norm"/>
        </w:rPr>
        <w:t>Human Rights Watch has observed</w:t>
      </w:r>
      <w:r>
        <w:rPr>
          <w:rFonts w:ascii="MetaPro-Norm" w:hAnsi="MetaPro-Norm"/>
        </w:rPr>
        <w:t xml:space="preserve"> a troubling backlash against efforts to provide children and young adults with comprehensive sexuality education in many parts of the world, </w:t>
      </w:r>
      <w:r w:rsidR="008C0E59">
        <w:rPr>
          <w:rFonts w:ascii="MetaPro-Norm" w:hAnsi="MetaPro-Norm"/>
        </w:rPr>
        <w:t xml:space="preserve">including in </w:t>
      </w:r>
      <w:r>
        <w:rPr>
          <w:rFonts w:ascii="MetaPro-Norm" w:hAnsi="MetaPro-Norm"/>
        </w:rPr>
        <w:t>Brazil,</w:t>
      </w:r>
      <w:r>
        <w:rPr>
          <w:rStyle w:val="FootnoteReference"/>
          <w:rFonts w:ascii="MetaPro-Norm" w:hAnsi="MetaPro-Norm"/>
        </w:rPr>
        <w:footnoteReference w:id="18"/>
      </w:r>
      <w:r>
        <w:rPr>
          <w:rFonts w:ascii="MetaPro-Norm" w:hAnsi="MetaPro-Norm"/>
        </w:rPr>
        <w:t xml:space="preserve"> the Dominican Republic,</w:t>
      </w:r>
      <w:r>
        <w:rPr>
          <w:rStyle w:val="FootnoteReference"/>
          <w:rFonts w:ascii="MetaPro-Norm" w:hAnsi="MetaPro-Norm"/>
        </w:rPr>
        <w:footnoteReference w:id="19"/>
      </w:r>
      <w:r>
        <w:rPr>
          <w:rFonts w:ascii="MetaPro-Norm" w:hAnsi="MetaPro-Norm"/>
        </w:rPr>
        <w:t xml:space="preserve"> Ghana,</w:t>
      </w:r>
      <w:r>
        <w:rPr>
          <w:rStyle w:val="FootnoteReference"/>
          <w:rFonts w:ascii="MetaPro-Norm" w:hAnsi="MetaPro-Norm"/>
        </w:rPr>
        <w:footnoteReference w:id="20"/>
      </w:r>
      <w:r>
        <w:rPr>
          <w:rFonts w:ascii="MetaPro-Norm" w:hAnsi="MetaPro-Norm"/>
        </w:rPr>
        <w:t xml:space="preserve"> </w:t>
      </w:r>
      <w:r w:rsidR="00275026">
        <w:rPr>
          <w:rFonts w:ascii="MetaPro-Norm" w:hAnsi="MetaPro-Norm"/>
        </w:rPr>
        <w:t>Kenya,</w:t>
      </w:r>
      <w:r w:rsidR="00275026">
        <w:rPr>
          <w:rStyle w:val="FootnoteReference"/>
          <w:rFonts w:ascii="MetaPro-Norm" w:hAnsi="MetaPro-Norm"/>
        </w:rPr>
        <w:footnoteReference w:id="21"/>
      </w:r>
      <w:r w:rsidR="00BB2E8B">
        <w:rPr>
          <w:rFonts w:ascii="MetaPro-Norm" w:hAnsi="MetaPro-Norm"/>
        </w:rPr>
        <w:t xml:space="preserve"> and</w:t>
      </w:r>
      <w:r w:rsidR="00964D48">
        <w:rPr>
          <w:rFonts w:ascii="MetaPro-Norm" w:hAnsi="MetaPro-Norm"/>
        </w:rPr>
        <w:t xml:space="preserve"> </w:t>
      </w:r>
      <w:r>
        <w:rPr>
          <w:rFonts w:ascii="MetaPro-Norm" w:hAnsi="MetaPro-Norm"/>
        </w:rPr>
        <w:t>Poland</w:t>
      </w:r>
      <w:r w:rsidR="00964D48">
        <w:rPr>
          <w:rFonts w:ascii="MetaPro-Norm" w:hAnsi="MetaPro-Norm"/>
        </w:rPr>
        <w:t>.</w:t>
      </w:r>
      <w:r>
        <w:rPr>
          <w:rStyle w:val="FootnoteReference"/>
          <w:rFonts w:ascii="MetaPro-Norm" w:hAnsi="MetaPro-Norm"/>
        </w:rPr>
        <w:footnoteReference w:id="22"/>
      </w:r>
      <w:r w:rsidR="005D6FF7">
        <w:rPr>
          <w:rFonts w:ascii="MetaPro-Norm" w:hAnsi="MetaPro-Norm"/>
        </w:rPr>
        <w:t xml:space="preserve"> </w:t>
      </w:r>
    </w:p>
    <w:p w14:paraId="064420F2" w14:textId="1C3CBA30" w:rsidR="00625170" w:rsidRDefault="00625170" w:rsidP="00B03162">
      <w:pPr>
        <w:rPr>
          <w:rFonts w:ascii="MetaPro-Norm" w:hAnsi="MetaPro-Norm"/>
        </w:rPr>
      </w:pPr>
      <w:r>
        <w:rPr>
          <w:rFonts w:ascii="MetaPro-Norm" w:hAnsi="MetaPro-Norm"/>
        </w:rPr>
        <w:t>Human Rights Watch has conducted research on the consequences of limited access to the right to education on sexuality and reproduction in various countries across different continents. In Japan, we found that limited access to information about sexuality contributes to widespread and brutal bullying of LGBT students.</w:t>
      </w:r>
      <w:r>
        <w:rPr>
          <w:rStyle w:val="FootnoteReference"/>
          <w:rFonts w:ascii="MetaPro-Norm" w:hAnsi="MetaPro-Norm"/>
        </w:rPr>
        <w:footnoteReference w:id="23"/>
      </w:r>
      <w:r>
        <w:rPr>
          <w:rFonts w:ascii="MetaPro-Norm" w:hAnsi="MetaPro-Norm"/>
        </w:rPr>
        <w:t xml:space="preserve"> In South Korea and in some US states, teachers are prohibited from providing information on same-sex activity and safer sex in the classroom, prompting young people to seek out information of dubious accuracy from friends, social media, or pornography instead.</w:t>
      </w:r>
      <w:r>
        <w:rPr>
          <w:rStyle w:val="FootnoteReference"/>
          <w:rFonts w:ascii="MetaPro-Norm" w:hAnsi="MetaPro-Norm"/>
        </w:rPr>
        <w:footnoteReference w:id="24"/>
      </w:r>
      <w:r>
        <w:rPr>
          <w:rFonts w:ascii="MetaPro-Norm" w:hAnsi="MetaPro-Norm"/>
        </w:rPr>
        <w:t xml:space="preserve"> In Senegal, where we found girls face </w:t>
      </w:r>
      <w:r w:rsidRPr="00E7691D">
        <w:rPr>
          <w:rFonts w:ascii="MetaPro-Norm" w:hAnsi="MetaPro-Norm"/>
        </w:rPr>
        <w:t>high levels of sexual and gender-based violence</w:t>
      </w:r>
      <w:r>
        <w:rPr>
          <w:rFonts w:ascii="MetaPro-Norm" w:hAnsi="MetaPro-Norm"/>
        </w:rPr>
        <w:t>, the lack of adequate sexuality education leaves girls vulnerable to sexual exploitation and abuse.</w:t>
      </w:r>
      <w:r>
        <w:rPr>
          <w:rStyle w:val="FootnoteReference"/>
          <w:rFonts w:ascii="MetaPro-Norm" w:hAnsi="MetaPro-Norm"/>
        </w:rPr>
        <w:footnoteReference w:id="25"/>
      </w:r>
      <w:r>
        <w:rPr>
          <w:rFonts w:ascii="MetaPro-Norm" w:hAnsi="MetaPro-Norm"/>
        </w:rPr>
        <w:t xml:space="preserve"> In the Philippines, we found that rates of HIV transmission among men who have sex with men (MSM) and transgender women are rapidly rising, and have been exacerbated by the lack of provision of </w:t>
      </w:r>
      <w:r w:rsidRPr="007F715D">
        <w:rPr>
          <w:rFonts w:ascii="MetaPro-Norm" w:hAnsi="MetaPro-Norm"/>
        </w:rPr>
        <w:t xml:space="preserve">comprehensive sexuality </w:t>
      </w:r>
      <w:r w:rsidRPr="007F715D">
        <w:rPr>
          <w:rFonts w:ascii="MetaPro-Norm" w:hAnsi="MetaPro-Norm"/>
        </w:rPr>
        <w:lastRenderedPageBreak/>
        <w:t xml:space="preserve">education </w:t>
      </w:r>
      <w:r>
        <w:rPr>
          <w:rFonts w:ascii="MetaPro-Norm" w:hAnsi="MetaPro-Norm"/>
        </w:rPr>
        <w:t>and limited information that is inclusive of LGBT children.</w:t>
      </w:r>
      <w:r>
        <w:rPr>
          <w:rStyle w:val="FootnoteReference"/>
          <w:rFonts w:ascii="MetaPro-Norm" w:hAnsi="MetaPro-Norm"/>
        </w:rPr>
        <w:footnoteReference w:id="26"/>
      </w:r>
      <w:r w:rsidRPr="00B5616B">
        <w:rPr>
          <w:rFonts w:ascii="MetaPro-Norm" w:hAnsi="MetaPro-Norm"/>
        </w:rPr>
        <w:t xml:space="preserve"> </w:t>
      </w:r>
      <w:r>
        <w:rPr>
          <w:rFonts w:ascii="MetaPro-Norm" w:hAnsi="MetaPro-Norm"/>
        </w:rPr>
        <w:t>In Vietnam, guidelines for comprehensive sexuality education include sexual orientation and gender identity-related material, however uneven implementation means students are often not receiving accurate or affirming information.</w:t>
      </w:r>
      <w:r>
        <w:rPr>
          <w:rStyle w:val="FootnoteReference"/>
          <w:rFonts w:ascii="MetaPro-Norm" w:hAnsi="MetaPro-Norm"/>
        </w:rPr>
        <w:footnoteReference w:id="27"/>
      </w:r>
    </w:p>
    <w:p w14:paraId="78C81F02" w14:textId="77777777" w:rsidR="002716A6" w:rsidRDefault="002716A6" w:rsidP="002716A6">
      <w:pPr>
        <w:rPr>
          <w:rFonts w:ascii="MetaPro-Norm" w:hAnsi="MetaPro-Norm"/>
        </w:rPr>
      </w:pPr>
      <w:r>
        <w:rPr>
          <w:rFonts w:ascii="MetaPro-Norm" w:hAnsi="MetaPro-Norm"/>
        </w:rPr>
        <w:t>Opposition to sexuality education is often rooted in harmful, stigmatizing, patriarchal or homophobic beliefs—framed or presented as national traditions or cultural values—</w:t>
      </w:r>
      <w:r w:rsidRPr="00EC0B32">
        <w:rPr>
          <w:rFonts w:ascii="MetaPro-Norm" w:hAnsi="MetaPro-Norm"/>
        </w:rPr>
        <w:t xml:space="preserve"> </w:t>
      </w:r>
      <w:r>
        <w:rPr>
          <w:rFonts w:ascii="MetaPro-Norm" w:hAnsi="MetaPro-Norm"/>
        </w:rPr>
        <w:t xml:space="preserve">that young people will grow out of or cannot yet understand their sexual orientation, that adolescents and young people should not engage in sexual activity, and that suppressing access to information about sexuality will somehow delay young people’s sexual initiation. </w:t>
      </w:r>
    </w:p>
    <w:p w14:paraId="305A79AD" w14:textId="77777777" w:rsidR="002716A6" w:rsidRDefault="002716A6" w:rsidP="002716A6">
      <w:pPr>
        <w:rPr>
          <w:rFonts w:ascii="MetaPro-Norm" w:hAnsi="MetaPro-Norm"/>
        </w:rPr>
      </w:pPr>
      <w:r>
        <w:rPr>
          <w:rFonts w:ascii="MetaPro-Norm" w:hAnsi="MetaPro-Norm"/>
        </w:rPr>
        <w:t>For example, Human Rights Watch research in the Dominican Republic showed authorities had delayed the implementation of comprehensive sexuality education in the national curriculum, in part due to</w:t>
      </w:r>
      <w:r w:rsidRPr="00401CBA">
        <w:t xml:space="preserve"> </w:t>
      </w:r>
      <w:r w:rsidRPr="00401CBA">
        <w:rPr>
          <w:rFonts w:ascii="MetaPro-Norm" w:hAnsi="MetaPro-Norm"/>
        </w:rPr>
        <w:t>opposition from the Catholic Church hierarchy and other socially conservative groups</w:t>
      </w:r>
      <w:r>
        <w:rPr>
          <w:rFonts w:ascii="MetaPro-Norm" w:hAnsi="MetaPro-Norm"/>
        </w:rPr>
        <w:t xml:space="preserve"> pushing for an abstinence-based approach to sexuality education. A</w:t>
      </w:r>
      <w:r w:rsidRPr="00401CBA">
        <w:rPr>
          <w:rFonts w:ascii="MetaPro-Norm" w:hAnsi="MetaPro-Norm"/>
        </w:rPr>
        <w:t xml:space="preserve"> bill </w:t>
      </w:r>
      <w:r>
        <w:rPr>
          <w:rFonts w:ascii="MetaPro-Norm" w:hAnsi="MetaPro-Norm"/>
        </w:rPr>
        <w:t xml:space="preserve">introduced in the National Congress with support from the Catholic Church </w:t>
      </w:r>
      <w:r w:rsidRPr="00401CBA">
        <w:rPr>
          <w:rFonts w:ascii="MetaPro-Norm" w:hAnsi="MetaPro-Norm"/>
        </w:rPr>
        <w:t>proposed an abstinence-only approach, designed to reflect “the purpose of human sexuality as an agent of procreation, intimacy and exclusive commitment between two people of legal age, [and] of the opposite sex,” promote “abstinence from sexual relations,” and emphasize “the emotional consequences of sexual relations at the wrong time.” The bill would guarantee parents the right to choose whether their children participate in the course.</w:t>
      </w:r>
      <w:r>
        <w:rPr>
          <w:rStyle w:val="FootnoteReference"/>
          <w:rFonts w:ascii="MetaPro-Norm" w:hAnsi="MetaPro-Norm"/>
        </w:rPr>
        <w:footnoteReference w:id="28"/>
      </w:r>
    </w:p>
    <w:p w14:paraId="19FAB5B2" w14:textId="0546F47E" w:rsidR="002716A6" w:rsidRDefault="002716A6" w:rsidP="002716A6">
      <w:pPr>
        <w:rPr>
          <w:rFonts w:ascii="MetaPro-Norm" w:hAnsi="MetaPro-Norm"/>
        </w:rPr>
      </w:pPr>
      <w:r>
        <w:rPr>
          <w:rFonts w:ascii="MetaPro-Norm" w:hAnsi="MetaPro-Norm"/>
        </w:rPr>
        <w:t xml:space="preserve">In Poland in 2019, </w:t>
      </w:r>
      <w:r w:rsidRPr="00026298">
        <w:rPr>
          <w:rFonts w:ascii="MetaPro-Norm" w:hAnsi="MetaPro-Norm"/>
        </w:rPr>
        <w:t>Warsaw</w:t>
      </w:r>
      <w:r>
        <w:rPr>
          <w:rFonts w:ascii="MetaPro-Norm" w:hAnsi="MetaPro-Norm"/>
        </w:rPr>
        <w:t>’s</w:t>
      </w:r>
      <w:r w:rsidRPr="00026298">
        <w:rPr>
          <w:rFonts w:ascii="MetaPro-Norm" w:hAnsi="MetaPro-Norm"/>
        </w:rPr>
        <w:t xml:space="preserve"> Mayor Rafał Trzaskowski</w:t>
      </w:r>
      <w:r>
        <w:rPr>
          <w:rFonts w:ascii="MetaPro-Norm" w:hAnsi="MetaPro-Norm"/>
        </w:rPr>
        <w:t xml:space="preserve"> </w:t>
      </w:r>
      <w:r w:rsidRPr="00026298">
        <w:rPr>
          <w:rFonts w:ascii="MetaPro-Norm" w:hAnsi="MetaPro-Norm"/>
        </w:rPr>
        <w:t>pledged to support LGBT people and ensure the city’s sex education curriculum includes teaching on sexual orientation and gender identity</w:t>
      </w:r>
      <w:r>
        <w:rPr>
          <w:rFonts w:ascii="MetaPro-Norm" w:hAnsi="MetaPro-Norm"/>
        </w:rPr>
        <w:t xml:space="preserve">. The ruling party </w:t>
      </w:r>
      <w:r w:rsidRPr="00026298">
        <w:rPr>
          <w:rFonts w:ascii="MetaPro-Norm" w:hAnsi="MetaPro-Norm"/>
        </w:rPr>
        <w:t>leader</w:t>
      </w:r>
      <w:r>
        <w:rPr>
          <w:rFonts w:ascii="MetaPro-Norm" w:hAnsi="MetaPro-Norm"/>
        </w:rPr>
        <w:t>,</w:t>
      </w:r>
      <w:r w:rsidRPr="00026298">
        <w:rPr>
          <w:rFonts w:ascii="MetaPro-Norm" w:hAnsi="MetaPro-Norm"/>
        </w:rPr>
        <w:t xml:space="preserve"> Jaraslow Kaczyński</w:t>
      </w:r>
      <w:r>
        <w:rPr>
          <w:rFonts w:ascii="MetaPro-Norm" w:hAnsi="MetaPro-Norm"/>
        </w:rPr>
        <w:t>,</w:t>
      </w:r>
      <w:r w:rsidRPr="00026298">
        <w:rPr>
          <w:rFonts w:ascii="MetaPro-Norm" w:hAnsi="MetaPro-Norm"/>
        </w:rPr>
        <w:t xml:space="preserve"> called this an attack on families and warned it would cause “sexualization of kids.”</w:t>
      </w:r>
      <w:r>
        <w:rPr>
          <w:rFonts w:ascii="MetaPro-Norm" w:hAnsi="MetaPro-Norm"/>
        </w:rPr>
        <w:t xml:space="preserve"> In </w:t>
      </w:r>
      <w:r w:rsidRPr="00026298">
        <w:rPr>
          <w:rFonts w:ascii="MetaPro-Norm" w:hAnsi="MetaPro-Norm"/>
        </w:rPr>
        <w:t>September 2018, a campaign called “Stop Sexualization of Children and Youth” accused groups conducting sex education workshops of promoting “depravity.” The campaign claimed that following World Health Organization sex education standards for Europe would cause “sex addiction” and “confusion about gender identity.”</w:t>
      </w:r>
      <w:r>
        <w:rPr>
          <w:rStyle w:val="FootnoteReference"/>
          <w:rFonts w:ascii="MetaPro-Norm" w:hAnsi="MetaPro-Norm"/>
        </w:rPr>
        <w:footnoteReference w:id="29"/>
      </w:r>
    </w:p>
    <w:p w14:paraId="2933528F" w14:textId="11098AAB" w:rsidR="00B05FAF" w:rsidRPr="00625170" w:rsidRDefault="00CD78E8" w:rsidP="00F9569F">
      <w:pPr>
        <w:rPr>
          <w:rFonts w:ascii="MetaPro-Norm" w:hAnsi="MetaPro-Norm"/>
          <w:i/>
          <w:iCs/>
        </w:rPr>
      </w:pPr>
      <w:r w:rsidRPr="00625170">
        <w:rPr>
          <w:rFonts w:ascii="MetaPro-Norm" w:hAnsi="MetaPro-Norm"/>
          <w:i/>
          <w:iCs/>
        </w:rPr>
        <w:lastRenderedPageBreak/>
        <w:t>We recommend that the Special Rapporteur</w:t>
      </w:r>
      <w:r w:rsidR="00AC5ECA" w:rsidRPr="00625170">
        <w:rPr>
          <w:rFonts w:ascii="MetaPro-Norm" w:hAnsi="MetaPro-Norm"/>
          <w:i/>
          <w:iCs/>
        </w:rPr>
        <w:t xml:space="preserve">: </w:t>
      </w:r>
    </w:p>
    <w:p w14:paraId="6A5F124B" w14:textId="069C3E92" w:rsidR="005F76B2" w:rsidRPr="005F76B2" w:rsidRDefault="00B05FAF" w:rsidP="005F76B2">
      <w:pPr>
        <w:pStyle w:val="ListParagraph"/>
        <w:numPr>
          <w:ilvl w:val="0"/>
          <w:numId w:val="6"/>
        </w:numPr>
        <w:rPr>
          <w:rFonts w:ascii="MetaPro-Norm" w:hAnsi="MetaPro-Norm"/>
        </w:rPr>
      </w:pPr>
      <w:bookmarkStart w:id="1" w:name="_GoBack"/>
      <w:r w:rsidRPr="00B05FAF">
        <w:rPr>
          <w:rFonts w:ascii="MetaPro-Norm" w:hAnsi="MetaPro-Norm"/>
        </w:rPr>
        <w:t>Critique</w:t>
      </w:r>
      <w:r w:rsidR="00646AC2">
        <w:rPr>
          <w:rFonts w:ascii="MetaPro-Norm" w:hAnsi="MetaPro-Norm"/>
        </w:rPr>
        <w:t>s</w:t>
      </w:r>
      <w:r w:rsidRPr="00B05FAF">
        <w:rPr>
          <w:rFonts w:ascii="MetaPro-Norm" w:hAnsi="MetaPro-Norm"/>
        </w:rPr>
        <w:t xml:space="preserve"> the ways in which governments invoke “culture” as singular, non-diverse, and supposedly agreed-upon value system to curtail</w:t>
      </w:r>
      <w:r>
        <w:rPr>
          <w:rFonts w:ascii="MetaPro-Norm" w:hAnsi="MetaPro-Norm"/>
        </w:rPr>
        <w:t xml:space="preserve"> the right to</w:t>
      </w:r>
      <w:r w:rsidRPr="00B05FAF">
        <w:rPr>
          <w:rFonts w:ascii="MetaPro-Norm" w:hAnsi="MetaPro-Norm"/>
        </w:rPr>
        <w:t xml:space="preserve"> education through censorship of the school curriculum allowing school rules to enforce rigid and sometimes-harmful gender norms.</w:t>
      </w:r>
    </w:p>
    <w:p w14:paraId="7F5C6CAC" w14:textId="50B37B99" w:rsidR="00635585" w:rsidRPr="00635585" w:rsidRDefault="00635585" w:rsidP="00635585">
      <w:pPr>
        <w:pStyle w:val="ListParagraph"/>
        <w:numPr>
          <w:ilvl w:val="0"/>
          <w:numId w:val="6"/>
        </w:numPr>
        <w:rPr>
          <w:rFonts w:ascii="MetaPro-Norm" w:hAnsi="MetaPro-Norm"/>
        </w:rPr>
      </w:pPr>
      <w:r w:rsidRPr="00635585">
        <w:rPr>
          <w:rFonts w:ascii="MetaPro-Norm" w:hAnsi="MetaPro-Norm"/>
        </w:rPr>
        <w:t>Reminds all states that cultural and religious beliefs held by individuals, families, or specific communities should never be used to block or undermine public policies aimed at fulfilling children’s internationally recognized human rights and advancing public health</w:t>
      </w:r>
      <w:bookmarkEnd w:id="1"/>
      <w:r w:rsidRPr="00635585">
        <w:rPr>
          <w:rFonts w:ascii="MetaPro-Norm" w:hAnsi="MetaPro-Norm"/>
        </w:rPr>
        <w:t xml:space="preserve">. </w:t>
      </w:r>
    </w:p>
    <w:p w14:paraId="72165362" w14:textId="70C907FF" w:rsidR="00AB19D7" w:rsidRDefault="00BD1F99" w:rsidP="00BD1F99">
      <w:pPr>
        <w:pStyle w:val="ListParagraph"/>
        <w:numPr>
          <w:ilvl w:val="0"/>
          <w:numId w:val="3"/>
        </w:numPr>
        <w:rPr>
          <w:rFonts w:ascii="MetaPro-Norm" w:hAnsi="MetaPro-Norm"/>
        </w:rPr>
      </w:pPr>
      <w:r w:rsidRPr="007F715D">
        <w:rPr>
          <w:rFonts w:ascii="MetaPro-Norm" w:hAnsi="MetaPro-Norm"/>
        </w:rPr>
        <w:t>Urge</w:t>
      </w:r>
      <w:r w:rsidR="00D373F3">
        <w:rPr>
          <w:rFonts w:ascii="MetaPro-Norm" w:hAnsi="MetaPro-Norm"/>
        </w:rPr>
        <w:t>s</w:t>
      </w:r>
      <w:r w:rsidRPr="007F715D">
        <w:rPr>
          <w:rFonts w:ascii="MetaPro-Norm" w:hAnsi="MetaPro-Norm"/>
        </w:rPr>
        <w:t xml:space="preserve"> all states to implement comprehensive sexuality education as a mandatory part of the national curriculum in primary and secondary schools. </w:t>
      </w:r>
    </w:p>
    <w:p w14:paraId="08CF3385" w14:textId="77777777" w:rsidR="00AB19D7" w:rsidRDefault="00BD1F99" w:rsidP="00AB19D7">
      <w:pPr>
        <w:pStyle w:val="ListParagraph"/>
        <w:numPr>
          <w:ilvl w:val="1"/>
          <w:numId w:val="3"/>
        </w:numPr>
        <w:rPr>
          <w:rFonts w:ascii="MetaPro-Norm" w:hAnsi="MetaPro-Norm"/>
        </w:rPr>
      </w:pPr>
      <w:r w:rsidRPr="007F715D">
        <w:rPr>
          <w:rFonts w:ascii="MetaPro-Norm" w:hAnsi="MetaPro-Norm"/>
        </w:rPr>
        <w:t xml:space="preserve">Ensure that sexuality education meets international standards and is scientifically accurate, rights-based, and age-appropriate. </w:t>
      </w:r>
    </w:p>
    <w:p w14:paraId="7EBF4052" w14:textId="6B44BFF7" w:rsidR="00BD1F99" w:rsidRDefault="00BD1F99" w:rsidP="00AB19D7">
      <w:pPr>
        <w:pStyle w:val="ListParagraph"/>
        <w:numPr>
          <w:ilvl w:val="1"/>
          <w:numId w:val="3"/>
        </w:numPr>
        <w:rPr>
          <w:rFonts w:ascii="MetaPro-Norm" w:hAnsi="MetaPro-Norm"/>
        </w:rPr>
      </w:pPr>
      <w:r w:rsidRPr="007F715D">
        <w:rPr>
          <w:rFonts w:ascii="MetaPro-Norm" w:hAnsi="MetaPro-Norm"/>
        </w:rPr>
        <w:t>Ensure comprehensive sexuality education reaches students from an early age and builds incrementally to equip them with developmentally relevant information about their health and well</w:t>
      </w:r>
      <w:r w:rsidR="00646AC2">
        <w:rPr>
          <w:rFonts w:ascii="MetaPro-Norm" w:hAnsi="MetaPro-Norm"/>
        </w:rPr>
        <w:t>-</w:t>
      </w:r>
      <w:r w:rsidRPr="007F715D">
        <w:rPr>
          <w:rFonts w:ascii="MetaPro-Norm" w:hAnsi="MetaPro-Norm"/>
        </w:rPr>
        <w:t xml:space="preserve">being. </w:t>
      </w:r>
    </w:p>
    <w:p w14:paraId="3E10E79E" w14:textId="11A2AC19" w:rsidR="00AB19D7" w:rsidRPr="00BD1F99" w:rsidRDefault="00532988" w:rsidP="00AB19D7">
      <w:pPr>
        <w:pStyle w:val="ListParagraph"/>
        <w:numPr>
          <w:ilvl w:val="1"/>
          <w:numId w:val="3"/>
        </w:numPr>
        <w:rPr>
          <w:rFonts w:ascii="MetaPro-Norm" w:hAnsi="MetaPro-Norm"/>
        </w:rPr>
      </w:pPr>
      <w:r>
        <w:rPr>
          <w:rFonts w:ascii="MetaPro-Norm" w:hAnsi="MetaPro-Norm"/>
        </w:rPr>
        <w:t xml:space="preserve">Ensure </w:t>
      </w:r>
      <w:r w:rsidR="00730A3F">
        <w:rPr>
          <w:rFonts w:ascii="MetaPro-Norm" w:hAnsi="MetaPro-Norm"/>
        </w:rPr>
        <w:t>teachers and</w:t>
      </w:r>
      <w:r w:rsidR="00730A3F" w:rsidRPr="007F715D">
        <w:rPr>
          <w:rFonts w:ascii="MetaPro-Norm" w:hAnsi="MetaPro-Norm"/>
        </w:rPr>
        <w:t xml:space="preserve"> educators </w:t>
      </w:r>
      <w:r w:rsidR="00730A3F">
        <w:rPr>
          <w:rFonts w:ascii="MetaPro-Norm" w:hAnsi="MetaPro-Norm"/>
        </w:rPr>
        <w:t>are adequately trained to</w:t>
      </w:r>
      <w:r w:rsidR="00730A3F" w:rsidRPr="007F715D">
        <w:rPr>
          <w:rFonts w:ascii="MetaPro-Norm" w:hAnsi="MetaPro-Norm"/>
        </w:rPr>
        <w:t xml:space="preserve"> teach the curriculum impartially</w:t>
      </w:r>
      <w:r w:rsidR="00B62EDF">
        <w:rPr>
          <w:rFonts w:ascii="MetaPro-Norm" w:hAnsi="MetaPro-Norm"/>
        </w:rPr>
        <w:t xml:space="preserve"> and in an inclusive manner.</w:t>
      </w:r>
    </w:p>
    <w:p w14:paraId="25536436" w14:textId="00515900" w:rsidR="006B5C3C" w:rsidRDefault="006B5C3C" w:rsidP="006B5C3C">
      <w:pPr>
        <w:pStyle w:val="ListParagraph"/>
        <w:numPr>
          <w:ilvl w:val="0"/>
          <w:numId w:val="3"/>
        </w:numPr>
        <w:rPr>
          <w:rFonts w:ascii="MetaPro-Norm" w:hAnsi="MetaPro-Norm"/>
        </w:rPr>
      </w:pPr>
      <w:r>
        <w:rPr>
          <w:rFonts w:ascii="MetaPro-Norm" w:hAnsi="MetaPro-Norm"/>
        </w:rPr>
        <w:t>Urge</w:t>
      </w:r>
      <w:r w:rsidR="00D373F3">
        <w:rPr>
          <w:rFonts w:ascii="MetaPro-Norm" w:hAnsi="MetaPro-Norm"/>
        </w:rPr>
        <w:t>s</w:t>
      </w:r>
      <w:r>
        <w:rPr>
          <w:rFonts w:ascii="MetaPro-Norm" w:hAnsi="MetaPro-Norm"/>
        </w:rPr>
        <w:t xml:space="preserve"> education authorities to disseminate accurate information about what sexuality education involves and why it is an important part of protecting the rights, health, and dignity of children and youth</w:t>
      </w:r>
      <w:r w:rsidR="00ED6EC5">
        <w:rPr>
          <w:rFonts w:ascii="MetaPro-Norm" w:hAnsi="MetaPro-Norm"/>
        </w:rPr>
        <w:t>.</w:t>
      </w:r>
    </w:p>
    <w:p w14:paraId="41C29E9D" w14:textId="50903839" w:rsidR="003E0936" w:rsidRPr="00750EEC" w:rsidRDefault="00084ACA" w:rsidP="00084ACA">
      <w:pPr>
        <w:pStyle w:val="ListParagraph"/>
        <w:numPr>
          <w:ilvl w:val="0"/>
          <w:numId w:val="3"/>
        </w:numPr>
        <w:rPr>
          <w:rFonts w:ascii="MetaPro-Norm" w:hAnsi="MetaPro-Norm"/>
        </w:rPr>
      </w:pPr>
      <w:r>
        <w:rPr>
          <w:rFonts w:ascii="MetaPro-Norm" w:hAnsi="MetaPro-Norm"/>
        </w:rPr>
        <w:t>Urge</w:t>
      </w:r>
      <w:r w:rsidR="00D373F3">
        <w:rPr>
          <w:rFonts w:ascii="MetaPro-Norm" w:hAnsi="MetaPro-Norm"/>
        </w:rPr>
        <w:t>s</w:t>
      </w:r>
      <w:r>
        <w:rPr>
          <w:rFonts w:ascii="MetaPro-Norm" w:hAnsi="MetaPro-Norm"/>
        </w:rPr>
        <w:t xml:space="preserve"> authorities to create avenues for young people’s voices to be heard and respected in dialogue around public policy regarding sexuality education.</w:t>
      </w:r>
    </w:p>
    <w:sectPr w:rsidR="003E0936" w:rsidRPr="00750EE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22F76" w14:textId="77777777" w:rsidR="00454D3D" w:rsidRDefault="00454D3D" w:rsidP="005A77C9">
      <w:pPr>
        <w:spacing w:after="0" w:line="240" w:lineRule="auto"/>
      </w:pPr>
      <w:r>
        <w:separator/>
      </w:r>
    </w:p>
  </w:endnote>
  <w:endnote w:type="continuationSeparator" w:id="0">
    <w:p w14:paraId="7B82D48A" w14:textId="77777777" w:rsidR="00454D3D" w:rsidRDefault="00454D3D" w:rsidP="005A7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Norm">
    <w:altName w:val="Arial"/>
    <w:panose1 w:val="00000000000000000000"/>
    <w:charset w:val="00"/>
    <w:family w:val="swiss"/>
    <w:notTrueType/>
    <w:pitch w:val="variable"/>
    <w:sig w:usb0="00000001"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185419"/>
      <w:docPartObj>
        <w:docPartGallery w:val="Page Numbers (Bottom of Page)"/>
        <w:docPartUnique/>
      </w:docPartObj>
    </w:sdtPr>
    <w:sdtEndPr>
      <w:rPr>
        <w:rFonts w:ascii="MetaPro-Norm" w:hAnsi="MetaPro-Norm"/>
        <w:noProof/>
        <w:sz w:val="20"/>
        <w:szCs w:val="20"/>
      </w:rPr>
    </w:sdtEndPr>
    <w:sdtContent>
      <w:p w14:paraId="057F9CA2" w14:textId="170A0A6B" w:rsidR="00957428" w:rsidRPr="00957428" w:rsidRDefault="00957428">
        <w:pPr>
          <w:pStyle w:val="Footer"/>
          <w:jc w:val="center"/>
          <w:rPr>
            <w:rFonts w:ascii="MetaPro-Norm" w:hAnsi="MetaPro-Norm"/>
            <w:sz w:val="20"/>
            <w:szCs w:val="20"/>
          </w:rPr>
        </w:pPr>
        <w:r w:rsidRPr="00957428">
          <w:rPr>
            <w:rFonts w:ascii="MetaPro-Norm" w:hAnsi="MetaPro-Norm"/>
            <w:sz w:val="20"/>
            <w:szCs w:val="20"/>
          </w:rPr>
          <w:fldChar w:fldCharType="begin"/>
        </w:r>
        <w:r w:rsidRPr="00957428">
          <w:rPr>
            <w:rFonts w:ascii="MetaPro-Norm" w:hAnsi="MetaPro-Norm"/>
            <w:sz w:val="20"/>
            <w:szCs w:val="20"/>
          </w:rPr>
          <w:instrText xml:space="preserve"> PAGE   \* MERGEFORMAT </w:instrText>
        </w:r>
        <w:r w:rsidRPr="00957428">
          <w:rPr>
            <w:rFonts w:ascii="MetaPro-Norm" w:hAnsi="MetaPro-Norm"/>
            <w:sz w:val="20"/>
            <w:szCs w:val="20"/>
          </w:rPr>
          <w:fldChar w:fldCharType="separate"/>
        </w:r>
        <w:r w:rsidR="0058159B">
          <w:rPr>
            <w:rFonts w:ascii="MetaPro-Norm" w:hAnsi="MetaPro-Norm"/>
            <w:noProof/>
            <w:sz w:val="20"/>
            <w:szCs w:val="20"/>
          </w:rPr>
          <w:t>6</w:t>
        </w:r>
        <w:r w:rsidRPr="00957428">
          <w:rPr>
            <w:rFonts w:ascii="MetaPro-Norm" w:hAnsi="MetaPro-Norm"/>
            <w:noProof/>
            <w:sz w:val="20"/>
            <w:szCs w:val="20"/>
          </w:rPr>
          <w:fldChar w:fldCharType="end"/>
        </w:r>
      </w:p>
    </w:sdtContent>
  </w:sdt>
  <w:p w14:paraId="25FD8C4D" w14:textId="77777777" w:rsidR="00957428" w:rsidRDefault="00957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22DDE" w14:textId="77777777" w:rsidR="00454D3D" w:rsidRDefault="00454D3D" w:rsidP="005A77C9">
      <w:pPr>
        <w:spacing w:after="0" w:line="240" w:lineRule="auto"/>
      </w:pPr>
      <w:r>
        <w:separator/>
      </w:r>
    </w:p>
  </w:footnote>
  <w:footnote w:type="continuationSeparator" w:id="0">
    <w:p w14:paraId="7745256B" w14:textId="77777777" w:rsidR="00454D3D" w:rsidRDefault="00454D3D" w:rsidP="005A77C9">
      <w:pPr>
        <w:spacing w:after="0" w:line="240" w:lineRule="auto"/>
      </w:pPr>
      <w:r>
        <w:continuationSeparator/>
      </w:r>
    </w:p>
  </w:footnote>
  <w:footnote w:id="1">
    <w:p w14:paraId="7B758FE7" w14:textId="77777777" w:rsidR="00625170" w:rsidRDefault="005A77C9">
      <w:pPr>
        <w:pStyle w:val="FootnoteText"/>
        <w:rPr>
          <w:rFonts w:ascii="MetaPro-Norm" w:hAnsi="MetaPro-Norm"/>
          <w:sz w:val="16"/>
          <w:szCs w:val="16"/>
        </w:rPr>
      </w:pPr>
      <w:r w:rsidRPr="009644C9">
        <w:rPr>
          <w:rStyle w:val="FootnoteReference"/>
          <w:rFonts w:ascii="MetaPro-Norm" w:hAnsi="MetaPro-Norm"/>
          <w:sz w:val="16"/>
          <w:szCs w:val="16"/>
        </w:rPr>
        <w:footnoteRef/>
      </w:r>
      <w:r w:rsidRPr="009644C9">
        <w:rPr>
          <w:rFonts w:ascii="MetaPro-Norm" w:hAnsi="MetaPro-Norm"/>
          <w:sz w:val="16"/>
          <w:szCs w:val="16"/>
        </w:rPr>
        <w:t xml:space="preserve"> For more information on Human Rights Watch research on the right to education, please see </w:t>
      </w:r>
    </w:p>
    <w:p w14:paraId="59428E00" w14:textId="644F19F3" w:rsidR="005A77C9" w:rsidRPr="009644C9" w:rsidRDefault="0058159B">
      <w:pPr>
        <w:pStyle w:val="FootnoteText"/>
        <w:rPr>
          <w:rFonts w:ascii="MetaPro-Norm" w:hAnsi="MetaPro-Norm"/>
          <w:sz w:val="16"/>
          <w:szCs w:val="16"/>
        </w:rPr>
      </w:pPr>
      <w:hyperlink r:id="rId1" w:history="1">
        <w:r w:rsidR="00625170" w:rsidRPr="007A68F4">
          <w:rPr>
            <w:rStyle w:val="Hyperlink"/>
            <w:rFonts w:ascii="MetaPro-Norm" w:hAnsi="MetaPro-Norm"/>
            <w:sz w:val="16"/>
            <w:szCs w:val="16"/>
          </w:rPr>
          <w:t>https://www.hrw.org/topic/childrens-rights/education</w:t>
        </w:r>
      </w:hyperlink>
      <w:r w:rsidR="005A77C9" w:rsidRPr="009644C9">
        <w:rPr>
          <w:rFonts w:ascii="MetaPro-Norm" w:hAnsi="MetaPro-Norm"/>
          <w:sz w:val="16"/>
          <w:szCs w:val="16"/>
        </w:rPr>
        <w:t xml:space="preserve">.  </w:t>
      </w:r>
    </w:p>
  </w:footnote>
  <w:footnote w:id="2">
    <w:p w14:paraId="7986B6D9" w14:textId="707B254C" w:rsidR="006F5ECD" w:rsidRDefault="006F5ECD">
      <w:pPr>
        <w:pStyle w:val="FootnoteText"/>
      </w:pPr>
      <w:r w:rsidRPr="009644C9">
        <w:rPr>
          <w:rStyle w:val="FootnoteReference"/>
          <w:rFonts w:ascii="MetaPro-Norm" w:hAnsi="MetaPro-Norm"/>
          <w:sz w:val="16"/>
          <w:szCs w:val="16"/>
        </w:rPr>
        <w:footnoteRef/>
      </w:r>
      <w:r w:rsidRPr="009644C9">
        <w:rPr>
          <w:rFonts w:ascii="MetaPro-Norm" w:hAnsi="MetaPro-Norm"/>
          <w:sz w:val="16"/>
          <w:szCs w:val="16"/>
        </w:rPr>
        <w:t xml:space="preserve"> </w:t>
      </w:r>
      <w:r w:rsidR="005D5D7E" w:rsidRPr="009644C9">
        <w:rPr>
          <w:rFonts w:ascii="MetaPro-Norm" w:hAnsi="MetaPro-Norm"/>
          <w:sz w:val="16"/>
          <w:szCs w:val="16"/>
        </w:rPr>
        <w:t xml:space="preserve">United Nations Declaration on the Rights of Persons Belonging to National or Ethnic, Religious and Linguistic Minorities (1992), </w:t>
      </w:r>
      <w:r w:rsidR="00625170" w:rsidRPr="001C7586">
        <w:rPr>
          <w:rFonts w:ascii="MetaPro-Norm" w:hAnsi="MetaPro-Norm"/>
          <w:sz w:val="16"/>
          <w:szCs w:val="16"/>
        </w:rPr>
        <w:t>adopted by General Assembly resolution 47/135 of December 18, 1992</w:t>
      </w:r>
      <w:r w:rsidR="00625170">
        <w:rPr>
          <w:rFonts w:ascii="MetaPro-Norm" w:hAnsi="MetaPro-Norm"/>
          <w:sz w:val="16"/>
          <w:szCs w:val="16"/>
        </w:rPr>
        <w:t>,</w:t>
      </w:r>
      <w:r w:rsidR="00625170" w:rsidRPr="001C7586">
        <w:rPr>
          <w:rFonts w:ascii="MetaPro-Norm" w:hAnsi="MetaPro-Norm"/>
          <w:sz w:val="16"/>
          <w:szCs w:val="16"/>
        </w:rPr>
        <w:t xml:space="preserve"> </w:t>
      </w:r>
      <w:r w:rsidR="005D5D7E" w:rsidRPr="009644C9">
        <w:rPr>
          <w:rFonts w:ascii="MetaPro-Norm" w:hAnsi="MetaPro-Norm"/>
          <w:sz w:val="16"/>
          <w:szCs w:val="16"/>
        </w:rPr>
        <w:t>articles 4</w:t>
      </w:r>
      <w:r w:rsidR="00554938">
        <w:rPr>
          <w:rFonts w:ascii="MetaPro-Norm" w:hAnsi="MetaPro-Norm"/>
          <w:sz w:val="16"/>
          <w:szCs w:val="16"/>
        </w:rPr>
        <w:t>(</w:t>
      </w:r>
      <w:r w:rsidR="005D5D7E" w:rsidRPr="009644C9">
        <w:rPr>
          <w:rFonts w:ascii="MetaPro-Norm" w:hAnsi="MetaPro-Norm"/>
          <w:sz w:val="16"/>
          <w:szCs w:val="16"/>
        </w:rPr>
        <w:t>3</w:t>
      </w:r>
      <w:r w:rsidR="00554938">
        <w:rPr>
          <w:rFonts w:ascii="MetaPro-Norm" w:hAnsi="MetaPro-Norm"/>
          <w:sz w:val="16"/>
          <w:szCs w:val="16"/>
        </w:rPr>
        <w:t>)</w:t>
      </w:r>
      <w:r w:rsidR="005D5D7E" w:rsidRPr="009644C9">
        <w:rPr>
          <w:rFonts w:ascii="MetaPro-Norm" w:hAnsi="MetaPro-Norm"/>
          <w:sz w:val="16"/>
          <w:szCs w:val="16"/>
        </w:rPr>
        <w:t xml:space="preserve"> and 4</w:t>
      </w:r>
      <w:r w:rsidR="00554938">
        <w:rPr>
          <w:rFonts w:ascii="MetaPro-Norm" w:hAnsi="MetaPro-Norm"/>
          <w:sz w:val="16"/>
          <w:szCs w:val="16"/>
        </w:rPr>
        <w:t>(</w:t>
      </w:r>
      <w:r w:rsidR="005D5D7E" w:rsidRPr="009644C9">
        <w:rPr>
          <w:rFonts w:ascii="MetaPro-Norm" w:hAnsi="MetaPro-Norm"/>
          <w:sz w:val="16"/>
          <w:szCs w:val="16"/>
        </w:rPr>
        <w:t>4</w:t>
      </w:r>
      <w:r w:rsidR="00554938">
        <w:rPr>
          <w:rFonts w:ascii="MetaPro-Norm" w:hAnsi="MetaPro-Norm"/>
          <w:sz w:val="16"/>
          <w:szCs w:val="16"/>
        </w:rPr>
        <w:t>)</w:t>
      </w:r>
      <w:r w:rsidR="005D5D7E" w:rsidRPr="009644C9">
        <w:rPr>
          <w:rFonts w:ascii="MetaPro-Norm" w:hAnsi="MetaPro-Norm"/>
          <w:sz w:val="16"/>
          <w:szCs w:val="16"/>
        </w:rPr>
        <w:t>.</w:t>
      </w:r>
    </w:p>
  </w:footnote>
  <w:footnote w:id="3">
    <w:p w14:paraId="6906D225" w14:textId="3F52D749" w:rsidR="004E14F0" w:rsidRPr="00B25E0B" w:rsidRDefault="004E14F0">
      <w:pPr>
        <w:pStyle w:val="FootnoteText"/>
        <w:rPr>
          <w:rFonts w:ascii="MetaPro-Norm" w:hAnsi="MetaPro-Norm"/>
          <w:sz w:val="16"/>
          <w:szCs w:val="16"/>
        </w:rPr>
      </w:pPr>
      <w:r w:rsidRPr="001C7586">
        <w:rPr>
          <w:rStyle w:val="FootnoteReference"/>
          <w:rFonts w:ascii="MetaPro-Norm" w:hAnsi="MetaPro-Norm"/>
          <w:sz w:val="16"/>
          <w:szCs w:val="16"/>
        </w:rPr>
        <w:footnoteRef/>
      </w:r>
      <w:r w:rsidRPr="001C7586">
        <w:rPr>
          <w:rFonts w:ascii="MetaPro-Norm" w:hAnsi="MetaPro-Norm"/>
          <w:sz w:val="16"/>
          <w:szCs w:val="16"/>
        </w:rPr>
        <w:t xml:space="preserve"> </w:t>
      </w:r>
      <w:r w:rsidR="00CA3485" w:rsidRPr="001C7586">
        <w:rPr>
          <w:rFonts w:ascii="MetaPro-Norm" w:hAnsi="MetaPro-Norm"/>
          <w:sz w:val="16"/>
          <w:szCs w:val="16"/>
        </w:rPr>
        <w:t xml:space="preserve">The United Nations Declaration on the Rights of Persons Belonging to National or Ethnic, Religious and Linguistic </w:t>
      </w:r>
      <w:r w:rsidR="009D585D" w:rsidRPr="001C7586">
        <w:rPr>
          <w:rFonts w:ascii="MetaPro-Norm" w:hAnsi="MetaPro-Norm"/>
          <w:sz w:val="16"/>
          <w:szCs w:val="16"/>
        </w:rPr>
        <w:t>Minorities (1992), article 4 (3) provides that: “States should take appropriate measures to allow persons belonging to minorities to have adequate opportunities to learn their mother tongue or to receive instruction in their mother tongue.” Article 4 (4) states that the history, traditions, and cultures of minorities should be reflected in education</w:t>
      </w:r>
      <w:r w:rsidR="00ED6EC5">
        <w:rPr>
          <w:rFonts w:ascii="MetaPro-Norm" w:hAnsi="MetaPro-Norm"/>
          <w:sz w:val="16"/>
          <w:szCs w:val="16"/>
        </w:rPr>
        <w:t>.</w:t>
      </w:r>
      <w:r w:rsidR="009D585D" w:rsidRPr="001C7586">
        <w:rPr>
          <w:rFonts w:ascii="MetaPro-Norm" w:hAnsi="MetaPro-Norm"/>
          <w:sz w:val="16"/>
          <w:szCs w:val="16"/>
        </w:rPr>
        <w:t xml:space="preserve"> See also</w:t>
      </w:r>
      <w:r w:rsidR="00ED6EC5">
        <w:rPr>
          <w:rFonts w:ascii="MetaPro-Norm" w:hAnsi="MetaPro-Norm"/>
          <w:sz w:val="16"/>
          <w:szCs w:val="16"/>
        </w:rPr>
        <w:t>,</w:t>
      </w:r>
      <w:r w:rsidR="009D585D" w:rsidRPr="001C7586">
        <w:rPr>
          <w:rFonts w:ascii="MetaPro-Norm" w:hAnsi="MetaPro-Norm"/>
          <w:sz w:val="16"/>
          <w:szCs w:val="16"/>
        </w:rPr>
        <w:t xml:space="preserve"> International </w:t>
      </w:r>
      <w:r w:rsidR="009D585D" w:rsidRPr="00B25E0B">
        <w:rPr>
          <w:rFonts w:ascii="MetaPro-Norm" w:hAnsi="MetaPro-Norm"/>
          <w:sz w:val="16"/>
          <w:szCs w:val="16"/>
        </w:rPr>
        <w:t xml:space="preserve">Covenant on Economic, Social and Cultural Rights, adopted by General Assembly resolution 2200A (XXI) of December 16, 1966, </w:t>
      </w:r>
      <w:r w:rsidR="00ED6EC5" w:rsidRPr="00B25E0B">
        <w:rPr>
          <w:rFonts w:ascii="MetaPro-Norm" w:hAnsi="MetaPro-Norm"/>
          <w:sz w:val="16"/>
          <w:szCs w:val="16"/>
        </w:rPr>
        <w:t>a</w:t>
      </w:r>
      <w:r w:rsidR="009D585D" w:rsidRPr="00B25E0B">
        <w:rPr>
          <w:rFonts w:ascii="MetaPro-Norm" w:hAnsi="MetaPro-Norm"/>
          <w:sz w:val="16"/>
          <w:szCs w:val="16"/>
        </w:rPr>
        <w:t>rticle 13 (3) and (4).</w:t>
      </w:r>
    </w:p>
  </w:footnote>
  <w:footnote w:id="4">
    <w:p w14:paraId="0610DCBC" w14:textId="5159BFF4" w:rsidR="00652FFE" w:rsidRPr="00B25E0B" w:rsidRDefault="00652FFE">
      <w:pPr>
        <w:pStyle w:val="FootnoteText"/>
        <w:rPr>
          <w:rFonts w:ascii="MetaPro-Norm" w:hAnsi="MetaPro-Norm"/>
          <w:sz w:val="16"/>
          <w:szCs w:val="16"/>
        </w:rPr>
      </w:pPr>
      <w:r w:rsidRPr="00B25E0B">
        <w:rPr>
          <w:rStyle w:val="FootnoteReference"/>
          <w:rFonts w:ascii="MetaPro-Norm" w:hAnsi="MetaPro-Norm"/>
          <w:sz w:val="16"/>
          <w:szCs w:val="16"/>
        </w:rPr>
        <w:footnoteRef/>
      </w:r>
      <w:r w:rsidRPr="00B25E0B">
        <w:rPr>
          <w:rFonts w:ascii="MetaPro-Norm" w:hAnsi="MetaPro-Norm"/>
          <w:sz w:val="16"/>
          <w:szCs w:val="16"/>
        </w:rPr>
        <w:t xml:space="preserve"> </w:t>
      </w:r>
      <w:r w:rsidR="00AC1A4A" w:rsidRPr="00B25E0B">
        <w:rPr>
          <w:rFonts w:ascii="MetaPro-Norm" w:hAnsi="MetaPro-Norm"/>
          <w:sz w:val="16"/>
          <w:szCs w:val="16"/>
        </w:rPr>
        <w:t>Convention on the Rights of the Child</w:t>
      </w:r>
      <w:r w:rsidR="00E43254" w:rsidRPr="00B25E0B">
        <w:rPr>
          <w:rFonts w:ascii="MetaPro-Norm" w:hAnsi="MetaPro-Norm"/>
          <w:sz w:val="16"/>
          <w:szCs w:val="16"/>
        </w:rPr>
        <w:t>, a</w:t>
      </w:r>
      <w:r w:rsidR="00AC1A4A" w:rsidRPr="00B25E0B">
        <w:rPr>
          <w:rFonts w:ascii="MetaPro-Norm" w:hAnsi="MetaPro-Norm"/>
          <w:sz w:val="16"/>
          <w:szCs w:val="16"/>
        </w:rPr>
        <w:t>rticle 29(c)</w:t>
      </w:r>
      <w:r w:rsidR="00E43254" w:rsidRPr="00B25E0B">
        <w:rPr>
          <w:rFonts w:ascii="MetaPro-Norm" w:hAnsi="MetaPro-Norm"/>
          <w:sz w:val="16"/>
          <w:szCs w:val="16"/>
        </w:rPr>
        <w:t xml:space="preserve">. </w:t>
      </w:r>
    </w:p>
  </w:footnote>
  <w:footnote w:id="5">
    <w:p w14:paraId="4F7B4243" w14:textId="65AFA9E6" w:rsidR="00801992" w:rsidRPr="00B25E0B" w:rsidRDefault="00801992">
      <w:pPr>
        <w:pStyle w:val="FootnoteText"/>
        <w:rPr>
          <w:rFonts w:ascii="MetaPro-Norm" w:hAnsi="MetaPro-Norm"/>
          <w:sz w:val="16"/>
          <w:szCs w:val="16"/>
        </w:rPr>
      </w:pPr>
      <w:r w:rsidRPr="00B25E0B">
        <w:rPr>
          <w:rStyle w:val="FootnoteReference"/>
          <w:rFonts w:ascii="MetaPro-Norm" w:hAnsi="MetaPro-Norm"/>
          <w:sz w:val="16"/>
          <w:szCs w:val="16"/>
        </w:rPr>
        <w:footnoteRef/>
      </w:r>
      <w:r w:rsidRPr="00B25E0B">
        <w:rPr>
          <w:rFonts w:ascii="MetaPro-Norm" w:hAnsi="MetaPro-Norm"/>
          <w:sz w:val="16"/>
          <w:szCs w:val="16"/>
        </w:rPr>
        <w:t xml:space="preserve"> This information is based on research and analysis conducted by Human Rights Watch from 2015 to 2019, which will be published in a forthcoming report to be released in March</w:t>
      </w:r>
      <w:r w:rsidR="00ED6EC5" w:rsidRPr="00B25E0B">
        <w:rPr>
          <w:rFonts w:ascii="MetaPro-Norm" w:hAnsi="MetaPro-Norm"/>
          <w:sz w:val="16"/>
          <w:szCs w:val="16"/>
        </w:rPr>
        <w:t xml:space="preserve"> 2020</w:t>
      </w:r>
      <w:r w:rsidRPr="00B25E0B">
        <w:rPr>
          <w:rFonts w:ascii="MetaPro-Norm" w:hAnsi="MetaPro-Norm"/>
          <w:sz w:val="16"/>
          <w:szCs w:val="16"/>
        </w:rPr>
        <w:t>.</w:t>
      </w:r>
    </w:p>
  </w:footnote>
  <w:footnote w:id="6">
    <w:p w14:paraId="691B39F9" w14:textId="5778BB49" w:rsidR="009064BB" w:rsidRDefault="009064BB">
      <w:pPr>
        <w:pStyle w:val="FootnoteText"/>
      </w:pPr>
      <w:r w:rsidRPr="00B25E0B">
        <w:rPr>
          <w:rStyle w:val="FootnoteReference"/>
          <w:rFonts w:ascii="MetaPro-Norm" w:hAnsi="MetaPro-Norm"/>
          <w:sz w:val="16"/>
          <w:szCs w:val="16"/>
        </w:rPr>
        <w:footnoteRef/>
      </w:r>
      <w:r w:rsidRPr="00B25E0B">
        <w:rPr>
          <w:rFonts w:ascii="MetaPro-Norm" w:hAnsi="MetaPro-Norm"/>
          <w:sz w:val="16"/>
          <w:szCs w:val="16"/>
        </w:rPr>
        <w:t xml:space="preserve"> Human Rights Watch, </w:t>
      </w:r>
      <w:r w:rsidRPr="00B25E0B">
        <w:rPr>
          <w:rFonts w:ascii="MetaPro-Norm" w:hAnsi="MetaPro-Norm"/>
          <w:i/>
          <w:iCs/>
          <w:sz w:val="16"/>
          <w:szCs w:val="16"/>
        </w:rPr>
        <w:t>China: Tibetan</w:t>
      </w:r>
      <w:r w:rsidR="008C6651" w:rsidRPr="00B25E0B">
        <w:rPr>
          <w:rFonts w:ascii="MetaPro-Norm" w:hAnsi="MetaPro-Norm"/>
          <w:i/>
          <w:iCs/>
          <w:sz w:val="16"/>
          <w:szCs w:val="16"/>
        </w:rPr>
        <w:t xml:space="preserve"> Children Banned from Classes</w:t>
      </w:r>
      <w:r w:rsidR="00321460" w:rsidRPr="00B25E0B">
        <w:rPr>
          <w:rFonts w:ascii="MetaPro-Norm" w:hAnsi="MetaPro-Norm"/>
          <w:sz w:val="16"/>
          <w:szCs w:val="16"/>
        </w:rPr>
        <w:t xml:space="preserve">, </w:t>
      </w:r>
      <w:r w:rsidR="00E24CAB" w:rsidRPr="00B25E0B">
        <w:rPr>
          <w:rFonts w:ascii="MetaPro-Norm" w:hAnsi="MetaPro-Norm"/>
          <w:sz w:val="16"/>
          <w:szCs w:val="16"/>
        </w:rPr>
        <w:t xml:space="preserve">January 30, 2019, </w:t>
      </w:r>
      <w:hyperlink r:id="rId2" w:history="1">
        <w:r w:rsidR="00096BBC" w:rsidRPr="00B25E0B">
          <w:rPr>
            <w:rStyle w:val="Hyperlink"/>
            <w:rFonts w:ascii="MetaPro-Norm" w:hAnsi="MetaPro-Norm"/>
            <w:sz w:val="16"/>
            <w:szCs w:val="16"/>
          </w:rPr>
          <w:t>https://www.hrw.org/news/2019/01/30/china-tibetan-children-banned-classes</w:t>
        </w:r>
      </w:hyperlink>
      <w:r w:rsidR="00096BBC" w:rsidRPr="00B25E0B">
        <w:rPr>
          <w:rFonts w:ascii="MetaPro-Norm" w:hAnsi="MetaPro-Norm"/>
          <w:sz w:val="16"/>
          <w:szCs w:val="16"/>
        </w:rPr>
        <w:t>.</w:t>
      </w:r>
    </w:p>
  </w:footnote>
  <w:footnote w:id="7">
    <w:p w14:paraId="4A97BD3D" w14:textId="7A2BBA80" w:rsidR="005C4338" w:rsidRPr="001D6856" w:rsidRDefault="005C4338" w:rsidP="005C4338">
      <w:pPr>
        <w:pStyle w:val="FootnoteText"/>
        <w:rPr>
          <w:rFonts w:ascii="MetaPro-Norm" w:hAnsi="MetaPro-Norm"/>
          <w:sz w:val="16"/>
          <w:szCs w:val="16"/>
        </w:rPr>
      </w:pPr>
      <w:r w:rsidRPr="00F10105">
        <w:rPr>
          <w:rStyle w:val="FootnoteReference"/>
          <w:rFonts w:ascii="MetaPro-Norm" w:hAnsi="MetaPro-Norm"/>
          <w:sz w:val="16"/>
          <w:szCs w:val="16"/>
        </w:rPr>
        <w:footnoteRef/>
      </w:r>
      <w:r w:rsidRPr="00F10105">
        <w:rPr>
          <w:rFonts w:ascii="MetaPro-Norm" w:hAnsi="MetaPro-Norm"/>
          <w:sz w:val="16"/>
          <w:szCs w:val="16"/>
        </w:rPr>
        <w:t xml:space="preserve"> </w:t>
      </w:r>
      <w:r w:rsidR="00354BFD" w:rsidRPr="00F10105">
        <w:rPr>
          <w:rFonts w:ascii="MetaPro-Norm" w:hAnsi="MetaPro-Norm"/>
          <w:sz w:val="16"/>
          <w:szCs w:val="16"/>
        </w:rPr>
        <w:t xml:space="preserve">Rebecca Ratcliffe, “’After getting pregnant, you are done;: no more school for Tanzania’s mums-to-be,” The Guardian, June 30, 2017, </w:t>
      </w:r>
      <w:hyperlink r:id="rId3" w:history="1">
        <w:r w:rsidR="006A7EC5" w:rsidRPr="00F10105">
          <w:rPr>
            <w:rStyle w:val="Hyperlink"/>
            <w:rFonts w:ascii="MetaPro-Norm" w:hAnsi="MetaPro-Norm"/>
            <w:sz w:val="16"/>
            <w:szCs w:val="16"/>
          </w:rPr>
          <w:t>https://www.theguardian.com/global-development/2017/jun/30/tanzania-president-ban-pregnant-girls-from-school-john-magufuli</w:t>
        </w:r>
      </w:hyperlink>
      <w:r w:rsidR="006A7EC5" w:rsidRPr="00F10105">
        <w:rPr>
          <w:rFonts w:ascii="MetaPro-Norm" w:hAnsi="MetaPro-Norm"/>
          <w:sz w:val="16"/>
          <w:szCs w:val="16"/>
        </w:rPr>
        <w:t>;</w:t>
      </w:r>
      <w:r w:rsidR="00D16B33">
        <w:rPr>
          <w:rFonts w:ascii="MetaPro-Norm" w:hAnsi="MetaPro-Norm"/>
          <w:sz w:val="16"/>
          <w:szCs w:val="16"/>
        </w:rPr>
        <w:t xml:space="preserve"> </w:t>
      </w:r>
      <w:r w:rsidR="00D6187D" w:rsidRPr="00F10105">
        <w:rPr>
          <w:rFonts w:ascii="MetaPro-Norm" w:hAnsi="MetaPro-Norm"/>
          <w:sz w:val="16"/>
          <w:szCs w:val="16"/>
        </w:rPr>
        <w:t xml:space="preserve">Human Rights Watch, “Tanzania: Stop Threatening Rights Groups,” July 6, 2017, </w:t>
      </w:r>
      <w:hyperlink r:id="rId4" w:history="1">
        <w:r w:rsidR="00360635" w:rsidRPr="00F10105">
          <w:rPr>
            <w:rStyle w:val="Hyperlink"/>
            <w:rFonts w:ascii="MetaPro-Norm" w:hAnsi="MetaPro-Norm"/>
            <w:sz w:val="16"/>
            <w:szCs w:val="16"/>
          </w:rPr>
          <w:t>https://www.hrw.org/news/2017/07/06/tanzania-stop-threatening-rights-groups</w:t>
        </w:r>
      </w:hyperlink>
      <w:r w:rsidR="00D16B33">
        <w:rPr>
          <w:rFonts w:ascii="MetaPro-Norm" w:hAnsi="MetaPro-Norm"/>
          <w:sz w:val="16"/>
          <w:szCs w:val="16"/>
        </w:rPr>
        <w:t xml:space="preserve">; Karen McVeigh, “World Bank urged to scrap $500m loan to Tanzania over schoolgirls’ rights concerns,” The Guardian, </w:t>
      </w:r>
      <w:r w:rsidR="00231D41">
        <w:rPr>
          <w:rFonts w:ascii="MetaPro-Norm" w:hAnsi="MetaPro-Norm"/>
          <w:sz w:val="16"/>
          <w:szCs w:val="16"/>
        </w:rPr>
        <w:t xml:space="preserve">January 26, 2020, </w:t>
      </w:r>
      <w:hyperlink r:id="rId5" w:history="1">
        <w:r w:rsidR="00231D41" w:rsidRPr="001D6856">
          <w:rPr>
            <w:rStyle w:val="Hyperlink"/>
            <w:rFonts w:ascii="MetaPro-Norm" w:hAnsi="MetaPro-Norm"/>
            <w:sz w:val="16"/>
            <w:szCs w:val="16"/>
          </w:rPr>
          <w:t>https://www.theguardian.com/global-development/2020/jan/26/world-bank-urged-to-scrap-500-million-dollar-grant-to-tanzania-over-human-rights-concerns</w:t>
        </w:r>
      </w:hyperlink>
      <w:r w:rsidR="001D6856" w:rsidRPr="001D6856">
        <w:rPr>
          <w:rFonts w:ascii="MetaPro-Norm" w:hAnsi="MetaPro-Norm"/>
          <w:sz w:val="16"/>
          <w:szCs w:val="16"/>
        </w:rPr>
        <w:t>.</w:t>
      </w:r>
    </w:p>
  </w:footnote>
  <w:footnote w:id="8">
    <w:p w14:paraId="74B0F848" w14:textId="008C97CE" w:rsidR="00E2525C" w:rsidRPr="00EB31CD" w:rsidRDefault="00E2525C">
      <w:pPr>
        <w:pStyle w:val="FootnoteText"/>
        <w:rPr>
          <w:rFonts w:ascii="MetaPro-Norm" w:hAnsi="MetaPro-Norm"/>
          <w:sz w:val="16"/>
          <w:szCs w:val="16"/>
        </w:rPr>
      </w:pPr>
      <w:r w:rsidRPr="00EB31CD">
        <w:rPr>
          <w:rStyle w:val="FootnoteReference"/>
          <w:rFonts w:ascii="MetaPro-Norm" w:hAnsi="MetaPro-Norm"/>
          <w:sz w:val="16"/>
          <w:szCs w:val="16"/>
        </w:rPr>
        <w:footnoteRef/>
      </w:r>
      <w:r w:rsidRPr="00EB31CD">
        <w:rPr>
          <w:rFonts w:ascii="MetaPro-Norm" w:hAnsi="MetaPro-Norm"/>
          <w:sz w:val="16"/>
          <w:szCs w:val="16"/>
        </w:rPr>
        <w:t xml:space="preserve"> See Human Rights Watch, “Africa: Pregnant Girls, Young Mothers Barred from School,” June 14, 2018, </w:t>
      </w:r>
      <w:hyperlink r:id="rId6" w:history="1">
        <w:r w:rsidR="00EB31CD" w:rsidRPr="00EB31CD">
          <w:rPr>
            <w:rStyle w:val="Hyperlink"/>
            <w:rFonts w:ascii="MetaPro-Norm" w:hAnsi="MetaPro-Norm"/>
            <w:sz w:val="16"/>
            <w:szCs w:val="16"/>
          </w:rPr>
          <w:t>https://www.hrw.org/news/2018/06/14/africa-pregnant-girls-young-mothers-barred-school</w:t>
        </w:r>
      </w:hyperlink>
      <w:r w:rsidR="001954F5">
        <w:rPr>
          <w:rFonts w:ascii="MetaPro-Norm" w:hAnsi="MetaPro-Norm"/>
          <w:sz w:val="16"/>
          <w:szCs w:val="16"/>
        </w:rPr>
        <w:t xml:space="preserve">; Leave No Girl Behind in Africa: Discrimination in Education against Pregnant Girls and Adolescent Mothers, June 2018, </w:t>
      </w:r>
      <w:hyperlink r:id="rId7" w:history="1">
        <w:r w:rsidR="001954F5" w:rsidRPr="00B25E0B">
          <w:rPr>
            <w:rStyle w:val="Hyperlink"/>
            <w:rFonts w:ascii="MetaPro-Norm" w:hAnsi="MetaPro-Norm"/>
            <w:sz w:val="16"/>
            <w:szCs w:val="16"/>
          </w:rPr>
          <w:t>https://www.hrw.org/report/2018/06/14/leave-no-girl-behind-africa/discrimination-education-against-pregnant-girls-and</w:t>
        </w:r>
      </w:hyperlink>
      <w:r w:rsidR="001954F5">
        <w:rPr>
          <w:rFonts w:ascii="MetaPro-Norm" w:hAnsi="MetaPro-Norm"/>
          <w:sz w:val="16"/>
          <w:szCs w:val="16"/>
        </w:rPr>
        <w:t>.</w:t>
      </w:r>
    </w:p>
  </w:footnote>
  <w:footnote w:id="9">
    <w:p w14:paraId="6C9BF1F0" w14:textId="0BDCBCD9" w:rsidR="005F0F4F" w:rsidRPr="008C6718" w:rsidRDefault="005F0F4F">
      <w:pPr>
        <w:pStyle w:val="FootnoteText"/>
        <w:rPr>
          <w:rFonts w:ascii="MetaPro-Norm" w:hAnsi="MetaPro-Norm"/>
          <w:sz w:val="16"/>
          <w:szCs w:val="16"/>
        </w:rPr>
      </w:pPr>
      <w:r w:rsidRPr="008C6718">
        <w:rPr>
          <w:rStyle w:val="FootnoteReference"/>
          <w:rFonts w:ascii="MetaPro-Norm" w:hAnsi="MetaPro-Norm"/>
          <w:sz w:val="16"/>
          <w:szCs w:val="16"/>
        </w:rPr>
        <w:footnoteRef/>
      </w:r>
      <w:r w:rsidRPr="008C6718">
        <w:rPr>
          <w:rFonts w:ascii="MetaPro-Norm" w:hAnsi="MetaPro-Norm"/>
          <w:sz w:val="16"/>
          <w:szCs w:val="16"/>
        </w:rPr>
        <w:t xml:space="preserve"> </w:t>
      </w:r>
      <w:r w:rsidR="00AD78B8" w:rsidRPr="008C6718">
        <w:rPr>
          <w:rFonts w:ascii="MetaPro-Norm" w:hAnsi="MetaPro-Norm"/>
          <w:sz w:val="16"/>
          <w:szCs w:val="16"/>
        </w:rPr>
        <w:t>See Human Rights Watch, “My Teacher Said I Had a Disease</w:t>
      </w:r>
      <w:r w:rsidR="007908B9" w:rsidRPr="008C6718">
        <w:rPr>
          <w:rFonts w:ascii="MetaPro-Norm" w:hAnsi="MetaPro-Norm"/>
          <w:sz w:val="16"/>
          <w:szCs w:val="16"/>
        </w:rPr>
        <w:t xml:space="preserve">” – Barriers to the Right to Education for LGBT Youth in Vietnam,” </w:t>
      </w:r>
      <w:r w:rsidR="00657AE5" w:rsidRPr="008C6718">
        <w:rPr>
          <w:rFonts w:ascii="MetaPro-Norm" w:hAnsi="MetaPro-Norm"/>
          <w:sz w:val="16"/>
          <w:szCs w:val="16"/>
        </w:rPr>
        <w:t xml:space="preserve">February 2020, </w:t>
      </w:r>
      <w:hyperlink r:id="rId8" w:history="1">
        <w:r w:rsidR="008C6718" w:rsidRPr="008C6718">
          <w:rPr>
            <w:rStyle w:val="Hyperlink"/>
            <w:rFonts w:ascii="MetaPro-Norm" w:hAnsi="MetaPro-Norm"/>
            <w:sz w:val="16"/>
            <w:szCs w:val="16"/>
          </w:rPr>
          <w:t>https://www.hrw.org/news/2020/02/12/vietnam-lgbt-youth-unprotected</w:t>
        </w:r>
      </w:hyperlink>
      <w:r w:rsidR="005641F7">
        <w:rPr>
          <w:rFonts w:ascii="MetaPro-Norm" w:hAnsi="MetaPro-Norm"/>
          <w:sz w:val="16"/>
          <w:szCs w:val="16"/>
        </w:rPr>
        <w:t xml:space="preserve">; </w:t>
      </w:r>
      <w:r w:rsidR="001460F6">
        <w:rPr>
          <w:rFonts w:ascii="MetaPro-Norm" w:hAnsi="MetaPro-Norm"/>
          <w:sz w:val="16"/>
          <w:szCs w:val="16"/>
        </w:rPr>
        <w:t xml:space="preserve">“Like Walking Through a Hailstorm,” Discrimination Against LGBT Youth in US Schools, </w:t>
      </w:r>
      <w:r w:rsidR="0085467B">
        <w:rPr>
          <w:rFonts w:ascii="MetaPro-Norm" w:hAnsi="MetaPro-Norm"/>
          <w:sz w:val="16"/>
          <w:szCs w:val="16"/>
        </w:rPr>
        <w:t>December 2016,</w:t>
      </w:r>
      <w:r w:rsidR="0085467B" w:rsidRPr="0037191D">
        <w:rPr>
          <w:rFonts w:ascii="MetaPro-Norm" w:hAnsi="MetaPro-Norm"/>
          <w:sz w:val="18"/>
          <w:szCs w:val="18"/>
        </w:rPr>
        <w:t xml:space="preserve"> </w:t>
      </w:r>
      <w:hyperlink r:id="rId9" w:history="1">
        <w:r w:rsidR="0085467B" w:rsidRPr="0037191D">
          <w:rPr>
            <w:rStyle w:val="Hyperlink"/>
            <w:rFonts w:ascii="MetaPro-Norm" w:hAnsi="MetaPro-Norm"/>
            <w:sz w:val="16"/>
            <w:szCs w:val="16"/>
          </w:rPr>
          <w:t>https://www.hrw.org/report/2016/12/07/walking-through-hailstorm/discrimination-against-lgbt-youth-us-schools</w:t>
        </w:r>
      </w:hyperlink>
      <w:r w:rsidR="00625170">
        <w:rPr>
          <w:rFonts w:ascii="MetaPro-Norm" w:hAnsi="MetaPro-Norm"/>
          <w:sz w:val="14"/>
          <w:szCs w:val="14"/>
        </w:rPr>
        <w:t>.</w:t>
      </w:r>
      <w:r w:rsidR="0085467B" w:rsidRPr="0037191D">
        <w:rPr>
          <w:sz w:val="14"/>
          <w:szCs w:val="14"/>
        </w:rPr>
        <w:t xml:space="preserve"> </w:t>
      </w:r>
    </w:p>
  </w:footnote>
  <w:footnote w:id="10">
    <w:p w14:paraId="6B86E8C8" w14:textId="79B8849C" w:rsidR="0025306A" w:rsidRPr="00EC0B32" w:rsidRDefault="0025306A" w:rsidP="0025306A">
      <w:pPr>
        <w:pStyle w:val="FootnoteText"/>
        <w:rPr>
          <w:lang w:val="en-US"/>
        </w:rPr>
      </w:pPr>
      <w:r w:rsidRPr="00F9569F">
        <w:rPr>
          <w:rStyle w:val="FootnoteReference"/>
          <w:rFonts w:ascii="MetaPro-Norm" w:hAnsi="MetaPro-Norm"/>
          <w:sz w:val="16"/>
          <w:szCs w:val="16"/>
        </w:rPr>
        <w:footnoteRef/>
      </w:r>
      <w:r w:rsidRPr="00F9569F">
        <w:rPr>
          <w:rFonts w:ascii="MetaPro-Norm" w:hAnsi="MetaPro-Norm"/>
          <w:sz w:val="16"/>
          <w:szCs w:val="16"/>
        </w:rPr>
        <w:t xml:space="preserve"> </w:t>
      </w:r>
      <w:r w:rsidRPr="00F9569F">
        <w:rPr>
          <w:rFonts w:ascii="MetaPro-Norm" w:hAnsi="MetaPro-Norm"/>
          <w:sz w:val="16"/>
          <w:szCs w:val="16"/>
          <w:lang w:val="en-US"/>
        </w:rPr>
        <w:t xml:space="preserve">Human Rights Watch, “‘The Nail That Sticks Out Gets Hammered Down’: LGBT Bullying and Exclusion in Japanese Schools,” May 5, 2016, </w:t>
      </w:r>
      <w:hyperlink r:id="rId10" w:history="1">
        <w:r w:rsidRPr="00F9569F">
          <w:rPr>
            <w:rStyle w:val="Hyperlink"/>
            <w:rFonts w:ascii="MetaPro-Norm" w:hAnsi="MetaPro-Norm"/>
            <w:sz w:val="16"/>
            <w:szCs w:val="16"/>
          </w:rPr>
          <w:t>https://www.hrw.org/report/2016/05/05/nail-sticks-out-gets-hammered-down/lgbt-bullying-and-exclusion-japanese-schools</w:t>
        </w:r>
      </w:hyperlink>
      <w:r w:rsidR="00EC0B32" w:rsidRPr="00EC0B32">
        <w:rPr>
          <w:rFonts w:ascii="MetaPro-Norm" w:hAnsi="MetaPro-Norm"/>
          <w:sz w:val="16"/>
          <w:szCs w:val="16"/>
        </w:rPr>
        <w:t xml:space="preserve">; Daniel Lee, “End Gendered Uniform Restrictions for LGBT Students,” </w:t>
      </w:r>
      <w:r w:rsidR="00EC0B32" w:rsidRPr="00EC0B32">
        <w:rPr>
          <w:rFonts w:ascii="MetaPro-Norm" w:hAnsi="MetaPro-Norm"/>
          <w:i/>
          <w:sz w:val="16"/>
          <w:szCs w:val="16"/>
        </w:rPr>
        <w:t>Rappler</w:t>
      </w:r>
      <w:r w:rsidR="00EC0B32" w:rsidRPr="00EC0B32">
        <w:rPr>
          <w:rFonts w:ascii="MetaPro-Norm" w:hAnsi="MetaPro-Norm"/>
          <w:sz w:val="16"/>
          <w:szCs w:val="16"/>
        </w:rPr>
        <w:t xml:space="preserve">, June 23, 2017, </w:t>
      </w:r>
      <w:hyperlink r:id="rId11" w:history="1">
        <w:r w:rsidR="00EC0B32" w:rsidRPr="00EC0B32">
          <w:rPr>
            <w:rStyle w:val="Hyperlink"/>
            <w:rFonts w:ascii="MetaPro-Norm" w:hAnsi="MetaPro-Norm"/>
            <w:sz w:val="16"/>
            <w:szCs w:val="16"/>
          </w:rPr>
          <w:t>https://www.rappler.com/thought-leaders/173754-end-gendered-uniform-restrictions-lgbt-philippines</w:t>
        </w:r>
      </w:hyperlink>
      <w:r w:rsidR="00EC0B32" w:rsidRPr="00EC0B32">
        <w:rPr>
          <w:rFonts w:ascii="MetaPro-Norm" w:hAnsi="MetaPro-Norm"/>
          <w:sz w:val="16"/>
          <w:szCs w:val="16"/>
        </w:rPr>
        <w:t>.</w:t>
      </w:r>
      <w:r w:rsidR="00EC0B32">
        <w:t xml:space="preserve"> </w:t>
      </w:r>
    </w:p>
  </w:footnote>
  <w:footnote w:id="11">
    <w:p w14:paraId="3BA2708A" w14:textId="7EAD7B13" w:rsidR="00E96E83" w:rsidRPr="00B25E0B" w:rsidRDefault="00E96E83">
      <w:pPr>
        <w:pStyle w:val="FootnoteText"/>
        <w:rPr>
          <w:rFonts w:ascii="MetaPro-Norm" w:hAnsi="MetaPro-Norm"/>
          <w:sz w:val="16"/>
          <w:szCs w:val="16"/>
        </w:rPr>
      </w:pPr>
      <w:r w:rsidRPr="00B25E0B">
        <w:rPr>
          <w:rStyle w:val="FootnoteReference"/>
          <w:rFonts w:ascii="MetaPro-Norm" w:hAnsi="MetaPro-Norm"/>
          <w:sz w:val="16"/>
          <w:szCs w:val="16"/>
        </w:rPr>
        <w:footnoteRef/>
      </w:r>
      <w:r w:rsidRPr="00B25E0B">
        <w:rPr>
          <w:rFonts w:ascii="MetaPro-Norm" w:hAnsi="MetaPro-Norm"/>
          <w:sz w:val="16"/>
          <w:szCs w:val="16"/>
        </w:rPr>
        <w:t xml:space="preserve"> </w:t>
      </w:r>
      <w:r w:rsidR="001240F0" w:rsidRPr="00B25E0B">
        <w:rPr>
          <w:rFonts w:ascii="MetaPro-Norm" w:hAnsi="MetaPro-Norm"/>
          <w:sz w:val="16"/>
          <w:szCs w:val="16"/>
        </w:rPr>
        <w:t xml:space="preserve">Human Rights Watch, No Support, Russia’s “Gay Propaganda” Law Imperils LGBT Youth, December 2018, </w:t>
      </w:r>
      <w:hyperlink r:id="rId12" w:history="1">
        <w:r w:rsidR="001240F0" w:rsidRPr="00B25E0B">
          <w:rPr>
            <w:rStyle w:val="Hyperlink"/>
            <w:rFonts w:ascii="MetaPro-Norm" w:hAnsi="MetaPro-Norm"/>
            <w:sz w:val="16"/>
            <w:szCs w:val="16"/>
          </w:rPr>
          <w:t>https://www.hrw.org/report/2018/12/11/no-support/russias-gay-propaganda-law-imperils-lgbt-youth</w:t>
        </w:r>
      </w:hyperlink>
      <w:r w:rsidR="001240F0" w:rsidRPr="00B25E0B">
        <w:rPr>
          <w:rFonts w:ascii="MetaPro-Norm" w:hAnsi="MetaPro-Norm"/>
          <w:sz w:val="16"/>
          <w:szCs w:val="16"/>
        </w:rPr>
        <w:t>.</w:t>
      </w:r>
    </w:p>
  </w:footnote>
  <w:footnote w:id="12">
    <w:p w14:paraId="6DC724FD" w14:textId="62330E82" w:rsidR="008A3686" w:rsidRPr="008A3686" w:rsidRDefault="008A3686">
      <w:pPr>
        <w:pStyle w:val="FootnoteText"/>
      </w:pPr>
      <w:r w:rsidRPr="00B25E0B">
        <w:rPr>
          <w:rStyle w:val="FootnoteReference"/>
          <w:rFonts w:ascii="MetaPro-Norm" w:hAnsi="MetaPro-Norm"/>
          <w:sz w:val="16"/>
          <w:szCs w:val="16"/>
        </w:rPr>
        <w:footnoteRef/>
      </w:r>
      <w:r w:rsidRPr="00B25E0B">
        <w:rPr>
          <w:rFonts w:ascii="MetaPro-Norm" w:hAnsi="MetaPro-Norm"/>
          <w:sz w:val="16"/>
          <w:szCs w:val="16"/>
        </w:rPr>
        <w:t xml:space="preserve"> For example, a 2012 Human Rights Council resolution that was spearheaded by Russia declared that “all cultures and civilizations in their traditions, customs, religions and beliefs share a common set of values.” The resolution invokes a single, supposedly agreed-upon value system thereby neglecting considerations of diversity, ignoring the dynamic nature of traditional practice and customary laws, and undermines the basic rights of LGBT people. See, Graeme Reid</w:t>
      </w:r>
      <w:r w:rsidR="001954F5" w:rsidRPr="00B25E0B">
        <w:rPr>
          <w:rFonts w:ascii="MetaPro-Norm" w:hAnsi="MetaPro-Norm"/>
          <w:sz w:val="16"/>
          <w:szCs w:val="16"/>
        </w:rPr>
        <w:t xml:space="preserve"> (Human Rights Watch)</w:t>
      </w:r>
      <w:r w:rsidRPr="00B25E0B">
        <w:rPr>
          <w:rFonts w:ascii="MetaPro-Norm" w:hAnsi="MetaPro-Norm"/>
          <w:sz w:val="16"/>
          <w:szCs w:val="16"/>
        </w:rPr>
        <w:t>, “The Trouble with Tradition,” in Human Rights Watch “World Report 2013” (New York: Human Rights Watch, 2013)</w:t>
      </w:r>
      <w:r w:rsidR="001954F5" w:rsidRPr="00B25E0B">
        <w:rPr>
          <w:rFonts w:ascii="MetaPro-Norm" w:hAnsi="MetaPro-Norm"/>
          <w:sz w:val="16"/>
          <w:szCs w:val="16"/>
        </w:rPr>
        <w:t xml:space="preserve">, </w:t>
      </w:r>
      <w:hyperlink r:id="rId13" w:history="1">
        <w:r w:rsidR="001954F5" w:rsidRPr="00B25E0B">
          <w:rPr>
            <w:rStyle w:val="Hyperlink"/>
            <w:rFonts w:ascii="MetaPro-Norm" w:hAnsi="MetaPro-Norm"/>
            <w:sz w:val="16"/>
            <w:szCs w:val="16"/>
          </w:rPr>
          <w:t>https://www.hrw.org/world-report/2013/country-chapters/africa#</w:t>
        </w:r>
      </w:hyperlink>
      <w:r w:rsidR="001954F5" w:rsidRPr="00B25E0B">
        <w:rPr>
          <w:rFonts w:ascii="MetaPro-Norm" w:hAnsi="MetaPro-Norm"/>
          <w:sz w:val="16"/>
          <w:szCs w:val="16"/>
        </w:rPr>
        <w:t>.</w:t>
      </w:r>
      <w:r w:rsidRPr="00B25E0B">
        <w:rPr>
          <w:rFonts w:ascii="MetaPro-Norm" w:hAnsi="MetaPro-Norm"/>
          <w:sz w:val="16"/>
          <w:szCs w:val="16"/>
        </w:rPr>
        <w:t xml:space="preserve"> United Nations Human Rights Council, “Promoting Human Rights and Fundamental Freedoms Through a Better Understanding of Traditional Values of Humankind: Best Practices,” U.N. Doc. A/HRC/21/L.2 (September 21, 2012).</w:t>
      </w:r>
    </w:p>
  </w:footnote>
  <w:footnote w:id="13">
    <w:p w14:paraId="1560BF08" w14:textId="6811522F" w:rsidR="006673A1" w:rsidRPr="00B76625" w:rsidRDefault="006673A1">
      <w:pPr>
        <w:pStyle w:val="FootnoteText"/>
        <w:rPr>
          <w:rFonts w:ascii="MetaPro-Norm" w:hAnsi="MetaPro-Norm"/>
          <w:sz w:val="16"/>
          <w:szCs w:val="16"/>
        </w:rPr>
      </w:pPr>
      <w:r w:rsidRPr="00B76625">
        <w:rPr>
          <w:rStyle w:val="FootnoteReference"/>
          <w:rFonts w:ascii="MetaPro-Norm" w:hAnsi="MetaPro-Norm"/>
          <w:sz w:val="16"/>
          <w:szCs w:val="16"/>
        </w:rPr>
        <w:footnoteRef/>
      </w:r>
      <w:r w:rsidRPr="00B76625">
        <w:rPr>
          <w:rFonts w:ascii="MetaPro-Norm" w:hAnsi="MetaPro-Norm"/>
          <w:sz w:val="16"/>
          <w:szCs w:val="16"/>
        </w:rPr>
        <w:t xml:space="preserve"> </w:t>
      </w:r>
      <w:r w:rsidR="00CD0BCF" w:rsidRPr="00B76625">
        <w:rPr>
          <w:rFonts w:ascii="MetaPro-Norm" w:hAnsi="MetaPro-Norm"/>
          <w:sz w:val="16"/>
          <w:szCs w:val="16"/>
        </w:rPr>
        <w:t>See International Covenant on Civil and Political Rights, adopted December 16, 1966, G.A. Res. 2200A (XXI), 21 U.N. GAOR Supp. (No. 16) at 52, U.N. Doc. A/6316 (1966), 999 U.N.T.S. 171, entered into force March 23, 1976, art. 19(2)</w:t>
      </w:r>
      <w:r w:rsidR="00625170">
        <w:rPr>
          <w:rFonts w:ascii="MetaPro-Norm" w:hAnsi="MetaPro-Norm"/>
          <w:sz w:val="16"/>
          <w:szCs w:val="16"/>
        </w:rPr>
        <w:t>;</w:t>
      </w:r>
      <w:r w:rsidR="00CD0BCF" w:rsidRPr="00B76625">
        <w:rPr>
          <w:rFonts w:ascii="MetaPro-Norm" w:hAnsi="MetaPro-Norm"/>
          <w:sz w:val="16"/>
          <w:szCs w:val="16"/>
        </w:rPr>
        <w:t xml:space="preserve"> American Convention on Human Rights,</w:t>
      </w:r>
      <w:r w:rsidR="00625170" w:rsidRPr="00625170">
        <w:rPr>
          <w:rFonts w:ascii="MetaPro-Norm" w:hAnsi="MetaPro-Norm"/>
          <w:sz w:val="16"/>
          <w:szCs w:val="16"/>
        </w:rPr>
        <w:t xml:space="preserve"> </w:t>
      </w:r>
      <w:r w:rsidR="00625170" w:rsidRPr="00715C8A">
        <w:rPr>
          <w:rFonts w:ascii="MetaPro-Norm" w:hAnsi="MetaPro-Norm"/>
          <w:sz w:val="16"/>
          <w:szCs w:val="16"/>
        </w:rPr>
        <w:t>(“Pact of San José”), adopted November 22, 1969, O.A.S. Treaty Series No. 36, 1144 U.N.T.S. 123, entered into force July 18, 1978</w:t>
      </w:r>
      <w:r w:rsidR="00625170">
        <w:rPr>
          <w:rFonts w:ascii="MetaPro-Norm" w:hAnsi="MetaPro-Norm"/>
          <w:sz w:val="16"/>
          <w:szCs w:val="16"/>
        </w:rPr>
        <w:t>,</w:t>
      </w:r>
      <w:r w:rsidR="00CD0BCF" w:rsidRPr="00B76625">
        <w:rPr>
          <w:rFonts w:ascii="MetaPro-Norm" w:hAnsi="MetaPro-Norm"/>
          <w:sz w:val="16"/>
          <w:szCs w:val="16"/>
        </w:rPr>
        <w:t xml:space="preserve"> art</w:t>
      </w:r>
      <w:r w:rsidR="00625170">
        <w:rPr>
          <w:rFonts w:ascii="MetaPro-Norm" w:hAnsi="MetaPro-Norm"/>
          <w:sz w:val="16"/>
          <w:szCs w:val="16"/>
        </w:rPr>
        <w:t>.</w:t>
      </w:r>
      <w:r w:rsidR="00CD0BCF" w:rsidRPr="00B76625">
        <w:rPr>
          <w:rFonts w:ascii="MetaPro-Norm" w:hAnsi="MetaPro-Norm"/>
          <w:sz w:val="16"/>
          <w:szCs w:val="16"/>
        </w:rPr>
        <w:t xml:space="preserve"> 13(1). </w:t>
      </w:r>
    </w:p>
  </w:footnote>
  <w:footnote w:id="14">
    <w:p w14:paraId="61D3D258" w14:textId="57FED3E1" w:rsidR="009D397E" w:rsidRPr="00B76625" w:rsidRDefault="009D397E">
      <w:pPr>
        <w:pStyle w:val="FootnoteText"/>
        <w:rPr>
          <w:rFonts w:ascii="MetaPro-Norm" w:hAnsi="MetaPro-Norm"/>
          <w:sz w:val="16"/>
          <w:szCs w:val="16"/>
          <w:lang w:val="es-MX"/>
        </w:rPr>
      </w:pPr>
      <w:r w:rsidRPr="00B76625">
        <w:rPr>
          <w:rStyle w:val="FootnoteReference"/>
          <w:rFonts w:ascii="MetaPro-Norm" w:hAnsi="MetaPro-Norm"/>
          <w:sz w:val="16"/>
          <w:szCs w:val="16"/>
        </w:rPr>
        <w:footnoteRef/>
      </w:r>
      <w:r w:rsidRPr="00B76625">
        <w:rPr>
          <w:rFonts w:ascii="MetaPro-Norm" w:hAnsi="MetaPro-Norm"/>
          <w:sz w:val="16"/>
          <w:szCs w:val="16"/>
        </w:rPr>
        <w:t xml:space="preserve"> See International Covenant on Economic, Social and Cultural Rights, art</w:t>
      </w:r>
      <w:r w:rsidR="00ED6EC5">
        <w:rPr>
          <w:rFonts w:ascii="MetaPro-Norm" w:hAnsi="MetaPro-Norm"/>
          <w:sz w:val="16"/>
          <w:szCs w:val="16"/>
        </w:rPr>
        <w:t>icle</w:t>
      </w:r>
      <w:r w:rsidRPr="00B76625">
        <w:rPr>
          <w:rFonts w:ascii="MetaPro-Norm" w:hAnsi="MetaPro-Norm"/>
          <w:sz w:val="16"/>
          <w:szCs w:val="16"/>
        </w:rPr>
        <w:t xml:space="preserve"> 2(2). See also CESCR General Comment No. 14 on the right to the highest attainable standard of health, UN Doc. E/C.12/2000/4 (2000); and CESCR General Comment No. 22 on the right to sexual and reproductive health, UN Doc. </w:t>
      </w:r>
      <w:r w:rsidRPr="00B76625">
        <w:rPr>
          <w:rFonts w:ascii="MetaPro-Norm" w:hAnsi="MetaPro-Norm"/>
          <w:sz w:val="16"/>
          <w:szCs w:val="16"/>
          <w:lang w:val="es-419"/>
        </w:rPr>
        <w:t xml:space="preserve">E/C.12/GC/22 (2016), </w:t>
      </w:r>
      <w:hyperlink r:id="rId14" w:history="1">
        <w:r w:rsidRPr="00B76625">
          <w:rPr>
            <w:rStyle w:val="Hyperlink"/>
            <w:rFonts w:ascii="MetaPro-Norm" w:hAnsi="MetaPro-Norm"/>
            <w:sz w:val="16"/>
            <w:szCs w:val="16"/>
            <w:lang w:val="es-419"/>
          </w:rPr>
          <w:t>https://tbinternet.ohchr.org/_layouts/15/treatybodyexternal/Download.aspx?symbolno=E%2fC.12%2fGC%2f22&amp;Lang=en</w:t>
        </w:r>
      </w:hyperlink>
      <w:r w:rsidRPr="00B76625">
        <w:rPr>
          <w:rFonts w:ascii="MetaPro-Norm" w:hAnsi="MetaPro-Norm"/>
          <w:sz w:val="16"/>
          <w:szCs w:val="16"/>
          <w:lang w:val="es-ES"/>
        </w:rPr>
        <w:t>.</w:t>
      </w:r>
      <w:r w:rsidR="00B708B0" w:rsidRPr="00B76625">
        <w:rPr>
          <w:rFonts w:ascii="MetaPro-Norm" w:hAnsi="MetaPro-Norm"/>
          <w:sz w:val="16"/>
          <w:szCs w:val="16"/>
          <w:lang w:val="es-ES"/>
        </w:rPr>
        <w:t xml:space="preserve"> </w:t>
      </w:r>
    </w:p>
  </w:footnote>
  <w:footnote w:id="15">
    <w:p w14:paraId="664231FA" w14:textId="1422B158" w:rsidR="00B76625" w:rsidRPr="00801992" w:rsidRDefault="002D5999" w:rsidP="00B76625">
      <w:pPr>
        <w:pStyle w:val="FootnoteText"/>
        <w:rPr>
          <w:rFonts w:ascii="MetaPro-Norm" w:hAnsi="MetaPro-Norm"/>
          <w:color w:val="000000" w:themeColor="text1"/>
          <w:sz w:val="16"/>
          <w:szCs w:val="16"/>
          <w:shd w:val="clear" w:color="auto" w:fill="FFFFFF"/>
        </w:rPr>
      </w:pPr>
      <w:r w:rsidRPr="00B76625">
        <w:rPr>
          <w:rStyle w:val="FootnoteReference"/>
          <w:rFonts w:ascii="MetaPro-Norm" w:hAnsi="MetaPro-Norm"/>
          <w:sz w:val="16"/>
          <w:szCs w:val="16"/>
        </w:rPr>
        <w:footnoteRef/>
      </w:r>
      <w:r w:rsidRPr="00B76625">
        <w:rPr>
          <w:rFonts w:ascii="MetaPro-Norm" w:hAnsi="MetaPro-Norm"/>
          <w:sz w:val="16"/>
          <w:szCs w:val="16"/>
        </w:rPr>
        <w:t xml:space="preserve"> </w:t>
      </w:r>
      <w:r w:rsidR="00B76625" w:rsidRPr="00B76625">
        <w:rPr>
          <w:rFonts w:ascii="MetaPro-Norm" w:hAnsi="MetaPro-Norm"/>
          <w:sz w:val="16"/>
          <w:szCs w:val="16"/>
        </w:rPr>
        <w:t xml:space="preserve">The Committee on the Rights of the Child has recommended that </w:t>
      </w:r>
      <w:r w:rsidR="00ED6EC5">
        <w:rPr>
          <w:rFonts w:ascii="MetaPro-Norm" w:hAnsi="MetaPro-Norm"/>
          <w:sz w:val="16"/>
          <w:szCs w:val="16"/>
        </w:rPr>
        <w:t>s</w:t>
      </w:r>
      <w:r w:rsidR="00B76625" w:rsidRPr="00B76625">
        <w:rPr>
          <w:rFonts w:ascii="MetaPro-Norm" w:hAnsi="MetaPro-Norm"/>
          <w:sz w:val="16"/>
          <w:szCs w:val="16"/>
        </w:rPr>
        <w:t>tates adopt “</w:t>
      </w:r>
      <w:r w:rsidR="00ED6EC5">
        <w:rPr>
          <w:rFonts w:ascii="MetaPro-Norm" w:hAnsi="MetaPro-Norm"/>
          <w:sz w:val="16"/>
          <w:szCs w:val="16"/>
        </w:rPr>
        <w:t>[a]</w:t>
      </w:r>
      <w:r w:rsidR="00B76625" w:rsidRPr="00B76625">
        <w:rPr>
          <w:rFonts w:ascii="MetaPro-Norm" w:hAnsi="MetaPro-Norm"/>
          <w:sz w:val="16"/>
          <w:szCs w:val="16"/>
        </w:rPr>
        <w:t xml:space="preserve">ge-appropriate, comprehensive and inclusive sexual and reproductive health education, based on scientific evidence and human rights standards and developed with adolescents, should be part of the mandatory school curriculum and reach out-of-school adolescents. Attention should be given to gender equality, sexual diversity, sexual and reproductive health rights, responsible parenthood and sexual behaviour and violence prevention, as well as to preventing early pregnancy and sexually transmitted infections.” </w:t>
      </w:r>
      <w:r w:rsidR="00B76625" w:rsidRPr="00B76625">
        <w:rPr>
          <w:rFonts w:ascii="MetaPro-Norm" w:hAnsi="MetaPro-Norm"/>
          <w:color w:val="000000" w:themeColor="text1"/>
          <w:sz w:val="16"/>
          <w:szCs w:val="16"/>
        </w:rPr>
        <w:t>Committee on the Rights of the Child</w:t>
      </w:r>
      <w:r w:rsidR="00B76625" w:rsidRPr="00B76625">
        <w:rPr>
          <w:rFonts w:ascii="MetaPro-Norm" w:hAnsi="MetaPro-Norm"/>
          <w:color w:val="000000" w:themeColor="text1"/>
          <w:sz w:val="16"/>
          <w:szCs w:val="16"/>
          <w:shd w:val="clear" w:color="auto" w:fill="FFFFFF"/>
        </w:rPr>
        <w:t xml:space="preserve">, General Comment No. 20 (2016) on the implementation of the rights of the child during adolescence, UN Doc. </w:t>
      </w:r>
      <w:r w:rsidR="00B76625" w:rsidRPr="00801992">
        <w:rPr>
          <w:rFonts w:ascii="MetaPro-Norm" w:hAnsi="MetaPro-Norm"/>
          <w:color w:val="000000" w:themeColor="text1"/>
          <w:sz w:val="16"/>
          <w:szCs w:val="16"/>
          <w:shd w:val="clear" w:color="auto" w:fill="FFFFFF"/>
        </w:rPr>
        <w:t xml:space="preserve">CRC/C/GC/20 (2016), </w:t>
      </w:r>
      <w:hyperlink r:id="rId15" w:history="1">
        <w:r w:rsidR="00B76625" w:rsidRPr="00801992">
          <w:rPr>
            <w:rStyle w:val="Hyperlink"/>
            <w:rFonts w:ascii="MetaPro-Norm" w:hAnsi="MetaPro-Norm"/>
            <w:sz w:val="16"/>
            <w:szCs w:val="16"/>
          </w:rPr>
          <w:t>https://tbinternet.ohchr.org/_layouts/15/treatybodyexternal/Download.aspx?symbolno=CRC%2fC%2fGC%2f20&amp;Lang=en</w:t>
        </w:r>
      </w:hyperlink>
      <w:r w:rsidR="00B76625" w:rsidRPr="00801992">
        <w:rPr>
          <w:rFonts w:ascii="MetaPro-Norm" w:hAnsi="MetaPro-Norm"/>
          <w:color w:val="000000" w:themeColor="text1"/>
          <w:sz w:val="16"/>
          <w:szCs w:val="16"/>
        </w:rPr>
        <w:t>,</w:t>
      </w:r>
      <w:r w:rsidR="00B76625" w:rsidRPr="00801992">
        <w:rPr>
          <w:rFonts w:ascii="MetaPro-Norm" w:hAnsi="MetaPro-Norm"/>
          <w:color w:val="000000" w:themeColor="text1"/>
          <w:sz w:val="16"/>
          <w:szCs w:val="16"/>
          <w:shd w:val="clear" w:color="auto" w:fill="FFFFFF"/>
        </w:rPr>
        <w:t xml:space="preserve"> </w:t>
      </w:r>
    </w:p>
    <w:p w14:paraId="14841E30" w14:textId="11FA479A" w:rsidR="00B76625" w:rsidRDefault="00B76625" w:rsidP="00B76625">
      <w:pPr>
        <w:pStyle w:val="FootnoteText"/>
        <w:rPr>
          <w:rFonts w:ascii="MetaPro-Norm" w:hAnsi="MetaPro-Norm"/>
          <w:sz w:val="16"/>
          <w:szCs w:val="16"/>
          <w:lang w:val="es-ES"/>
        </w:rPr>
      </w:pPr>
      <w:r w:rsidRPr="00327640">
        <w:rPr>
          <w:rFonts w:ascii="MetaPro-Norm" w:hAnsi="MetaPro-Norm"/>
          <w:color w:val="000000" w:themeColor="text1"/>
          <w:sz w:val="16"/>
          <w:szCs w:val="16"/>
          <w:shd w:val="clear" w:color="auto" w:fill="FFFFFF"/>
        </w:rPr>
        <w:t>para</w:t>
      </w:r>
      <w:r w:rsidR="00ED6EC5">
        <w:rPr>
          <w:rFonts w:ascii="MetaPro-Norm" w:hAnsi="MetaPro-Norm"/>
          <w:color w:val="000000" w:themeColor="text1"/>
          <w:sz w:val="16"/>
          <w:szCs w:val="16"/>
          <w:shd w:val="clear" w:color="auto" w:fill="FFFFFF"/>
        </w:rPr>
        <w:t>graph</w:t>
      </w:r>
      <w:r w:rsidRPr="00327640">
        <w:rPr>
          <w:rFonts w:ascii="MetaPro-Norm" w:hAnsi="MetaPro-Norm"/>
          <w:color w:val="000000" w:themeColor="text1"/>
          <w:sz w:val="16"/>
          <w:szCs w:val="16"/>
          <w:shd w:val="clear" w:color="auto" w:fill="FFFFFF"/>
        </w:rPr>
        <w:t xml:space="preserve"> 61;</w:t>
      </w:r>
      <w:r>
        <w:rPr>
          <w:rFonts w:ascii="MetaPro-Norm" w:hAnsi="MetaPro-Norm"/>
          <w:color w:val="000000" w:themeColor="text1"/>
          <w:sz w:val="16"/>
          <w:szCs w:val="16"/>
          <w:shd w:val="clear" w:color="auto" w:fill="FFFFFF"/>
        </w:rPr>
        <w:t xml:space="preserve"> </w:t>
      </w:r>
      <w:r w:rsidRPr="0034451B">
        <w:rPr>
          <w:rFonts w:ascii="MetaPro-Norm" w:hAnsi="MetaPro-Norm"/>
          <w:sz w:val="16"/>
          <w:szCs w:val="16"/>
        </w:rPr>
        <w:t>C</w:t>
      </w:r>
      <w:r>
        <w:rPr>
          <w:rFonts w:ascii="MetaPro-Norm" w:hAnsi="MetaPro-Norm"/>
          <w:sz w:val="16"/>
          <w:szCs w:val="16"/>
        </w:rPr>
        <w:t xml:space="preserve">ommittee on Economic, Social and Cultural Rights, </w:t>
      </w:r>
      <w:r w:rsidRPr="0034451B">
        <w:rPr>
          <w:rFonts w:ascii="MetaPro-Norm" w:hAnsi="MetaPro-Norm"/>
          <w:sz w:val="16"/>
          <w:szCs w:val="16"/>
        </w:rPr>
        <w:t>General Comment No. 22 on the right to sexual and reproductive health,</w:t>
      </w:r>
      <w:r>
        <w:rPr>
          <w:rFonts w:ascii="MetaPro-Norm" w:hAnsi="MetaPro-Norm"/>
          <w:sz w:val="16"/>
          <w:szCs w:val="16"/>
        </w:rPr>
        <w:t xml:space="preserve"> </w:t>
      </w:r>
      <w:r w:rsidRPr="0034451B">
        <w:rPr>
          <w:rFonts w:ascii="MetaPro-Norm" w:hAnsi="MetaPro-Norm"/>
          <w:sz w:val="16"/>
          <w:szCs w:val="16"/>
        </w:rPr>
        <w:t xml:space="preserve">UN Doc. </w:t>
      </w:r>
      <w:r w:rsidRPr="0034451B">
        <w:rPr>
          <w:rFonts w:ascii="MetaPro-Norm" w:hAnsi="MetaPro-Norm"/>
          <w:sz w:val="16"/>
          <w:szCs w:val="16"/>
          <w:lang w:val="es-419"/>
        </w:rPr>
        <w:t xml:space="preserve">E/C.12/GC/22 (2016), </w:t>
      </w:r>
      <w:hyperlink r:id="rId16" w:history="1">
        <w:r w:rsidRPr="0034451B">
          <w:rPr>
            <w:rStyle w:val="Hyperlink"/>
            <w:rFonts w:ascii="MetaPro-Norm" w:hAnsi="MetaPro-Norm"/>
            <w:sz w:val="16"/>
            <w:szCs w:val="16"/>
            <w:lang w:val="es-419"/>
          </w:rPr>
          <w:t>https://tbinternet.ohchr.org/_layouts/15/treatybodyexternal/Download.aspx?symbolno=E%2fC.12%2fGC%2f22&amp;Lang=en</w:t>
        </w:r>
      </w:hyperlink>
      <w:r>
        <w:rPr>
          <w:rFonts w:ascii="MetaPro-Norm" w:hAnsi="MetaPro-Norm"/>
          <w:sz w:val="16"/>
          <w:szCs w:val="16"/>
          <w:lang w:val="es-ES"/>
        </w:rPr>
        <w:t xml:space="preserve">, </w:t>
      </w:r>
    </w:p>
    <w:p w14:paraId="3F0A0C0C" w14:textId="49998F20" w:rsidR="002D5999" w:rsidRDefault="00B76625" w:rsidP="00B76625">
      <w:pPr>
        <w:pStyle w:val="FootnoteText"/>
      </w:pPr>
      <w:r w:rsidRPr="00801992">
        <w:rPr>
          <w:rFonts w:ascii="MetaPro-Norm" w:hAnsi="MetaPro-Norm"/>
          <w:sz w:val="16"/>
          <w:szCs w:val="16"/>
        </w:rPr>
        <w:t>para</w:t>
      </w:r>
      <w:r w:rsidR="00ED6EC5">
        <w:rPr>
          <w:rFonts w:ascii="MetaPro-Norm" w:hAnsi="MetaPro-Norm"/>
          <w:sz w:val="16"/>
          <w:szCs w:val="16"/>
        </w:rPr>
        <w:t>graph</w:t>
      </w:r>
      <w:r w:rsidRPr="00801992">
        <w:rPr>
          <w:rFonts w:ascii="MetaPro-Norm" w:hAnsi="MetaPro-Norm"/>
          <w:sz w:val="16"/>
          <w:szCs w:val="16"/>
        </w:rPr>
        <w:t xml:space="preserve"> 9.</w:t>
      </w:r>
    </w:p>
  </w:footnote>
  <w:footnote w:id="16">
    <w:p w14:paraId="653A2A4F" w14:textId="23149099" w:rsidR="00D35E7A" w:rsidRPr="00022901" w:rsidRDefault="00D35E7A" w:rsidP="00D35E7A">
      <w:pPr>
        <w:pStyle w:val="FootnoteText"/>
        <w:rPr>
          <w:rFonts w:ascii="MetaPro-Norm" w:hAnsi="MetaPro-Norm"/>
          <w:sz w:val="16"/>
          <w:szCs w:val="16"/>
        </w:rPr>
      </w:pPr>
      <w:r w:rsidRPr="0034451B">
        <w:rPr>
          <w:rStyle w:val="FootnoteReference"/>
          <w:rFonts w:ascii="MetaPro-Norm" w:hAnsi="MetaPro-Norm"/>
          <w:sz w:val="16"/>
          <w:szCs w:val="16"/>
        </w:rPr>
        <w:footnoteRef/>
      </w:r>
      <w:r w:rsidRPr="0034451B">
        <w:rPr>
          <w:rFonts w:ascii="MetaPro-Norm" w:hAnsi="MetaPro-Norm"/>
          <w:sz w:val="16"/>
          <w:szCs w:val="16"/>
        </w:rPr>
        <w:t xml:space="preserve"> See UNESCO, “UN urges Comprehensive Approach to Sexuality Education,” January 10, 2018, </w:t>
      </w:r>
      <w:hyperlink r:id="rId17" w:history="1">
        <w:r w:rsidRPr="0034451B">
          <w:rPr>
            <w:rStyle w:val="Hyperlink"/>
            <w:rFonts w:ascii="MetaPro-Norm" w:hAnsi="MetaPro-Norm"/>
            <w:sz w:val="16"/>
            <w:szCs w:val="16"/>
          </w:rPr>
          <w:t>https://en.unesco.org/news/urges-comprehensive-approach-sexuality-education</w:t>
        </w:r>
      </w:hyperlink>
      <w:r w:rsidRPr="0034451B">
        <w:rPr>
          <w:rFonts w:ascii="MetaPro-Norm" w:hAnsi="MetaPro-Norm"/>
          <w:sz w:val="16"/>
          <w:szCs w:val="16"/>
        </w:rPr>
        <w:t>; UNESCO, UNICEF, et al</w:t>
      </w:r>
      <w:r w:rsidR="00ED6EC5">
        <w:rPr>
          <w:rFonts w:ascii="MetaPro-Norm" w:hAnsi="MetaPro-Norm"/>
          <w:sz w:val="16"/>
          <w:szCs w:val="16"/>
        </w:rPr>
        <w:t>.</w:t>
      </w:r>
      <w:r w:rsidRPr="0034451B">
        <w:rPr>
          <w:rFonts w:ascii="MetaPro-Norm" w:hAnsi="MetaPro-Norm"/>
          <w:sz w:val="16"/>
          <w:szCs w:val="16"/>
        </w:rPr>
        <w:t xml:space="preserve">, International technical </w:t>
      </w:r>
      <w:r w:rsidRPr="00022901">
        <w:rPr>
          <w:rFonts w:ascii="MetaPro-Norm" w:hAnsi="MetaPro-Norm"/>
          <w:sz w:val="16"/>
          <w:szCs w:val="16"/>
        </w:rPr>
        <w:t xml:space="preserve">guidance on sexuality education – An evidence-informed approach,” 2018, </w:t>
      </w:r>
      <w:hyperlink r:id="rId18" w:history="1">
        <w:r w:rsidRPr="00022901">
          <w:rPr>
            <w:rStyle w:val="Hyperlink"/>
            <w:rFonts w:ascii="MetaPro-Norm" w:hAnsi="MetaPro-Norm"/>
            <w:sz w:val="16"/>
            <w:szCs w:val="16"/>
          </w:rPr>
          <w:t>https://unesdoc.unesco.org/ark:/48223/pf0000260770</w:t>
        </w:r>
      </w:hyperlink>
      <w:r w:rsidRPr="00022901">
        <w:rPr>
          <w:rFonts w:ascii="MetaPro-Norm" w:hAnsi="MetaPro-Norm"/>
          <w:sz w:val="16"/>
          <w:szCs w:val="16"/>
        </w:rPr>
        <w:t xml:space="preserve">, </w:t>
      </w:r>
      <w:bookmarkStart w:id="0" w:name="_Hlk32415513"/>
      <w:r w:rsidRPr="00022901">
        <w:rPr>
          <w:rFonts w:ascii="MetaPro-Norm" w:hAnsi="MetaPro-Norm"/>
          <w:sz w:val="16"/>
          <w:szCs w:val="16"/>
        </w:rPr>
        <w:t>pp. 12, 16, 24 and 34</w:t>
      </w:r>
      <w:bookmarkEnd w:id="0"/>
      <w:r w:rsidRPr="00022901">
        <w:rPr>
          <w:rFonts w:ascii="MetaPro-Norm" w:hAnsi="MetaPro-Norm"/>
          <w:sz w:val="16"/>
          <w:szCs w:val="16"/>
        </w:rPr>
        <w:t>.</w:t>
      </w:r>
    </w:p>
  </w:footnote>
  <w:footnote w:id="17">
    <w:p w14:paraId="17356B6A" w14:textId="007948A3" w:rsidR="00943112" w:rsidRPr="00022901" w:rsidRDefault="00943112" w:rsidP="00943112">
      <w:pPr>
        <w:pStyle w:val="FootnoteText"/>
        <w:rPr>
          <w:rFonts w:ascii="MetaPro-Norm" w:hAnsi="MetaPro-Norm"/>
          <w:sz w:val="16"/>
          <w:szCs w:val="16"/>
        </w:rPr>
      </w:pPr>
      <w:r w:rsidRPr="00022901">
        <w:rPr>
          <w:rStyle w:val="FootnoteReference"/>
          <w:rFonts w:ascii="MetaPro-Norm" w:hAnsi="MetaPro-Norm"/>
          <w:sz w:val="16"/>
          <w:szCs w:val="16"/>
        </w:rPr>
        <w:footnoteRef/>
      </w:r>
      <w:r w:rsidRPr="00022901">
        <w:rPr>
          <w:rFonts w:ascii="MetaPro-Norm" w:hAnsi="MetaPro-Norm"/>
          <w:sz w:val="16"/>
          <w:szCs w:val="16"/>
        </w:rPr>
        <w:t xml:space="preserve"> Ibid.</w:t>
      </w:r>
      <w:r w:rsidRPr="00022901">
        <w:rPr>
          <w:rStyle w:val="Hyperlink"/>
          <w:rFonts w:ascii="MetaPro-Norm" w:hAnsi="MetaPro-Norm"/>
          <w:sz w:val="16"/>
          <w:szCs w:val="16"/>
        </w:rPr>
        <w:t>, pp. 17</w:t>
      </w:r>
      <w:r w:rsidR="00ED6EC5">
        <w:rPr>
          <w:rStyle w:val="Hyperlink"/>
          <w:rFonts w:ascii="MetaPro-Norm" w:hAnsi="MetaPro-Norm"/>
          <w:sz w:val="16"/>
          <w:szCs w:val="16"/>
        </w:rPr>
        <w:t xml:space="preserve">, </w:t>
      </w:r>
      <w:r w:rsidRPr="00022901">
        <w:rPr>
          <w:rStyle w:val="Hyperlink"/>
          <w:rFonts w:ascii="MetaPro-Norm" w:hAnsi="MetaPro-Norm"/>
          <w:sz w:val="16"/>
          <w:szCs w:val="16"/>
        </w:rPr>
        <w:t>18, 34 and 84.</w:t>
      </w:r>
    </w:p>
  </w:footnote>
  <w:footnote w:id="18">
    <w:p w14:paraId="23AFB28E" w14:textId="5675A567" w:rsidR="001F5D03" w:rsidRPr="00022901" w:rsidRDefault="001F5D03" w:rsidP="001F5D03">
      <w:pPr>
        <w:pStyle w:val="FootnoteText"/>
        <w:rPr>
          <w:rFonts w:ascii="MetaPro-Norm" w:hAnsi="MetaPro-Norm"/>
          <w:sz w:val="16"/>
          <w:szCs w:val="16"/>
        </w:rPr>
      </w:pPr>
      <w:r w:rsidRPr="00022901">
        <w:rPr>
          <w:rStyle w:val="FootnoteReference"/>
          <w:rFonts w:ascii="MetaPro-Norm" w:hAnsi="MetaPro-Norm"/>
          <w:sz w:val="16"/>
          <w:szCs w:val="16"/>
        </w:rPr>
        <w:footnoteRef/>
      </w:r>
      <w:r w:rsidR="00D3772A" w:rsidRPr="00022901">
        <w:rPr>
          <w:rFonts w:ascii="MetaPro-Norm" w:hAnsi="MetaPro-Norm"/>
          <w:sz w:val="16"/>
          <w:szCs w:val="16"/>
        </w:rPr>
        <w:t xml:space="preserve"> See</w:t>
      </w:r>
      <w:r w:rsidR="00275026" w:rsidRPr="00022901">
        <w:rPr>
          <w:rFonts w:ascii="MetaPro-Norm" w:hAnsi="MetaPro-Norm"/>
          <w:sz w:val="16"/>
          <w:szCs w:val="16"/>
        </w:rPr>
        <w:t>,</w:t>
      </w:r>
      <w:r w:rsidR="00D3772A" w:rsidRPr="00022901">
        <w:rPr>
          <w:rFonts w:ascii="MetaPro-Norm" w:hAnsi="MetaPro-Norm"/>
          <w:sz w:val="16"/>
          <w:szCs w:val="16"/>
        </w:rPr>
        <w:t xml:space="preserve"> for example,</w:t>
      </w:r>
      <w:r w:rsidRPr="00022901">
        <w:rPr>
          <w:rFonts w:ascii="MetaPro-Norm" w:hAnsi="MetaPro-Norm"/>
          <w:sz w:val="16"/>
          <w:szCs w:val="16"/>
        </w:rPr>
        <w:t xml:space="preserve"> </w:t>
      </w:r>
      <w:r w:rsidR="00573F81" w:rsidRPr="00022901">
        <w:rPr>
          <w:rFonts w:ascii="MetaPro-Norm" w:hAnsi="MetaPro-Norm"/>
          <w:sz w:val="16"/>
          <w:szCs w:val="16"/>
        </w:rPr>
        <w:t>Dom Phil</w:t>
      </w:r>
      <w:r w:rsidR="0025297A" w:rsidRPr="00022901">
        <w:rPr>
          <w:rFonts w:ascii="MetaPro-Norm" w:hAnsi="MetaPro-Norm"/>
          <w:sz w:val="16"/>
          <w:szCs w:val="16"/>
        </w:rPr>
        <w:t>lips, “’Like going back 40 years’: dismay as Bolsonaro backs abs</w:t>
      </w:r>
      <w:r w:rsidR="000616A7" w:rsidRPr="00022901">
        <w:rPr>
          <w:rFonts w:ascii="MetaPro-Norm" w:hAnsi="MetaPro-Norm"/>
          <w:sz w:val="16"/>
          <w:szCs w:val="16"/>
        </w:rPr>
        <w:t xml:space="preserve">tinence-only sex ed,” </w:t>
      </w:r>
      <w:r w:rsidR="000616A7" w:rsidRPr="00022901">
        <w:rPr>
          <w:rFonts w:ascii="MetaPro-Norm" w:hAnsi="MetaPro-Norm"/>
          <w:i/>
          <w:iCs/>
          <w:sz w:val="16"/>
          <w:szCs w:val="16"/>
        </w:rPr>
        <w:t>The Guardian</w:t>
      </w:r>
      <w:r w:rsidR="000616A7" w:rsidRPr="00022901">
        <w:rPr>
          <w:rFonts w:ascii="MetaPro-Norm" w:hAnsi="MetaPro-Norm"/>
          <w:sz w:val="16"/>
          <w:szCs w:val="16"/>
        </w:rPr>
        <w:t xml:space="preserve">, January 17, 2020, </w:t>
      </w:r>
      <w:hyperlink r:id="rId19" w:history="1">
        <w:r w:rsidR="000616A7" w:rsidRPr="00022901">
          <w:rPr>
            <w:rStyle w:val="Hyperlink"/>
            <w:rFonts w:ascii="MetaPro-Norm" w:hAnsi="MetaPro-Norm"/>
            <w:sz w:val="16"/>
            <w:szCs w:val="16"/>
          </w:rPr>
          <w:t>https://www.theguardian.com/world/2020/jan/17/brazil-bolsonaro-backs-abstinence-only-sex-education?CMP=share_btn_tw</w:t>
        </w:r>
      </w:hyperlink>
      <w:r w:rsidR="000616A7" w:rsidRPr="00022901">
        <w:rPr>
          <w:rFonts w:ascii="MetaPro-Norm" w:hAnsi="MetaPro-Norm"/>
          <w:sz w:val="16"/>
          <w:szCs w:val="16"/>
        </w:rPr>
        <w:t>.</w:t>
      </w:r>
    </w:p>
  </w:footnote>
  <w:footnote w:id="19">
    <w:p w14:paraId="2661BDCA" w14:textId="6C54D8F0" w:rsidR="001F5D03" w:rsidRPr="00022901" w:rsidRDefault="001F5D03" w:rsidP="001F5D03">
      <w:pPr>
        <w:pStyle w:val="FootnoteText"/>
        <w:rPr>
          <w:rFonts w:ascii="MetaPro-Norm" w:hAnsi="MetaPro-Norm"/>
          <w:sz w:val="16"/>
          <w:szCs w:val="16"/>
          <w:lang w:val="es-MX"/>
        </w:rPr>
      </w:pPr>
      <w:r w:rsidRPr="00022901">
        <w:rPr>
          <w:rStyle w:val="FootnoteReference"/>
          <w:rFonts w:ascii="MetaPro-Norm" w:hAnsi="MetaPro-Norm"/>
          <w:sz w:val="16"/>
          <w:szCs w:val="16"/>
        </w:rPr>
        <w:footnoteRef/>
      </w:r>
      <w:r w:rsidRPr="00022901">
        <w:rPr>
          <w:rFonts w:ascii="MetaPro-Norm" w:hAnsi="MetaPro-Norm"/>
          <w:sz w:val="16"/>
          <w:szCs w:val="16"/>
          <w:lang w:val="es-MX"/>
        </w:rPr>
        <w:t xml:space="preserve"> See, for example,</w:t>
      </w:r>
      <w:r w:rsidR="00D97B65" w:rsidRPr="00022901">
        <w:rPr>
          <w:rFonts w:ascii="MetaPro-Norm" w:hAnsi="MetaPro-Norm"/>
          <w:sz w:val="16"/>
          <w:szCs w:val="16"/>
          <w:lang w:val="es-MX"/>
        </w:rPr>
        <w:t xml:space="preserve"> Dahia Sena, “Victor Masalles asegura ordenanza del Minerd pretende desprogramar la raza humana,” </w:t>
      </w:r>
      <w:r w:rsidR="00D97B65" w:rsidRPr="00022901">
        <w:rPr>
          <w:rFonts w:ascii="MetaPro-Norm" w:hAnsi="MetaPro-Norm"/>
          <w:i/>
          <w:iCs/>
          <w:sz w:val="16"/>
          <w:szCs w:val="16"/>
          <w:lang w:val="es-MX"/>
        </w:rPr>
        <w:t>CDN</w:t>
      </w:r>
      <w:r w:rsidR="00D97B65" w:rsidRPr="00022901">
        <w:rPr>
          <w:rFonts w:ascii="MetaPro-Norm" w:hAnsi="MetaPro-Norm"/>
          <w:sz w:val="16"/>
          <w:szCs w:val="16"/>
          <w:lang w:val="es-MX"/>
        </w:rPr>
        <w:t>, June 6, 2019,</w:t>
      </w:r>
      <w:r w:rsidRPr="00022901">
        <w:rPr>
          <w:rFonts w:ascii="MetaPro-Norm" w:hAnsi="MetaPro-Norm"/>
          <w:sz w:val="16"/>
          <w:szCs w:val="16"/>
          <w:lang w:val="es-MX"/>
        </w:rPr>
        <w:t xml:space="preserve"> </w:t>
      </w:r>
      <w:hyperlink r:id="rId20" w:history="1">
        <w:r w:rsidRPr="00022901">
          <w:rPr>
            <w:rStyle w:val="Hyperlink"/>
            <w:rFonts w:ascii="MetaPro-Norm" w:hAnsi="MetaPro-Norm"/>
            <w:sz w:val="16"/>
            <w:szCs w:val="16"/>
            <w:lang w:val="es-MX"/>
          </w:rPr>
          <w:t>https://cdn.com.do/2019/06/06/victor-masalles-asegura-ordenanza-del-minerd-pretende-desprogramar-la-raza-humana/</w:t>
        </w:r>
      </w:hyperlink>
      <w:r w:rsidR="00D97B65" w:rsidRPr="00022901">
        <w:rPr>
          <w:rFonts w:ascii="MetaPro-Norm" w:hAnsi="MetaPro-Norm"/>
          <w:sz w:val="16"/>
          <w:szCs w:val="16"/>
          <w:lang w:val="es-MX"/>
        </w:rPr>
        <w:t>.</w:t>
      </w:r>
    </w:p>
  </w:footnote>
  <w:footnote w:id="20">
    <w:p w14:paraId="0EBABDCF" w14:textId="311A3BD2" w:rsidR="001F5D03" w:rsidRPr="00022901" w:rsidRDefault="001F5D03" w:rsidP="001F5D03">
      <w:pPr>
        <w:pStyle w:val="FootnoteText"/>
        <w:rPr>
          <w:rFonts w:ascii="MetaPro-Norm" w:hAnsi="MetaPro-Norm"/>
          <w:sz w:val="16"/>
          <w:szCs w:val="16"/>
          <w:lang w:val="en-US"/>
        </w:rPr>
      </w:pPr>
      <w:r w:rsidRPr="00022901">
        <w:rPr>
          <w:rStyle w:val="FootnoteReference"/>
          <w:rFonts w:ascii="MetaPro-Norm" w:hAnsi="MetaPro-Norm"/>
          <w:sz w:val="16"/>
          <w:szCs w:val="16"/>
        </w:rPr>
        <w:footnoteRef/>
      </w:r>
      <w:r w:rsidRPr="00022901">
        <w:rPr>
          <w:rFonts w:ascii="MetaPro-Norm" w:hAnsi="MetaPro-Norm"/>
          <w:sz w:val="16"/>
          <w:szCs w:val="16"/>
        </w:rPr>
        <w:t xml:space="preserve"> </w:t>
      </w:r>
      <w:r w:rsidR="00D3772A" w:rsidRPr="00022901">
        <w:rPr>
          <w:rFonts w:ascii="MetaPro-Norm" w:hAnsi="MetaPro-Norm"/>
          <w:sz w:val="16"/>
          <w:szCs w:val="16"/>
        </w:rPr>
        <w:t>See</w:t>
      </w:r>
      <w:r w:rsidR="00275026" w:rsidRPr="00022901">
        <w:rPr>
          <w:rFonts w:ascii="MetaPro-Norm" w:hAnsi="MetaPro-Norm"/>
          <w:sz w:val="16"/>
          <w:szCs w:val="16"/>
        </w:rPr>
        <w:t>,</w:t>
      </w:r>
      <w:r w:rsidR="00D3772A" w:rsidRPr="00022901">
        <w:rPr>
          <w:rFonts w:ascii="MetaPro-Norm" w:hAnsi="MetaPro-Norm"/>
          <w:sz w:val="16"/>
          <w:szCs w:val="16"/>
        </w:rPr>
        <w:t xml:space="preserve"> for example,</w:t>
      </w:r>
      <w:r w:rsidR="004E6BAB" w:rsidRPr="00022901">
        <w:rPr>
          <w:rFonts w:ascii="MetaPro-Norm" w:hAnsi="MetaPro-Norm"/>
          <w:sz w:val="16"/>
          <w:szCs w:val="16"/>
        </w:rPr>
        <w:t xml:space="preserve"> Africa News, “Here’s why Ghana’s sex education program is controversial,” October 3, 2020</w:t>
      </w:r>
      <w:r w:rsidR="00090EF8" w:rsidRPr="00022901">
        <w:rPr>
          <w:rFonts w:ascii="MetaPro-Norm" w:hAnsi="MetaPro-Norm"/>
          <w:sz w:val="16"/>
          <w:szCs w:val="16"/>
        </w:rPr>
        <w:t>,</w:t>
      </w:r>
      <w:r w:rsidR="00D3772A" w:rsidRPr="00022901">
        <w:rPr>
          <w:rFonts w:ascii="MetaPro-Norm" w:hAnsi="MetaPro-Norm"/>
          <w:sz w:val="16"/>
          <w:szCs w:val="16"/>
        </w:rPr>
        <w:t xml:space="preserve"> </w:t>
      </w:r>
      <w:hyperlink r:id="rId21" w:history="1">
        <w:r w:rsidR="00D3772A" w:rsidRPr="00022901">
          <w:rPr>
            <w:rStyle w:val="Hyperlink"/>
            <w:rFonts w:ascii="MetaPro-Norm" w:hAnsi="MetaPro-Norm"/>
            <w:sz w:val="16"/>
            <w:szCs w:val="16"/>
          </w:rPr>
          <w:t>https://www.africanews.com/2019/10/03/here-s-why-ghana-s-sex-education-program-is-controversial//</w:t>
        </w:r>
      </w:hyperlink>
      <w:r w:rsidR="00090EF8" w:rsidRPr="00022901">
        <w:rPr>
          <w:rFonts w:ascii="MetaPro-Norm" w:hAnsi="MetaPro-Norm"/>
          <w:sz w:val="16"/>
          <w:szCs w:val="16"/>
        </w:rPr>
        <w:t>.</w:t>
      </w:r>
    </w:p>
  </w:footnote>
  <w:footnote w:id="21">
    <w:p w14:paraId="195B99A3" w14:textId="2C633BBB" w:rsidR="00275026" w:rsidRPr="00022901" w:rsidRDefault="00275026">
      <w:pPr>
        <w:pStyle w:val="FootnoteText"/>
        <w:rPr>
          <w:rFonts w:ascii="MetaPro-Norm" w:hAnsi="MetaPro-Norm"/>
          <w:sz w:val="16"/>
          <w:szCs w:val="16"/>
        </w:rPr>
      </w:pPr>
      <w:r w:rsidRPr="00022901">
        <w:rPr>
          <w:rStyle w:val="FootnoteReference"/>
          <w:rFonts w:ascii="MetaPro-Norm" w:hAnsi="MetaPro-Norm"/>
          <w:sz w:val="16"/>
          <w:szCs w:val="16"/>
        </w:rPr>
        <w:footnoteRef/>
      </w:r>
      <w:r w:rsidRPr="00022901">
        <w:rPr>
          <w:rFonts w:ascii="MetaPro-Norm" w:hAnsi="MetaPro-Norm"/>
          <w:sz w:val="16"/>
          <w:szCs w:val="16"/>
        </w:rPr>
        <w:t xml:space="preserve"> See, for example, David Oginde, “Why the church opposes bid to introduce sex education,” </w:t>
      </w:r>
      <w:r w:rsidR="0065774F" w:rsidRPr="00022901">
        <w:rPr>
          <w:rFonts w:ascii="MetaPro-Norm" w:hAnsi="MetaPro-Norm"/>
          <w:sz w:val="16"/>
          <w:szCs w:val="16"/>
        </w:rPr>
        <w:t xml:space="preserve">The Standard, January 21, 2018, </w:t>
      </w:r>
      <w:hyperlink r:id="rId22" w:history="1">
        <w:r w:rsidR="00026E13" w:rsidRPr="00022901">
          <w:rPr>
            <w:rStyle w:val="Hyperlink"/>
            <w:rFonts w:ascii="MetaPro-Norm" w:hAnsi="MetaPro-Norm"/>
            <w:sz w:val="16"/>
            <w:szCs w:val="16"/>
          </w:rPr>
          <w:t>https://standardmedia.co.ke/article/2001266642/why-the-church-opposes-bid-to-introduce-sex-education</w:t>
        </w:r>
      </w:hyperlink>
      <w:r w:rsidR="00026E13" w:rsidRPr="00022901">
        <w:rPr>
          <w:rFonts w:ascii="MetaPro-Norm" w:hAnsi="MetaPro-Norm"/>
          <w:sz w:val="16"/>
          <w:szCs w:val="16"/>
        </w:rPr>
        <w:t>.</w:t>
      </w:r>
    </w:p>
  </w:footnote>
  <w:footnote w:id="22">
    <w:p w14:paraId="2D10765B" w14:textId="4133B2D2" w:rsidR="001F5D03" w:rsidRPr="00022901" w:rsidRDefault="001F5D03" w:rsidP="001F5D03">
      <w:pPr>
        <w:pStyle w:val="FootnoteText"/>
        <w:rPr>
          <w:rFonts w:ascii="MetaPro-Norm" w:hAnsi="MetaPro-Norm"/>
          <w:sz w:val="16"/>
          <w:szCs w:val="16"/>
          <w:lang w:val="en-US"/>
        </w:rPr>
      </w:pPr>
      <w:r w:rsidRPr="00022901">
        <w:rPr>
          <w:rStyle w:val="FootnoteReference"/>
          <w:rFonts w:ascii="MetaPro-Norm" w:hAnsi="MetaPro-Norm"/>
          <w:sz w:val="16"/>
          <w:szCs w:val="16"/>
        </w:rPr>
        <w:footnoteRef/>
      </w:r>
      <w:r w:rsidR="00D3772A" w:rsidRPr="00022901">
        <w:rPr>
          <w:rFonts w:ascii="MetaPro-Norm" w:hAnsi="MetaPro-Norm"/>
          <w:sz w:val="16"/>
          <w:szCs w:val="16"/>
        </w:rPr>
        <w:t xml:space="preserve"> See</w:t>
      </w:r>
      <w:r w:rsidR="00275026" w:rsidRPr="00022901">
        <w:rPr>
          <w:rFonts w:ascii="MetaPro-Norm" w:hAnsi="MetaPro-Norm"/>
          <w:sz w:val="16"/>
          <w:szCs w:val="16"/>
        </w:rPr>
        <w:t>,</w:t>
      </w:r>
      <w:r w:rsidR="00D3772A" w:rsidRPr="00022901">
        <w:rPr>
          <w:rFonts w:ascii="MetaPro-Norm" w:hAnsi="MetaPro-Norm"/>
          <w:sz w:val="16"/>
          <w:szCs w:val="16"/>
        </w:rPr>
        <w:t xml:space="preserve"> for example,</w:t>
      </w:r>
      <w:r w:rsidR="001C2564" w:rsidRPr="00022901">
        <w:rPr>
          <w:rFonts w:ascii="MetaPro-Norm" w:hAnsi="MetaPro-Norm"/>
          <w:sz w:val="16"/>
          <w:szCs w:val="16"/>
        </w:rPr>
        <w:t xml:space="preserve"> Hillary Margolis (Human Rights Watch), “Polish Parliament Should Scrap Bill Against Sex Education,” </w:t>
      </w:r>
      <w:r w:rsidR="00B708B0" w:rsidRPr="00022901">
        <w:rPr>
          <w:rFonts w:ascii="MetaPro-Norm" w:hAnsi="MetaPro-Norm"/>
          <w:sz w:val="16"/>
          <w:szCs w:val="16"/>
        </w:rPr>
        <w:t>October 18, 2019,</w:t>
      </w:r>
      <w:r w:rsidRPr="00022901">
        <w:rPr>
          <w:rFonts w:ascii="MetaPro-Norm" w:hAnsi="MetaPro-Norm"/>
          <w:sz w:val="16"/>
          <w:szCs w:val="16"/>
        </w:rPr>
        <w:t xml:space="preserve"> </w:t>
      </w:r>
      <w:hyperlink r:id="rId23" w:history="1">
        <w:r w:rsidRPr="00022901">
          <w:rPr>
            <w:rStyle w:val="Hyperlink"/>
            <w:rFonts w:ascii="MetaPro-Norm" w:hAnsi="MetaPro-Norm"/>
            <w:sz w:val="16"/>
            <w:szCs w:val="16"/>
          </w:rPr>
          <w:t>https://www.hrw.org/news/2019/10/18/polish-parliament-should-scrap-bill-against-sex-education</w:t>
        </w:r>
      </w:hyperlink>
      <w:r w:rsidR="00B708B0" w:rsidRPr="00022901">
        <w:rPr>
          <w:rFonts w:ascii="MetaPro-Norm" w:hAnsi="MetaPro-Norm"/>
          <w:sz w:val="16"/>
          <w:szCs w:val="16"/>
        </w:rPr>
        <w:t>.</w:t>
      </w:r>
    </w:p>
  </w:footnote>
  <w:footnote w:id="23">
    <w:p w14:paraId="599B12C1" w14:textId="77777777" w:rsidR="00625170" w:rsidRDefault="00625170" w:rsidP="00625170">
      <w:pPr>
        <w:pStyle w:val="FootnoteText"/>
      </w:pPr>
      <w:r w:rsidRPr="00022901">
        <w:rPr>
          <w:rStyle w:val="FootnoteReference"/>
          <w:rFonts w:ascii="MetaPro-Norm" w:hAnsi="MetaPro-Norm"/>
          <w:sz w:val="16"/>
          <w:szCs w:val="16"/>
        </w:rPr>
        <w:footnoteRef/>
      </w:r>
      <w:r w:rsidRPr="00022901">
        <w:rPr>
          <w:rFonts w:ascii="MetaPro-Norm" w:hAnsi="MetaPro-Norm"/>
          <w:sz w:val="16"/>
          <w:szCs w:val="16"/>
        </w:rPr>
        <w:t xml:space="preserve"> Human Rights Watch,</w:t>
      </w:r>
      <w:r>
        <w:rPr>
          <w:rFonts w:ascii="MetaPro-Norm" w:hAnsi="MetaPro-Norm"/>
          <w:sz w:val="16"/>
          <w:szCs w:val="16"/>
        </w:rPr>
        <w:t xml:space="preserve"> </w:t>
      </w:r>
      <w:r w:rsidRPr="00022901">
        <w:rPr>
          <w:rFonts w:ascii="MetaPro-Norm" w:hAnsi="MetaPro-Norm"/>
          <w:sz w:val="16"/>
          <w:szCs w:val="16"/>
        </w:rPr>
        <w:t>“</w:t>
      </w:r>
      <w:r w:rsidRPr="0034451B">
        <w:rPr>
          <w:rFonts w:ascii="MetaPro-Norm" w:hAnsi="MetaPro-Norm"/>
          <w:sz w:val="16"/>
          <w:szCs w:val="16"/>
        </w:rPr>
        <w:t xml:space="preserve">The Nail That Sticks out Gets Hammered Down,” May 2016, </w:t>
      </w:r>
      <w:hyperlink r:id="rId24" w:history="1">
        <w:r w:rsidRPr="0034451B">
          <w:rPr>
            <w:rStyle w:val="Hyperlink"/>
            <w:rFonts w:ascii="MetaPro-Norm" w:hAnsi="MetaPro-Norm"/>
            <w:sz w:val="16"/>
            <w:szCs w:val="16"/>
          </w:rPr>
          <w:t>https://www.hrw.org/report/2016/05/05/nail-sticks-out-gets-hammered-down/lgbt-bullying-and-exclusion-japanese-schools</w:t>
        </w:r>
      </w:hyperlink>
      <w:r w:rsidRPr="0034451B">
        <w:rPr>
          <w:rFonts w:ascii="MetaPro-Norm" w:hAnsi="MetaPro-Norm"/>
          <w:sz w:val="16"/>
          <w:szCs w:val="16"/>
        </w:rPr>
        <w:t>;</w:t>
      </w:r>
    </w:p>
  </w:footnote>
  <w:footnote w:id="24">
    <w:p w14:paraId="2D2B63BC" w14:textId="77777777" w:rsidR="00625170" w:rsidRPr="002716A6" w:rsidRDefault="00625170" w:rsidP="00625170">
      <w:pPr>
        <w:pStyle w:val="FootnoteText"/>
        <w:rPr>
          <w:rFonts w:ascii="MetaPro-Norm" w:hAnsi="MetaPro-Norm"/>
          <w:sz w:val="16"/>
          <w:szCs w:val="16"/>
          <w:lang w:val="en-US"/>
        </w:rPr>
      </w:pPr>
      <w:r w:rsidRPr="002716A6">
        <w:rPr>
          <w:rStyle w:val="FootnoteReference"/>
          <w:rFonts w:ascii="MetaPro-Norm" w:hAnsi="MetaPro-Norm"/>
          <w:sz w:val="16"/>
          <w:szCs w:val="16"/>
        </w:rPr>
        <w:footnoteRef/>
      </w:r>
      <w:r w:rsidRPr="002716A6">
        <w:rPr>
          <w:rFonts w:ascii="MetaPro-Norm" w:hAnsi="MetaPro-Norm"/>
          <w:sz w:val="16"/>
          <w:szCs w:val="16"/>
        </w:rPr>
        <w:t xml:space="preserve"> </w:t>
      </w:r>
      <w:r w:rsidRPr="002716A6">
        <w:rPr>
          <w:rFonts w:ascii="MetaPro-Norm" w:hAnsi="MetaPro-Norm"/>
          <w:sz w:val="16"/>
          <w:szCs w:val="16"/>
          <w:lang w:val="en-US"/>
        </w:rPr>
        <w:t xml:space="preserve">Human Rights Watch, “‘Like Walking Through A Hailstorm’: Discrimination Against LGBT Youth in US Schools, December 2016,” </w:t>
      </w:r>
      <w:hyperlink r:id="rId25" w:history="1">
        <w:r w:rsidRPr="002716A6">
          <w:rPr>
            <w:rStyle w:val="Hyperlink"/>
            <w:rFonts w:ascii="MetaPro-Norm" w:hAnsi="MetaPro-Norm"/>
            <w:sz w:val="16"/>
            <w:szCs w:val="16"/>
          </w:rPr>
          <w:t>https://www.hrw.org/report/2016/12/07/walking-through-hailstorm/discrimination-against-lgbt-youth-us-schools</w:t>
        </w:r>
      </w:hyperlink>
      <w:r w:rsidRPr="002716A6">
        <w:rPr>
          <w:rFonts w:ascii="MetaPro-Norm" w:hAnsi="MetaPro-Norm"/>
          <w:sz w:val="16"/>
          <w:szCs w:val="16"/>
        </w:rPr>
        <w:t xml:space="preserve">; Ryan Thoreson (Human Rights Watch), “UN Body Urges South Korea to Improve Sexuality Education,” October 16, 2019, </w:t>
      </w:r>
      <w:hyperlink r:id="rId26" w:history="1">
        <w:r w:rsidRPr="002716A6">
          <w:rPr>
            <w:rStyle w:val="Hyperlink"/>
            <w:rFonts w:ascii="MetaPro-Norm" w:hAnsi="MetaPro-Norm"/>
            <w:sz w:val="16"/>
            <w:szCs w:val="16"/>
          </w:rPr>
          <w:t>https://www.hrw.org/news/2019/10/16/un-body-urges-south-korea-improve-sexuality-education</w:t>
        </w:r>
      </w:hyperlink>
      <w:r w:rsidRPr="002716A6">
        <w:rPr>
          <w:rFonts w:ascii="MetaPro-Norm" w:hAnsi="MetaPro-Norm"/>
          <w:sz w:val="16"/>
          <w:szCs w:val="16"/>
        </w:rPr>
        <w:t>.</w:t>
      </w:r>
    </w:p>
  </w:footnote>
  <w:footnote w:id="25">
    <w:p w14:paraId="749DF32B" w14:textId="77777777" w:rsidR="00625170" w:rsidRDefault="00625170" w:rsidP="00625170">
      <w:pPr>
        <w:pStyle w:val="FootnoteText"/>
      </w:pPr>
      <w:r w:rsidRPr="00F9569F">
        <w:rPr>
          <w:rStyle w:val="FootnoteReference"/>
          <w:rFonts w:ascii="MetaPro-Norm" w:hAnsi="MetaPro-Norm"/>
          <w:sz w:val="16"/>
          <w:szCs w:val="16"/>
        </w:rPr>
        <w:footnoteRef/>
      </w:r>
      <w:r w:rsidRPr="00F9569F">
        <w:rPr>
          <w:rFonts w:ascii="MetaPro-Norm" w:hAnsi="MetaPro-Norm"/>
          <w:sz w:val="16"/>
          <w:szCs w:val="16"/>
        </w:rPr>
        <w:t xml:space="preserve"> </w:t>
      </w:r>
      <w:r w:rsidRPr="00B05FAF">
        <w:rPr>
          <w:rFonts w:ascii="MetaPro-Norm" w:hAnsi="MetaPro-Norm"/>
          <w:sz w:val="16"/>
          <w:szCs w:val="16"/>
        </w:rPr>
        <w:t>“It’s Not Normal” – Sexual Exploitation, Harassment</w:t>
      </w:r>
      <w:r w:rsidRPr="0034451B">
        <w:rPr>
          <w:rFonts w:ascii="MetaPro-Norm" w:hAnsi="MetaPro-Norm"/>
          <w:sz w:val="16"/>
          <w:szCs w:val="16"/>
        </w:rPr>
        <w:t xml:space="preserve"> and Abuse in Secondary Schools in Senegal, October 2018, </w:t>
      </w:r>
      <w:hyperlink r:id="rId27" w:history="1">
        <w:r w:rsidRPr="0034451B">
          <w:rPr>
            <w:rStyle w:val="Hyperlink"/>
            <w:rFonts w:ascii="MetaPro-Norm" w:hAnsi="MetaPro-Norm"/>
            <w:sz w:val="16"/>
            <w:szCs w:val="16"/>
          </w:rPr>
          <w:t>https://www.hrw.org/report/2018/10/18/its-not-normal/sexual-exploitation-harassment-and-abuse-secondary-schools-senegal</w:t>
        </w:r>
      </w:hyperlink>
      <w:r w:rsidRPr="0034451B">
        <w:rPr>
          <w:rFonts w:ascii="MetaPro-Norm" w:hAnsi="MetaPro-Norm"/>
          <w:sz w:val="16"/>
          <w:szCs w:val="16"/>
        </w:rPr>
        <w:t>.</w:t>
      </w:r>
    </w:p>
  </w:footnote>
  <w:footnote w:id="26">
    <w:p w14:paraId="6A86AA96" w14:textId="77777777" w:rsidR="00625170" w:rsidRPr="00EA2D40" w:rsidRDefault="00625170" w:rsidP="00625170">
      <w:pPr>
        <w:pStyle w:val="FootnoteText"/>
        <w:rPr>
          <w:rFonts w:ascii="MetaPro-Norm" w:hAnsi="MetaPro-Norm"/>
          <w:sz w:val="12"/>
          <w:szCs w:val="12"/>
        </w:rPr>
      </w:pPr>
      <w:r w:rsidRPr="00022901">
        <w:rPr>
          <w:rStyle w:val="FootnoteReference"/>
          <w:rFonts w:ascii="MetaPro-Norm" w:hAnsi="MetaPro-Norm"/>
          <w:sz w:val="16"/>
          <w:szCs w:val="16"/>
        </w:rPr>
        <w:footnoteRef/>
      </w:r>
      <w:r w:rsidRPr="00022901">
        <w:rPr>
          <w:rFonts w:ascii="MetaPro-Norm" w:hAnsi="MetaPro-Norm"/>
          <w:sz w:val="16"/>
          <w:szCs w:val="16"/>
        </w:rPr>
        <w:t xml:space="preserve"> Human Rights Watch, “Just Let Us Be,” Discrimination Against LGBT Students in the Philippines, June 2017, </w:t>
      </w:r>
      <w:hyperlink r:id="rId28" w:history="1">
        <w:r w:rsidRPr="00022901">
          <w:rPr>
            <w:rStyle w:val="Hyperlink"/>
            <w:rFonts w:ascii="MetaPro-Norm" w:hAnsi="MetaPro-Norm"/>
            <w:sz w:val="16"/>
            <w:szCs w:val="16"/>
          </w:rPr>
          <w:t>https://www.hrw.org/report/2017/06/21/just-let-us-be/discrimination-against-lgbt-students-philippines</w:t>
        </w:r>
      </w:hyperlink>
      <w:r w:rsidRPr="00022901">
        <w:rPr>
          <w:rFonts w:ascii="MetaPro-Norm" w:hAnsi="MetaPro-Norm"/>
          <w:sz w:val="16"/>
          <w:szCs w:val="16"/>
        </w:rPr>
        <w:t xml:space="preserve">; </w:t>
      </w:r>
      <w:r w:rsidRPr="00022901">
        <w:rPr>
          <w:rFonts w:ascii="MetaPro-Norm" w:hAnsi="MetaPro-Norm"/>
          <w:color w:val="444444"/>
          <w:sz w:val="16"/>
          <w:szCs w:val="16"/>
          <w:shd w:val="clear" w:color="auto" w:fill="FFFFFF"/>
        </w:rPr>
        <w:t>Human Rights Watch, </w:t>
      </w:r>
      <w:r w:rsidRPr="00326864">
        <w:rPr>
          <w:rFonts w:ascii="MetaPro-Norm" w:hAnsi="MetaPro-Norm"/>
          <w:i/>
          <w:iCs/>
          <w:color w:val="000000" w:themeColor="text1"/>
          <w:sz w:val="16"/>
          <w:szCs w:val="16"/>
          <w:shd w:val="clear" w:color="auto" w:fill="FFFFFF"/>
        </w:rPr>
        <w:t>Fueling the Philippines’ HIV Epidemic: Government Barriers to Condom Use by Men Who Have Sex With Men</w:t>
      </w:r>
      <w:r w:rsidRPr="00326864">
        <w:rPr>
          <w:rFonts w:ascii="MetaPro-Norm" w:hAnsi="MetaPro-Norm"/>
          <w:color w:val="000000" w:themeColor="text1"/>
          <w:sz w:val="16"/>
          <w:szCs w:val="16"/>
          <w:shd w:val="clear" w:color="auto" w:fill="FFFFFF"/>
        </w:rPr>
        <w:t> , December 8, 2016, </w:t>
      </w:r>
      <w:hyperlink r:id="rId29" w:history="1">
        <w:r w:rsidRPr="00EA2D40">
          <w:rPr>
            <w:rStyle w:val="Hyperlink"/>
            <w:rFonts w:ascii="MetaPro-Norm" w:hAnsi="MetaPro-Norm"/>
            <w:sz w:val="16"/>
            <w:szCs w:val="16"/>
          </w:rPr>
          <w:t>https://www.hrw.org/sites/default/files/report_pdf/philippines1216_web.pdf</w:t>
        </w:r>
      </w:hyperlink>
      <w:r w:rsidRPr="00EA2D40">
        <w:rPr>
          <w:rFonts w:ascii="MetaPro-Norm" w:hAnsi="MetaPro-Norm"/>
          <w:sz w:val="16"/>
          <w:szCs w:val="16"/>
        </w:rPr>
        <w:t>.</w:t>
      </w:r>
    </w:p>
  </w:footnote>
  <w:footnote w:id="27">
    <w:p w14:paraId="4B4B20F8" w14:textId="77777777" w:rsidR="00625170" w:rsidRPr="00B5616B" w:rsidRDefault="00625170" w:rsidP="00625170">
      <w:pPr>
        <w:pStyle w:val="FootnoteText"/>
        <w:rPr>
          <w:rFonts w:ascii="MetaPro-Norm" w:hAnsi="MetaPro-Norm"/>
          <w:sz w:val="16"/>
          <w:szCs w:val="16"/>
          <w:lang w:val="en-US"/>
        </w:rPr>
      </w:pPr>
      <w:r w:rsidRPr="00B5616B">
        <w:rPr>
          <w:rStyle w:val="FootnoteReference"/>
          <w:rFonts w:ascii="MetaPro-Norm" w:hAnsi="MetaPro-Norm"/>
          <w:sz w:val="16"/>
          <w:szCs w:val="16"/>
        </w:rPr>
        <w:footnoteRef/>
      </w:r>
      <w:r w:rsidRPr="00B5616B">
        <w:rPr>
          <w:rFonts w:ascii="MetaPro-Norm" w:hAnsi="MetaPro-Norm"/>
          <w:sz w:val="16"/>
          <w:szCs w:val="16"/>
        </w:rPr>
        <w:t xml:space="preserve"> </w:t>
      </w:r>
      <w:r w:rsidRPr="00B5616B">
        <w:rPr>
          <w:rFonts w:ascii="MetaPro-Norm" w:hAnsi="MetaPro-Norm"/>
          <w:sz w:val="16"/>
          <w:szCs w:val="16"/>
          <w:lang w:val="en-US"/>
        </w:rPr>
        <w:t xml:space="preserve">Human Rights Watch, “‘My Teacher Said I Had a Disease’: Barriers to the Right to Education for LGBT Youth in Vietnam,” February 2020, </w:t>
      </w:r>
      <w:hyperlink r:id="rId30" w:history="1">
        <w:r w:rsidRPr="00B5616B">
          <w:rPr>
            <w:rStyle w:val="Hyperlink"/>
            <w:rFonts w:ascii="MetaPro-Norm" w:hAnsi="MetaPro-Norm"/>
            <w:sz w:val="16"/>
            <w:szCs w:val="16"/>
          </w:rPr>
          <w:t>https://www.hrw.org/report/2020/02/12/my-teacher-said-i-had-disease/barriers-right-education-lgbt-youth-vietnam</w:t>
        </w:r>
      </w:hyperlink>
      <w:r w:rsidRPr="00B5616B">
        <w:rPr>
          <w:rFonts w:ascii="MetaPro-Norm" w:hAnsi="MetaPro-Norm"/>
          <w:sz w:val="16"/>
          <w:szCs w:val="16"/>
        </w:rPr>
        <w:t xml:space="preserve">. </w:t>
      </w:r>
    </w:p>
  </w:footnote>
  <w:footnote w:id="28">
    <w:p w14:paraId="42192AF5" w14:textId="51C29E97" w:rsidR="002716A6" w:rsidRPr="00625170" w:rsidRDefault="002716A6" w:rsidP="002716A6">
      <w:pPr>
        <w:pStyle w:val="FootnoteText"/>
        <w:rPr>
          <w:rFonts w:ascii="MetaPro-Norm" w:hAnsi="MetaPro-Norm"/>
          <w:sz w:val="16"/>
          <w:szCs w:val="16"/>
        </w:rPr>
      </w:pPr>
      <w:r w:rsidRPr="00625170">
        <w:rPr>
          <w:rStyle w:val="FootnoteReference"/>
          <w:rFonts w:ascii="MetaPro-Norm" w:hAnsi="MetaPro-Norm"/>
          <w:sz w:val="16"/>
          <w:szCs w:val="16"/>
        </w:rPr>
        <w:footnoteRef/>
      </w:r>
      <w:r w:rsidR="00625170">
        <w:rPr>
          <w:rFonts w:ascii="MetaPro-Norm" w:hAnsi="MetaPro-Norm"/>
          <w:sz w:val="16"/>
          <w:szCs w:val="16"/>
          <w:lang w:val="en-US"/>
        </w:rPr>
        <w:t xml:space="preserve"> </w:t>
      </w:r>
      <w:r w:rsidRPr="00625170">
        <w:rPr>
          <w:rFonts w:ascii="MetaPro-Norm" w:hAnsi="MetaPro-Norm"/>
          <w:sz w:val="16"/>
          <w:szCs w:val="16"/>
          <w:lang w:val="en-US"/>
        </w:rPr>
        <w:t xml:space="preserve">See Human Rights Watch, “I Felt Like the World Was Falling Down on Me,” Adolescent Girls’ Sexual and Reproductive Health and Rights in the Dominican Republic, June 2019, </w:t>
      </w:r>
      <w:hyperlink r:id="rId31" w:history="1">
        <w:r w:rsidRPr="00625170">
          <w:rPr>
            <w:rStyle w:val="Hyperlink"/>
            <w:rFonts w:ascii="MetaPro-Norm" w:hAnsi="MetaPro-Norm"/>
            <w:sz w:val="16"/>
            <w:szCs w:val="16"/>
          </w:rPr>
          <w:t>https://www.hrw.org/report/2019/06/18/i-felt-world-was-falling-down-me/adolescent-girls-sexual-and-reproductive-health</w:t>
        </w:r>
      </w:hyperlink>
      <w:r w:rsidRPr="00625170">
        <w:rPr>
          <w:rFonts w:ascii="MetaPro-Norm" w:hAnsi="MetaPro-Norm"/>
          <w:sz w:val="16"/>
          <w:szCs w:val="16"/>
        </w:rPr>
        <w:t xml:space="preserve">; </w:t>
      </w:r>
      <w:r w:rsidRPr="00625170">
        <w:rPr>
          <w:rFonts w:ascii="MetaPro-Norm" w:hAnsi="MetaPro-Norm"/>
          <w:color w:val="000000" w:themeColor="text1"/>
          <w:sz w:val="16"/>
          <w:szCs w:val="16"/>
          <w:shd w:val="clear" w:color="auto" w:fill="FFFFFF"/>
        </w:rPr>
        <w:t xml:space="preserve">Proyecto de Ley de Educación Sexual Basado en Valores y Responsabilidad, November 8, 2017, </w:t>
      </w:r>
      <w:hyperlink r:id="rId32" w:history="1">
        <w:r w:rsidR="00625170" w:rsidRPr="00625170">
          <w:rPr>
            <w:rStyle w:val="Hyperlink"/>
            <w:rFonts w:ascii="MetaPro-Norm" w:hAnsi="MetaPro-Norm"/>
            <w:sz w:val="16"/>
            <w:szCs w:val="16"/>
            <w:shd w:val="clear" w:color="auto" w:fill="FFFFFF"/>
          </w:rPr>
          <w:t>http://sil.camaradediputados.gob.do:8095/ReportesGenerales/VerDocumento2?documentoId=67487</w:t>
        </w:r>
      </w:hyperlink>
      <w:r w:rsidR="00625170" w:rsidRPr="00625170">
        <w:rPr>
          <w:rFonts w:ascii="MetaPro-Norm" w:hAnsi="MetaPro-Norm"/>
          <w:color w:val="000000" w:themeColor="text1"/>
          <w:sz w:val="16"/>
          <w:szCs w:val="16"/>
          <w:shd w:val="clear" w:color="auto" w:fill="FFFFFF"/>
        </w:rPr>
        <w:t xml:space="preserve"> </w:t>
      </w:r>
      <w:r w:rsidRPr="00625170">
        <w:rPr>
          <w:rFonts w:ascii="MetaPro-Norm" w:hAnsi="MetaPro-Norm"/>
          <w:color w:val="000000" w:themeColor="text1"/>
          <w:sz w:val="16"/>
          <w:szCs w:val="16"/>
          <w:shd w:val="clear" w:color="auto" w:fill="FFFFFF"/>
        </w:rPr>
        <w:t xml:space="preserve"> (accessed September 12, 2018).</w:t>
      </w:r>
    </w:p>
  </w:footnote>
  <w:footnote w:id="29">
    <w:p w14:paraId="5A91C2CF" w14:textId="77777777" w:rsidR="002716A6" w:rsidRPr="00B05FAF" w:rsidRDefault="002716A6" w:rsidP="002716A6">
      <w:pPr>
        <w:pStyle w:val="FootnoteText"/>
        <w:rPr>
          <w:rFonts w:ascii="MetaPro-Norm" w:hAnsi="MetaPro-Norm"/>
          <w:lang w:val="en-US"/>
        </w:rPr>
      </w:pPr>
      <w:r w:rsidRPr="00625170">
        <w:rPr>
          <w:rStyle w:val="FootnoteReference"/>
          <w:rFonts w:ascii="MetaPro-Norm" w:hAnsi="MetaPro-Norm"/>
          <w:sz w:val="16"/>
          <w:szCs w:val="16"/>
        </w:rPr>
        <w:footnoteRef/>
      </w:r>
      <w:r w:rsidRPr="00625170">
        <w:rPr>
          <w:rFonts w:ascii="MetaPro-Norm" w:hAnsi="MetaPro-Norm"/>
          <w:sz w:val="16"/>
          <w:szCs w:val="16"/>
        </w:rPr>
        <w:t xml:space="preserve"> </w:t>
      </w:r>
      <w:r w:rsidRPr="00625170">
        <w:rPr>
          <w:rFonts w:ascii="MetaPro-Norm" w:hAnsi="MetaPro-Norm"/>
          <w:sz w:val="16"/>
          <w:szCs w:val="16"/>
          <w:lang w:val="en-US"/>
        </w:rPr>
        <w:t xml:space="preserve">Human Rights Watch, “Sex Ed Under Fire Again in Poland,” March 19, 2019, </w:t>
      </w:r>
      <w:hyperlink r:id="rId33" w:history="1">
        <w:r w:rsidRPr="00625170">
          <w:rPr>
            <w:rStyle w:val="Hyperlink"/>
            <w:rFonts w:ascii="MetaPro-Norm" w:hAnsi="MetaPro-Norm"/>
            <w:sz w:val="16"/>
            <w:szCs w:val="16"/>
          </w:rPr>
          <w:t>https://www.hrw.org/news/2019/03/19/sex-education-under-fire-again-poland</w:t>
        </w:r>
      </w:hyperlink>
      <w:r w:rsidRPr="00625170">
        <w:rPr>
          <w:rFonts w:ascii="MetaPro-Norm" w:hAnsi="MetaPro-Norm"/>
          <w:sz w:val="16"/>
          <w:szCs w:val="16"/>
        </w:rPr>
        <w:t>.</w:t>
      </w:r>
      <w:r w:rsidRPr="00B05FAF">
        <w:rPr>
          <w:rFonts w:ascii="MetaPro-Norm" w:hAnsi="MetaPro-Norm"/>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77E0"/>
    <w:multiLevelType w:val="hybridMultilevel"/>
    <w:tmpl w:val="423AF51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91B5820"/>
    <w:multiLevelType w:val="hybridMultilevel"/>
    <w:tmpl w:val="1330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20A25"/>
    <w:multiLevelType w:val="hybridMultilevel"/>
    <w:tmpl w:val="5858B496"/>
    <w:lvl w:ilvl="0" w:tplc="193C65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02749B"/>
    <w:multiLevelType w:val="hybridMultilevel"/>
    <w:tmpl w:val="5F5E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2E30B8"/>
    <w:multiLevelType w:val="hybridMultilevel"/>
    <w:tmpl w:val="8350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C3006"/>
    <w:multiLevelType w:val="hybridMultilevel"/>
    <w:tmpl w:val="3BE0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F5"/>
    <w:rsid w:val="00005141"/>
    <w:rsid w:val="00020085"/>
    <w:rsid w:val="00021287"/>
    <w:rsid w:val="0002200A"/>
    <w:rsid w:val="00022901"/>
    <w:rsid w:val="00026298"/>
    <w:rsid w:val="00026E13"/>
    <w:rsid w:val="00030C39"/>
    <w:rsid w:val="00031D7A"/>
    <w:rsid w:val="000422E3"/>
    <w:rsid w:val="00043EB2"/>
    <w:rsid w:val="00046323"/>
    <w:rsid w:val="000543E4"/>
    <w:rsid w:val="000576D4"/>
    <w:rsid w:val="000616A7"/>
    <w:rsid w:val="000637FA"/>
    <w:rsid w:val="00070487"/>
    <w:rsid w:val="000704BE"/>
    <w:rsid w:val="000712EB"/>
    <w:rsid w:val="00071DA9"/>
    <w:rsid w:val="00073F9D"/>
    <w:rsid w:val="00077105"/>
    <w:rsid w:val="00084ACA"/>
    <w:rsid w:val="00086290"/>
    <w:rsid w:val="00086ACD"/>
    <w:rsid w:val="00090EF8"/>
    <w:rsid w:val="00096BBC"/>
    <w:rsid w:val="000A1536"/>
    <w:rsid w:val="000A7243"/>
    <w:rsid w:val="000B212A"/>
    <w:rsid w:val="000C51DE"/>
    <w:rsid w:val="000C6123"/>
    <w:rsid w:val="000C69C5"/>
    <w:rsid w:val="000D18A3"/>
    <w:rsid w:val="000D3E86"/>
    <w:rsid w:val="000D6332"/>
    <w:rsid w:val="000E3E94"/>
    <w:rsid w:val="000F05EA"/>
    <w:rsid w:val="000F4883"/>
    <w:rsid w:val="000F51BC"/>
    <w:rsid w:val="0010257A"/>
    <w:rsid w:val="00106DBA"/>
    <w:rsid w:val="001125A6"/>
    <w:rsid w:val="00116CEA"/>
    <w:rsid w:val="001172D5"/>
    <w:rsid w:val="001240F0"/>
    <w:rsid w:val="0012540E"/>
    <w:rsid w:val="001303CA"/>
    <w:rsid w:val="00132F3F"/>
    <w:rsid w:val="00136F37"/>
    <w:rsid w:val="00137D3B"/>
    <w:rsid w:val="001460F6"/>
    <w:rsid w:val="00150D84"/>
    <w:rsid w:val="00153F2D"/>
    <w:rsid w:val="00154B33"/>
    <w:rsid w:val="001607BB"/>
    <w:rsid w:val="001618AA"/>
    <w:rsid w:val="00165746"/>
    <w:rsid w:val="001667E7"/>
    <w:rsid w:val="0017047B"/>
    <w:rsid w:val="00171DCB"/>
    <w:rsid w:val="00175888"/>
    <w:rsid w:val="00181EC1"/>
    <w:rsid w:val="00191DA2"/>
    <w:rsid w:val="00194074"/>
    <w:rsid w:val="001954F5"/>
    <w:rsid w:val="001A0782"/>
    <w:rsid w:val="001A5197"/>
    <w:rsid w:val="001A5528"/>
    <w:rsid w:val="001B1BB4"/>
    <w:rsid w:val="001B5374"/>
    <w:rsid w:val="001B54FF"/>
    <w:rsid w:val="001B5D99"/>
    <w:rsid w:val="001C1AC7"/>
    <w:rsid w:val="001C2564"/>
    <w:rsid w:val="001C7586"/>
    <w:rsid w:val="001D2B18"/>
    <w:rsid w:val="001D37AC"/>
    <w:rsid w:val="001D6856"/>
    <w:rsid w:val="001E19A7"/>
    <w:rsid w:val="001F0A78"/>
    <w:rsid w:val="001F2AFA"/>
    <w:rsid w:val="001F35A4"/>
    <w:rsid w:val="001F3957"/>
    <w:rsid w:val="001F5D03"/>
    <w:rsid w:val="00201201"/>
    <w:rsid w:val="002027F1"/>
    <w:rsid w:val="0020323C"/>
    <w:rsid w:val="00204D5B"/>
    <w:rsid w:val="002063EB"/>
    <w:rsid w:val="00206F32"/>
    <w:rsid w:val="002112BD"/>
    <w:rsid w:val="00217338"/>
    <w:rsid w:val="002207BB"/>
    <w:rsid w:val="00220F57"/>
    <w:rsid w:val="002241EB"/>
    <w:rsid w:val="0022533A"/>
    <w:rsid w:val="00231D41"/>
    <w:rsid w:val="00234DB3"/>
    <w:rsid w:val="00235E46"/>
    <w:rsid w:val="00251E56"/>
    <w:rsid w:val="0025297A"/>
    <w:rsid w:val="0025306A"/>
    <w:rsid w:val="002537C5"/>
    <w:rsid w:val="00256D93"/>
    <w:rsid w:val="0026351C"/>
    <w:rsid w:val="00263961"/>
    <w:rsid w:val="002716A6"/>
    <w:rsid w:val="002726AC"/>
    <w:rsid w:val="00273B26"/>
    <w:rsid w:val="00275026"/>
    <w:rsid w:val="00275EE7"/>
    <w:rsid w:val="00276D14"/>
    <w:rsid w:val="00283544"/>
    <w:rsid w:val="002836AA"/>
    <w:rsid w:val="00284720"/>
    <w:rsid w:val="00290BCB"/>
    <w:rsid w:val="0029529D"/>
    <w:rsid w:val="00296D5E"/>
    <w:rsid w:val="002A4797"/>
    <w:rsid w:val="002B27B5"/>
    <w:rsid w:val="002B5E4E"/>
    <w:rsid w:val="002C1DAC"/>
    <w:rsid w:val="002C60E7"/>
    <w:rsid w:val="002C6383"/>
    <w:rsid w:val="002D3357"/>
    <w:rsid w:val="002D45C2"/>
    <w:rsid w:val="002D45C5"/>
    <w:rsid w:val="002D5999"/>
    <w:rsid w:val="002D7AD4"/>
    <w:rsid w:val="002D7AD6"/>
    <w:rsid w:val="002E3CE8"/>
    <w:rsid w:val="002E6CB1"/>
    <w:rsid w:val="002E6E9F"/>
    <w:rsid w:val="002F7042"/>
    <w:rsid w:val="00303ECE"/>
    <w:rsid w:val="00306F4F"/>
    <w:rsid w:val="00311F10"/>
    <w:rsid w:val="003136CF"/>
    <w:rsid w:val="00314310"/>
    <w:rsid w:val="00316116"/>
    <w:rsid w:val="00317835"/>
    <w:rsid w:val="00321460"/>
    <w:rsid w:val="00326864"/>
    <w:rsid w:val="00327640"/>
    <w:rsid w:val="003331E6"/>
    <w:rsid w:val="00340311"/>
    <w:rsid w:val="00343997"/>
    <w:rsid w:val="0035098A"/>
    <w:rsid w:val="00351120"/>
    <w:rsid w:val="003541E0"/>
    <w:rsid w:val="003544F0"/>
    <w:rsid w:val="00354BFD"/>
    <w:rsid w:val="00357088"/>
    <w:rsid w:val="0035755D"/>
    <w:rsid w:val="00357865"/>
    <w:rsid w:val="0036012E"/>
    <w:rsid w:val="00360635"/>
    <w:rsid w:val="003716D1"/>
    <w:rsid w:val="0037191D"/>
    <w:rsid w:val="00374D38"/>
    <w:rsid w:val="003752D9"/>
    <w:rsid w:val="003760A3"/>
    <w:rsid w:val="00377F28"/>
    <w:rsid w:val="00380781"/>
    <w:rsid w:val="00385B23"/>
    <w:rsid w:val="00393867"/>
    <w:rsid w:val="003954DC"/>
    <w:rsid w:val="00395D0B"/>
    <w:rsid w:val="00397B9D"/>
    <w:rsid w:val="003B250D"/>
    <w:rsid w:val="003B5408"/>
    <w:rsid w:val="003B5B40"/>
    <w:rsid w:val="003C598B"/>
    <w:rsid w:val="003C5E84"/>
    <w:rsid w:val="003D6E37"/>
    <w:rsid w:val="003E0936"/>
    <w:rsid w:val="003E3C2A"/>
    <w:rsid w:val="003E6DF0"/>
    <w:rsid w:val="003F37B9"/>
    <w:rsid w:val="003F40FB"/>
    <w:rsid w:val="003F5718"/>
    <w:rsid w:val="0040019A"/>
    <w:rsid w:val="0040272B"/>
    <w:rsid w:val="004055DC"/>
    <w:rsid w:val="00410096"/>
    <w:rsid w:val="00416160"/>
    <w:rsid w:val="004165EA"/>
    <w:rsid w:val="00430AC3"/>
    <w:rsid w:val="00430B67"/>
    <w:rsid w:val="004414FA"/>
    <w:rsid w:val="00442039"/>
    <w:rsid w:val="00443A9A"/>
    <w:rsid w:val="00451F32"/>
    <w:rsid w:val="00454D3D"/>
    <w:rsid w:val="004739D4"/>
    <w:rsid w:val="00475151"/>
    <w:rsid w:val="004852C8"/>
    <w:rsid w:val="00485A62"/>
    <w:rsid w:val="00486CB2"/>
    <w:rsid w:val="00494992"/>
    <w:rsid w:val="004A38B0"/>
    <w:rsid w:val="004A5CEA"/>
    <w:rsid w:val="004B0F31"/>
    <w:rsid w:val="004B40B8"/>
    <w:rsid w:val="004B4BA4"/>
    <w:rsid w:val="004B7BB6"/>
    <w:rsid w:val="004C2C42"/>
    <w:rsid w:val="004C4016"/>
    <w:rsid w:val="004C6BC6"/>
    <w:rsid w:val="004D1D8D"/>
    <w:rsid w:val="004D21EA"/>
    <w:rsid w:val="004D2CC3"/>
    <w:rsid w:val="004E14F0"/>
    <w:rsid w:val="004E21B0"/>
    <w:rsid w:val="004E6BAB"/>
    <w:rsid w:val="004E7C3F"/>
    <w:rsid w:val="004F3F15"/>
    <w:rsid w:val="00501FE5"/>
    <w:rsid w:val="00513574"/>
    <w:rsid w:val="0052660B"/>
    <w:rsid w:val="00527E55"/>
    <w:rsid w:val="00532988"/>
    <w:rsid w:val="0054376E"/>
    <w:rsid w:val="00543CFA"/>
    <w:rsid w:val="00550493"/>
    <w:rsid w:val="00552E40"/>
    <w:rsid w:val="00554938"/>
    <w:rsid w:val="005641F7"/>
    <w:rsid w:val="005653BB"/>
    <w:rsid w:val="00570C1F"/>
    <w:rsid w:val="00571592"/>
    <w:rsid w:val="005734C9"/>
    <w:rsid w:val="00573F81"/>
    <w:rsid w:val="00577988"/>
    <w:rsid w:val="0058078B"/>
    <w:rsid w:val="00581234"/>
    <w:rsid w:val="0058159B"/>
    <w:rsid w:val="00581F0E"/>
    <w:rsid w:val="005829CB"/>
    <w:rsid w:val="00585474"/>
    <w:rsid w:val="00593C1B"/>
    <w:rsid w:val="00595BC4"/>
    <w:rsid w:val="005962A6"/>
    <w:rsid w:val="005A00F2"/>
    <w:rsid w:val="005A1A2B"/>
    <w:rsid w:val="005A51C9"/>
    <w:rsid w:val="005A57EE"/>
    <w:rsid w:val="005A77C9"/>
    <w:rsid w:val="005B26B7"/>
    <w:rsid w:val="005B49FE"/>
    <w:rsid w:val="005B53BD"/>
    <w:rsid w:val="005C1846"/>
    <w:rsid w:val="005C4338"/>
    <w:rsid w:val="005C48F7"/>
    <w:rsid w:val="005C51F8"/>
    <w:rsid w:val="005D1574"/>
    <w:rsid w:val="005D47A1"/>
    <w:rsid w:val="005D55A9"/>
    <w:rsid w:val="005D5D7E"/>
    <w:rsid w:val="005D6FF7"/>
    <w:rsid w:val="005E1314"/>
    <w:rsid w:val="005E3839"/>
    <w:rsid w:val="005F0F4F"/>
    <w:rsid w:val="005F76B2"/>
    <w:rsid w:val="00603A4F"/>
    <w:rsid w:val="00605292"/>
    <w:rsid w:val="006057FB"/>
    <w:rsid w:val="0061115D"/>
    <w:rsid w:val="00613408"/>
    <w:rsid w:val="0062014B"/>
    <w:rsid w:val="00625007"/>
    <w:rsid w:val="00625170"/>
    <w:rsid w:val="0062574E"/>
    <w:rsid w:val="00632118"/>
    <w:rsid w:val="00634C78"/>
    <w:rsid w:val="00635585"/>
    <w:rsid w:val="006413B1"/>
    <w:rsid w:val="0064492D"/>
    <w:rsid w:val="0064523B"/>
    <w:rsid w:val="00646AC2"/>
    <w:rsid w:val="00652542"/>
    <w:rsid w:val="00652FFE"/>
    <w:rsid w:val="00654846"/>
    <w:rsid w:val="0065774F"/>
    <w:rsid w:val="00657AE5"/>
    <w:rsid w:val="00663186"/>
    <w:rsid w:val="006666BB"/>
    <w:rsid w:val="006673A1"/>
    <w:rsid w:val="0067194E"/>
    <w:rsid w:val="0067651F"/>
    <w:rsid w:val="00692397"/>
    <w:rsid w:val="00694CBC"/>
    <w:rsid w:val="00696029"/>
    <w:rsid w:val="0069766C"/>
    <w:rsid w:val="006A3897"/>
    <w:rsid w:val="006A6893"/>
    <w:rsid w:val="006A79CB"/>
    <w:rsid w:val="006A7EC5"/>
    <w:rsid w:val="006B5C3C"/>
    <w:rsid w:val="006C06F7"/>
    <w:rsid w:val="006D147C"/>
    <w:rsid w:val="006D181C"/>
    <w:rsid w:val="006D1889"/>
    <w:rsid w:val="006D49C5"/>
    <w:rsid w:val="006E1254"/>
    <w:rsid w:val="006E2C39"/>
    <w:rsid w:val="006E354E"/>
    <w:rsid w:val="006E3EE2"/>
    <w:rsid w:val="006E4EB3"/>
    <w:rsid w:val="006E58F3"/>
    <w:rsid w:val="006F0BF8"/>
    <w:rsid w:val="006F0FC4"/>
    <w:rsid w:val="006F15A2"/>
    <w:rsid w:val="006F5ECD"/>
    <w:rsid w:val="006F6144"/>
    <w:rsid w:val="0071081C"/>
    <w:rsid w:val="00714219"/>
    <w:rsid w:val="00716152"/>
    <w:rsid w:val="00720CED"/>
    <w:rsid w:val="00720E6F"/>
    <w:rsid w:val="00721EE8"/>
    <w:rsid w:val="00726AEA"/>
    <w:rsid w:val="00730A3F"/>
    <w:rsid w:val="007313D4"/>
    <w:rsid w:val="00734CCF"/>
    <w:rsid w:val="00734DF8"/>
    <w:rsid w:val="00735827"/>
    <w:rsid w:val="00735CCA"/>
    <w:rsid w:val="007370C8"/>
    <w:rsid w:val="00750EEC"/>
    <w:rsid w:val="007515D8"/>
    <w:rsid w:val="00755D5C"/>
    <w:rsid w:val="00760B46"/>
    <w:rsid w:val="00762220"/>
    <w:rsid w:val="00764C8E"/>
    <w:rsid w:val="00765A37"/>
    <w:rsid w:val="00771205"/>
    <w:rsid w:val="0077230B"/>
    <w:rsid w:val="00773937"/>
    <w:rsid w:val="0078054C"/>
    <w:rsid w:val="00782CD5"/>
    <w:rsid w:val="00787674"/>
    <w:rsid w:val="007908B9"/>
    <w:rsid w:val="007912F1"/>
    <w:rsid w:val="00791500"/>
    <w:rsid w:val="00792EEB"/>
    <w:rsid w:val="0079305E"/>
    <w:rsid w:val="00793D53"/>
    <w:rsid w:val="00793DAF"/>
    <w:rsid w:val="007972D5"/>
    <w:rsid w:val="0079746B"/>
    <w:rsid w:val="0079771E"/>
    <w:rsid w:val="007A058D"/>
    <w:rsid w:val="007A1D1F"/>
    <w:rsid w:val="007B18BD"/>
    <w:rsid w:val="007B56A7"/>
    <w:rsid w:val="007B58C6"/>
    <w:rsid w:val="007C424D"/>
    <w:rsid w:val="007C5DFA"/>
    <w:rsid w:val="007E06EA"/>
    <w:rsid w:val="007E4A64"/>
    <w:rsid w:val="007E62E2"/>
    <w:rsid w:val="00800E1D"/>
    <w:rsid w:val="00801992"/>
    <w:rsid w:val="0080264A"/>
    <w:rsid w:val="00803CF5"/>
    <w:rsid w:val="008041D4"/>
    <w:rsid w:val="00807DEE"/>
    <w:rsid w:val="008125BF"/>
    <w:rsid w:val="0082393F"/>
    <w:rsid w:val="00825430"/>
    <w:rsid w:val="00826093"/>
    <w:rsid w:val="00832E81"/>
    <w:rsid w:val="00837EEE"/>
    <w:rsid w:val="00844C12"/>
    <w:rsid w:val="00852895"/>
    <w:rsid w:val="0085467B"/>
    <w:rsid w:val="0085601F"/>
    <w:rsid w:val="00861CD4"/>
    <w:rsid w:val="00862D9A"/>
    <w:rsid w:val="008638DD"/>
    <w:rsid w:val="008652B5"/>
    <w:rsid w:val="00865A5B"/>
    <w:rsid w:val="00875A33"/>
    <w:rsid w:val="0087611B"/>
    <w:rsid w:val="008960AD"/>
    <w:rsid w:val="008A3686"/>
    <w:rsid w:val="008B1B02"/>
    <w:rsid w:val="008B2A60"/>
    <w:rsid w:val="008B34B1"/>
    <w:rsid w:val="008B384D"/>
    <w:rsid w:val="008C0E59"/>
    <w:rsid w:val="008C6651"/>
    <w:rsid w:val="008C6718"/>
    <w:rsid w:val="008D5824"/>
    <w:rsid w:val="008D6606"/>
    <w:rsid w:val="008E2419"/>
    <w:rsid w:val="008F0D07"/>
    <w:rsid w:val="008F17F3"/>
    <w:rsid w:val="008F1AF8"/>
    <w:rsid w:val="008F652D"/>
    <w:rsid w:val="008F7838"/>
    <w:rsid w:val="0090071A"/>
    <w:rsid w:val="0090137E"/>
    <w:rsid w:val="009064BB"/>
    <w:rsid w:val="00912DCF"/>
    <w:rsid w:val="00915A4A"/>
    <w:rsid w:val="00920072"/>
    <w:rsid w:val="0092194F"/>
    <w:rsid w:val="0092583A"/>
    <w:rsid w:val="00933C2C"/>
    <w:rsid w:val="00942E0A"/>
    <w:rsid w:val="00943112"/>
    <w:rsid w:val="0094732C"/>
    <w:rsid w:val="00951712"/>
    <w:rsid w:val="00952A26"/>
    <w:rsid w:val="00957428"/>
    <w:rsid w:val="00960705"/>
    <w:rsid w:val="009644C9"/>
    <w:rsid w:val="00964D48"/>
    <w:rsid w:val="00973C0A"/>
    <w:rsid w:val="00986C86"/>
    <w:rsid w:val="00987335"/>
    <w:rsid w:val="009A069E"/>
    <w:rsid w:val="009A738C"/>
    <w:rsid w:val="009B7350"/>
    <w:rsid w:val="009C3408"/>
    <w:rsid w:val="009D0E9E"/>
    <w:rsid w:val="009D2074"/>
    <w:rsid w:val="009D397E"/>
    <w:rsid w:val="009D585D"/>
    <w:rsid w:val="009D6022"/>
    <w:rsid w:val="009D6529"/>
    <w:rsid w:val="009E0B81"/>
    <w:rsid w:val="009E2328"/>
    <w:rsid w:val="009E7FD2"/>
    <w:rsid w:val="009F2767"/>
    <w:rsid w:val="009F278E"/>
    <w:rsid w:val="00A01822"/>
    <w:rsid w:val="00A02245"/>
    <w:rsid w:val="00A022AA"/>
    <w:rsid w:val="00A05A09"/>
    <w:rsid w:val="00A06776"/>
    <w:rsid w:val="00A214A6"/>
    <w:rsid w:val="00A3158E"/>
    <w:rsid w:val="00A34C11"/>
    <w:rsid w:val="00A37213"/>
    <w:rsid w:val="00A405CC"/>
    <w:rsid w:val="00A41123"/>
    <w:rsid w:val="00A44AFB"/>
    <w:rsid w:val="00A45578"/>
    <w:rsid w:val="00A47BD4"/>
    <w:rsid w:val="00A6052F"/>
    <w:rsid w:val="00A6092E"/>
    <w:rsid w:val="00A62B6D"/>
    <w:rsid w:val="00A63B0F"/>
    <w:rsid w:val="00A63F33"/>
    <w:rsid w:val="00A66523"/>
    <w:rsid w:val="00A713B6"/>
    <w:rsid w:val="00A717E9"/>
    <w:rsid w:val="00A729FB"/>
    <w:rsid w:val="00A76BF1"/>
    <w:rsid w:val="00A81506"/>
    <w:rsid w:val="00A869B4"/>
    <w:rsid w:val="00A875C2"/>
    <w:rsid w:val="00A87CE0"/>
    <w:rsid w:val="00A90184"/>
    <w:rsid w:val="00A95DE7"/>
    <w:rsid w:val="00AA0402"/>
    <w:rsid w:val="00AA0431"/>
    <w:rsid w:val="00AB196F"/>
    <w:rsid w:val="00AB19D7"/>
    <w:rsid w:val="00AB45C3"/>
    <w:rsid w:val="00AB48CB"/>
    <w:rsid w:val="00AC09E5"/>
    <w:rsid w:val="00AC1A4A"/>
    <w:rsid w:val="00AC5ECA"/>
    <w:rsid w:val="00AC68E8"/>
    <w:rsid w:val="00AD78B8"/>
    <w:rsid w:val="00AE4B52"/>
    <w:rsid w:val="00AF0F00"/>
    <w:rsid w:val="00AF77B4"/>
    <w:rsid w:val="00B03162"/>
    <w:rsid w:val="00B0452A"/>
    <w:rsid w:val="00B05DA6"/>
    <w:rsid w:val="00B05FAF"/>
    <w:rsid w:val="00B13980"/>
    <w:rsid w:val="00B14285"/>
    <w:rsid w:val="00B15231"/>
    <w:rsid w:val="00B15785"/>
    <w:rsid w:val="00B25E0B"/>
    <w:rsid w:val="00B3035B"/>
    <w:rsid w:val="00B3446E"/>
    <w:rsid w:val="00B42440"/>
    <w:rsid w:val="00B43FFE"/>
    <w:rsid w:val="00B45C39"/>
    <w:rsid w:val="00B52865"/>
    <w:rsid w:val="00B536AF"/>
    <w:rsid w:val="00B5377E"/>
    <w:rsid w:val="00B5616B"/>
    <w:rsid w:val="00B56FCD"/>
    <w:rsid w:val="00B625D3"/>
    <w:rsid w:val="00B6264C"/>
    <w:rsid w:val="00B62EDF"/>
    <w:rsid w:val="00B63DF8"/>
    <w:rsid w:val="00B708B0"/>
    <w:rsid w:val="00B72740"/>
    <w:rsid w:val="00B72ACB"/>
    <w:rsid w:val="00B76625"/>
    <w:rsid w:val="00B8063F"/>
    <w:rsid w:val="00B84BE8"/>
    <w:rsid w:val="00B84E19"/>
    <w:rsid w:val="00B912D8"/>
    <w:rsid w:val="00B91ED2"/>
    <w:rsid w:val="00B92A2D"/>
    <w:rsid w:val="00BA069C"/>
    <w:rsid w:val="00BA2D72"/>
    <w:rsid w:val="00BA4754"/>
    <w:rsid w:val="00BA4E7E"/>
    <w:rsid w:val="00BA6450"/>
    <w:rsid w:val="00BB2DC3"/>
    <w:rsid w:val="00BB2E8B"/>
    <w:rsid w:val="00BB63A2"/>
    <w:rsid w:val="00BC06D2"/>
    <w:rsid w:val="00BC3EB1"/>
    <w:rsid w:val="00BD1F99"/>
    <w:rsid w:val="00BD4762"/>
    <w:rsid w:val="00BE0F0C"/>
    <w:rsid w:val="00BE1195"/>
    <w:rsid w:val="00BF1086"/>
    <w:rsid w:val="00BF28D3"/>
    <w:rsid w:val="00C0005E"/>
    <w:rsid w:val="00C008F7"/>
    <w:rsid w:val="00C00BF4"/>
    <w:rsid w:val="00C01541"/>
    <w:rsid w:val="00C0204D"/>
    <w:rsid w:val="00C12440"/>
    <w:rsid w:val="00C13DC9"/>
    <w:rsid w:val="00C140FB"/>
    <w:rsid w:val="00C2561A"/>
    <w:rsid w:val="00C25D4A"/>
    <w:rsid w:val="00C3197E"/>
    <w:rsid w:val="00C37B7B"/>
    <w:rsid w:val="00C602D7"/>
    <w:rsid w:val="00C607F7"/>
    <w:rsid w:val="00C732A3"/>
    <w:rsid w:val="00C81BBF"/>
    <w:rsid w:val="00C8491E"/>
    <w:rsid w:val="00C8534C"/>
    <w:rsid w:val="00C87042"/>
    <w:rsid w:val="00C92A8A"/>
    <w:rsid w:val="00C958FC"/>
    <w:rsid w:val="00CA0314"/>
    <w:rsid w:val="00CA30DC"/>
    <w:rsid w:val="00CA3485"/>
    <w:rsid w:val="00CA6F2B"/>
    <w:rsid w:val="00CA7BC3"/>
    <w:rsid w:val="00CB413D"/>
    <w:rsid w:val="00CB6107"/>
    <w:rsid w:val="00CB6B95"/>
    <w:rsid w:val="00CD0BCF"/>
    <w:rsid w:val="00CD3A3A"/>
    <w:rsid w:val="00CD3E0E"/>
    <w:rsid w:val="00CD48D1"/>
    <w:rsid w:val="00CD5176"/>
    <w:rsid w:val="00CD5F27"/>
    <w:rsid w:val="00CD5F7F"/>
    <w:rsid w:val="00CD64AA"/>
    <w:rsid w:val="00CD78E8"/>
    <w:rsid w:val="00CE3108"/>
    <w:rsid w:val="00CE4209"/>
    <w:rsid w:val="00D04865"/>
    <w:rsid w:val="00D04E2D"/>
    <w:rsid w:val="00D101C7"/>
    <w:rsid w:val="00D16B33"/>
    <w:rsid w:val="00D33D53"/>
    <w:rsid w:val="00D35E7A"/>
    <w:rsid w:val="00D35F94"/>
    <w:rsid w:val="00D3724B"/>
    <w:rsid w:val="00D373F3"/>
    <w:rsid w:val="00D3772A"/>
    <w:rsid w:val="00D444AA"/>
    <w:rsid w:val="00D45ACA"/>
    <w:rsid w:val="00D513FD"/>
    <w:rsid w:val="00D54EF1"/>
    <w:rsid w:val="00D54F57"/>
    <w:rsid w:val="00D6187D"/>
    <w:rsid w:val="00D66B40"/>
    <w:rsid w:val="00D670C5"/>
    <w:rsid w:val="00D71048"/>
    <w:rsid w:val="00D71D67"/>
    <w:rsid w:val="00D75384"/>
    <w:rsid w:val="00D82420"/>
    <w:rsid w:val="00D8266C"/>
    <w:rsid w:val="00D85C87"/>
    <w:rsid w:val="00D945CE"/>
    <w:rsid w:val="00D97A03"/>
    <w:rsid w:val="00D97B65"/>
    <w:rsid w:val="00DA0E9A"/>
    <w:rsid w:val="00DA1EEF"/>
    <w:rsid w:val="00DA2F1F"/>
    <w:rsid w:val="00DA414F"/>
    <w:rsid w:val="00DB0B97"/>
    <w:rsid w:val="00DB47EF"/>
    <w:rsid w:val="00DD29CA"/>
    <w:rsid w:val="00DE0092"/>
    <w:rsid w:val="00DF0462"/>
    <w:rsid w:val="00DF6B68"/>
    <w:rsid w:val="00DF6B9B"/>
    <w:rsid w:val="00DF78DD"/>
    <w:rsid w:val="00E02313"/>
    <w:rsid w:val="00E02409"/>
    <w:rsid w:val="00E04209"/>
    <w:rsid w:val="00E070CC"/>
    <w:rsid w:val="00E07857"/>
    <w:rsid w:val="00E1082E"/>
    <w:rsid w:val="00E24CAB"/>
    <w:rsid w:val="00E2525C"/>
    <w:rsid w:val="00E27AD6"/>
    <w:rsid w:val="00E332A6"/>
    <w:rsid w:val="00E406BE"/>
    <w:rsid w:val="00E43254"/>
    <w:rsid w:val="00E53985"/>
    <w:rsid w:val="00E613FD"/>
    <w:rsid w:val="00E6179E"/>
    <w:rsid w:val="00E73025"/>
    <w:rsid w:val="00E82F1F"/>
    <w:rsid w:val="00E92FD4"/>
    <w:rsid w:val="00E95639"/>
    <w:rsid w:val="00E96926"/>
    <w:rsid w:val="00E96B6F"/>
    <w:rsid w:val="00E96C68"/>
    <w:rsid w:val="00E96E23"/>
    <w:rsid w:val="00E96E83"/>
    <w:rsid w:val="00EA03BD"/>
    <w:rsid w:val="00EA2D40"/>
    <w:rsid w:val="00EA4DE3"/>
    <w:rsid w:val="00EA7CDD"/>
    <w:rsid w:val="00EB2455"/>
    <w:rsid w:val="00EB31CD"/>
    <w:rsid w:val="00EC0B32"/>
    <w:rsid w:val="00EC4589"/>
    <w:rsid w:val="00ED4093"/>
    <w:rsid w:val="00ED6EC5"/>
    <w:rsid w:val="00EE2EAC"/>
    <w:rsid w:val="00EE6DE2"/>
    <w:rsid w:val="00EE6DE9"/>
    <w:rsid w:val="00EF1322"/>
    <w:rsid w:val="00F045F5"/>
    <w:rsid w:val="00F05DF1"/>
    <w:rsid w:val="00F10105"/>
    <w:rsid w:val="00F10EB4"/>
    <w:rsid w:val="00F135F4"/>
    <w:rsid w:val="00F17AD2"/>
    <w:rsid w:val="00F223FE"/>
    <w:rsid w:val="00F2285F"/>
    <w:rsid w:val="00F22EC4"/>
    <w:rsid w:val="00F2624A"/>
    <w:rsid w:val="00F30EE7"/>
    <w:rsid w:val="00F31EB3"/>
    <w:rsid w:val="00F43C3A"/>
    <w:rsid w:val="00F508C1"/>
    <w:rsid w:val="00F508CF"/>
    <w:rsid w:val="00F52728"/>
    <w:rsid w:val="00F53262"/>
    <w:rsid w:val="00F71CBF"/>
    <w:rsid w:val="00F7356D"/>
    <w:rsid w:val="00F81602"/>
    <w:rsid w:val="00F81D00"/>
    <w:rsid w:val="00F900BE"/>
    <w:rsid w:val="00F91D66"/>
    <w:rsid w:val="00F9569F"/>
    <w:rsid w:val="00F96E21"/>
    <w:rsid w:val="00F9739C"/>
    <w:rsid w:val="00F975C1"/>
    <w:rsid w:val="00FA23D6"/>
    <w:rsid w:val="00FB1DF5"/>
    <w:rsid w:val="00FB3671"/>
    <w:rsid w:val="00FB58B1"/>
    <w:rsid w:val="00FB6D5B"/>
    <w:rsid w:val="00FB76C4"/>
    <w:rsid w:val="00FD1E02"/>
    <w:rsid w:val="00FD2AF9"/>
    <w:rsid w:val="00FD6DB0"/>
    <w:rsid w:val="00FD73BD"/>
    <w:rsid w:val="00FD7C00"/>
    <w:rsid w:val="00FF14C9"/>
    <w:rsid w:val="00FF606D"/>
    <w:rsid w:val="00FF67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27D7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3BD"/>
    <w:rPr>
      <w:rFonts w:ascii="Segoe UI" w:hAnsi="Segoe UI" w:cs="Segoe UI"/>
      <w:sz w:val="18"/>
      <w:szCs w:val="18"/>
    </w:rPr>
  </w:style>
  <w:style w:type="paragraph" w:styleId="FootnoteText">
    <w:name w:val="footnote text"/>
    <w:aliases w:val="5_G,Footnote Text Char Char,ft,single space,fn,footnote text,Footnote Text qer Char,Footnote Text qer,Footnote Text Char1 Char1,Footnote Text Char Char Char1,Footnote Text Char1 Char Char,Footnote Text Char Char Char Char,ALTS FOOTNOTE,ft2"/>
    <w:basedOn w:val="Normal"/>
    <w:link w:val="FootnoteTextChar"/>
    <w:uiPriority w:val="99"/>
    <w:unhideWhenUsed/>
    <w:qFormat/>
    <w:rsid w:val="005A77C9"/>
    <w:pPr>
      <w:spacing w:after="0" w:line="240" w:lineRule="auto"/>
    </w:pPr>
    <w:rPr>
      <w:sz w:val="20"/>
      <w:szCs w:val="20"/>
    </w:rPr>
  </w:style>
  <w:style w:type="character" w:customStyle="1" w:styleId="FootnoteTextChar">
    <w:name w:val="Footnote Text Char"/>
    <w:aliases w:val="5_G Char,Footnote Text Char Char Char,ft Char,single space Char,fn Char,footnote text Char,Footnote Text qer Char Char,Footnote Text qer Char1,Footnote Text Char1 Char1 Char,Footnote Text Char Char Char1 Char,ALTS FOOTNOTE Char"/>
    <w:basedOn w:val="DefaultParagraphFont"/>
    <w:link w:val="FootnoteText"/>
    <w:uiPriority w:val="99"/>
    <w:rsid w:val="005A77C9"/>
    <w:rPr>
      <w:sz w:val="20"/>
      <w:szCs w:val="20"/>
    </w:rPr>
  </w:style>
  <w:style w:type="character" w:styleId="FootnoteReference">
    <w:name w:val="footnote reference"/>
    <w:aliases w:val="a Footnote Reference,Footnote Text 1,BVI fnr,4_G,Footnotes refss Char,Ref Char,de nota al pie Char,16 Point Char,Superscript 6 Point Char,ftref Char,Footnote Reference Number Char,Footnote Reference1 Char, BVI fnr,f"/>
    <w:basedOn w:val="DefaultParagraphFont"/>
    <w:link w:val="16Point"/>
    <w:uiPriority w:val="99"/>
    <w:unhideWhenUsed/>
    <w:rsid w:val="005A77C9"/>
    <w:rPr>
      <w:vertAlign w:val="superscript"/>
    </w:rPr>
  </w:style>
  <w:style w:type="paragraph" w:styleId="ListParagraph">
    <w:name w:val="List Paragraph"/>
    <w:basedOn w:val="Normal"/>
    <w:uiPriority w:val="34"/>
    <w:qFormat/>
    <w:rsid w:val="0062574E"/>
    <w:pPr>
      <w:ind w:left="720"/>
      <w:contextualSpacing/>
    </w:pPr>
  </w:style>
  <w:style w:type="character" w:styleId="Hyperlink">
    <w:name w:val="Hyperlink"/>
    <w:basedOn w:val="DefaultParagraphFont"/>
    <w:uiPriority w:val="99"/>
    <w:unhideWhenUsed/>
    <w:rsid w:val="00430AC3"/>
    <w:rPr>
      <w:color w:val="0000FF"/>
      <w:u w:val="single"/>
    </w:rPr>
  </w:style>
  <w:style w:type="paragraph" w:customStyle="1" w:styleId="16Point">
    <w:name w:val="16 Point"/>
    <w:aliases w:val="Superscript 6 Point,ftref,4_G Char Char,Footnote Reference1 Char Char,Footnotes refss Char Char,ftref Char Char,BVI fnr Char Char,BVI fnr Car Car Char Char,BVI fnr Car Char Char,BVI fnr Car Car Car Car Char Char1,Footnotes refss,Ref"/>
    <w:basedOn w:val="Normal"/>
    <w:link w:val="FootnoteReference"/>
    <w:uiPriority w:val="99"/>
    <w:rsid w:val="00FF6795"/>
    <w:pPr>
      <w:spacing w:line="240" w:lineRule="exact"/>
      <w:jc w:val="both"/>
    </w:pPr>
    <w:rPr>
      <w:vertAlign w:val="superscript"/>
    </w:rPr>
  </w:style>
  <w:style w:type="character" w:styleId="CommentReference">
    <w:name w:val="annotation reference"/>
    <w:basedOn w:val="DefaultParagraphFont"/>
    <w:uiPriority w:val="99"/>
    <w:semiHidden/>
    <w:unhideWhenUsed/>
    <w:rsid w:val="002D45C2"/>
    <w:rPr>
      <w:sz w:val="16"/>
      <w:szCs w:val="16"/>
    </w:rPr>
  </w:style>
  <w:style w:type="paragraph" w:styleId="CommentText">
    <w:name w:val="annotation text"/>
    <w:basedOn w:val="Normal"/>
    <w:link w:val="CommentTextChar"/>
    <w:uiPriority w:val="99"/>
    <w:semiHidden/>
    <w:unhideWhenUsed/>
    <w:rsid w:val="002D45C2"/>
    <w:pPr>
      <w:spacing w:line="240" w:lineRule="auto"/>
    </w:pPr>
    <w:rPr>
      <w:sz w:val="20"/>
      <w:szCs w:val="20"/>
    </w:rPr>
  </w:style>
  <w:style w:type="character" w:customStyle="1" w:styleId="CommentTextChar">
    <w:name w:val="Comment Text Char"/>
    <w:basedOn w:val="DefaultParagraphFont"/>
    <w:link w:val="CommentText"/>
    <w:uiPriority w:val="99"/>
    <w:semiHidden/>
    <w:rsid w:val="002D45C2"/>
    <w:rPr>
      <w:sz w:val="20"/>
      <w:szCs w:val="20"/>
    </w:rPr>
  </w:style>
  <w:style w:type="character" w:customStyle="1" w:styleId="UnresolvedMention">
    <w:name w:val="Unresolved Mention"/>
    <w:basedOn w:val="DefaultParagraphFont"/>
    <w:uiPriority w:val="99"/>
    <w:semiHidden/>
    <w:unhideWhenUsed/>
    <w:rsid w:val="00D3772A"/>
    <w:rPr>
      <w:color w:val="605E5C"/>
      <w:shd w:val="clear" w:color="auto" w:fill="E1DFDD"/>
    </w:rPr>
  </w:style>
  <w:style w:type="character" w:styleId="FollowedHyperlink">
    <w:name w:val="FollowedHyperlink"/>
    <w:basedOn w:val="DefaultParagraphFont"/>
    <w:uiPriority w:val="99"/>
    <w:semiHidden/>
    <w:unhideWhenUsed/>
    <w:rsid w:val="00764C8E"/>
    <w:rPr>
      <w:color w:val="954F72" w:themeColor="followedHyperlink"/>
      <w:u w:val="single"/>
    </w:rPr>
  </w:style>
  <w:style w:type="paragraph" w:styleId="Header">
    <w:name w:val="header"/>
    <w:basedOn w:val="Normal"/>
    <w:link w:val="HeaderChar"/>
    <w:uiPriority w:val="99"/>
    <w:unhideWhenUsed/>
    <w:rsid w:val="00957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428"/>
  </w:style>
  <w:style w:type="paragraph" w:styleId="Footer">
    <w:name w:val="footer"/>
    <w:basedOn w:val="Normal"/>
    <w:link w:val="FooterChar"/>
    <w:uiPriority w:val="99"/>
    <w:unhideWhenUsed/>
    <w:rsid w:val="00957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428"/>
  </w:style>
  <w:style w:type="paragraph" w:styleId="CommentSubject">
    <w:name w:val="annotation subject"/>
    <w:basedOn w:val="CommentText"/>
    <w:next w:val="CommentText"/>
    <w:link w:val="CommentSubjectChar"/>
    <w:uiPriority w:val="99"/>
    <w:semiHidden/>
    <w:unhideWhenUsed/>
    <w:rsid w:val="00826093"/>
    <w:rPr>
      <w:b/>
      <w:bCs/>
    </w:rPr>
  </w:style>
  <w:style w:type="character" w:customStyle="1" w:styleId="CommentSubjectChar">
    <w:name w:val="Comment Subject Char"/>
    <w:basedOn w:val="CommentTextChar"/>
    <w:link w:val="CommentSubject"/>
    <w:uiPriority w:val="99"/>
    <w:semiHidden/>
    <w:rsid w:val="008260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07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rw.org/news/2020/02/12/vietnam-lgbt-youth-unprotected" TargetMode="External"/><Relationship Id="rId13" Type="http://schemas.openxmlformats.org/officeDocument/2006/relationships/hyperlink" Target="https://www.hrw.org/world-report/2013/country-chapters/africa" TargetMode="External"/><Relationship Id="rId18" Type="http://schemas.openxmlformats.org/officeDocument/2006/relationships/hyperlink" Target="https://unesdoc.unesco.org/ark:/48223/pf0000260770" TargetMode="External"/><Relationship Id="rId26" Type="http://schemas.openxmlformats.org/officeDocument/2006/relationships/hyperlink" Target="https://www.hrw.org/news/2019/10/16/un-body-urges-south-korea-improve-sexuality-education" TargetMode="External"/><Relationship Id="rId3" Type="http://schemas.openxmlformats.org/officeDocument/2006/relationships/hyperlink" Target="https://www.theguardian.com/global-development/2017/jun/30/tanzania-president-ban-pregnant-girls-from-school-john-magufuli" TargetMode="External"/><Relationship Id="rId21" Type="http://schemas.openxmlformats.org/officeDocument/2006/relationships/hyperlink" Target="https://www.africanews.com/2019/10/03/here-s-why-ghana-s-sex-education-program-is-controversial//" TargetMode="External"/><Relationship Id="rId7" Type="http://schemas.openxmlformats.org/officeDocument/2006/relationships/hyperlink" Target="https://www.hrw.org/report/2018/06/14/leave-no-girl-behind-africa/discrimination-education-against-pregnant-girls-and" TargetMode="External"/><Relationship Id="rId12" Type="http://schemas.openxmlformats.org/officeDocument/2006/relationships/hyperlink" Target="https://www.hrw.org/report/2018/12/11/no-support/russias-gay-propaganda-law-imperils-lgbt-youth" TargetMode="External"/><Relationship Id="rId17" Type="http://schemas.openxmlformats.org/officeDocument/2006/relationships/hyperlink" Target="https://en.unesco.org/news/urges-comprehensive-approach-sexuality-education" TargetMode="External"/><Relationship Id="rId25" Type="http://schemas.openxmlformats.org/officeDocument/2006/relationships/hyperlink" Target="https://www.hrw.org/report/2016/12/07/walking-through-hailstorm/discrimination-against-lgbt-youth-us-schools" TargetMode="External"/><Relationship Id="rId33" Type="http://schemas.openxmlformats.org/officeDocument/2006/relationships/hyperlink" Target="https://www.hrw.org/news/2019/03/19/sex-education-under-fire-again-poland" TargetMode="External"/><Relationship Id="rId2" Type="http://schemas.openxmlformats.org/officeDocument/2006/relationships/hyperlink" Target="https://www.hrw.org/news/2019/01/30/china-tibetan-children-banned-classes" TargetMode="External"/><Relationship Id="rId16" Type="http://schemas.openxmlformats.org/officeDocument/2006/relationships/hyperlink" Target="https://tbinternet.ohchr.org/_layouts/15/treatybodyexternal/Download.aspx?symbolno=E%2fC.12%2fGC%2f22&amp;Lang=en" TargetMode="External"/><Relationship Id="rId20" Type="http://schemas.openxmlformats.org/officeDocument/2006/relationships/hyperlink" Target="https://cdn.com.do/2019/06/06/victor-masalles-asegura-ordenanza-del-minerd-pretende-desprogramar-la-raza-humana/" TargetMode="External"/><Relationship Id="rId29" Type="http://schemas.openxmlformats.org/officeDocument/2006/relationships/hyperlink" Target="https://www.hrw.org/sites/default/files/report_pdf/philippines1216_web.pdf" TargetMode="External"/><Relationship Id="rId1" Type="http://schemas.openxmlformats.org/officeDocument/2006/relationships/hyperlink" Target="https://www.hrw.org/topic/childrens-rights/education" TargetMode="External"/><Relationship Id="rId6" Type="http://schemas.openxmlformats.org/officeDocument/2006/relationships/hyperlink" Target="https://www.hrw.org/news/2018/06/14/africa-pregnant-girls-young-mothers-barred-school" TargetMode="External"/><Relationship Id="rId11" Type="http://schemas.openxmlformats.org/officeDocument/2006/relationships/hyperlink" Target="https://www.rappler.com/thought-leaders/173754-end-gendered-uniform-restrictions-lgbt-philippines" TargetMode="External"/><Relationship Id="rId24" Type="http://schemas.openxmlformats.org/officeDocument/2006/relationships/hyperlink" Target="https://www.hrw.org/report/2016/05/05/nail-sticks-out-gets-hammered-down/lgbt-bullying-and-exclusion-japanese-schools" TargetMode="External"/><Relationship Id="rId32" Type="http://schemas.openxmlformats.org/officeDocument/2006/relationships/hyperlink" Target="http://sil.camaradediputados.gob.do:8095/ReportesGenerales/VerDocumento2?documentoId=67487" TargetMode="External"/><Relationship Id="rId5" Type="http://schemas.openxmlformats.org/officeDocument/2006/relationships/hyperlink" Target="https://www.theguardian.com/global-development/2020/jan/26/world-bank-urged-to-scrap-500-million-dollar-grant-to-tanzania-over-human-rights-concerns" TargetMode="External"/><Relationship Id="rId15" Type="http://schemas.openxmlformats.org/officeDocument/2006/relationships/hyperlink" Target="https://tbinternet.ohchr.org/_layouts/15/treatybodyexternal/Download.aspx?symbolno=CRC%2fC%2fGC%2f20&amp;Lang=en" TargetMode="External"/><Relationship Id="rId23" Type="http://schemas.openxmlformats.org/officeDocument/2006/relationships/hyperlink" Target="https://www.hrw.org/news/2019/10/18/polish-parliament-should-scrap-bill-against-sex-education" TargetMode="External"/><Relationship Id="rId28" Type="http://schemas.openxmlformats.org/officeDocument/2006/relationships/hyperlink" Target="https://www.hrw.org/report/2017/06/21/just-let-us-be/discrimination-against-lgbt-students-philippines" TargetMode="External"/><Relationship Id="rId10" Type="http://schemas.openxmlformats.org/officeDocument/2006/relationships/hyperlink" Target="https://www.hrw.org/report/2016/05/05/nail-sticks-out-gets-hammered-down/lgbt-bullying-and-exclusion-japanese-schools" TargetMode="External"/><Relationship Id="rId19" Type="http://schemas.openxmlformats.org/officeDocument/2006/relationships/hyperlink" Target="https://www.theguardian.com/world/2020/jan/17/brazil-bolsonaro-backs-abstinence-only-sex-education?CMP=share_btn_tw" TargetMode="External"/><Relationship Id="rId31" Type="http://schemas.openxmlformats.org/officeDocument/2006/relationships/hyperlink" Target="https://www.hrw.org/report/2019/06/18/i-felt-world-was-falling-down-me/adolescent-girls-sexual-and-reproductive-health" TargetMode="External"/><Relationship Id="rId4" Type="http://schemas.openxmlformats.org/officeDocument/2006/relationships/hyperlink" Target="https://www.hrw.org/news/2017/07/06/tanzania-stop-threatening-rights-groups" TargetMode="External"/><Relationship Id="rId9" Type="http://schemas.openxmlformats.org/officeDocument/2006/relationships/hyperlink" Target="https://www.hrw.org/report/2016/12/07/walking-through-hailstorm/discrimination-against-lgbt-youth-us-schools" TargetMode="External"/><Relationship Id="rId14" Type="http://schemas.openxmlformats.org/officeDocument/2006/relationships/hyperlink" Target="https://tbinternet.ohchr.org/_layouts/15/treatybodyexternal/Download.aspx?symbolno=E%2fC.12%2fGC%2f22&amp;Lang=en" TargetMode="External"/><Relationship Id="rId22" Type="http://schemas.openxmlformats.org/officeDocument/2006/relationships/hyperlink" Target="https://standardmedia.co.ke/article/2001266642/why-the-church-opposes-bid-to-introduce-sex-education" TargetMode="External"/><Relationship Id="rId27" Type="http://schemas.openxmlformats.org/officeDocument/2006/relationships/hyperlink" Target="https://www.hrw.org/report/2018/10/18/its-not-normal/sexual-exploitation-harassment-and-abuse-secondary-schools-senegal" TargetMode="External"/><Relationship Id="rId30" Type="http://schemas.openxmlformats.org/officeDocument/2006/relationships/hyperlink" Target="https://www.hrw.org/report/2020/02/12/my-teacher-said-i-had-disease/barriers-right-education-lgbt-youth-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57859-A9B8-4432-9041-61A931E8A9D4}"/>
</file>

<file path=customXml/itemProps2.xml><?xml version="1.0" encoding="utf-8"?>
<ds:datastoreItem xmlns:ds="http://schemas.openxmlformats.org/officeDocument/2006/customXml" ds:itemID="{7294DA5A-36A8-4351-A94E-EAEC421BE73C}">
  <ds:schemaRefs>
    <ds:schemaRef ds:uri="http://schemas.microsoft.com/sharepoint/v3/contenttype/forms"/>
  </ds:schemaRefs>
</ds:datastoreItem>
</file>

<file path=customXml/itemProps3.xml><?xml version="1.0" encoding="utf-8"?>
<ds:datastoreItem xmlns:ds="http://schemas.openxmlformats.org/officeDocument/2006/customXml" ds:itemID="{FA67F814-F636-4211-8EF8-ACDCF8F1AF0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827CF22-8244-42A4-AD2A-F3F1E7EDB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2021-03-12T09:24:00Z</dcterms:created>
  <dcterms:modified xsi:type="dcterms:W3CDTF">2021-03-12T09:24:00Z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