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4423F" w14:textId="337CF151" w:rsidR="00AB5F79" w:rsidRPr="002C4660" w:rsidRDefault="00343E0E" w:rsidP="00AB5F79">
      <w:pPr>
        <w:spacing w:after="120"/>
        <w:jc w:val="both"/>
        <w:rPr>
          <w:rFonts w:ascii="Franklin Gothic Book" w:hAnsi="Franklin Gothic Book" w:cs="Times New Roman"/>
        </w:rPr>
      </w:pPr>
      <w:r>
        <w:rPr>
          <w:rFonts w:ascii="Franklin Gothic Book" w:hAnsi="Franklin Gothic Book" w:cs="Times New Roman"/>
          <w:noProof/>
          <w:lang w:eastAsia="en-GB"/>
        </w:rPr>
        <mc:AlternateContent>
          <mc:Choice Requires="wps">
            <w:drawing>
              <wp:anchor distT="0" distB="0" distL="114300" distR="114300" simplePos="0" relativeHeight="251662336" behindDoc="0" locked="0" layoutInCell="1" allowOverlap="1" wp14:anchorId="4D01A9CF" wp14:editId="07BA1357">
                <wp:simplePos x="0" y="0"/>
                <wp:positionH relativeFrom="column">
                  <wp:posOffset>762000</wp:posOffset>
                </wp:positionH>
                <wp:positionV relativeFrom="paragraph">
                  <wp:posOffset>-104775</wp:posOffset>
                </wp:positionV>
                <wp:extent cx="5095875" cy="19050"/>
                <wp:effectExtent l="19050" t="19050" r="28575" b="19050"/>
                <wp:wrapNone/>
                <wp:docPr id="10" name="Straight Connector 10"/>
                <wp:cNvGraphicFramePr/>
                <a:graphic xmlns:a="http://schemas.openxmlformats.org/drawingml/2006/main">
                  <a:graphicData uri="http://schemas.microsoft.com/office/word/2010/wordprocessingShape">
                    <wps:wsp>
                      <wps:cNvCnPr/>
                      <wps:spPr>
                        <a:xfrm>
                          <a:off x="0" y="0"/>
                          <a:ext cx="5095875" cy="1905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23FC1"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8.25pt" to="46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" strokecolor="#c45911 [2405]" strokeweight="2.25pt">
                <v:stroke joinstyle="miter"/>
              </v:line>
            </w:pict>
          </mc:Fallback>
        </mc:AlternateContent>
      </w:r>
      <w:r w:rsidRPr="009B60A4">
        <w:rPr>
          <w:rFonts w:ascii="Franklin Gothic Book" w:hAnsi="Franklin Gothic Book" w:cs="Times New Roman"/>
          <w:noProof/>
          <w:lang w:eastAsia="en-GB"/>
        </w:rPr>
        <mc:AlternateContent>
          <mc:Choice Requires="wps">
            <w:drawing>
              <wp:anchor distT="45720" distB="45720" distL="114300" distR="114300" simplePos="0" relativeHeight="251661312" behindDoc="0" locked="0" layoutInCell="1" allowOverlap="1" wp14:anchorId="4C6E5330" wp14:editId="74B20037">
                <wp:simplePos x="0" y="0"/>
                <wp:positionH relativeFrom="margin">
                  <wp:posOffset>683260</wp:posOffset>
                </wp:positionH>
                <wp:positionV relativeFrom="paragraph">
                  <wp:posOffset>-64135</wp:posOffset>
                </wp:positionV>
                <wp:extent cx="5622877" cy="526424"/>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7" cy="526424"/>
                        </a:xfrm>
                        <a:prstGeom prst="rect">
                          <a:avLst/>
                        </a:prstGeom>
                        <a:noFill/>
                        <a:ln w="9525">
                          <a:noFill/>
                          <a:miter lim="800000"/>
                          <a:headEnd/>
                          <a:tailEnd/>
                        </a:ln>
                      </wps:spPr>
                      <wps:txbx>
                        <w:txbxContent>
                          <w:p w14:paraId="7BF66BCD" w14:textId="2038EE6C" w:rsidR="00AB5F79" w:rsidRPr="00343E0E" w:rsidRDefault="00343E0E" w:rsidP="00AB5F79">
                            <w:pPr>
                              <w:rPr>
                                <w:rFonts w:ascii="Univers" w:hAnsi="Univers"/>
                                <w:sz w:val="24"/>
                                <w:szCs w:val="24"/>
                              </w:rPr>
                            </w:pPr>
                            <w:r w:rsidRPr="00343E0E">
                              <w:rPr>
                                <w:rFonts w:ascii="Univers" w:hAnsi="Univers" w:cs="Times New Roman"/>
                                <w:b/>
                                <w:bCs/>
                                <w:sz w:val="24"/>
                                <w:szCs w:val="24"/>
                                <w:lang w:val="en-US"/>
                              </w:rPr>
                              <w:t>IFLA Response to the Call for Contributions by the Special Rapporteur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E5330" id="_x0000_t202" coordsize="21600,21600" o:spt="202" path="m,l,21600r21600,l21600,xe">
                <v:stroke joinstyle="miter"/>
                <v:path gradientshapeok="t" o:connecttype="rect"/>
              </v:shapetype>
              <v:shape id="Text Box 2" o:spid="_x0000_s1026" type="#_x0000_t202" style="position:absolute;left:0;text-align:left;margin-left:53.8pt;margin-top:-5.05pt;width:442.75pt;height:41.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" filled="f" stroked="f">
                <v:textbox>
                  <w:txbxContent>
                    <w:p w14:paraId="7BF66BCD" w14:textId="2038EE6C" w:rsidR="00AB5F79" w:rsidRPr="00343E0E" w:rsidRDefault="00343E0E" w:rsidP="00AB5F79">
                      <w:pPr>
                        <w:rPr>
                          <w:rFonts w:ascii="Univers" w:hAnsi="Univers"/>
                          <w:sz w:val="24"/>
                          <w:szCs w:val="24"/>
                        </w:rPr>
                      </w:pPr>
                      <w:r w:rsidRPr="00343E0E">
                        <w:rPr>
                          <w:rFonts w:ascii="Univers" w:hAnsi="Univers" w:cs="Times New Roman"/>
                          <w:b/>
                          <w:bCs/>
                          <w:sz w:val="24"/>
                          <w:szCs w:val="24"/>
                          <w:lang w:val="en-US"/>
                        </w:rPr>
                        <w:t>IFLA Response to the Call for Contributions by the Special Rapporteur</w:t>
                      </w:r>
                    </w:p>
                  </w:txbxContent>
                </v:textbox>
                <w10:wrap anchorx="margin"/>
              </v:shape>
            </w:pict>
          </mc:Fallback>
        </mc:AlternateContent>
      </w:r>
      <w:r w:rsidRPr="009B60A4">
        <w:rPr>
          <w:rFonts w:ascii="Franklin Gothic Book" w:hAnsi="Franklin Gothic Book" w:cs="Times New Roman"/>
          <w:noProof/>
          <w:lang w:eastAsia="en-GB"/>
        </w:rPr>
        <mc:AlternateContent>
          <mc:Choice Requires="wps">
            <w:drawing>
              <wp:anchor distT="45720" distB="45720" distL="114300" distR="114300" simplePos="0" relativeHeight="251660288" behindDoc="0" locked="0" layoutInCell="1" allowOverlap="1" wp14:anchorId="47839EC4" wp14:editId="38BA6E38">
                <wp:simplePos x="0" y="0"/>
                <wp:positionH relativeFrom="margin">
                  <wp:posOffset>676275</wp:posOffset>
                </wp:positionH>
                <wp:positionV relativeFrom="paragraph">
                  <wp:posOffset>-466090</wp:posOffset>
                </wp:positionV>
                <wp:extent cx="5829300"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81000"/>
                        </a:xfrm>
                        <a:prstGeom prst="rect">
                          <a:avLst/>
                        </a:prstGeom>
                        <a:noFill/>
                        <a:ln w="9525">
                          <a:noFill/>
                          <a:miter lim="800000"/>
                          <a:headEnd/>
                          <a:tailEnd/>
                        </a:ln>
                      </wps:spPr>
                      <wps:txbx>
                        <w:txbxContent>
                          <w:p w14:paraId="0DBA9AA2" w14:textId="46479E5B" w:rsidR="00AB5F79" w:rsidRPr="002C4660" w:rsidRDefault="00343E0E" w:rsidP="00AB5F79">
                            <w:r w:rsidRPr="00343E0E">
                              <w:rPr>
                                <w:rFonts w:ascii="Univers" w:hAnsi="Univers"/>
                                <w:b/>
                                <w:bCs/>
                                <w:sz w:val="32"/>
                                <w:szCs w:val="32"/>
                              </w:rPr>
                              <w:t>T</w:t>
                            </w:r>
                            <w:r w:rsidR="00EC1B24" w:rsidRPr="00343E0E">
                              <w:rPr>
                                <w:rFonts w:ascii="Univers" w:hAnsi="Univers"/>
                                <w:b/>
                                <w:bCs/>
                                <w:sz w:val="32"/>
                                <w:szCs w:val="32"/>
                              </w:rPr>
                              <w:t>he Cultural Dimension of the Right to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39EC4" id="_x0000_s1027" type="#_x0000_t202" style="position:absolute;left:0;text-align:left;margin-left:53.25pt;margin-top:-36.7pt;width:459pt;height:3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" filled="f" stroked="f">
                <v:textbox>
                  <w:txbxContent>
                    <w:p w14:paraId="0DBA9AA2" w14:textId="46479E5B" w:rsidR="00AB5F79" w:rsidRPr="002C4660" w:rsidRDefault="00343E0E" w:rsidP="00AB5F79">
                      <w:r w:rsidRPr="00343E0E">
                        <w:rPr>
                          <w:rFonts w:ascii="Univers" w:hAnsi="Univers"/>
                          <w:b/>
                          <w:bCs/>
                          <w:sz w:val="32"/>
                          <w:szCs w:val="32"/>
                        </w:rPr>
                        <w:t>T</w:t>
                      </w:r>
                      <w:r w:rsidR="00EC1B24" w:rsidRPr="00343E0E">
                        <w:rPr>
                          <w:rFonts w:ascii="Univers" w:hAnsi="Univers"/>
                          <w:b/>
                          <w:bCs/>
                          <w:sz w:val="32"/>
                          <w:szCs w:val="32"/>
                        </w:rPr>
                        <w:t>he Cultural Dimension of the Right to Education</w:t>
                      </w:r>
                    </w:p>
                  </w:txbxContent>
                </v:textbox>
                <w10:wrap anchorx="margin"/>
              </v:shape>
            </w:pict>
          </mc:Fallback>
        </mc:AlternateContent>
      </w:r>
      <w:r w:rsidRPr="002C4660">
        <w:rPr>
          <w:rFonts w:ascii="Franklin Gothic Book" w:hAnsi="Franklin Gothic Book"/>
          <w:noProof/>
          <w:lang w:eastAsia="en-GB"/>
        </w:rPr>
        <w:drawing>
          <wp:anchor distT="0" distB="0" distL="114300" distR="114300" simplePos="0" relativeHeight="251659264" behindDoc="0" locked="0" layoutInCell="1" allowOverlap="1" wp14:anchorId="71B5BC38" wp14:editId="6E400CB4">
            <wp:simplePos x="0" y="0"/>
            <wp:positionH relativeFrom="margin">
              <wp:posOffset>-635</wp:posOffset>
            </wp:positionH>
            <wp:positionV relativeFrom="paragraph">
              <wp:posOffset>-466725</wp:posOffset>
            </wp:positionV>
            <wp:extent cx="628727" cy="6724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727"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0B09B" w14:textId="77777777" w:rsidR="00AB5F79" w:rsidRDefault="00AB5F79">
      <w:pPr>
        <w:rPr>
          <w:rFonts w:ascii="Franklin Gothic Medium" w:hAnsi="Franklin Gothic Medium"/>
          <w:lang w:val="en-US"/>
        </w:rPr>
      </w:pPr>
    </w:p>
    <w:p w14:paraId="6EBC2EC1" w14:textId="42E163CF" w:rsidR="002A2BCD" w:rsidRDefault="00084497" w:rsidP="00C7075A">
      <w:pPr>
        <w:jc w:val="both"/>
        <w:rPr>
          <w:rFonts w:ascii="Franklin Gothic Book" w:hAnsi="Franklin Gothic Book"/>
          <w:lang w:val="en-US"/>
        </w:rPr>
      </w:pPr>
      <w:r w:rsidRPr="00EA52EA">
        <w:rPr>
          <w:rFonts w:ascii="Franklin Gothic Book" w:hAnsi="Franklin Gothic Book"/>
          <w:lang w:val="en-US"/>
        </w:rPr>
        <w:t xml:space="preserve">The International Federation of Library Associations and Institutions welcomes the </w:t>
      </w:r>
      <w:r w:rsidR="00EA52EA" w:rsidRPr="00EA52EA">
        <w:rPr>
          <w:rFonts w:ascii="Franklin Gothic Book" w:hAnsi="Franklin Gothic Book"/>
        </w:rPr>
        <w:t>Special Rapporteur’s initiative to explore the cultural dimension of the right to education</w:t>
      </w:r>
      <w:r w:rsidR="00EA52EA" w:rsidRPr="00EA52EA">
        <w:rPr>
          <w:rFonts w:ascii="Franklin Gothic Book" w:hAnsi="Franklin Gothic Book"/>
          <w:lang w:val="en-US"/>
        </w:rPr>
        <w:t xml:space="preserve"> in the 2020 report. We would like to thank the Rapporteur for inviting interested stakeholders to provide input. In this submission, </w:t>
      </w:r>
      <w:r w:rsidR="002A2BCD">
        <w:rPr>
          <w:rFonts w:ascii="Franklin Gothic Book" w:hAnsi="Franklin Gothic Book"/>
          <w:lang w:val="en-US"/>
        </w:rPr>
        <w:t>IFLA</w:t>
      </w:r>
      <w:r w:rsidR="00EA52EA" w:rsidRPr="00EA52EA">
        <w:rPr>
          <w:rFonts w:ascii="Franklin Gothic Book" w:hAnsi="Franklin Gothic Book"/>
          <w:lang w:val="en-US"/>
        </w:rPr>
        <w:t xml:space="preserve"> would like to offer a brief overview of good practices and lessons learned from various efforts to ensure access to culture in educational contexts by libraries.</w:t>
      </w:r>
      <w:r w:rsidR="002A2BCD">
        <w:rPr>
          <w:rFonts w:ascii="Franklin Gothic Book" w:hAnsi="Franklin Gothic Book"/>
          <w:lang w:val="en-US"/>
        </w:rPr>
        <w:t xml:space="preserve"> </w:t>
      </w:r>
    </w:p>
    <w:p w14:paraId="22A40B43" w14:textId="57557F4A" w:rsidR="00340A41" w:rsidRDefault="00EA52EA" w:rsidP="002A2BCD">
      <w:pPr>
        <w:jc w:val="both"/>
        <w:rPr>
          <w:rFonts w:ascii="Franklin Gothic Book" w:hAnsi="Franklin Gothic Book"/>
          <w:lang w:val="en-US"/>
        </w:rPr>
      </w:pPr>
      <w:r w:rsidRPr="00EA52EA">
        <w:rPr>
          <w:rFonts w:ascii="Franklin Gothic Book" w:hAnsi="Franklin Gothic Book"/>
          <w:lang w:val="en-US"/>
        </w:rPr>
        <w:t xml:space="preserve">A </w:t>
      </w:r>
      <w:hyperlink r:id="rId10" w:history="1">
        <w:r w:rsidRPr="00EA52EA">
          <w:rPr>
            <w:rStyle w:val="Hyperlink"/>
            <w:rFonts w:ascii="Franklin Gothic Book" w:hAnsi="Franklin Gothic Book"/>
            <w:lang w:val="en-US"/>
          </w:rPr>
          <w:t>2009 General Comment N.21</w:t>
        </w:r>
      </w:hyperlink>
      <w:r w:rsidRPr="00EA52EA">
        <w:rPr>
          <w:rFonts w:ascii="Franklin Gothic Book" w:hAnsi="Franklin Gothic Book"/>
          <w:lang w:val="en-US"/>
        </w:rPr>
        <w:t xml:space="preserve"> by the UN Committee on Economic, Social and Cultural Rights points out the intrinsic relationship between the right to culture and the right to education. Among the different dimensions of the </w:t>
      </w:r>
      <w:r w:rsidRPr="002A2BCD">
        <w:rPr>
          <w:rFonts w:ascii="Franklin Gothic Book" w:hAnsi="Franklin Gothic Book"/>
          <w:i/>
          <w:iCs/>
          <w:lang w:val="en-US"/>
        </w:rPr>
        <w:t xml:space="preserve">right to </w:t>
      </w:r>
      <w:r w:rsidR="002A2BCD">
        <w:rPr>
          <w:rFonts w:ascii="Franklin Gothic Book" w:hAnsi="Franklin Gothic Book"/>
          <w:i/>
          <w:iCs/>
          <w:lang w:val="en-US"/>
        </w:rPr>
        <w:t>participate</w:t>
      </w:r>
      <w:r w:rsidRPr="002A2BCD">
        <w:rPr>
          <w:rFonts w:ascii="Franklin Gothic Book" w:hAnsi="Franklin Gothic Book"/>
          <w:i/>
          <w:iCs/>
          <w:lang w:val="en-US"/>
        </w:rPr>
        <w:t xml:space="preserve"> in cultural life</w:t>
      </w:r>
      <w:r w:rsidRPr="00EA52EA">
        <w:rPr>
          <w:rFonts w:ascii="Franklin Gothic Book" w:hAnsi="Franklin Gothic Book"/>
          <w:lang w:val="en-US"/>
        </w:rPr>
        <w:t xml:space="preserve">, </w:t>
      </w:r>
      <w:r w:rsidR="002A2BCD">
        <w:rPr>
          <w:rFonts w:ascii="Franklin Gothic Book" w:hAnsi="Franklin Gothic Book"/>
          <w:lang w:val="en-US"/>
        </w:rPr>
        <w:t xml:space="preserve">the Comment points out that education and information are key to ensuring </w:t>
      </w:r>
      <w:r w:rsidRPr="002A2BCD">
        <w:rPr>
          <w:rFonts w:ascii="Franklin Gothic Book" w:hAnsi="Franklin Gothic Book"/>
          <w:i/>
          <w:iCs/>
          <w:lang w:val="en-US"/>
        </w:rPr>
        <w:t xml:space="preserve">access </w:t>
      </w:r>
      <w:r w:rsidR="002A2BCD" w:rsidRPr="002A2BCD">
        <w:rPr>
          <w:rFonts w:ascii="Franklin Gothic Book" w:hAnsi="Franklin Gothic Book"/>
          <w:i/>
          <w:iCs/>
          <w:lang w:val="en-US"/>
        </w:rPr>
        <w:t>to culture</w:t>
      </w:r>
      <w:r w:rsidR="002A2BCD">
        <w:rPr>
          <w:rFonts w:ascii="Franklin Gothic Book" w:hAnsi="Franklin Gothic Book"/>
          <w:lang w:val="en-US"/>
        </w:rPr>
        <w:t xml:space="preserve"> – the right to know and understand one’s own culture and the culture of others. </w:t>
      </w:r>
      <w:r w:rsidR="00EC1A00">
        <w:rPr>
          <w:rFonts w:ascii="Franklin Gothic Book" w:hAnsi="Franklin Gothic Book"/>
          <w:lang w:val="en-US"/>
        </w:rPr>
        <w:t xml:space="preserve">Furthermore, the </w:t>
      </w:r>
      <w:hyperlink r:id="rId11" w:history="1">
        <w:r w:rsidR="00EC1A00" w:rsidRPr="00EC1A00">
          <w:rPr>
            <w:rStyle w:val="Hyperlink"/>
            <w:rFonts w:ascii="Franklin Gothic Book" w:hAnsi="Franklin Gothic Book"/>
            <w:lang w:val="en-US"/>
          </w:rPr>
          <w:t>Convention on the Rights of the Child</w:t>
        </w:r>
      </w:hyperlink>
      <w:r w:rsidR="00EC1A00">
        <w:rPr>
          <w:rFonts w:ascii="Franklin Gothic Book" w:hAnsi="Franklin Gothic Book"/>
          <w:lang w:val="en-US"/>
        </w:rPr>
        <w:t xml:space="preserve">, in Article 17, underlines the need to promote materials which meet the cultural needs of the child, including from a diversity of sources. </w:t>
      </w:r>
    </w:p>
    <w:p w14:paraId="6DA92A1E" w14:textId="109A5044" w:rsidR="00EA52EA" w:rsidRDefault="00340A41" w:rsidP="002A2BCD">
      <w:pPr>
        <w:jc w:val="both"/>
        <w:rPr>
          <w:rFonts w:ascii="Franklin Gothic Book" w:hAnsi="Franklin Gothic Book"/>
        </w:rPr>
      </w:pPr>
      <w:r>
        <w:rPr>
          <w:rFonts w:ascii="Franklin Gothic Book" w:hAnsi="Franklin Gothic Book"/>
          <w:lang w:val="en-US"/>
        </w:rPr>
        <w:t xml:space="preserve">Libraries have a long-standing role in </w:t>
      </w:r>
      <w:r w:rsidR="002A2BCD">
        <w:rPr>
          <w:rFonts w:ascii="Franklin Gothic Book" w:hAnsi="Franklin Gothic Book"/>
          <w:lang w:val="en-US"/>
        </w:rPr>
        <w:t>ensur</w:t>
      </w:r>
      <w:r>
        <w:rPr>
          <w:rFonts w:ascii="Franklin Gothic Book" w:hAnsi="Franklin Gothic Book"/>
          <w:lang w:val="en-US"/>
        </w:rPr>
        <w:t>ing</w:t>
      </w:r>
      <w:r w:rsidR="002A2BCD">
        <w:rPr>
          <w:rFonts w:ascii="Franklin Gothic Book" w:hAnsi="Franklin Gothic Book"/>
          <w:lang w:val="en-US"/>
        </w:rPr>
        <w:t xml:space="preserve"> access to culture – both in terms of availability of cultural objects and </w:t>
      </w:r>
      <w:r w:rsidR="00C7075A">
        <w:rPr>
          <w:rFonts w:ascii="Franklin Gothic Book" w:hAnsi="Franklin Gothic Book"/>
          <w:lang w:val="en-US"/>
        </w:rPr>
        <w:t xml:space="preserve">promotion of critical thinking and engagements with cultural materials (a more detailed explanation of libraries’ role in ensuring access to culture and related rights can be found in a </w:t>
      </w:r>
      <w:hyperlink r:id="rId12" w:history="1">
        <w:r w:rsidR="00C7075A" w:rsidRPr="00C7075A">
          <w:rPr>
            <w:rStyle w:val="Hyperlink"/>
            <w:rFonts w:ascii="Franklin Gothic Book" w:hAnsi="Franklin Gothic Book"/>
            <w:lang w:val="en-US"/>
          </w:rPr>
          <w:t xml:space="preserve">2018 IFLA input to a </w:t>
        </w:r>
        <w:r w:rsidR="00C7075A">
          <w:rPr>
            <w:rStyle w:val="Hyperlink"/>
            <w:rFonts w:ascii="Franklin Gothic Book" w:hAnsi="Franklin Gothic Book"/>
          </w:rPr>
          <w:t>c</w:t>
        </w:r>
        <w:r w:rsidR="00C7075A" w:rsidRPr="00C7075A">
          <w:rPr>
            <w:rStyle w:val="Hyperlink"/>
            <w:rFonts w:ascii="Franklin Gothic Book" w:hAnsi="Franklin Gothic Book"/>
          </w:rPr>
          <w:t>onsultation of the Special Rapporteur on Cultural Rights</w:t>
        </w:r>
      </w:hyperlink>
      <w:r w:rsidR="00C7075A">
        <w:rPr>
          <w:rFonts w:ascii="Franklin Gothic Book" w:hAnsi="Franklin Gothic Book"/>
        </w:rPr>
        <w:t>).</w:t>
      </w:r>
      <w:r>
        <w:rPr>
          <w:rFonts w:ascii="Franklin Gothic Book" w:hAnsi="Franklin Gothic Book"/>
        </w:rPr>
        <w:t xml:space="preserve"> They pair this with a key role in supporting education throughout life, as highlighted in the </w:t>
      </w:r>
      <w:hyperlink r:id="rId13" w:history="1">
        <w:r w:rsidRPr="00340A41">
          <w:rPr>
            <w:rStyle w:val="Hyperlink"/>
            <w:rFonts w:ascii="Franklin Gothic Book" w:hAnsi="Franklin Gothic Book"/>
          </w:rPr>
          <w:t>UNESCO-IFLA Public Library Manifesto</w:t>
        </w:r>
      </w:hyperlink>
      <w:r>
        <w:rPr>
          <w:rFonts w:ascii="Franklin Gothic Book" w:hAnsi="Franklin Gothic Book"/>
        </w:rPr>
        <w:t xml:space="preserve">, not least in partnership with teachers (see the </w:t>
      </w:r>
      <w:hyperlink r:id="rId14" w:history="1">
        <w:r w:rsidRPr="00340A41">
          <w:rPr>
            <w:rStyle w:val="Hyperlink"/>
            <w:rFonts w:ascii="Franklin Gothic Book" w:hAnsi="Franklin Gothic Book"/>
          </w:rPr>
          <w:t>IFLA report</w:t>
        </w:r>
      </w:hyperlink>
      <w:r>
        <w:rPr>
          <w:rFonts w:ascii="Franklin Gothic Book" w:hAnsi="Franklin Gothic Book"/>
        </w:rPr>
        <w:t xml:space="preserve"> on how school libraries support teachers).</w:t>
      </w:r>
    </w:p>
    <w:p w14:paraId="08A369DE" w14:textId="06012555" w:rsidR="00C7075A" w:rsidRDefault="00C7075A" w:rsidP="002A2BCD">
      <w:pPr>
        <w:jc w:val="both"/>
        <w:rPr>
          <w:rFonts w:ascii="Franklin Gothic Book" w:hAnsi="Franklin Gothic Book"/>
        </w:rPr>
      </w:pPr>
      <w:r>
        <w:rPr>
          <w:rFonts w:ascii="Franklin Gothic Book" w:hAnsi="Franklin Gothic Book"/>
        </w:rPr>
        <w:t xml:space="preserve">Within the scope </w:t>
      </w:r>
      <w:r w:rsidRPr="00340A41">
        <w:rPr>
          <w:rFonts w:ascii="Franklin Gothic Book" w:hAnsi="Franklin Gothic Book"/>
        </w:rPr>
        <w:t>of this consultation, lessons</w:t>
      </w:r>
      <w:r>
        <w:rPr>
          <w:rFonts w:ascii="Franklin Gothic Book" w:hAnsi="Franklin Gothic Book"/>
        </w:rPr>
        <w:t xml:space="preserve"> can be </w:t>
      </w:r>
      <w:r w:rsidR="00340A41">
        <w:rPr>
          <w:rFonts w:ascii="Franklin Gothic Book" w:hAnsi="Franklin Gothic Book"/>
        </w:rPr>
        <w:t>contributed</w:t>
      </w:r>
      <w:r>
        <w:rPr>
          <w:rFonts w:ascii="Franklin Gothic Book" w:hAnsi="Franklin Gothic Book"/>
        </w:rPr>
        <w:t xml:space="preserve"> from </w:t>
      </w:r>
      <w:r w:rsidR="00340A41">
        <w:rPr>
          <w:rFonts w:ascii="Franklin Gothic Book" w:hAnsi="Franklin Gothic Book"/>
        </w:rPr>
        <w:t xml:space="preserve">the experience of </w:t>
      </w:r>
      <w:r>
        <w:rPr>
          <w:rFonts w:ascii="Franklin Gothic Book" w:hAnsi="Franklin Gothic Book"/>
        </w:rPr>
        <w:t xml:space="preserve">both school and public libraries in different countries cooperating with school systems to promote cultural diversity and cultural rights. These include both institutional frameworks and implementation of practical measures in the following areas: ensuring availability of materials in minority languages, establishing partnerships to implement education and outreach activities, and </w:t>
      </w:r>
      <w:r w:rsidR="00B07F4B">
        <w:rPr>
          <w:rFonts w:ascii="Franklin Gothic Book" w:hAnsi="Franklin Gothic Book"/>
        </w:rPr>
        <w:t>facilitating the</w:t>
      </w:r>
      <w:r>
        <w:rPr>
          <w:rFonts w:ascii="Franklin Gothic Book" w:hAnsi="Franklin Gothic Book"/>
        </w:rPr>
        <w:t xml:space="preserve"> creati</w:t>
      </w:r>
      <w:r w:rsidR="00B07F4B">
        <w:rPr>
          <w:rFonts w:ascii="Franklin Gothic Book" w:hAnsi="Franklin Gothic Book"/>
        </w:rPr>
        <w:t xml:space="preserve">on of </w:t>
      </w:r>
      <w:r>
        <w:rPr>
          <w:rFonts w:ascii="Franklin Gothic Book" w:hAnsi="Franklin Gothic Book"/>
        </w:rPr>
        <w:t xml:space="preserve">new cultural materials </w:t>
      </w:r>
      <w:r w:rsidR="00B07F4B">
        <w:rPr>
          <w:rFonts w:ascii="Franklin Gothic Book" w:hAnsi="Franklin Gothic Book"/>
        </w:rPr>
        <w:t>by bearers and practitioners of minority cultures to promote cultural diversity and deliver on their cultural rights.</w:t>
      </w:r>
    </w:p>
    <w:p w14:paraId="7FAEAC48" w14:textId="07C47D47" w:rsidR="00340A41" w:rsidRDefault="00EC1A00" w:rsidP="002A2BCD">
      <w:pPr>
        <w:jc w:val="both"/>
        <w:rPr>
          <w:rFonts w:ascii="Franklin Gothic Book" w:hAnsi="Franklin Gothic Book"/>
        </w:rPr>
      </w:pPr>
      <w:r>
        <w:rPr>
          <w:rFonts w:ascii="Franklin Gothic Book" w:hAnsi="Franklin Gothic Book"/>
        </w:rPr>
        <w:t xml:space="preserve">Our responses therefore primarily answer questions 5 and 6, relating to examples of where countries have enabled the engagement of libraries as stakeholders in efforts to promote cultural rights through education. </w:t>
      </w:r>
    </w:p>
    <w:p w14:paraId="76D75FA8" w14:textId="77777777" w:rsidR="00EC1A00" w:rsidRDefault="00EC1A00" w:rsidP="002A2BCD">
      <w:pPr>
        <w:jc w:val="both"/>
        <w:rPr>
          <w:rFonts w:ascii="Franklin Gothic Book" w:hAnsi="Franklin Gothic Book"/>
        </w:rPr>
      </w:pPr>
    </w:p>
    <w:p w14:paraId="10D2C170" w14:textId="5DC41B55" w:rsidR="00B07F4B" w:rsidRDefault="00B07F4B" w:rsidP="002A2BCD">
      <w:pPr>
        <w:jc w:val="both"/>
        <w:rPr>
          <w:rFonts w:ascii="Franklin Gothic Book" w:hAnsi="Franklin Gothic Book"/>
          <w:b/>
          <w:bCs/>
        </w:rPr>
      </w:pPr>
      <w:r w:rsidRPr="00B07F4B">
        <w:rPr>
          <w:rFonts w:ascii="Franklin Gothic Book" w:hAnsi="Franklin Gothic Book"/>
          <w:b/>
          <w:bCs/>
        </w:rPr>
        <w:t>Languages in Education</w:t>
      </w:r>
    </w:p>
    <w:p w14:paraId="60350791" w14:textId="03417A2C" w:rsidR="00B07F4B" w:rsidRDefault="006462F4" w:rsidP="00B07F4B">
      <w:pPr>
        <w:jc w:val="both"/>
        <w:rPr>
          <w:rFonts w:ascii="Franklin Gothic Book" w:hAnsi="Franklin Gothic Book"/>
        </w:rPr>
      </w:pPr>
      <w:hyperlink r:id="rId15" w:history="1">
        <w:r w:rsidR="00B07F4B" w:rsidRPr="00B07F4B">
          <w:rPr>
            <w:rStyle w:val="Hyperlink"/>
            <w:rFonts w:ascii="Franklin Gothic Book" w:hAnsi="Franklin Gothic Book"/>
          </w:rPr>
          <w:t xml:space="preserve">A 2017 study </w:t>
        </w:r>
        <w:r w:rsidR="007C7AAE">
          <w:rPr>
            <w:rStyle w:val="Hyperlink"/>
            <w:rFonts w:ascii="Franklin Gothic Book" w:hAnsi="Franklin Gothic Book"/>
          </w:rPr>
          <w:t xml:space="preserve">authored </w:t>
        </w:r>
        <w:r w:rsidR="00B07F4B" w:rsidRPr="00B07F4B">
          <w:rPr>
            <w:rStyle w:val="Hyperlink"/>
            <w:rFonts w:ascii="Franklin Gothic Book" w:hAnsi="Franklin Gothic Book"/>
          </w:rPr>
          <w:t xml:space="preserve">by </w:t>
        </w:r>
        <w:r w:rsidR="007C7AAE">
          <w:rPr>
            <w:rStyle w:val="Hyperlink"/>
            <w:rFonts w:ascii="Franklin Gothic Book" w:hAnsi="Franklin Gothic Book"/>
          </w:rPr>
          <w:t>experts from</w:t>
        </w:r>
        <w:r w:rsidR="00B07F4B">
          <w:rPr>
            <w:rStyle w:val="Hyperlink"/>
            <w:rFonts w:ascii="Franklin Gothic Book" w:hAnsi="Franklin Gothic Book"/>
          </w:rPr>
          <w:t xml:space="preserve"> </w:t>
        </w:r>
        <w:r w:rsidR="00B07F4B" w:rsidRPr="00B07F4B">
          <w:rPr>
            <w:rStyle w:val="Hyperlink"/>
            <w:rFonts w:ascii="Franklin Gothic Book" w:hAnsi="Franklin Gothic Book"/>
          </w:rPr>
          <w:t>IRE</w:t>
        </w:r>
        <w:r w:rsidR="00B07F4B">
          <w:rPr>
            <w:rStyle w:val="Hyperlink"/>
            <w:rFonts w:ascii="Franklin Gothic Book" w:hAnsi="Franklin Gothic Book"/>
          </w:rPr>
          <w:t>X and World Vision</w:t>
        </w:r>
      </w:hyperlink>
      <w:r w:rsidR="00B07F4B">
        <w:rPr>
          <w:rFonts w:ascii="Franklin Gothic Book" w:hAnsi="Franklin Gothic Book"/>
        </w:rPr>
        <w:t xml:space="preserve"> points out that, despite dedicated efforts and investments, there is still a lack of school reading materials in non-dominant and non-national languages. With the move towards </w:t>
      </w:r>
      <w:r w:rsidR="00B07F4B" w:rsidRPr="00B07F4B">
        <w:rPr>
          <w:rFonts w:ascii="Franklin Gothic Book" w:hAnsi="Franklin Gothic Book"/>
          <w:i/>
          <w:iCs/>
        </w:rPr>
        <w:t>Mother Tongue Based Multilingual Education</w:t>
      </w:r>
      <w:r w:rsidR="00B07F4B">
        <w:rPr>
          <w:rFonts w:ascii="Franklin Gothic Book" w:hAnsi="Franklin Gothic Book"/>
          <w:i/>
          <w:iCs/>
        </w:rPr>
        <w:t xml:space="preserve">, </w:t>
      </w:r>
      <w:r w:rsidR="00B07F4B">
        <w:rPr>
          <w:rFonts w:ascii="Franklin Gothic Book" w:hAnsi="Franklin Gothic Book"/>
        </w:rPr>
        <w:t xml:space="preserve">they suggest that </w:t>
      </w:r>
      <w:r w:rsidR="00C40079">
        <w:rPr>
          <w:rFonts w:ascii="Franklin Gothic Book" w:hAnsi="Franklin Gothic Book"/>
        </w:rPr>
        <w:t xml:space="preserve">cooperation with </w:t>
      </w:r>
      <w:r w:rsidR="00B07F4B">
        <w:rPr>
          <w:rFonts w:ascii="Franklin Gothic Book" w:hAnsi="Franklin Gothic Book"/>
        </w:rPr>
        <w:t>organisations</w:t>
      </w:r>
      <w:r w:rsidR="00C40079">
        <w:rPr>
          <w:rFonts w:ascii="Franklin Gothic Book" w:hAnsi="Franklin Gothic Book"/>
        </w:rPr>
        <w:t xml:space="preserve"> and institutions</w:t>
      </w:r>
      <w:r w:rsidR="00B07F4B">
        <w:rPr>
          <w:rFonts w:ascii="Franklin Gothic Book" w:hAnsi="Franklin Gothic Book"/>
        </w:rPr>
        <w:t xml:space="preserve"> (such as </w:t>
      </w:r>
      <w:r w:rsidR="00C40079">
        <w:rPr>
          <w:rFonts w:ascii="Franklin Gothic Book" w:hAnsi="Franklin Gothic Book"/>
        </w:rPr>
        <w:t>libraries</w:t>
      </w:r>
      <w:r w:rsidR="00B07F4B">
        <w:rPr>
          <w:rFonts w:ascii="Franklin Gothic Book" w:hAnsi="Franklin Gothic Book"/>
        </w:rPr>
        <w:t xml:space="preserve">) and communities can </w:t>
      </w:r>
      <w:r w:rsidR="00C40079">
        <w:rPr>
          <w:rFonts w:ascii="Franklin Gothic Book" w:hAnsi="Franklin Gothic Book"/>
        </w:rPr>
        <w:t>play an important role in meeting the demand for materials in local languages</w:t>
      </w:r>
      <w:r w:rsidR="00340A41">
        <w:rPr>
          <w:rFonts w:ascii="Franklin Gothic Book" w:hAnsi="Franklin Gothic Book"/>
        </w:rPr>
        <w:t xml:space="preserve">, sharing </w:t>
      </w:r>
      <w:r w:rsidR="00F6267C">
        <w:rPr>
          <w:rFonts w:ascii="Franklin Gothic Book" w:hAnsi="Franklin Gothic Book"/>
        </w:rPr>
        <w:t xml:space="preserve">the </w:t>
      </w:r>
      <w:r w:rsidR="00340A41">
        <w:rPr>
          <w:rFonts w:ascii="Franklin Gothic Book" w:hAnsi="Franklin Gothic Book"/>
        </w:rPr>
        <w:t>example</w:t>
      </w:r>
      <w:r w:rsidR="00F6267C">
        <w:rPr>
          <w:rFonts w:ascii="Franklin Gothic Book" w:hAnsi="Franklin Gothic Book"/>
        </w:rPr>
        <w:t xml:space="preserve"> of</w:t>
      </w:r>
      <w:r w:rsidR="00340A41">
        <w:rPr>
          <w:rFonts w:ascii="Franklin Gothic Book" w:hAnsi="Franklin Gothic Book"/>
        </w:rPr>
        <w:t xml:space="preserve"> a successful initiative in Ethiopia</w:t>
      </w:r>
      <w:r w:rsidR="007C7AAE">
        <w:rPr>
          <w:rFonts w:ascii="Franklin Gothic Book" w:hAnsi="Franklin Gothic Book"/>
        </w:rPr>
        <w:t>.</w:t>
      </w:r>
    </w:p>
    <w:p w14:paraId="0F121D54" w14:textId="77777777" w:rsidR="007C7AAE" w:rsidRDefault="007C7AAE" w:rsidP="00B07F4B">
      <w:pPr>
        <w:jc w:val="both"/>
        <w:rPr>
          <w:rFonts w:ascii="Franklin Gothic Book" w:hAnsi="Franklin Gothic Book"/>
        </w:rPr>
      </w:pPr>
      <w:r>
        <w:rPr>
          <w:rFonts w:ascii="Franklin Gothic Book" w:hAnsi="Franklin Gothic Book"/>
        </w:rPr>
        <w:t>This role has been confirmed in a</w:t>
      </w:r>
      <w:r w:rsidR="00C40079">
        <w:rPr>
          <w:rFonts w:ascii="Franklin Gothic Book" w:hAnsi="Franklin Gothic Book"/>
        </w:rPr>
        <w:t xml:space="preserve"> </w:t>
      </w:r>
      <w:hyperlink r:id="rId16" w:history="1">
        <w:r w:rsidR="00C40079" w:rsidRPr="00C40079">
          <w:rPr>
            <w:rStyle w:val="Hyperlink"/>
            <w:rFonts w:ascii="Franklin Gothic Book" w:hAnsi="Franklin Gothic Book"/>
            <w:lang w:val="en-CA"/>
          </w:rPr>
          <w:t>2016</w:t>
        </w:r>
        <w:r w:rsidR="00C40079">
          <w:rPr>
            <w:rStyle w:val="Hyperlink"/>
            <w:rFonts w:ascii="Franklin Gothic Book" w:hAnsi="Franklin Gothic Book"/>
            <w:lang w:val="en-CA"/>
          </w:rPr>
          <w:t xml:space="preserve"> brief by the</w:t>
        </w:r>
        <w:r w:rsidR="00C40079" w:rsidRPr="00C40079">
          <w:rPr>
            <w:rStyle w:val="Hyperlink"/>
            <w:rFonts w:ascii="Franklin Gothic Book" w:hAnsi="Franklin Gothic Book"/>
            <w:lang w:val="en-CA"/>
          </w:rPr>
          <w:t xml:space="preserve"> European Centre for Minority Issues</w:t>
        </w:r>
      </w:hyperlink>
      <w:r>
        <w:rPr>
          <w:rFonts w:ascii="Franklin Gothic Book" w:hAnsi="Franklin Gothic Book"/>
        </w:rPr>
        <w:t xml:space="preserve">, which </w:t>
      </w:r>
      <w:r w:rsidR="00C40079">
        <w:rPr>
          <w:rFonts w:ascii="Franklin Gothic Book" w:hAnsi="Franklin Gothic Book"/>
        </w:rPr>
        <w:t xml:space="preserve">pointed out that </w:t>
      </w:r>
      <w:r w:rsidR="00C40079" w:rsidRPr="00C40079">
        <w:rPr>
          <w:rFonts w:ascii="Franklin Gothic Book" w:hAnsi="Franklin Gothic Book"/>
          <w:lang w:val="en-CA"/>
        </w:rPr>
        <w:t>libraries</w:t>
      </w:r>
      <w:r w:rsidR="00C40079">
        <w:rPr>
          <w:rFonts w:ascii="Franklin Gothic Book" w:hAnsi="Franklin Gothic Book"/>
          <w:lang w:val="en-CA"/>
        </w:rPr>
        <w:t xml:space="preserve"> play an essential role in ensuring the availability of </w:t>
      </w:r>
      <w:r w:rsidR="00C40079" w:rsidRPr="00C40079">
        <w:rPr>
          <w:rFonts w:ascii="Franklin Gothic Book" w:hAnsi="Franklin Gothic Book"/>
          <w:lang w:val="en-CA"/>
        </w:rPr>
        <w:t xml:space="preserve">materials </w:t>
      </w:r>
      <w:r w:rsidR="00C40079">
        <w:rPr>
          <w:rFonts w:ascii="Franklin Gothic Book" w:hAnsi="Franklin Gothic Book"/>
          <w:lang w:val="en-CA"/>
        </w:rPr>
        <w:t xml:space="preserve">for teaching and reading </w:t>
      </w:r>
      <w:r w:rsidR="00C40079" w:rsidRPr="00C40079">
        <w:rPr>
          <w:rFonts w:ascii="Franklin Gothic Book" w:hAnsi="Franklin Gothic Book"/>
          <w:lang w:val="en-CA"/>
        </w:rPr>
        <w:t>in minority languages</w:t>
      </w:r>
      <w:r w:rsidR="00C40079">
        <w:rPr>
          <w:rFonts w:ascii="Franklin Gothic Book" w:hAnsi="Franklin Gothic Book"/>
          <w:lang w:val="en-CA"/>
        </w:rPr>
        <w:t xml:space="preserve">. Periodic Reports </w:t>
      </w:r>
      <w:r w:rsidR="00C40079" w:rsidRPr="00C40079">
        <w:rPr>
          <w:rFonts w:ascii="Franklin Gothic Book" w:hAnsi="Franklin Gothic Book"/>
          <w:lang w:val="en-CA"/>
        </w:rPr>
        <w:t>on the European Charter for Regional or Minority Languages</w:t>
      </w:r>
      <w:r w:rsidR="00C40079">
        <w:rPr>
          <w:rFonts w:ascii="Franklin Gothic Book" w:hAnsi="Franklin Gothic Book"/>
          <w:lang w:val="en-CA"/>
        </w:rPr>
        <w:t xml:space="preserve"> show how this can be implemented in practice: </w:t>
      </w:r>
      <w:hyperlink r:id="rId17" w:history="1">
        <w:r w:rsidR="00904164" w:rsidRPr="00904164">
          <w:rPr>
            <w:rStyle w:val="Hyperlink"/>
            <w:rFonts w:ascii="Franklin Gothic Book" w:hAnsi="Franklin Gothic Book"/>
            <w:lang w:val="en-CA"/>
          </w:rPr>
          <w:t>a report from</w:t>
        </w:r>
        <w:r w:rsidR="00C40079" w:rsidRPr="00904164">
          <w:rPr>
            <w:rStyle w:val="Hyperlink"/>
            <w:rFonts w:ascii="Franklin Gothic Book" w:hAnsi="Franklin Gothic Book"/>
            <w:lang w:val="en-CA"/>
          </w:rPr>
          <w:t xml:space="preserve"> Hungary</w:t>
        </w:r>
      </w:hyperlink>
      <w:r w:rsidR="00C40079">
        <w:rPr>
          <w:rFonts w:ascii="Franklin Gothic Book" w:hAnsi="Franklin Gothic Book"/>
          <w:lang w:val="en-CA"/>
        </w:rPr>
        <w:t xml:space="preserve">, for example, </w:t>
      </w:r>
      <w:r w:rsidR="00904164">
        <w:rPr>
          <w:rFonts w:ascii="Franklin Gothic Book" w:hAnsi="Franklin Gothic Book"/>
          <w:lang w:val="en-CA"/>
        </w:rPr>
        <w:t>mentions that textbooks in minority languages acquired for libraries are at times used for education in these languages; and some libraries founded by</w:t>
      </w:r>
      <w:r w:rsidR="00C40079">
        <w:rPr>
          <w:rFonts w:ascii="Franklin Gothic Book" w:hAnsi="Franklin Gothic Book"/>
          <w:lang w:val="en-CA"/>
        </w:rPr>
        <w:t xml:space="preserve"> </w:t>
      </w:r>
      <w:r w:rsidR="00904164" w:rsidRPr="00904164">
        <w:rPr>
          <w:rFonts w:ascii="Franklin Gothic Book" w:hAnsi="Franklin Gothic Book"/>
        </w:rPr>
        <w:t>national minority self-governments</w:t>
      </w:r>
      <w:r w:rsidR="00904164">
        <w:rPr>
          <w:rFonts w:ascii="Franklin Gothic Book" w:hAnsi="Franklin Gothic Book"/>
        </w:rPr>
        <w:t xml:space="preserve"> operate in schools providing education in minority languages. </w:t>
      </w:r>
    </w:p>
    <w:p w14:paraId="56BDEAE0" w14:textId="37CF2EFD" w:rsidR="007C7AAE" w:rsidRDefault="00904164" w:rsidP="007C7AAE">
      <w:pPr>
        <w:jc w:val="both"/>
        <w:rPr>
          <w:rFonts w:ascii="Franklin Gothic Book" w:hAnsi="Franklin Gothic Book"/>
        </w:rPr>
      </w:pPr>
      <w:r>
        <w:rPr>
          <w:rFonts w:ascii="Franklin Gothic Book" w:hAnsi="Franklin Gothic Book"/>
        </w:rPr>
        <w:t xml:space="preserve">Meanwhile, the </w:t>
      </w:r>
      <w:hyperlink r:id="rId18" w:history="1">
        <w:r w:rsidRPr="00904164">
          <w:rPr>
            <w:rStyle w:val="Hyperlink"/>
            <w:rFonts w:ascii="Franklin Gothic Book" w:hAnsi="Franklin Gothic Book"/>
          </w:rPr>
          <w:t>Armenian National Library</w:t>
        </w:r>
      </w:hyperlink>
      <w:r>
        <w:rPr>
          <w:rFonts w:ascii="Franklin Gothic Book" w:hAnsi="Franklin Gothic Book"/>
        </w:rPr>
        <w:t xml:space="preserve"> hosts a substantial collection of materials in national minority languages, ranging from Russian to Yezidi, including textbooks and publications on history, natural sciences, linguistics and others.</w:t>
      </w:r>
      <w:r w:rsidR="007C7AAE" w:rsidRPr="007C7AAE">
        <w:rPr>
          <w:rFonts w:ascii="Franklin Gothic Book" w:hAnsi="Franklin Gothic Book"/>
        </w:rPr>
        <w:t xml:space="preserve"> </w:t>
      </w:r>
      <w:r w:rsidR="007C7AAE">
        <w:rPr>
          <w:rFonts w:ascii="Franklin Gothic Book" w:hAnsi="Franklin Gothic Book"/>
        </w:rPr>
        <w:t>A</w:t>
      </w:r>
      <w:hyperlink r:id="rId19" w:history="1">
        <w:r w:rsidR="007C7AAE" w:rsidRPr="007C7AAE">
          <w:rPr>
            <w:rStyle w:val="Hyperlink"/>
            <w:rFonts w:ascii="Franklin Gothic Book" w:hAnsi="Franklin Gothic Book"/>
            <w:u w:val="none"/>
          </w:rPr>
          <w:t xml:space="preserve"> </w:t>
        </w:r>
        <w:r w:rsidR="007C7AAE" w:rsidRPr="00611FD7">
          <w:rPr>
            <w:rStyle w:val="Hyperlink"/>
            <w:rFonts w:ascii="Franklin Gothic Book" w:hAnsi="Franklin Gothic Book"/>
          </w:rPr>
          <w:t>public library in</w:t>
        </w:r>
        <w:r w:rsidR="007C7AAE">
          <w:rPr>
            <w:rStyle w:val="Hyperlink"/>
            <w:rFonts w:ascii="Franklin Gothic Book" w:hAnsi="Franklin Gothic Book"/>
          </w:rPr>
          <w:t xml:space="preserve"> the </w:t>
        </w:r>
        <w:r w:rsidR="007C7AAE" w:rsidRPr="00611FD7">
          <w:rPr>
            <w:rStyle w:val="Hyperlink"/>
            <w:rFonts w:ascii="Franklin Gothic Book" w:hAnsi="Franklin Gothic Book"/>
          </w:rPr>
          <w:t>Šiauliai region</w:t>
        </w:r>
        <w:r w:rsidR="007C7AAE">
          <w:rPr>
            <w:rStyle w:val="Hyperlink"/>
            <w:rFonts w:ascii="Franklin Gothic Book" w:hAnsi="Franklin Gothic Book"/>
          </w:rPr>
          <w:t xml:space="preserve"> in</w:t>
        </w:r>
        <w:r w:rsidR="007C7AAE" w:rsidRPr="00611FD7">
          <w:rPr>
            <w:rStyle w:val="Hyperlink"/>
            <w:rFonts w:ascii="Franklin Gothic Book" w:hAnsi="Franklin Gothic Book"/>
          </w:rPr>
          <w:t xml:space="preserve"> Lithuania</w:t>
        </w:r>
      </w:hyperlink>
      <w:r w:rsidR="007C7AAE">
        <w:rPr>
          <w:rFonts w:ascii="Franklin Gothic Book" w:hAnsi="Franklin Gothic Book"/>
        </w:rPr>
        <w:t xml:space="preserve"> has created a large audio and video collection that explores their regional culture and history and is used for educational activities. Students are an important target audience for this project, and educational institutions have the opportunity to invite library representatives to their own premises for educational activities, teaching students their history and culture through this unique collection.</w:t>
      </w:r>
    </w:p>
    <w:p w14:paraId="2934CF89" w14:textId="77777777" w:rsidR="007C7AAE" w:rsidRDefault="007C7AAE" w:rsidP="002A2BCD">
      <w:pPr>
        <w:jc w:val="both"/>
        <w:rPr>
          <w:rFonts w:ascii="Franklin Gothic Book" w:hAnsi="Franklin Gothic Book"/>
        </w:rPr>
      </w:pPr>
      <w:r>
        <w:rPr>
          <w:rFonts w:ascii="Franklin Gothic Book" w:hAnsi="Franklin Gothic Book"/>
        </w:rPr>
        <w:t xml:space="preserve">The delivery of such projects is facilitated by cooperation initiatives that see libraries working with other actors. </w:t>
      </w:r>
      <w:r w:rsidR="001E3793" w:rsidRPr="001E3793">
        <w:rPr>
          <w:rFonts w:ascii="Franklin Gothic Book" w:hAnsi="Franklin Gothic Book"/>
        </w:rPr>
        <w:t xml:space="preserve">For example, </w:t>
      </w:r>
      <w:r w:rsidR="001E3793">
        <w:rPr>
          <w:rFonts w:ascii="Franklin Gothic Book" w:hAnsi="Franklin Gothic Book"/>
        </w:rPr>
        <w:t xml:space="preserve">the </w:t>
      </w:r>
      <w:hyperlink r:id="rId20" w:history="1">
        <w:r w:rsidR="001E3793" w:rsidRPr="001E3793">
          <w:rPr>
            <w:rStyle w:val="Hyperlink"/>
            <w:rFonts w:ascii="Franklin Gothic Book" w:hAnsi="Franklin Gothic Book"/>
          </w:rPr>
          <w:t>Trøndelag county library in Norway</w:t>
        </w:r>
      </w:hyperlink>
      <w:r w:rsidR="001E3793" w:rsidRPr="001E3793">
        <w:rPr>
          <w:rFonts w:ascii="Franklin Gothic Book" w:hAnsi="Franklin Gothic Book"/>
        </w:rPr>
        <w:t xml:space="preserve"> work</w:t>
      </w:r>
      <w:r w:rsidR="001E3793">
        <w:rPr>
          <w:rFonts w:ascii="Franklin Gothic Book" w:hAnsi="Franklin Gothic Book"/>
        </w:rPr>
        <w:t>s</w:t>
      </w:r>
      <w:r w:rsidR="001E3793" w:rsidRPr="001E3793">
        <w:rPr>
          <w:rFonts w:ascii="Franklin Gothic Book" w:hAnsi="Franklin Gothic Book"/>
        </w:rPr>
        <w:t xml:space="preserve"> </w:t>
      </w:r>
      <w:r>
        <w:rPr>
          <w:rFonts w:ascii="Franklin Gothic Book" w:hAnsi="Franklin Gothic Book"/>
        </w:rPr>
        <w:t xml:space="preserve">with community leaders </w:t>
      </w:r>
      <w:r w:rsidR="001E3793" w:rsidRPr="001E3793">
        <w:rPr>
          <w:rFonts w:ascii="Franklin Gothic Book" w:hAnsi="Franklin Gothic Book"/>
        </w:rPr>
        <w:t>to produce materials in Southe</w:t>
      </w:r>
      <w:r>
        <w:rPr>
          <w:rFonts w:ascii="Franklin Gothic Book" w:hAnsi="Franklin Gothic Book"/>
        </w:rPr>
        <w:t>r</w:t>
      </w:r>
      <w:r w:rsidR="001E3793" w:rsidRPr="001E3793">
        <w:rPr>
          <w:rFonts w:ascii="Franklin Gothic Book" w:hAnsi="Franklin Gothic Book"/>
        </w:rPr>
        <w:t xml:space="preserve">n Saami, one of the minority languages used in schools and government institutions in Norway and Sweden. </w:t>
      </w:r>
      <w:r w:rsidR="001E3793">
        <w:rPr>
          <w:rFonts w:ascii="Franklin Gothic Book" w:hAnsi="Franklin Gothic Book"/>
        </w:rPr>
        <w:t>One of the main objectives of the project is creating and/or translating school books in Saami.</w:t>
      </w:r>
      <w:r w:rsidR="00CF224E">
        <w:rPr>
          <w:rFonts w:ascii="Franklin Gothic Book" w:hAnsi="Franklin Gothic Book"/>
        </w:rPr>
        <w:t xml:space="preserve"> </w:t>
      </w:r>
    </w:p>
    <w:p w14:paraId="4CB4DACB" w14:textId="6446298A" w:rsidR="00CF224E" w:rsidRDefault="00CF224E" w:rsidP="002A2BCD">
      <w:pPr>
        <w:jc w:val="both"/>
        <w:rPr>
          <w:rFonts w:ascii="Franklin Gothic Book" w:hAnsi="Franklin Gothic Book"/>
        </w:rPr>
      </w:pPr>
      <w:r>
        <w:rPr>
          <w:rFonts w:ascii="Franklin Gothic Book" w:hAnsi="Franklin Gothic Book"/>
        </w:rPr>
        <w:t xml:space="preserve">Similarly, </w:t>
      </w:r>
      <w:hyperlink r:id="rId21" w:history="1">
        <w:r w:rsidRPr="00CF224E">
          <w:rPr>
            <w:rStyle w:val="Hyperlink"/>
            <w:rFonts w:ascii="Franklin Gothic Book" w:hAnsi="Franklin Gothic Book"/>
          </w:rPr>
          <w:t>a case study about the Christchurch City Libraries</w:t>
        </w:r>
      </w:hyperlink>
      <w:r>
        <w:rPr>
          <w:rFonts w:ascii="Franklin Gothic Book" w:hAnsi="Franklin Gothic Book"/>
        </w:rPr>
        <w:t xml:space="preserve"> describes a large collection of digital </w:t>
      </w:r>
      <w:r w:rsidRPr="00CF224E">
        <w:rPr>
          <w:rFonts w:ascii="Franklin Gothic Book" w:hAnsi="Franklin Gothic Book"/>
        </w:rPr>
        <w:t>Māori</w:t>
      </w:r>
      <w:r>
        <w:rPr>
          <w:rFonts w:ascii="Franklin Gothic Book" w:hAnsi="Franklin Gothic Book"/>
        </w:rPr>
        <w:t xml:space="preserve"> resources hosted by the Library. These include a website and database dedicated to local history and </w:t>
      </w:r>
      <w:r w:rsidRPr="00CF224E">
        <w:rPr>
          <w:rFonts w:ascii="Franklin Gothic Book" w:hAnsi="Franklin Gothic Book"/>
        </w:rPr>
        <w:t>Māori</w:t>
      </w:r>
      <w:r>
        <w:rPr>
          <w:rFonts w:ascii="Franklin Gothic Book" w:hAnsi="Franklin Gothic Book"/>
        </w:rPr>
        <w:t xml:space="preserve"> cultural heritage,</w:t>
      </w:r>
      <w:r w:rsidR="007C7AAE">
        <w:rPr>
          <w:rFonts w:ascii="Franklin Gothic Book" w:hAnsi="Franklin Gothic Book"/>
        </w:rPr>
        <w:t xml:space="preserve"> again working with the community. This database is</w:t>
      </w:r>
      <w:r>
        <w:rPr>
          <w:rFonts w:ascii="Franklin Gothic Book" w:hAnsi="Franklin Gothic Book"/>
        </w:rPr>
        <w:t xml:space="preserve"> widely used by schools and tertiary education institutions. </w:t>
      </w:r>
      <w:r w:rsidR="007C7AAE">
        <w:rPr>
          <w:rFonts w:ascii="Franklin Gothic Book" w:hAnsi="Franklin Gothic Book"/>
        </w:rPr>
        <w:t xml:space="preserve">Similar work in </w:t>
      </w:r>
      <w:hyperlink r:id="rId22" w:history="1">
        <w:r w:rsidR="007C7AAE" w:rsidRPr="00F6267C">
          <w:rPr>
            <w:rStyle w:val="Hyperlink"/>
            <w:rFonts w:ascii="Franklin Gothic Book" w:hAnsi="Franklin Gothic Book"/>
          </w:rPr>
          <w:t>the Philippines</w:t>
        </w:r>
      </w:hyperlink>
      <w:r w:rsidR="007C7AAE">
        <w:rPr>
          <w:rFonts w:ascii="Franklin Gothic Book" w:hAnsi="Franklin Gothic Book"/>
        </w:rPr>
        <w:t xml:space="preserve"> has seen a library lead efforts to develop more local language content to support education.</w:t>
      </w:r>
    </w:p>
    <w:p w14:paraId="3B714383" w14:textId="77777777" w:rsidR="007C7AAE" w:rsidRPr="007C7AAE" w:rsidRDefault="007C7AAE" w:rsidP="007C7AAE">
      <w:pPr>
        <w:jc w:val="both"/>
        <w:rPr>
          <w:rFonts w:ascii="Franklin Gothic Book" w:hAnsi="Franklin Gothic Book"/>
          <w:b/>
          <w:bCs/>
          <w:i/>
          <w:iCs/>
        </w:rPr>
      </w:pPr>
      <w:r w:rsidRPr="007C7AAE">
        <w:rPr>
          <w:rFonts w:ascii="Franklin Gothic Book" w:hAnsi="Franklin Gothic Book"/>
          <w:b/>
          <w:bCs/>
          <w:i/>
          <w:iCs/>
        </w:rPr>
        <w:lastRenderedPageBreak/>
        <w:t>Drawing on such experiences, we recommend that school and public libraries in general be supported and equipped to ensure the availability of educational materials in different languages in schools and other educational institutions.</w:t>
      </w:r>
    </w:p>
    <w:p w14:paraId="3E992421" w14:textId="5FE9D096" w:rsidR="00CF224E" w:rsidRPr="007C7AAE" w:rsidRDefault="006B13E0" w:rsidP="002A2BCD">
      <w:pPr>
        <w:jc w:val="both"/>
        <w:rPr>
          <w:rFonts w:ascii="Franklin Gothic Book" w:hAnsi="Franklin Gothic Book"/>
          <w:b/>
          <w:bCs/>
          <w:i/>
          <w:iCs/>
        </w:rPr>
      </w:pPr>
      <w:r w:rsidRPr="007C7AAE">
        <w:rPr>
          <w:rFonts w:ascii="Franklin Gothic Book" w:hAnsi="Franklin Gothic Book"/>
          <w:b/>
          <w:bCs/>
          <w:i/>
          <w:iCs/>
        </w:rPr>
        <w:t xml:space="preserve">We </w:t>
      </w:r>
      <w:r w:rsidR="007C7AAE">
        <w:rPr>
          <w:rFonts w:ascii="Franklin Gothic Book" w:hAnsi="Franklin Gothic Book"/>
          <w:b/>
          <w:bCs/>
          <w:i/>
          <w:iCs/>
        </w:rPr>
        <w:t>furthermore</w:t>
      </w:r>
      <w:r w:rsidR="00CF224E" w:rsidRPr="007C7AAE">
        <w:rPr>
          <w:rFonts w:ascii="Franklin Gothic Book" w:hAnsi="Franklin Gothic Book"/>
          <w:b/>
          <w:bCs/>
          <w:i/>
          <w:iCs/>
        </w:rPr>
        <w:t xml:space="preserve"> recommend </w:t>
      </w:r>
      <w:r w:rsidR="007C7AAE">
        <w:rPr>
          <w:rFonts w:ascii="Franklin Gothic Book" w:hAnsi="Franklin Gothic Book"/>
          <w:b/>
          <w:bCs/>
          <w:i/>
          <w:iCs/>
        </w:rPr>
        <w:t>exploring</w:t>
      </w:r>
      <w:r w:rsidRPr="007C7AAE">
        <w:rPr>
          <w:rFonts w:ascii="Franklin Gothic Book" w:hAnsi="Franklin Gothic Book"/>
          <w:b/>
          <w:bCs/>
          <w:i/>
          <w:iCs/>
        </w:rPr>
        <w:t xml:space="preserve"> </w:t>
      </w:r>
      <w:r w:rsidR="007C7AAE" w:rsidRPr="007C7AAE">
        <w:rPr>
          <w:rFonts w:ascii="Franklin Gothic Book" w:hAnsi="Franklin Gothic Book"/>
          <w:b/>
          <w:bCs/>
          <w:i/>
          <w:iCs/>
        </w:rPr>
        <w:t xml:space="preserve">further </w:t>
      </w:r>
      <w:r w:rsidRPr="007C7AAE">
        <w:rPr>
          <w:rFonts w:ascii="Franklin Gothic Book" w:hAnsi="Franklin Gothic Book"/>
          <w:b/>
          <w:bCs/>
          <w:i/>
          <w:iCs/>
        </w:rPr>
        <w:t xml:space="preserve">the potential of partnerships </w:t>
      </w:r>
      <w:r w:rsidR="007C7AAE">
        <w:rPr>
          <w:rFonts w:ascii="Franklin Gothic Book" w:hAnsi="Franklin Gothic Book"/>
          <w:b/>
          <w:bCs/>
          <w:i/>
          <w:iCs/>
        </w:rPr>
        <w:t xml:space="preserve">between libraries and other actors </w:t>
      </w:r>
      <w:r w:rsidRPr="007C7AAE">
        <w:rPr>
          <w:rFonts w:ascii="Franklin Gothic Book" w:hAnsi="Franklin Gothic Book"/>
          <w:b/>
          <w:bCs/>
          <w:i/>
          <w:iCs/>
        </w:rPr>
        <w:t>to create teaching and learning materials that can be used in schools, and to carry out and deliver educational activities in schools.</w:t>
      </w:r>
    </w:p>
    <w:p w14:paraId="2E7A84CE" w14:textId="77777777" w:rsidR="007C7AAE" w:rsidRDefault="007C7AAE" w:rsidP="002A2BCD">
      <w:pPr>
        <w:jc w:val="both"/>
        <w:rPr>
          <w:rFonts w:ascii="Franklin Gothic Book" w:hAnsi="Franklin Gothic Book"/>
          <w:b/>
          <w:bCs/>
        </w:rPr>
      </w:pPr>
    </w:p>
    <w:p w14:paraId="449F9349" w14:textId="5D5C06B7" w:rsidR="00B07F4B" w:rsidRDefault="00B07F4B" w:rsidP="002A2BCD">
      <w:pPr>
        <w:jc w:val="both"/>
        <w:rPr>
          <w:rFonts w:ascii="Franklin Gothic Book" w:hAnsi="Franklin Gothic Book"/>
          <w:b/>
          <w:bCs/>
        </w:rPr>
      </w:pPr>
      <w:r>
        <w:rPr>
          <w:rFonts w:ascii="Franklin Gothic Book" w:hAnsi="Franklin Gothic Book"/>
          <w:b/>
          <w:bCs/>
        </w:rPr>
        <w:t>Institutional Frameworks and Assessment Strategies</w:t>
      </w:r>
    </w:p>
    <w:p w14:paraId="2AC3BA7E" w14:textId="3BB6459B" w:rsidR="00CB1C58" w:rsidRDefault="006B13E0" w:rsidP="002A2BCD">
      <w:pPr>
        <w:jc w:val="both"/>
        <w:rPr>
          <w:rFonts w:ascii="Franklin Gothic Book" w:hAnsi="Franklin Gothic Book"/>
        </w:rPr>
      </w:pPr>
      <w:r>
        <w:rPr>
          <w:rFonts w:ascii="Franklin Gothic Book" w:hAnsi="Franklin Gothic Book"/>
        </w:rPr>
        <w:t>To ensure effective implementation of such partnerships and initiatives,</w:t>
      </w:r>
      <w:r w:rsidR="007C7AAE">
        <w:rPr>
          <w:rFonts w:ascii="Franklin Gothic Book" w:hAnsi="Franklin Gothic Book"/>
        </w:rPr>
        <w:t xml:space="preserve"> the inclusion of</w:t>
      </w:r>
      <w:r>
        <w:rPr>
          <w:rFonts w:ascii="Franklin Gothic Book" w:hAnsi="Franklin Gothic Book"/>
        </w:rPr>
        <w:t xml:space="preserve"> relevant clauses in institutional frameworks can be useful. </w:t>
      </w:r>
      <w:r w:rsidR="00CB1C58">
        <w:rPr>
          <w:rFonts w:ascii="Franklin Gothic Book" w:hAnsi="Franklin Gothic Book"/>
        </w:rPr>
        <w:t xml:space="preserve">In cooperation with relevant </w:t>
      </w:r>
      <w:r w:rsidR="00E961CF">
        <w:rPr>
          <w:rFonts w:ascii="Franklin Gothic Book" w:hAnsi="Franklin Gothic Book"/>
        </w:rPr>
        <w:t>stakeholders</w:t>
      </w:r>
      <w:r w:rsidR="00CB1C58">
        <w:rPr>
          <w:rFonts w:ascii="Franklin Gothic Book" w:hAnsi="Franklin Gothic Book"/>
        </w:rPr>
        <w:t>, IFLA has published a series of guidelines that have been developed to inform relevant decision-makers and offer guidance to the library community. Two of these guidelines can be relevant for the provision of cultural services in schools”</w:t>
      </w:r>
    </w:p>
    <w:p w14:paraId="37F7051C" w14:textId="4FF8B22F" w:rsidR="006B13E0" w:rsidRDefault="006462F4" w:rsidP="002A2BCD">
      <w:pPr>
        <w:jc w:val="both"/>
        <w:rPr>
          <w:rFonts w:ascii="Franklin Gothic Book" w:hAnsi="Franklin Gothic Book"/>
        </w:rPr>
      </w:pPr>
      <w:hyperlink r:id="rId23" w:history="1">
        <w:r w:rsidR="006B13E0" w:rsidRPr="006B13E0">
          <w:rPr>
            <w:rStyle w:val="Hyperlink"/>
            <w:rFonts w:ascii="Franklin Gothic Book" w:hAnsi="Franklin Gothic Book"/>
          </w:rPr>
          <w:t>The IFLA and UNESCO School Library Guidelines</w:t>
        </w:r>
      </w:hyperlink>
      <w:r w:rsidR="006B13E0">
        <w:rPr>
          <w:rFonts w:ascii="Franklin Gothic Book" w:hAnsi="Franklin Gothic Book"/>
        </w:rPr>
        <w:t xml:space="preserve"> specify the cultural functions of a school library:</w:t>
      </w:r>
    </w:p>
    <w:p w14:paraId="0C4CD015" w14:textId="28F300EA" w:rsidR="006B13E0" w:rsidRDefault="006B13E0" w:rsidP="002A2BCD">
      <w:pPr>
        <w:jc w:val="both"/>
        <w:rPr>
          <w:rFonts w:ascii="Franklin Gothic Book" w:hAnsi="Franklin Gothic Book"/>
        </w:rPr>
      </w:pPr>
      <w:r>
        <w:rPr>
          <w:rFonts w:ascii="Franklin Gothic Book" w:hAnsi="Franklin Gothic Book"/>
        </w:rPr>
        <w:t>“T</w:t>
      </w:r>
      <w:r w:rsidRPr="006B13E0">
        <w:rPr>
          <w:rFonts w:ascii="Franklin Gothic Book" w:hAnsi="Franklin Gothic Book"/>
        </w:rPr>
        <w:t>eachers and librarians work together in order to</w:t>
      </w:r>
      <w:r>
        <w:rPr>
          <w:rFonts w:ascii="Franklin Gothic Book" w:hAnsi="Franklin Gothic Book"/>
        </w:rPr>
        <w:t xml:space="preserve"> […] </w:t>
      </w:r>
      <w:r w:rsidRPr="006B13E0">
        <w:rPr>
          <w:rFonts w:ascii="Franklin Gothic Book" w:hAnsi="Franklin Gothic Book"/>
        </w:rPr>
        <w:t>prepare and carry out reading programmes and cultural events</w:t>
      </w:r>
      <w:r>
        <w:rPr>
          <w:rFonts w:ascii="Franklin Gothic Book" w:hAnsi="Franklin Gothic Book"/>
        </w:rPr>
        <w:t>”;</w:t>
      </w:r>
      <w:r w:rsidR="00CB1C58">
        <w:rPr>
          <w:rFonts w:ascii="Franklin Gothic Book" w:hAnsi="Franklin Gothic Book"/>
        </w:rPr>
        <w:t xml:space="preserve"> </w:t>
      </w:r>
      <w:r>
        <w:rPr>
          <w:rFonts w:ascii="Franklin Gothic Book" w:hAnsi="Franklin Gothic Book"/>
        </w:rPr>
        <w:t>“</w:t>
      </w:r>
      <w:r w:rsidRPr="006B13E0">
        <w:rPr>
          <w:rFonts w:ascii="Franklin Gothic Book" w:hAnsi="Franklin Gothic Book"/>
        </w:rPr>
        <w:t>The school librarian is expected to do the following</w:t>
      </w:r>
      <w:r>
        <w:rPr>
          <w:rFonts w:ascii="Franklin Gothic Book" w:hAnsi="Franklin Gothic Book"/>
        </w:rPr>
        <w:t xml:space="preserve">: […] </w:t>
      </w:r>
      <w:r w:rsidRPr="006B13E0">
        <w:rPr>
          <w:rFonts w:ascii="Franklin Gothic Book" w:hAnsi="Franklin Gothic Book"/>
        </w:rPr>
        <w:t>promote reading programmes and cultural events</w:t>
      </w:r>
      <w:r>
        <w:rPr>
          <w:rFonts w:ascii="Franklin Gothic Book" w:hAnsi="Franklin Gothic Book"/>
        </w:rPr>
        <w:t>”;</w:t>
      </w:r>
      <w:r w:rsidR="00CB1C58">
        <w:rPr>
          <w:rFonts w:ascii="Franklin Gothic Book" w:hAnsi="Franklin Gothic Book"/>
        </w:rPr>
        <w:t xml:space="preserve"> </w:t>
      </w:r>
      <w:r>
        <w:rPr>
          <w:rFonts w:ascii="Franklin Gothic Book" w:hAnsi="Franklin Gothic Book"/>
        </w:rPr>
        <w:t>“</w:t>
      </w:r>
      <w:r w:rsidRPr="006B13E0">
        <w:rPr>
          <w:rFonts w:ascii="Franklin Gothic Book" w:hAnsi="Franklin Gothic Book"/>
        </w:rPr>
        <w:t>The fundamental qualities and skills expected from the school library staff can</w:t>
      </w:r>
      <w:r w:rsidR="007C7AAE">
        <w:rPr>
          <w:rFonts w:ascii="Franklin Gothic Book" w:hAnsi="Franklin Gothic Book"/>
        </w:rPr>
        <w:t xml:space="preserve"> </w:t>
      </w:r>
      <w:r w:rsidRPr="006B13E0">
        <w:rPr>
          <w:rFonts w:ascii="Franklin Gothic Book" w:hAnsi="Franklin Gothic Book"/>
        </w:rPr>
        <w:t>be defined as follows:</w:t>
      </w:r>
      <w:r>
        <w:rPr>
          <w:rFonts w:ascii="Franklin Gothic Book" w:hAnsi="Franklin Gothic Book"/>
        </w:rPr>
        <w:t xml:space="preserve"> </w:t>
      </w:r>
      <w:r w:rsidR="00CB1C58">
        <w:rPr>
          <w:rFonts w:ascii="Franklin Gothic Book" w:hAnsi="Franklin Gothic Book"/>
        </w:rPr>
        <w:t xml:space="preserve">[…] </w:t>
      </w:r>
      <w:r w:rsidRPr="006B13E0">
        <w:rPr>
          <w:rFonts w:ascii="Franklin Gothic Book" w:hAnsi="Franklin Gothic Book"/>
        </w:rPr>
        <w:t>knowledge and understanding of cultural diversity</w:t>
      </w:r>
      <w:r>
        <w:rPr>
          <w:rFonts w:ascii="Franklin Gothic Book" w:hAnsi="Franklin Gothic Book"/>
        </w:rPr>
        <w:t>”.</w:t>
      </w:r>
    </w:p>
    <w:p w14:paraId="251C8404" w14:textId="520155FC" w:rsidR="007C7AAE" w:rsidRDefault="006462F4" w:rsidP="002A2BCD">
      <w:pPr>
        <w:jc w:val="both"/>
        <w:rPr>
          <w:rFonts w:ascii="Franklin Gothic Book" w:hAnsi="Franklin Gothic Book"/>
        </w:rPr>
      </w:pPr>
      <w:hyperlink r:id="rId24" w:history="1">
        <w:r w:rsidR="00CB1C58">
          <w:rPr>
            <w:rStyle w:val="Hyperlink"/>
            <w:rFonts w:ascii="Franklin Gothic Book" w:hAnsi="Franklin Gothic Book"/>
          </w:rPr>
          <w:t>T</w:t>
        </w:r>
        <w:r w:rsidR="006B13E0" w:rsidRPr="006B13E0">
          <w:rPr>
            <w:rStyle w:val="Hyperlink"/>
            <w:rFonts w:ascii="Franklin Gothic Book" w:hAnsi="Franklin Gothic Book"/>
          </w:rPr>
          <w:t>he IFLA Guidelines for Library Service to Multicultural Communities</w:t>
        </w:r>
      </w:hyperlink>
      <w:r w:rsidR="00CB1C58">
        <w:rPr>
          <w:rFonts w:ascii="Franklin Gothic Book" w:hAnsi="Franklin Gothic Book"/>
        </w:rPr>
        <w:t xml:space="preserve"> </w:t>
      </w:r>
      <w:r w:rsidR="006B13E0">
        <w:rPr>
          <w:rFonts w:ascii="Franklin Gothic Book" w:hAnsi="Franklin Gothic Book"/>
        </w:rPr>
        <w:t>apply to, inter alia, school libraries</w:t>
      </w:r>
      <w:r w:rsidR="00CB1C58">
        <w:rPr>
          <w:rFonts w:ascii="Franklin Gothic Book" w:hAnsi="Franklin Gothic Book"/>
        </w:rPr>
        <w:t>. The guidelines</w:t>
      </w:r>
      <w:r w:rsidR="006B13E0">
        <w:rPr>
          <w:rFonts w:ascii="Franklin Gothic Book" w:hAnsi="Franklin Gothic Book"/>
        </w:rPr>
        <w:t xml:space="preserve"> </w:t>
      </w:r>
      <w:r w:rsidR="00CB1C58">
        <w:rPr>
          <w:rFonts w:ascii="Franklin Gothic Book" w:hAnsi="Franklin Gothic Book"/>
        </w:rPr>
        <w:t>contain advice on how to carry out a needs assessment of a multicultural community, organise cooperation and resource-sharing, and develop collection that meet the needs of multicultural communities.</w:t>
      </w:r>
    </w:p>
    <w:p w14:paraId="4C0881A4" w14:textId="00FE7023" w:rsidR="00611FD7" w:rsidRPr="007C7AAE" w:rsidRDefault="00CB1C58" w:rsidP="00AB5F79">
      <w:pPr>
        <w:rPr>
          <w:rFonts w:ascii="Franklin Gothic Book" w:hAnsi="Franklin Gothic Book"/>
          <w:i/>
          <w:iCs/>
          <w:lang w:val="en-US"/>
        </w:rPr>
      </w:pPr>
      <w:bookmarkStart w:id="0" w:name="_GoBack"/>
      <w:r w:rsidRPr="007C7AAE">
        <w:rPr>
          <w:rFonts w:ascii="Franklin Gothic Book" w:hAnsi="Franklin Gothic Book"/>
          <w:b/>
          <w:bCs/>
          <w:i/>
          <w:iCs/>
          <w:lang w:val="en-US"/>
        </w:rPr>
        <w:t xml:space="preserve">We therefore invite relevant decision-makers to </w:t>
      </w:r>
      <w:r w:rsidR="007C7AAE">
        <w:rPr>
          <w:rFonts w:ascii="Franklin Gothic Book" w:hAnsi="Franklin Gothic Book"/>
          <w:b/>
          <w:bCs/>
          <w:i/>
          <w:iCs/>
          <w:lang w:val="en-US"/>
        </w:rPr>
        <w:t xml:space="preserve">recognise the importance of the availability and accessibility (including affordability) of materials from diverse cultural experiences in education, and to </w:t>
      </w:r>
      <w:r w:rsidR="00343E0E">
        <w:rPr>
          <w:rFonts w:ascii="Franklin Gothic Book" w:hAnsi="Franklin Gothic Book"/>
          <w:b/>
          <w:bCs/>
          <w:i/>
          <w:iCs/>
          <w:lang w:val="en-US"/>
        </w:rPr>
        <w:t xml:space="preserve">ensure that legal frameworks make it possible to build cooperation between libraries and schools and other relevant actors. In doing this, we recommend making </w:t>
      </w:r>
      <w:r w:rsidRPr="007C7AAE">
        <w:rPr>
          <w:rFonts w:ascii="Franklin Gothic Book" w:hAnsi="Franklin Gothic Book"/>
          <w:b/>
          <w:bCs/>
          <w:i/>
          <w:iCs/>
          <w:lang w:val="en-US"/>
        </w:rPr>
        <w:t>use of these guidelines to plan and implement library services that can deliver on the cultural dimensions of educational rights.</w:t>
      </w:r>
      <w:bookmarkEnd w:id="0"/>
    </w:p>
    <w:sectPr w:rsidR="00611FD7" w:rsidRPr="007C7AAE" w:rsidSect="00E261EF">
      <w:headerReference w:type="default" r:id="rId25"/>
      <w:footerReference w:type="defaul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DDB82" w14:textId="77777777" w:rsidR="00A60512" w:rsidRDefault="00A60512" w:rsidP="00AB5F79">
      <w:pPr>
        <w:spacing w:after="0" w:line="240" w:lineRule="auto"/>
      </w:pPr>
      <w:r>
        <w:separator/>
      </w:r>
    </w:p>
  </w:endnote>
  <w:endnote w:type="continuationSeparator" w:id="0">
    <w:p w14:paraId="1AA22BD5" w14:textId="77777777" w:rsidR="00A60512" w:rsidRDefault="00A60512" w:rsidP="00AB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Book" w:hAnsi="Franklin Gothic Book"/>
      </w:rPr>
      <w:id w:val="496850341"/>
      <w:docPartObj>
        <w:docPartGallery w:val="Page Numbers (Bottom of Page)"/>
        <w:docPartUnique/>
      </w:docPartObj>
    </w:sdtPr>
    <w:sdtEndPr>
      <w:rPr>
        <w:noProof/>
      </w:rPr>
    </w:sdtEndPr>
    <w:sdtContent>
      <w:p w14:paraId="5BAC5EE4" w14:textId="4D876658" w:rsidR="00E261EF" w:rsidRPr="00E261EF" w:rsidRDefault="00E261EF">
        <w:pPr>
          <w:pStyle w:val="Footer"/>
          <w:jc w:val="center"/>
          <w:rPr>
            <w:rFonts w:ascii="Franklin Gothic Book" w:hAnsi="Franklin Gothic Book"/>
          </w:rPr>
        </w:pPr>
        <w:r w:rsidRPr="00E261EF">
          <w:rPr>
            <w:rFonts w:ascii="Franklin Gothic Book" w:hAnsi="Franklin Gothic Book"/>
          </w:rPr>
          <w:fldChar w:fldCharType="begin"/>
        </w:r>
        <w:r w:rsidRPr="00E261EF">
          <w:rPr>
            <w:rFonts w:ascii="Franklin Gothic Book" w:hAnsi="Franklin Gothic Book"/>
          </w:rPr>
          <w:instrText xml:space="preserve"> PAGE   \* MERGEFORMAT </w:instrText>
        </w:r>
        <w:r w:rsidRPr="00E261EF">
          <w:rPr>
            <w:rFonts w:ascii="Franklin Gothic Book" w:hAnsi="Franklin Gothic Book"/>
          </w:rPr>
          <w:fldChar w:fldCharType="separate"/>
        </w:r>
        <w:r w:rsidR="006462F4">
          <w:rPr>
            <w:rFonts w:ascii="Franklin Gothic Book" w:hAnsi="Franklin Gothic Book"/>
            <w:noProof/>
          </w:rPr>
          <w:t>2</w:t>
        </w:r>
        <w:r w:rsidRPr="00E261EF">
          <w:rPr>
            <w:rFonts w:ascii="Franklin Gothic Book" w:hAnsi="Franklin Gothic Book"/>
            <w:noProof/>
          </w:rPr>
          <w:fldChar w:fldCharType="end"/>
        </w:r>
      </w:p>
    </w:sdtContent>
  </w:sdt>
  <w:p w14:paraId="558B317F" w14:textId="326679C1" w:rsidR="00E261EF" w:rsidRPr="00E261EF" w:rsidRDefault="00E261E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15595516"/>
      <w:docPartObj>
        <w:docPartGallery w:val="Page Numbers (Bottom of Page)"/>
        <w:docPartUnique/>
      </w:docPartObj>
    </w:sdtPr>
    <w:sdtEndPr>
      <w:rPr>
        <w:rFonts w:ascii="Franklin Gothic Book" w:hAnsi="Franklin Gothic Book"/>
        <w:noProof/>
        <w:sz w:val="22"/>
        <w:szCs w:val="22"/>
      </w:rPr>
    </w:sdtEndPr>
    <w:sdtContent>
      <w:p w14:paraId="1291632F" w14:textId="15253AB7" w:rsidR="00E261EF" w:rsidRPr="00E261EF" w:rsidRDefault="00E261EF">
        <w:pPr>
          <w:pStyle w:val="Footer"/>
          <w:jc w:val="center"/>
          <w:rPr>
            <w:rFonts w:ascii="Franklin Gothic Book" w:hAnsi="Franklin Gothic Book"/>
          </w:rPr>
        </w:pPr>
        <w:r w:rsidRPr="00E261EF">
          <w:rPr>
            <w:rFonts w:ascii="Franklin Gothic Book" w:hAnsi="Franklin Gothic Book"/>
          </w:rPr>
          <w:fldChar w:fldCharType="begin"/>
        </w:r>
        <w:r w:rsidRPr="00E261EF">
          <w:rPr>
            <w:rFonts w:ascii="Franklin Gothic Book" w:hAnsi="Franklin Gothic Book"/>
          </w:rPr>
          <w:instrText xml:space="preserve"> PAGE   \* MERGEFORMAT </w:instrText>
        </w:r>
        <w:r w:rsidRPr="00E261EF">
          <w:rPr>
            <w:rFonts w:ascii="Franklin Gothic Book" w:hAnsi="Franklin Gothic Book"/>
          </w:rPr>
          <w:fldChar w:fldCharType="separate"/>
        </w:r>
        <w:r w:rsidR="006462F4">
          <w:rPr>
            <w:rFonts w:ascii="Franklin Gothic Book" w:hAnsi="Franklin Gothic Book"/>
            <w:noProof/>
          </w:rPr>
          <w:t>1</w:t>
        </w:r>
        <w:r w:rsidRPr="00E261EF">
          <w:rPr>
            <w:rFonts w:ascii="Franklin Gothic Book" w:hAnsi="Franklin Gothic Book"/>
            <w:noProof/>
          </w:rPr>
          <w:fldChar w:fldCharType="end"/>
        </w:r>
      </w:p>
    </w:sdtContent>
  </w:sdt>
  <w:p w14:paraId="0A6CC158" w14:textId="77777777" w:rsidR="00E261EF" w:rsidRDefault="00E2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EA868" w14:textId="77777777" w:rsidR="00A60512" w:rsidRDefault="00A60512" w:rsidP="00AB5F79">
      <w:pPr>
        <w:spacing w:after="0" w:line="240" w:lineRule="auto"/>
      </w:pPr>
      <w:r>
        <w:separator/>
      </w:r>
    </w:p>
  </w:footnote>
  <w:footnote w:type="continuationSeparator" w:id="0">
    <w:p w14:paraId="3DA3A97D" w14:textId="77777777" w:rsidR="00A60512" w:rsidRDefault="00A60512" w:rsidP="00AB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88BD" w14:textId="5CB2233C" w:rsidR="00AB5F79" w:rsidRDefault="00343E0E" w:rsidP="00AB5F79">
    <w:pPr>
      <w:pStyle w:val="Header"/>
    </w:pPr>
    <w:r w:rsidRPr="002C4660">
      <w:rPr>
        <w:noProof/>
        <w:lang w:eastAsia="en-GB"/>
      </w:rPr>
      <w:drawing>
        <wp:anchor distT="0" distB="0" distL="114300" distR="114300" simplePos="0" relativeHeight="251659264" behindDoc="0" locked="0" layoutInCell="1" allowOverlap="1" wp14:anchorId="315E8C68" wp14:editId="57C95EA9">
          <wp:simplePos x="0" y="0"/>
          <wp:positionH relativeFrom="margin">
            <wp:posOffset>-298450</wp:posOffset>
          </wp:positionH>
          <wp:positionV relativeFrom="paragraph">
            <wp:posOffset>-151130</wp:posOffset>
          </wp:positionV>
          <wp:extent cx="320040" cy="34290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0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E15" w:rsidRPr="002C4660">
      <w:rPr>
        <w:noProof/>
        <w:lang w:eastAsia="en-GB"/>
      </w:rPr>
      <mc:AlternateContent>
        <mc:Choice Requires="wps">
          <w:drawing>
            <wp:anchor distT="45720" distB="45720" distL="114300" distR="114300" simplePos="0" relativeHeight="251660288" behindDoc="0" locked="0" layoutInCell="1" allowOverlap="1" wp14:anchorId="00702F5A" wp14:editId="47E8823E">
              <wp:simplePos x="0" y="0"/>
              <wp:positionH relativeFrom="margin">
                <wp:align>left</wp:align>
              </wp:positionH>
              <wp:positionV relativeFrom="paragraph">
                <wp:posOffset>-198755</wp:posOffset>
              </wp:positionV>
              <wp:extent cx="6409426" cy="414068"/>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426" cy="414068"/>
                      </a:xfrm>
                      <a:prstGeom prst="rect">
                        <a:avLst/>
                      </a:prstGeom>
                      <a:noFill/>
                      <a:ln w="9525">
                        <a:noFill/>
                        <a:miter lim="800000"/>
                        <a:headEnd/>
                        <a:tailEnd/>
                      </a:ln>
                    </wps:spPr>
                    <wps:txbx>
                      <w:txbxContent>
                        <w:p w14:paraId="236A719F" w14:textId="77777777" w:rsidR="00343E0E" w:rsidRPr="00343E0E" w:rsidRDefault="008C6E15" w:rsidP="00343E0E">
                          <w:pPr>
                            <w:spacing w:after="0"/>
                            <w:rPr>
                              <w:rFonts w:ascii="Univers" w:hAnsi="Univers" w:cs="Times New Roman"/>
                              <w:sz w:val="18"/>
                              <w:szCs w:val="18"/>
                            </w:rPr>
                          </w:pPr>
                          <w:r w:rsidRPr="00343E0E">
                            <w:rPr>
                              <w:rFonts w:ascii="Univers" w:hAnsi="Univers" w:cs="Times New Roman"/>
                              <w:sz w:val="18"/>
                              <w:szCs w:val="18"/>
                            </w:rPr>
                            <w:t>The Cultural Dimension of the Right to Education</w:t>
                          </w:r>
                        </w:p>
                        <w:p w14:paraId="0AC13804" w14:textId="5B6BE2D8" w:rsidR="008C6E15" w:rsidRPr="00343E0E" w:rsidRDefault="00343E0E" w:rsidP="00343E0E">
                          <w:pPr>
                            <w:spacing w:after="0"/>
                            <w:rPr>
                              <w:rFonts w:ascii="Univers" w:hAnsi="Univers" w:cs="Times New Roman"/>
                              <w:sz w:val="16"/>
                              <w:szCs w:val="16"/>
                            </w:rPr>
                          </w:pPr>
                          <w:r w:rsidRPr="00343E0E">
                            <w:rPr>
                              <w:rFonts w:ascii="Univers" w:hAnsi="Univers" w:cs="Times New Roman"/>
                              <w:sz w:val="16"/>
                              <w:szCs w:val="16"/>
                            </w:rPr>
                            <w:t>IFLA Response to the Call for Submissions by the Special Rapporteur</w:t>
                          </w:r>
                        </w:p>
                        <w:p w14:paraId="1B76C02B" w14:textId="77777777" w:rsidR="00AB5F79" w:rsidRPr="002C4660" w:rsidRDefault="00AB5F79" w:rsidP="00343E0E">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02F5A" id="_x0000_t202" coordsize="21600,21600" o:spt="202" path="m,l,21600r21600,l21600,xe">
              <v:stroke joinstyle="miter"/>
              <v:path gradientshapeok="t" o:connecttype="rect"/>
            </v:shapetype>
            <v:shape id="_x0000_s1028" type="#_x0000_t202" style="position:absolute;margin-left:0;margin-top:-15.65pt;width:504.7pt;height:32.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" filled="f" stroked="f">
              <v:textbox>
                <w:txbxContent>
                  <w:p w14:paraId="236A719F" w14:textId="77777777" w:rsidR="00343E0E" w:rsidRPr="00343E0E" w:rsidRDefault="008C6E15" w:rsidP="00343E0E">
                    <w:pPr>
                      <w:spacing w:after="0"/>
                      <w:rPr>
                        <w:rFonts w:ascii="Univers" w:hAnsi="Univers" w:cs="Times New Roman"/>
                        <w:sz w:val="18"/>
                        <w:szCs w:val="18"/>
                      </w:rPr>
                    </w:pPr>
                    <w:r w:rsidRPr="00343E0E">
                      <w:rPr>
                        <w:rFonts w:ascii="Univers" w:hAnsi="Univers" w:cs="Times New Roman"/>
                        <w:sz w:val="18"/>
                        <w:szCs w:val="18"/>
                      </w:rPr>
                      <w:t>The Cultural Dimension of the Right to Education</w:t>
                    </w:r>
                  </w:p>
                  <w:p w14:paraId="0AC13804" w14:textId="5B6BE2D8" w:rsidR="008C6E15" w:rsidRPr="00343E0E" w:rsidRDefault="00343E0E" w:rsidP="00343E0E">
                    <w:pPr>
                      <w:spacing w:after="0"/>
                      <w:rPr>
                        <w:rFonts w:ascii="Univers" w:hAnsi="Univers" w:cs="Times New Roman"/>
                        <w:sz w:val="16"/>
                        <w:szCs w:val="16"/>
                      </w:rPr>
                    </w:pPr>
                    <w:r w:rsidRPr="00343E0E">
                      <w:rPr>
                        <w:rFonts w:ascii="Univers" w:hAnsi="Univers" w:cs="Times New Roman"/>
                        <w:sz w:val="16"/>
                        <w:szCs w:val="16"/>
                      </w:rPr>
                      <w:t>IFLA Response to the Call for Submissions by the Special Rapporteur</w:t>
                    </w:r>
                  </w:p>
                  <w:p w14:paraId="1B76C02B" w14:textId="77777777" w:rsidR="00AB5F79" w:rsidRPr="002C4660" w:rsidRDefault="00AB5F79" w:rsidP="00343E0E">
                    <w:pPr>
                      <w:spacing w:after="0"/>
                      <w:rPr>
                        <w:sz w:val="20"/>
                        <w:szCs w:val="20"/>
                      </w:rPr>
                    </w:pPr>
                  </w:p>
                </w:txbxContent>
              </v:textbox>
              <w10:wrap anchorx="margin"/>
            </v:shape>
          </w:pict>
        </mc:Fallback>
      </mc:AlternateContent>
    </w:r>
  </w:p>
  <w:p w14:paraId="038CC6FE" w14:textId="77777777" w:rsidR="00AB5F79" w:rsidRDefault="00AB5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79"/>
    <w:rsid w:val="00084497"/>
    <w:rsid w:val="0013740B"/>
    <w:rsid w:val="001D3F4D"/>
    <w:rsid w:val="001E3793"/>
    <w:rsid w:val="002257D6"/>
    <w:rsid w:val="002A2BCD"/>
    <w:rsid w:val="00340A41"/>
    <w:rsid w:val="00343E0E"/>
    <w:rsid w:val="00611FD7"/>
    <w:rsid w:val="00643ABF"/>
    <w:rsid w:val="006462F4"/>
    <w:rsid w:val="006B13E0"/>
    <w:rsid w:val="007C7AAE"/>
    <w:rsid w:val="008C6E15"/>
    <w:rsid w:val="00904164"/>
    <w:rsid w:val="00A60512"/>
    <w:rsid w:val="00AB5F79"/>
    <w:rsid w:val="00B07F4B"/>
    <w:rsid w:val="00C40079"/>
    <w:rsid w:val="00C7075A"/>
    <w:rsid w:val="00CB1C58"/>
    <w:rsid w:val="00CF224E"/>
    <w:rsid w:val="00E261EF"/>
    <w:rsid w:val="00E961CF"/>
    <w:rsid w:val="00EA52EA"/>
    <w:rsid w:val="00EC1A00"/>
    <w:rsid w:val="00EC1B24"/>
    <w:rsid w:val="00F62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23C80"/>
  <w15:chartTrackingRefBased/>
  <w15:docId w15:val="{22EAB963-A0E3-4C68-A520-191DF0FC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6E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43A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F79"/>
    <w:rPr>
      <w:lang w:val="en-GB"/>
    </w:rPr>
  </w:style>
  <w:style w:type="paragraph" w:styleId="Footer">
    <w:name w:val="footer"/>
    <w:basedOn w:val="Normal"/>
    <w:link w:val="FooterChar"/>
    <w:uiPriority w:val="99"/>
    <w:unhideWhenUsed/>
    <w:rsid w:val="00AB5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F79"/>
    <w:rPr>
      <w:lang w:val="en-GB"/>
    </w:rPr>
  </w:style>
  <w:style w:type="character" w:customStyle="1" w:styleId="Heading3Char">
    <w:name w:val="Heading 3 Char"/>
    <w:basedOn w:val="DefaultParagraphFont"/>
    <w:link w:val="Heading3"/>
    <w:uiPriority w:val="9"/>
    <w:rsid w:val="00643AB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C1B24"/>
    <w:rPr>
      <w:color w:val="0563C1" w:themeColor="hyperlink"/>
      <w:u w:val="single"/>
    </w:rPr>
  </w:style>
  <w:style w:type="character" w:customStyle="1" w:styleId="UnresolvedMention">
    <w:name w:val="Unresolved Mention"/>
    <w:basedOn w:val="DefaultParagraphFont"/>
    <w:uiPriority w:val="99"/>
    <w:semiHidden/>
    <w:unhideWhenUsed/>
    <w:rsid w:val="00EC1B24"/>
    <w:rPr>
      <w:color w:val="605E5C"/>
      <w:shd w:val="clear" w:color="auto" w:fill="E1DFDD"/>
    </w:rPr>
  </w:style>
  <w:style w:type="character" w:styleId="CommentReference">
    <w:name w:val="annotation reference"/>
    <w:basedOn w:val="DefaultParagraphFont"/>
    <w:uiPriority w:val="99"/>
    <w:semiHidden/>
    <w:unhideWhenUsed/>
    <w:rsid w:val="00B07F4B"/>
    <w:rPr>
      <w:sz w:val="16"/>
      <w:szCs w:val="16"/>
    </w:rPr>
  </w:style>
  <w:style w:type="paragraph" w:styleId="CommentText">
    <w:name w:val="annotation text"/>
    <w:basedOn w:val="Normal"/>
    <w:link w:val="CommentTextChar"/>
    <w:uiPriority w:val="99"/>
    <w:semiHidden/>
    <w:unhideWhenUsed/>
    <w:rsid w:val="00B07F4B"/>
    <w:pPr>
      <w:spacing w:line="240" w:lineRule="auto"/>
    </w:pPr>
    <w:rPr>
      <w:sz w:val="20"/>
      <w:szCs w:val="20"/>
    </w:rPr>
  </w:style>
  <w:style w:type="character" w:customStyle="1" w:styleId="CommentTextChar">
    <w:name w:val="Comment Text Char"/>
    <w:basedOn w:val="DefaultParagraphFont"/>
    <w:link w:val="CommentText"/>
    <w:uiPriority w:val="99"/>
    <w:semiHidden/>
    <w:rsid w:val="00B07F4B"/>
    <w:rPr>
      <w:sz w:val="20"/>
      <w:szCs w:val="20"/>
      <w:lang w:val="en-GB"/>
    </w:rPr>
  </w:style>
  <w:style w:type="paragraph" w:styleId="CommentSubject">
    <w:name w:val="annotation subject"/>
    <w:basedOn w:val="CommentText"/>
    <w:next w:val="CommentText"/>
    <w:link w:val="CommentSubjectChar"/>
    <w:uiPriority w:val="99"/>
    <w:semiHidden/>
    <w:unhideWhenUsed/>
    <w:rsid w:val="00B07F4B"/>
    <w:rPr>
      <w:b/>
      <w:bCs/>
    </w:rPr>
  </w:style>
  <w:style w:type="character" w:customStyle="1" w:styleId="CommentSubjectChar">
    <w:name w:val="Comment Subject Char"/>
    <w:basedOn w:val="CommentTextChar"/>
    <w:link w:val="CommentSubject"/>
    <w:uiPriority w:val="99"/>
    <w:semiHidden/>
    <w:rsid w:val="00B07F4B"/>
    <w:rPr>
      <w:b/>
      <w:bCs/>
      <w:sz w:val="20"/>
      <w:szCs w:val="20"/>
      <w:lang w:val="en-GB"/>
    </w:rPr>
  </w:style>
  <w:style w:type="paragraph" w:styleId="BalloonText">
    <w:name w:val="Balloon Text"/>
    <w:basedOn w:val="Normal"/>
    <w:link w:val="BalloonTextChar"/>
    <w:uiPriority w:val="99"/>
    <w:semiHidden/>
    <w:unhideWhenUsed/>
    <w:rsid w:val="00B07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F4B"/>
    <w:rPr>
      <w:rFonts w:ascii="Segoe UI" w:hAnsi="Segoe UI" w:cs="Segoe UI"/>
      <w:sz w:val="18"/>
      <w:szCs w:val="18"/>
      <w:lang w:val="en-GB"/>
    </w:rPr>
  </w:style>
  <w:style w:type="character" w:styleId="FollowedHyperlink">
    <w:name w:val="FollowedHyperlink"/>
    <w:basedOn w:val="DefaultParagraphFont"/>
    <w:uiPriority w:val="99"/>
    <w:semiHidden/>
    <w:unhideWhenUsed/>
    <w:rsid w:val="00C40079"/>
    <w:rPr>
      <w:color w:val="954F72" w:themeColor="followedHyperlink"/>
      <w:u w:val="single"/>
    </w:rPr>
  </w:style>
  <w:style w:type="character" w:customStyle="1" w:styleId="Heading1Char">
    <w:name w:val="Heading 1 Char"/>
    <w:basedOn w:val="DefaultParagraphFont"/>
    <w:link w:val="Heading1"/>
    <w:uiPriority w:val="9"/>
    <w:rsid w:val="008C6E15"/>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8875">
      <w:bodyDiv w:val="1"/>
      <w:marLeft w:val="0"/>
      <w:marRight w:val="0"/>
      <w:marTop w:val="0"/>
      <w:marBottom w:val="0"/>
      <w:divBdr>
        <w:top w:val="none" w:sz="0" w:space="0" w:color="auto"/>
        <w:left w:val="none" w:sz="0" w:space="0" w:color="auto"/>
        <w:bottom w:val="none" w:sz="0" w:space="0" w:color="auto"/>
        <w:right w:val="none" w:sz="0" w:space="0" w:color="auto"/>
      </w:divBdr>
    </w:div>
    <w:div w:id="522866487">
      <w:bodyDiv w:val="1"/>
      <w:marLeft w:val="0"/>
      <w:marRight w:val="0"/>
      <w:marTop w:val="0"/>
      <w:marBottom w:val="0"/>
      <w:divBdr>
        <w:top w:val="none" w:sz="0" w:space="0" w:color="auto"/>
        <w:left w:val="none" w:sz="0" w:space="0" w:color="auto"/>
        <w:bottom w:val="none" w:sz="0" w:space="0" w:color="auto"/>
        <w:right w:val="none" w:sz="0" w:space="0" w:color="auto"/>
      </w:divBdr>
    </w:div>
    <w:div w:id="1244341781">
      <w:bodyDiv w:val="1"/>
      <w:marLeft w:val="0"/>
      <w:marRight w:val="0"/>
      <w:marTop w:val="0"/>
      <w:marBottom w:val="0"/>
      <w:divBdr>
        <w:top w:val="none" w:sz="0" w:space="0" w:color="auto"/>
        <w:left w:val="none" w:sz="0" w:space="0" w:color="auto"/>
        <w:bottom w:val="none" w:sz="0" w:space="0" w:color="auto"/>
        <w:right w:val="none" w:sz="0" w:space="0" w:color="auto"/>
      </w:divBdr>
    </w:div>
    <w:div w:id="1575434927">
      <w:bodyDiv w:val="1"/>
      <w:marLeft w:val="0"/>
      <w:marRight w:val="0"/>
      <w:marTop w:val="0"/>
      <w:marBottom w:val="0"/>
      <w:divBdr>
        <w:top w:val="none" w:sz="0" w:space="0" w:color="auto"/>
        <w:left w:val="none" w:sz="0" w:space="0" w:color="auto"/>
        <w:bottom w:val="none" w:sz="0" w:space="0" w:color="auto"/>
        <w:right w:val="none" w:sz="0" w:space="0" w:color="auto"/>
      </w:divBdr>
    </w:div>
    <w:div w:id="1615476845">
      <w:bodyDiv w:val="1"/>
      <w:marLeft w:val="0"/>
      <w:marRight w:val="0"/>
      <w:marTop w:val="0"/>
      <w:marBottom w:val="0"/>
      <w:divBdr>
        <w:top w:val="none" w:sz="0" w:space="0" w:color="auto"/>
        <w:left w:val="none" w:sz="0" w:space="0" w:color="auto"/>
        <w:bottom w:val="none" w:sz="0" w:space="0" w:color="auto"/>
        <w:right w:val="none" w:sz="0" w:space="0" w:color="auto"/>
      </w:divBdr>
    </w:div>
    <w:div w:id="2040008919">
      <w:bodyDiv w:val="1"/>
      <w:marLeft w:val="0"/>
      <w:marRight w:val="0"/>
      <w:marTop w:val="0"/>
      <w:marBottom w:val="0"/>
      <w:divBdr>
        <w:top w:val="none" w:sz="0" w:space="0" w:color="auto"/>
        <w:left w:val="none" w:sz="0" w:space="0" w:color="auto"/>
        <w:bottom w:val="none" w:sz="0" w:space="0" w:color="auto"/>
        <w:right w:val="none" w:sz="0" w:space="0" w:color="auto"/>
      </w:divBdr>
    </w:div>
    <w:div w:id="21138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la.org/publications/iflaunesco-public-library-manifesto-1994" TargetMode="External"/><Relationship Id="rId18" Type="http://schemas.openxmlformats.org/officeDocument/2006/relationships/hyperlink" Target="https://rm.coe.int/armeniapr5-en-docx/1680955a3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fla.org/files/assets/indigenous-matters/publications/indigenous-librarianship-2013.pdf" TargetMode="External"/><Relationship Id="rId7" Type="http://schemas.openxmlformats.org/officeDocument/2006/relationships/footnotes" Target="footnotes.xml"/><Relationship Id="rId12" Type="http://schemas.openxmlformats.org/officeDocument/2006/relationships/hyperlink" Target="https://www.ifla.org/files/assets/hq/publications/ifla_response_to_consultation_by_the_special_rapporteur_for_cultural_rights.pdf" TargetMode="External"/><Relationship Id="rId17" Type="http://schemas.openxmlformats.org/officeDocument/2006/relationships/hyperlink" Target="https://rm.coe.int/16806c8e1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mi.de/fileadmin/redakteure/publications/pdf/Issue__Brief_37.pdf" TargetMode="External"/><Relationship Id="rId20" Type="http://schemas.openxmlformats.org/officeDocument/2006/relationships/hyperlink" Target="https://www.ifla.org/node/9237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professionalinterest/pages/crc.aspx" TargetMode="External"/><Relationship Id="rId24" Type="http://schemas.openxmlformats.org/officeDocument/2006/relationships/hyperlink" Target="https://www.ifla.org/files/assets/library-services-to-multicultural-populations/publications/multicultural-communities-en.pdf" TargetMode="External"/><Relationship Id="rId5" Type="http://schemas.openxmlformats.org/officeDocument/2006/relationships/settings" Target="settings.xml"/><Relationship Id="rId15" Type="http://schemas.openxmlformats.org/officeDocument/2006/relationships/hyperlink" Target="http://library.ifla.org/1747/1/138-phillips-en.pdf" TargetMode="External"/><Relationship Id="rId23" Type="http://schemas.openxmlformats.org/officeDocument/2006/relationships/hyperlink" Target="https://www.ifla.org/files/assets/hq/publications/professional-report/77.pdf" TargetMode="External"/><Relationship Id="rId28" Type="http://schemas.openxmlformats.org/officeDocument/2006/relationships/fontTable" Target="fontTable.xml"/><Relationship Id="rId10" Type="http://schemas.openxmlformats.org/officeDocument/2006/relationships/hyperlink" Target="http://docstore.ohchr.org/SelfServices/FilesHandler.ashx?enc=4slQ6QSmlBEDzFEovLCuW1a0Szab0oXTdImnsJZZVQc5ReG9hKvddWC2ML5U76E63nT%2BeY%2BtmSVIRS0ynN0q4EDmpjJye7rC1DxEtC%2FGxx7WLBcmnxGwpWSXy0fmnHDS" TargetMode="External"/><Relationship Id="rId19" Type="http://schemas.openxmlformats.org/officeDocument/2006/relationships/hyperlink" Target="http://library.ifla.org/2682/1/s06-2019-goryte-e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fla.org/publications/node/81998" TargetMode="External"/><Relationship Id="rId22" Type="http://schemas.openxmlformats.org/officeDocument/2006/relationships/hyperlink" Target="https://beyondaccess.net/2016/06/09/creating-local-language-materials-through-libraries-in-the-philippine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7C205-CF93-4FFF-BA5E-880D45F016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F66F01-71A5-4C78-84F8-DFE37D7D53E2}"/>
</file>

<file path=customXml/itemProps3.xml><?xml version="1.0" encoding="utf-8"?>
<ds:datastoreItem xmlns:ds="http://schemas.openxmlformats.org/officeDocument/2006/customXml" ds:itemID="{8684F63F-B2F9-4FD6-A806-3029CAF75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Valensiya Dresvyannikova</dc:creator>
  <cp:keywords/>
  <dc:description/>
  <cp:lastModifiedBy>mbidault@ohchr.org</cp:lastModifiedBy>
  <cp:revision>2</cp:revision>
  <dcterms:created xsi:type="dcterms:W3CDTF">2021-03-15T08:59:00Z</dcterms:created>
  <dcterms:modified xsi:type="dcterms:W3CDTF">2021-03-15T08:59:00Z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