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169" w:rsidRDefault="00A53169" w:rsidP="00A53169">
      <w:pPr>
        <w:jc w:val="center"/>
        <w:rPr>
          <w:rFonts w:ascii="Arial" w:hAnsi="Arial" w:cs="Arial"/>
          <w:b/>
          <w:u w:val="single"/>
        </w:rPr>
      </w:pPr>
      <w:bookmarkStart w:id="0" w:name="_GoBack"/>
      <w:bookmarkEnd w:id="0"/>
    </w:p>
    <w:p w:rsidR="00072894" w:rsidRDefault="00072894" w:rsidP="00A53169">
      <w:pPr>
        <w:jc w:val="center"/>
        <w:rPr>
          <w:rFonts w:ascii="Arial" w:hAnsi="Arial" w:cs="Arial"/>
          <w:b/>
          <w:u w:val="single"/>
        </w:rPr>
      </w:pPr>
    </w:p>
    <w:p w:rsidR="00072894" w:rsidRDefault="00072894" w:rsidP="00A53169">
      <w:pPr>
        <w:jc w:val="center"/>
        <w:rPr>
          <w:rFonts w:ascii="Arial" w:hAnsi="Arial" w:cs="Arial"/>
          <w:b/>
          <w:u w:val="single"/>
        </w:rPr>
      </w:pPr>
    </w:p>
    <w:p w:rsidR="00072894" w:rsidRPr="007218E4" w:rsidRDefault="00072894" w:rsidP="00A53169">
      <w:pPr>
        <w:jc w:val="center"/>
        <w:rPr>
          <w:rFonts w:ascii="Arial" w:hAnsi="Arial" w:cs="Arial"/>
          <w:b/>
          <w:u w:val="single"/>
        </w:rPr>
      </w:pPr>
    </w:p>
    <w:p w:rsidR="00A53169" w:rsidRPr="007218E4" w:rsidRDefault="002B58BE" w:rsidP="00A53169">
      <w:pPr>
        <w:jc w:val="center"/>
        <w:rPr>
          <w:rFonts w:ascii="Arial" w:hAnsi="Arial" w:cs="Arial"/>
          <w:b/>
          <w:u w:val="single"/>
        </w:rPr>
      </w:pPr>
      <w:r>
        <w:rPr>
          <w:rFonts w:ascii="Arial" w:hAnsi="Arial" w:cs="Arial"/>
          <w:b/>
          <w:u w:val="single"/>
        </w:rPr>
        <w:t>Respuesta de España al cuestionario del Relator Especial sobre</w:t>
      </w:r>
      <w:r w:rsidR="00A53169" w:rsidRPr="007218E4">
        <w:rPr>
          <w:rFonts w:ascii="Arial" w:hAnsi="Arial" w:cs="Arial"/>
          <w:b/>
          <w:u w:val="single"/>
        </w:rPr>
        <w:t xml:space="preserve"> </w:t>
      </w:r>
      <w:r w:rsidRPr="002B58BE">
        <w:rPr>
          <w:rFonts w:ascii="Arial" w:hAnsi="Arial" w:cs="Arial"/>
          <w:b/>
          <w:u w:val="single"/>
        </w:rPr>
        <w:t xml:space="preserve">los derechos humanos y las sustancias y desechos peligrosos </w:t>
      </w:r>
      <w:r w:rsidR="00A53169" w:rsidRPr="007218E4">
        <w:rPr>
          <w:rFonts w:ascii="Arial" w:hAnsi="Arial" w:cs="Arial"/>
          <w:b/>
          <w:u w:val="single"/>
        </w:rPr>
        <w:t xml:space="preserve">para su informe </w:t>
      </w:r>
      <w:r>
        <w:rPr>
          <w:rFonts w:ascii="Arial" w:hAnsi="Arial" w:cs="Arial"/>
          <w:b/>
          <w:u w:val="single"/>
        </w:rPr>
        <w:t>a</w:t>
      </w:r>
      <w:r w:rsidR="00A53169" w:rsidRPr="007218E4">
        <w:rPr>
          <w:rFonts w:ascii="Arial" w:hAnsi="Arial" w:cs="Arial"/>
          <w:b/>
          <w:u w:val="single"/>
        </w:rPr>
        <w:t xml:space="preserve"> la 33ª sesión del Consejo de Derechos Humanos (septiembre de 2016)</w:t>
      </w:r>
    </w:p>
    <w:p w:rsidR="00A53169" w:rsidRDefault="00A53169" w:rsidP="008F5EB5">
      <w:pPr>
        <w:spacing w:before="120" w:line="288" w:lineRule="auto"/>
        <w:jc w:val="both"/>
        <w:rPr>
          <w:rFonts w:ascii="Arial" w:hAnsi="Arial" w:cs="Arial"/>
          <w:sz w:val="22"/>
          <w:szCs w:val="22"/>
        </w:rPr>
      </w:pPr>
    </w:p>
    <w:p w:rsidR="00072894" w:rsidRDefault="00072894" w:rsidP="008F5EB5">
      <w:pPr>
        <w:spacing w:before="120" w:line="288" w:lineRule="auto"/>
        <w:jc w:val="both"/>
        <w:rPr>
          <w:rFonts w:ascii="Arial" w:hAnsi="Arial" w:cs="Arial"/>
          <w:sz w:val="22"/>
          <w:szCs w:val="22"/>
        </w:rPr>
      </w:pPr>
    </w:p>
    <w:p w:rsidR="00072894" w:rsidRPr="007218E4" w:rsidRDefault="00072894" w:rsidP="008F5EB5">
      <w:pPr>
        <w:spacing w:before="120" w:line="288" w:lineRule="auto"/>
        <w:jc w:val="both"/>
        <w:rPr>
          <w:rFonts w:ascii="Arial" w:hAnsi="Arial" w:cs="Arial"/>
          <w:sz w:val="22"/>
          <w:szCs w:val="22"/>
        </w:rPr>
      </w:pPr>
    </w:p>
    <w:p w:rsidR="00A53169" w:rsidRPr="002B58BE" w:rsidRDefault="00A53169" w:rsidP="00A53169">
      <w:pPr>
        <w:pStyle w:val="ListParagraph"/>
        <w:numPr>
          <w:ilvl w:val="0"/>
          <w:numId w:val="20"/>
        </w:numPr>
        <w:spacing w:before="120" w:line="288" w:lineRule="auto"/>
        <w:jc w:val="both"/>
        <w:rPr>
          <w:rFonts w:ascii="Arial" w:hAnsi="Arial" w:cs="Arial"/>
          <w:b/>
          <w:sz w:val="22"/>
          <w:szCs w:val="22"/>
        </w:rPr>
      </w:pPr>
      <w:r w:rsidRPr="002B58BE">
        <w:rPr>
          <w:rFonts w:ascii="Arial" w:hAnsi="Arial" w:cs="Arial"/>
          <w:b/>
          <w:sz w:val="22"/>
          <w:szCs w:val="22"/>
        </w:rPr>
        <w:t>Estudios realizados en diversos países han encontrado cientos de productos químicos tóxicos provenientes de varias fuentes en los recién nacidos y los niños. ¿Supervisa su gobierno la exposición de los niños a sustancias peligrosas en su país? En caso afirmativo, sírvase resumir los más recientes estudios y comunicar si dicha información está disponible al público, así como donde puede ser encontrada.</w:t>
      </w:r>
    </w:p>
    <w:p w:rsidR="00DB0058" w:rsidRPr="007218E4" w:rsidRDefault="00DB0058" w:rsidP="00DB0058">
      <w:pPr>
        <w:pStyle w:val="ListParagraph"/>
        <w:spacing w:before="120" w:line="288" w:lineRule="auto"/>
        <w:jc w:val="both"/>
        <w:rPr>
          <w:rFonts w:ascii="Arial" w:hAnsi="Arial" w:cs="Arial"/>
          <w:sz w:val="22"/>
          <w:szCs w:val="22"/>
        </w:rPr>
      </w:pPr>
    </w:p>
    <w:p w:rsidR="00852F8B" w:rsidRPr="007218E4" w:rsidRDefault="00DB0058" w:rsidP="00461469">
      <w:pPr>
        <w:pStyle w:val="ListParagraph"/>
        <w:spacing w:before="120" w:line="288" w:lineRule="auto"/>
        <w:jc w:val="both"/>
        <w:rPr>
          <w:rFonts w:ascii="Arial" w:hAnsi="Arial" w:cs="Arial"/>
          <w:sz w:val="22"/>
          <w:szCs w:val="22"/>
        </w:rPr>
      </w:pPr>
      <w:r w:rsidRPr="007218E4">
        <w:rPr>
          <w:rFonts w:ascii="Arial" w:hAnsi="Arial" w:cs="Arial"/>
          <w:sz w:val="22"/>
          <w:szCs w:val="22"/>
        </w:rPr>
        <w:t>En España el marco actual legislativo (químicos industriales, plaguicidas, laboral) y de control de las administraciones, conlleva la evaluación del riesgo para las poblaciones especialmente vulnerables (embarazadas y niños). Un ámbito en el cual los niños son más sensibles es en el ámbito doméstico y, en su caso, el l</w:t>
      </w:r>
      <w:r w:rsidR="007218E4" w:rsidRPr="007218E4">
        <w:rPr>
          <w:rFonts w:ascii="Arial" w:hAnsi="Arial" w:cs="Arial"/>
          <w:sz w:val="22"/>
          <w:szCs w:val="22"/>
        </w:rPr>
        <w:t>aboral (para mayores de 16 años).</w:t>
      </w:r>
    </w:p>
    <w:p w:rsidR="007218E4" w:rsidRPr="007218E4" w:rsidRDefault="007218E4" w:rsidP="00461469">
      <w:pPr>
        <w:pStyle w:val="ListParagraph"/>
        <w:spacing w:before="120" w:line="288" w:lineRule="auto"/>
        <w:jc w:val="both"/>
        <w:rPr>
          <w:rFonts w:ascii="Arial" w:hAnsi="Arial" w:cs="Arial"/>
          <w:sz w:val="22"/>
          <w:szCs w:val="22"/>
        </w:rPr>
      </w:pPr>
    </w:p>
    <w:p w:rsidR="00DB0058" w:rsidRPr="007218E4" w:rsidRDefault="00DB0058" w:rsidP="00DB0058">
      <w:pPr>
        <w:pStyle w:val="ListParagraph"/>
        <w:spacing w:before="120" w:line="288" w:lineRule="auto"/>
        <w:jc w:val="both"/>
        <w:rPr>
          <w:rFonts w:ascii="Arial" w:hAnsi="Arial" w:cs="Arial"/>
          <w:sz w:val="22"/>
          <w:szCs w:val="22"/>
        </w:rPr>
      </w:pPr>
      <w:r w:rsidRPr="007218E4">
        <w:rPr>
          <w:rFonts w:ascii="Arial" w:hAnsi="Arial" w:cs="Arial"/>
          <w:sz w:val="22"/>
          <w:szCs w:val="22"/>
        </w:rPr>
        <w:t>En el ámbito laboral la limitación de edad</w:t>
      </w:r>
      <w:r w:rsidR="007218E4" w:rsidRPr="007218E4">
        <w:rPr>
          <w:rFonts w:ascii="Arial" w:hAnsi="Arial" w:cs="Arial"/>
          <w:sz w:val="22"/>
          <w:szCs w:val="22"/>
        </w:rPr>
        <w:t xml:space="preserve"> </w:t>
      </w:r>
      <w:r w:rsidRPr="007218E4">
        <w:rPr>
          <w:rFonts w:ascii="Arial" w:hAnsi="Arial" w:cs="Arial"/>
          <w:sz w:val="22"/>
          <w:szCs w:val="22"/>
        </w:rPr>
        <w:t xml:space="preserve">para su incorporación al mundo laboral </w:t>
      </w:r>
      <w:r w:rsidR="007218E4" w:rsidRPr="007218E4">
        <w:rPr>
          <w:rFonts w:ascii="Arial" w:hAnsi="Arial" w:cs="Arial"/>
          <w:sz w:val="22"/>
          <w:szCs w:val="22"/>
        </w:rPr>
        <w:t xml:space="preserve">(16-18 años), contribuye a limitar indirectamente </w:t>
      </w:r>
      <w:r w:rsidRPr="007218E4">
        <w:rPr>
          <w:rFonts w:ascii="Arial" w:hAnsi="Arial" w:cs="Arial"/>
          <w:sz w:val="22"/>
          <w:szCs w:val="22"/>
        </w:rPr>
        <w:t>la exposición de los niños a sustancias peligrosas.</w:t>
      </w:r>
    </w:p>
    <w:p w:rsidR="007218E4" w:rsidRPr="007218E4" w:rsidRDefault="007218E4" w:rsidP="00DB0058">
      <w:pPr>
        <w:pStyle w:val="ListParagraph"/>
        <w:spacing w:before="120" w:line="288" w:lineRule="auto"/>
        <w:jc w:val="both"/>
        <w:rPr>
          <w:rFonts w:ascii="Arial" w:hAnsi="Arial" w:cs="Arial"/>
          <w:sz w:val="22"/>
          <w:szCs w:val="22"/>
        </w:rPr>
      </w:pPr>
    </w:p>
    <w:p w:rsidR="00DB0058" w:rsidRPr="007218E4" w:rsidRDefault="00DB0058" w:rsidP="00DB0058">
      <w:pPr>
        <w:pStyle w:val="ListParagraph"/>
        <w:spacing w:before="120" w:line="288" w:lineRule="auto"/>
        <w:jc w:val="both"/>
        <w:rPr>
          <w:rFonts w:ascii="Arial" w:hAnsi="Arial" w:cs="Arial"/>
          <w:sz w:val="22"/>
          <w:szCs w:val="22"/>
        </w:rPr>
      </w:pPr>
      <w:r w:rsidRPr="007218E4">
        <w:rPr>
          <w:rFonts w:ascii="Arial" w:hAnsi="Arial" w:cs="Arial"/>
          <w:sz w:val="22"/>
          <w:szCs w:val="22"/>
        </w:rPr>
        <w:t>En el ámbito doméstico</w:t>
      </w:r>
      <w:r w:rsidR="007218E4" w:rsidRPr="007218E4">
        <w:rPr>
          <w:rFonts w:ascii="Arial" w:hAnsi="Arial" w:cs="Arial"/>
          <w:sz w:val="22"/>
          <w:szCs w:val="22"/>
        </w:rPr>
        <w:t>,</w:t>
      </w:r>
      <w:r w:rsidRPr="007218E4">
        <w:rPr>
          <w:rFonts w:ascii="Arial" w:hAnsi="Arial" w:cs="Arial"/>
          <w:sz w:val="22"/>
          <w:szCs w:val="22"/>
        </w:rPr>
        <w:t xml:space="preserve"> las limitaciones en las formas y </w:t>
      </w:r>
      <w:r w:rsidR="00461469" w:rsidRPr="007218E4">
        <w:rPr>
          <w:rFonts w:ascii="Arial" w:hAnsi="Arial" w:cs="Arial"/>
          <w:sz w:val="22"/>
          <w:szCs w:val="22"/>
        </w:rPr>
        <w:t>presentación</w:t>
      </w:r>
      <w:r w:rsidRPr="007218E4">
        <w:rPr>
          <w:rFonts w:ascii="Arial" w:hAnsi="Arial" w:cs="Arial"/>
          <w:sz w:val="22"/>
          <w:szCs w:val="22"/>
        </w:rPr>
        <w:t xml:space="preserve"> de los envases, así como la exigencia de cierre de seguridad en las</w:t>
      </w:r>
      <w:r w:rsidR="00852F8B" w:rsidRPr="007218E4">
        <w:rPr>
          <w:rFonts w:ascii="Arial" w:hAnsi="Arial" w:cs="Arial"/>
          <w:sz w:val="22"/>
          <w:szCs w:val="22"/>
        </w:rPr>
        <w:t xml:space="preserve"> </w:t>
      </w:r>
      <w:r w:rsidRPr="007218E4">
        <w:rPr>
          <w:rFonts w:ascii="Arial" w:hAnsi="Arial" w:cs="Arial"/>
          <w:sz w:val="22"/>
          <w:szCs w:val="22"/>
        </w:rPr>
        <w:t>presentaciones destinadas al público general, contribuyen a la protección de los niños a la exposición frente a las sustancias químicas peligrosas. Paralelamente, la normativa en materia de clasificación y etiquetado de productos químicos contribuye a reforzar la aplicación de legislación sobre productos de consumo de uso específico infantil, tales como los utensilios infantiles y juguetes (frases de advertencia indicadas en las materias primas sobre restricciones de usos, por ejemplo, EUH201: «Contiene plomo. No utilizar en objetos que los niños puedan masticar o chupar»).</w:t>
      </w:r>
    </w:p>
    <w:p w:rsidR="00DB0058" w:rsidRPr="007218E4" w:rsidRDefault="00DB0058" w:rsidP="00DB0058">
      <w:pPr>
        <w:pStyle w:val="ListParagraph"/>
        <w:spacing w:before="120" w:line="288" w:lineRule="auto"/>
        <w:jc w:val="both"/>
        <w:rPr>
          <w:rFonts w:ascii="Arial" w:hAnsi="Arial" w:cs="Arial"/>
          <w:sz w:val="22"/>
          <w:szCs w:val="22"/>
        </w:rPr>
      </w:pPr>
      <w:r w:rsidRPr="007218E4">
        <w:rPr>
          <w:rFonts w:ascii="Arial" w:hAnsi="Arial" w:cs="Arial"/>
          <w:sz w:val="22"/>
          <w:szCs w:val="22"/>
        </w:rPr>
        <w:t>A su vez, los Centros toxicológicos, tales como el Instituto Nacional de Toxicología y Ciencias Forenses y la Fundación Española de Toxicología Clínica (FETOC), identifican también por grupos de edad los casos de intoxicaciones o de lesiones que se producen. Los resultados son de especial utilidad a la hora de identificar fuentes de exposición y valorar la adopción de medidas más oportunas (legislativas, información a la población,…).</w:t>
      </w:r>
    </w:p>
    <w:p w:rsidR="00DB0058" w:rsidRPr="007218E4" w:rsidRDefault="00DB0058" w:rsidP="00DB0058">
      <w:pPr>
        <w:pStyle w:val="ListParagraph"/>
        <w:spacing w:before="120" w:line="288" w:lineRule="auto"/>
        <w:jc w:val="both"/>
        <w:rPr>
          <w:rFonts w:ascii="Arial" w:hAnsi="Arial" w:cs="Arial"/>
          <w:sz w:val="22"/>
          <w:szCs w:val="22"/>
        </w:rPr>
      </w:pPr>
    </w:p>
    <w:p w:rsidR="00DB0058" w:rsidRPr="007218E4" w:rsidRDefault="00DB0058" w:rsidP="00DB0058">
      <w:pPr>
        <w:pStyle w:val="ListParagraph"/>
        <w:spacing w:before="120" w:line="288" w:lineRule="auto"/>
        <w:jc w:val="both"/>
        <w:rPr>
          <w:rFonts w:ascii="Arial" w:hAnsi="Arial" w:cs="Arial"/>
          <w:sz w:val="22"/>
          <w:szCs w:val="22"/>
        </w:rPr>
      </w:pPr>
    </w:p>
    <w:p w:rsidR="00A53169" w:rsidRPr="002B58BE" w:rsidRDefault="00A53169" w:rsidP="00A53169">
      <w:pPr>
        <w:pStyle w:val="ListParagraph"/>
        <w:numPr>
          <w:ilvl w:val="0"/>
          <w:numId w:val="20"/>
        </w:numPr>
        <w:spacing w:before="120" w:line="288" w:lineRule="auto"/>
        <w:jc w:val="both"/>
        <w:rPr>
          <w:rFonts w:ascii="Arial" w:hAnsi="Arial" w:cs="Arial"/>
          <w:b/>
          <w:sz w:val="22"/>
          <w:szCs w:val="22"/>
        </w:rPr>
      </w:pPr>
      <w:r w:rsidRPr="002B58BE">
        <w:rPr>
          <w:rFonts w:ascii="Arial" w:hAnsi="Arial" w:cs="Arial"/>
          <w:b/>
          <w:sz w:val="22"/>
          <w:szCs w:val="22"/>
        </w:rPr>
        <w:t>La exposición a sustancias peligrosas durante la infancia puede producir efectos adversos graves e irreversibles, incluyendo impactos adversos a la salud que pueden no manifestarse hasta después de años, si no decenios, de la exposición. ¿Evalúa su gobierno específicamente los riesgos de exposición a sustancias durante la infancia? En caso afirmativo, sírvase describir el proceso de evaluación de la exposición infantil a sustancias peligrosas, incluyendo: periodos sensibles del desarrollo; periodos de latencia entre la exposición y la manifestación de impactos en la salud, combinación de efectos; y en qué medida un enfoque basado en los derechos humanos tiene en cuenta la evolución de riesgos y la mitigación de sus efectos.</w:t>
      </w:r>
    </w:p>
    <w:p w:rsidR="00DB0058" w:rsidRPr="007218E4" w:rsidRDefault="00DB0058" w:rsidP="00DB0058">
      <w:pPr>
        <w:pStyle w:val="ListParagraph"/>
        <w:spacing w:before="120" w:line="288" w:lineRule="auto"/>
        <w:jc w:val="both"/>
        <w:rPr>
          <w:rFonts w:ascii="Arial" w:hAnsi="Arial" w:cs="Arial"/>
          <w:sz w:val="22"/>
          <w:szCs w:val="22"/>
        </w:rPr>
      </w:pPr>
    </w:p>
    <w:p w:rsidR="00DB0058" w:rsidRPr="007218E4" w:rsidRDefault="007218E4" w:rsidP="00DB0058">
      <w:pPr>
        <w:pStyle w:val="ListParagraph"/>
        <w:spacing w:before="120" w:line="288" w:lineRule="auto"/>
        <w:jc w:val="both"/>
        <w:rPr>
          <w:rFonts w:ascii="Arial" w:hAnsi="Arial" w:cs="Arial"/>
          <w:sz w:val="22"/>
          <w:szCs w:val="22"/>
        </w:rPr>
      </w:pPr>
      <w:r w:rsidRPr="007218E4">
        <w:rPr>
          <w:rFonts w:ascii="Arial" w:hAnsi="Arial" w:cs="Arial"/>
          <w:sz w:val="22"/>
          <w:szCs w:val="22"/>
        </w:rPr>
        <w:t>El Gobierno español</w:t>
      </w:r>
      <w:r w:rsidR="00B75A86" w:rsidRPr="007218E4">
        <w:rPr>
          <w:rFonts w:ascii="Arial" w:hAnsi="Arial" w:cs="Arial"/>
          <w:sz w:val="22"/>
          <w:szCs w:val="22"/>
        </w:rPr>
        <w:t xml:space="preserve"> evalúa los riesgos de exposición a sustancias durante la infancia.</w:t>
      </w:r>
      <w:r w:rsidR="00DB0058" w:rsidRPr="007218E4">
        <w:rPr>
          <w:rFonts w:ascii="Arial" w:hAnsi="Arial" w:cs="Arial"/>
          <w:sz w:val="22"/>
          <w:szCs w:val="22"/>
        </w:rPr>
        <w:t xml:space="preserve"> </w:t>
      </w:r>
      <w:r w:rsidR="00B75A86" w:rsidRPr="007218E4">
        <w:rPr>
          <w:rFonts w:ascii="Arial" w:hAnsi="Arial" w:cs="Arial"/>
          <w:sz w:val="22"/>
          <w:szCs w:val="22"/>
        </w:rPr>
        <w:t>L</w:t>
      </w:r>
      <w:r w:rsidR="00DB0058" w:rsidRPr="007218E4">
        <w:rPr>
          <w:rFonts w:ascii="Arial" w:hAnsi="Arial" w:cs="Arial"/>
          <w:sz w:val="22"/>
          <w:szCs w:val="22"/>
        </w:rPr>
        <w:t>a legislación que regula la comercialización de sustancias químicas en la UE persigue un elevado nivel de protección de la salud de las poblaciones potencialmente expuestas a sustancias y mezclas químicas, entre ellas la población infantil.</w:t>
      </w:r>
    </w:p>
    <w:p w:rsidR="007218E4" w:rsidRPr="007218E4" w:rsidRDefault="007218E4" w:rsidP="00DB0058">
      <w:pPr>
        <w:pStyle w:val="ListParagraph"/>
        <w:spacing w:before="120" w:line="288" w:lineRule="auto"/>
        <w:jc w:val="both"/>
        <w:rPr>
          <w:rFonts w:ascii="Arial" w:hAnsi="Arial" w:cs="Arial"/>
          <w:sz w:val="22"/>
          <w:szCs w:val="22"/>
        </w:rPr>
      </w:pPr>
    </w:p>
    <w:p w:rsidR="00DB0058" w:rsidRPr="007218E4" w:rsidRDefault="00DB0058" w:rsidP="00DB0058">
      <w:pPr>
        <w:pStyle w:val="ListParagraph"/>
        <w:spacing w:before="120" w:line="288" w:lineRule="auto"/>
        <w:jc w:val="both"/>
        <w:rPr>
          <w:rFonts w:ascii="Arial" w:hAnsi="Arial" w:cs="Arial"/>
          <w:sz w:val="22"/>
          <w:szCs w:val="22"/>
        </w:rPr>
      </w:pPr>
      <w:r w:rsidRPr="007218E4">
        <w:rPr>
          <w:rFonts w:ascii="Arial" w:hAnsi="Arial" w:cs="Arial"/>
          <w:sz w:val="22"/>
          <w:szCs w:val="22"/>
        </w:rPr>
        <w:t>Piezas claves son los Reglamentos comunitarios en materia de sustancias y mezclas químicas, en materia de productos biocidas  y en materia de fitosanitarios  que marcan la exigencia del registro y /o autorización previa evaluación del riesgo para la salud de las personas (población general y grupos más vulnerables) directa o indirectamente expuestas.</w:t>
      </w:r>
    </w:p>
    <w:p w:rsidR="00DB0058" w:rsidRPr="007218E4" w:rsidRDefault="00DB0058" w:rsidP="00DB0058">
      <w:pPr>
        <w:pStyle w:val="ListParagraph"/>
        <w:spacing w:before="120" w:line="288" w:lineRule="auto"/>
        <w:jc w:val="both"/>
        <w:rPr>
          <w:rFonts w:ascii="Arial" w:hAnsi="Arial" w:cs="Arial"/>
          <w:sz w:val="22"/>
          <w:szCs w:val="22"/>
        </w:rPr>
      </w:pPr>
      <w:r w:rsidRPr="007218E4">
        <w:rPr>
          <w:rFonts w:ascii="Arial" w:hAnsi="Arial" w:cs="Arial"/>
          <w:sz w:val="22"/>
          <w:szCs w:val="22"/>
        </w:rPr>
        <w:t xml:space="preserve">Estas reglamentaciones junto con los requisitos </w:t>
      </w:r>
      <w:r w:rsidR="00B75A86" w:rsidRPr="007218E4">
        <w:rPr>
          <w:rFonts w:ascii="Arial" w:hAnsi="Arial" w:cs="Arial"/>
          <w:sz w:val="22"/>
          <w:szCs w:val="22"/>
        </w:rPr>
        <w:t>específicos</w:t>
      </w:r>
      <w:r w:rsidRPr="007218E4">
        <w:rPr>
          <w:rFonts w:ascii="Arial" w:hAnsi="Arial" w:cs="Arial"/>
          <w:sz w:val="22"/>
          <w:szCs w:val="22"/>
        </w:rPr>
        <w:t xml:space="preserve"> en materia de seguridad alimentaria y de productos de consumo destinados a la población infantil (productos de puericultura, juguetes,..), contribuyen directamente a garantizar un nivel elevado de  protección de la salud de los niños.</w:t>
      </w:r>
    </w:p>
    <w:p w:rsidR="007218E4" w:rsidRPr="007218E4" w:rsidRDefault="007218E4" w:rsidP="00DB0058">
      <w:pPr>
        <w:pStyle w:val="ListParagraph"/>
        <w:spacing w:before="120" w:line="288" w:lineRule="auto"/>
        <w:jc w:val="both"/>
        <w:rPr>
          <w:rFonts w:ascii="Arial" w:hAnsi="Arial" w:cs="Arial"/>
          <w:sz w:val="22"/>
          <w:szCs w:val="22"/>
        </w:rPr>
      </w:pPr>
    </w:p>
    <w:p w:rsidR="00DB0058" w:rsidRPr="007218E4" w:rsidRDefault="00DB0058" w:rsidP="00DB0058">
      <w:pPr>
        <w:pStyle w:val="ListParagraph"/>
        <w:spacing w:before="120" w:line="288" w:lineRule="auto"/>
        <w:jc w:val="both"/>
        <w:rPr>
          <w:rFonts w:ascii="Arial" w:hAnsi="Arial" w:cs="Arial"/>
          <w:sz w:val="22"/>
          <w:szCs w:val="22"/>
        </w:rPr>
      </w:pPr>
      <w:r w:rsidRPr="007218E4">
        <w:rPr>
          <w:rFonts w:ascii="Arial" w:hAnsi="Arial" w:cs="Arial"/>
          <w:sz w:val="22"/>
          <w:szCs w:val="22"/>
        </w:rPr>
        <w:t xml:space="preserve">La evaluación se realiza para todos los usos identificados y especialmente importante es la valoración de la toxicidad para la reproducción pues, bajo este epígrafe, se incluyen los efectos adversos para la fertilidad y el desarrollo. A título de ejemplo, en el caso de sustancias químicas </w:t>
      </w:r>
      <w:r w:rsidR="001D01DA">
        <w:rPr>
          <w:rFonts w:ascii="Arial" w:hAnsi="Arial" w:cs="Arial"/>
          <w:sz w:val="22"/>
          <w:szCs w:val="22"/>
        </w:rPr>
        <w:t>cubiertas por el Reglamento (CE) nº 1907/2006 sobre Registro, Evaluación, Autorización y Restricción de sustancias químicas (Reglamento REACH)</w:t>
      </w:r>
      <w:r w:rsidRPr="007218E4">
        <w:rPr>
          <w:rFonts w:ascii="Arial" w:hAnsi="Arial" w:cs="Arial"/>
          <w:sz w:val="22"/>
          <w:szCs w:val="22"/>
        </w:rPr>
        <w:t xml:space="preserve">, la toxicidad para el desarrollo incluye la valoración de cualquier efecto que interfiera con el desarrollo normal, antes y después del nacimiento, entre ellos efectos </w:t>
      </w:r>
      <w:proofErr w:type="spellStart"/>
      <w:r w:rsidRPr="007218E4">
        <w:rPr>
          <w:rFonts w:ascii="Arial" w:hAnsi="Arial" w:cs="Arial"/>
          <w:sz w:val="22"/>
          <w:szCs w:val="22"/>
        </w:rPr>
        <w:t>embrio</w:t>
      </w:r>
      <w:proofErr w:type="spellEnd"/>
      <w:r w:rsidRPr="007218E4">
        <w:rPr>
          <w:rFonts w:ascii="Arial" w:hAnsi="Arial" w:cs="Arial"/>
          <w:sz w:val="22"/>
          <w:szCs w:val="22"/>
        </w:rPr>
        <w:t>/</w:t>
      </w:r>
      <w:proofErr w:type="spellStart"/>
      <w:r w:rsidRPr="007218E4">
        <w:rPr>
          <w:rFonts w:ascii="Arial" w:hAnsi="Arial" w:cs="Arial"/>
          <w:sz w:val="22"/>
          <w:szCs w:val="22"/>
        </w:rPr>
        <w:t>fetotóxicos</w:t>
      </w:r>
      <w:proofErr w:type="spellEnd"/>
      <w:r w:rsidRPr="007218E4">
        <w:rPr>
          <w:rFonts w:ascii="Arial" w:hAnsi="Arial" w:cs="Arial"/>
          <w:sz w:val="22"/>
          <w:szCs w:val="22"/>
        </w:rPr>
        <w:t xml:space="preserve"> como peso reducido, retardo en el crecimiento y desarrollo, toxicidad en órganos, muerte, aborto, efectos </w:t>
      </w:r>
      <w:proofErr w:type="spellStart"/>
      <w:r w:rsidRPr="007218E4">
        <w:rPr>
          <w:rFonts w:ascii="Arial" w:hAnsi="Arial" w:cs="Arial"/>
          <w:sz w:val="22"/>
          <w:szCs w:val="22"/>
        </w:rPr>
        <w:t>teratogénicos</w:t>
      </w:r>
      <w:proofErr w:type="spellEnd"/>
      <w:r w:rsidRPr="007218E4">
        <w:rPr>
          <w:rFonts w:ascii="Arial" w:hAnsi="Arial" w:cs="Arial"/>
          <w:sz w:val="22"/>
          <w:szCs w:val="22"/>
        </w:rPr>
        <w:t>, efectos funcionales, defectos peri- y postnatales así como cualquier daño al desarrollo físico y mental hasta, e incluyendo, la pubertad.</w:t>
      </w:r>
    </w:p>
    <w:p w:rsidR="007218E4" w:rsidRPr="007218E4" w:rsidRDefault="007218E4" w:rsidP="00DB0058">
      <w:pPr>
        <w:pStyle w:val="ListParagraph"/>
        <w:spacing w:before="120" w:line="288" w:lineRule="auto"/>
        <w:jc w:val="both"/>
        <w:rPr>
          <w:rFonts w:ascii="Arial" w:hAnsi="Arial" w:cs="Arial"/>
          <w:sz w:val="22"/>
          <w:szCs w:val="22"/>
        </w:rPr>
      </w:pPr>
    </w:p>
    <w:p w:rsidR="00DB0058" w:rsidRPr="007218E4" w:rsidRDefault="00DB0058" w:rsidP="00DB0058">
      <w:pPr>
        <w:pStyle w:val="ListParagraph"/>
        <w:spacing w:before="120" w:line="288" w:lineRule="auto"/>
        <w:jc w:val="both"/>
        <w:rPr>
          <w:rFonts w:ascii="Arial" w:hAnsi="Arial" w:cs="Arial"/>
          <w:sz w:val="22"/>
          <w:szCs w:val="22"/>
        </w:rPr>
      </w:pPr>
      <w:r w:rsidRPr="007218E4">
        <w:rPr>
          <w:rFonts w:ascii="Arial" w:hAnsi="Arial" w:cs="Arial"/>
          <w:sz w:val="22"/>
          <w:szCs w:val="22"/>
        </w:rPr>
        <w:t>El M</w:t>
      </w:r>
      <w:r w:rsidR="00C23A0E" w:rsidRPr="007218E4">
        <w:rPr>
          <w:rFonts w:ascii="Arial" w:hAnsi="Arial" w:cs="Arial"/>
          <w:sz w:val="22"/>
          <w:szCs w:val="22"/>
        </w:rPr>
        <w:t xml:space="preserve">inisterio de </w:t>
      </w:r>
      <w:r w:rsidRPr="007218E4">
        <w:rPr>
          <w:rFonts w:ascii="Arial" w:hAnsi="Arial" w:cs="Arial"/>
          <w:sz w:val="22"/>
          <w:szCs w:val="22"/>
        </w:rPr>
        <w:t>S</w:t>
      </w:r>
      <w:r w:rsidR="00C23A0E" w:rsidRPr="007218E4">
        <w:rPr>
          <w:rFonts w:ascii="Arial" w:hAnsi="Arial" w:cs="Arial"/>
          <w:sz w:val="22"/>
          <w:szCs w:val="22"/>
        </w:rPr>
        <w:t xml:space="preserve">anidad, </w:t>
      </w:r>
      <w:r w:rsidRPr="007218E4">
        <w:rPr>
          <w:rFonts w:ascii="Arial" w:hAnsi="Arial" w:cs="Arial"/>
          <w:sz w:val="22"/>
          <w:szCs w:val="22"/>
        </w:rPr>
        <w:t>S</w:t>
      </w:r>
      <w:r w:rsidR="00C23A0E" w:rsidRPr="007218E4">
        <w:rPr>
          <w:rFonts w:ascii="Arial" w:hAnsi="Arial" w:cs="Arial"/>
          <w:sz w:val="22"/>
          <w:szCs w:val="22"/>
        </w:rPr>
        <w:t xml:space="preserve">ervicios </w:t>
      </w:r>
      <w:r w:rsidRPr="007218E4">
        <w:rPr>
          <w:rFonts w:ascii="Arial" w:hAnsi="Arial" w:cs="Arial"/>
          <w:sz w:val="22"/>
          <w:szCs w:val="22"/>
        </w:rPr>
        <w:t>S</w:t>
      </w:r>
      <w:r w:rsidR="00C23A0E" w:rsidRPr="007218E4">
        <w:rPr>
          <w:rFonts w:ascii="Arial" w:hAnsi="Arial" w:cs="Arial"/>
          <w:sz w:val="22"/>
          <w:szCs w:val="22"/>
        </w:rPr>
        <w:t xml:space="preserve">ociales e </w:t>
      </w:r>
      <w:r w:rsidRPr="007218E4">
        <w:rPr>
          <w:rFonts w:ascii="Arial" w:hAnsi="Arial" w:cs="Arial"/>
          <w:sz w:val="22"/>
          <w:szCs w:val="22"/>
        </w:rPr>
        <w:t>I</w:t>
      </w:r>
      <w:r w:rsidR="00C23A0E" w:rsidRPr="007218E4">
        <w:rPr>
          <w:rFonts w:ascii="Arial" w:hAnsi="Arial" w:cs="Arial"/>
          <w:sz w:val="22"/>
          <w:szCs w:val="22"/>
        </w:rPr>
        <w:t>gualdad</w:t>
      </w:r>
      <w:r w:rsidRPr="007218E4">
        <w:rPr>
          <w:rFonts w:ascii="Arial" w:hAnsi="Arial" w:cs="Arial"/>
          <w:sz w:val="22"/>
          <w:szCs w:val="22"/>
        </w:rPr>
        <w:t>, dentro de las actividades de evaluación que realiza en el marco del Reglamento REACH, tiene en cuenta las poblaciones más sensibles como la infancia, tal y como requiere el Reglamento.</w:t>
      </w:r>
    </w:p>
    <w:p w:rsidR="00DB0058" w:rsidRPr="007218E4" w:rsidRDefault="00DB0058" w:rsidP="00DB0058">
      <w:pPr>
        <w:pStyle w:val="ListParagraph"/>
        <w:spacing w:before="120" w:line="288" w:lineRule="auto"/>
        <w:jc w:val="both"/>
        <w:rPr>
          <w:rFonts w:ascii="Arial" w:hAnsi="Arial" w:cs="Arial"/>
          <w:sz w:val="22"/>
          <w:szCs w:val="22"/>
        </w:rPr>
      </w:pPr>
    </w:p>
    <w:p w:rsidR="00DB0058" w:rsidRPr="007218E4" w:rsidRDefault="00DB0058" w:rsidP="00DB0058">
      <w:pPr>
        <w:pStyle w:val="ListParagraph"/>
        <w:spacing w:before="120" w:line="288" w:lineRule="auto"/>
        <w:jc w:val="both"/>
        <w:rPr>
          <w:rFonts w:ascii="Arial" w:hAnsi="Arial" w:cs="Arial"/>
          <w:sz w:val="22"/>
          <w:szCs w:val="22"/>
        </w:rPr>
      </w:pPr>
    </w:p>
    <w:p w:rsidR="00A53169" w:rsidRPr="002B58BE" w:rsidRDefault="00A53169" w:rsidP="00A53169">
      <w:pPr>
        <w:pStyle w:val="ListParagraph"/>
        <w:numPr>
          <w:ilvl w:val="0"/>
          <w:numId w:val="20"/>
        </w:numPr>
        <w:spacing w:before="120" w:line="288" w:lineRule="auto"/>
        <w:jc w:val="both"/>
        <w:rPr>
          <w:rFonts w:ascii="Arial" w:hAnsi="Arial" w:cs="Arial"/>
          <w:b/>
          <w:sz w:val="22"/>
          <w:szCs w:val="22"/>
        </w:rPr>
      </w:pPr>
      <w:r w:rsidRPr="002B58BE">
        <w:rPr>
          <w:rFonts w:ascii="Arial" w:hAnsi="Arial" w:cs="Arial"/>
          <w:b/>
          <w:sz w:val="22"/>
          <w:szCs w:val="22"/>
        </w:rPr>
        <w:t>El principio del interés superior del menor (artículo 3</w:t>
      </w:r>
      <w:r w:rsidR="00D67B3C" w:rsidRPr="002B58BE">
        <w:rPr>
          <w:rFonts w:ascii="Arial" w:hAnsi="Arial" w:cs="Arial"/>
          <w:b/>
          <w:sz w:val="22"/>
          <w:szCs w:val="22"/>
        </w:rPr>
        <w:t>, CRC) guía todas las cuestiones relativas a los derechos del niño, incluida la adopción de decisiones relativas al medio ambiente. ¿Tiene su país medidas específicas para prevenir la exposición a sustancias peligrosas durante la infancia?</w:t>
      </w:r>
    </w:p>
    <w:p w:rsidR="00DB0058" w:rsidRPr="007218E4" w:rsidRDefault="00DB0058" w:rsidP="00DB0058">
      <w:pPr>
        <w:pStyle w:val="ListParagraph"/>
        <w:spacing w:before="120" w:line="288" w:lineRule="auto"/>
        <w:jc w:val="both"/>
        <w:rPr>
          <w:rFonts w:ascii="Arial" w:hAnsi="Arial" w:cs="Arial"/>
          <w:sz w:val="22"/>
          <w:szCs w:val="22"/>
        </w:rPr>
      </w:pPr>
    </w:p>
    <w:p w:rsidR="00DB0058" w:rsidRPr="007218E4" w:rsidRDefault="00DB0058" w:rsidP="00DB0058">
      <w:pPr>
        <w:pStyle w:val="ListParagraph"/>
        <w:spacing w:before="120" w:line="288" w:lineRule="auto"/>
        <w:jc w:val="both"/>
        <w:rPr>
          <w:rFonts w:ascii="Arial" w:hAnsi="Arial" w:cs="Arial"/>
          <w:sz w:val="22"/>
          <w:szCs w:val="22"/>
        </w:rPr>
      </w:pPr>
    </w:p>
    <w:p w:rsidR="00DB0058" w:rsidRDefault="00DB0058" w:rsidP="00DB0058">
      <w:pPr>
        <w:pStyle w:val="ListParagraph"/>
        <w:spacing w:before="120" w:line="288" w:lineRule="auto"/>
        <w:jc w:val="both"/>
        <w:rPr>
          <w:rFonts w:ascii="Arial" w:hAnsi="Arial" w:cs="Arial"/>
          <w:sz w:val="22"/>
          <w:szCs w:val="22"/>
        </w:rPr>
      </w:pPr>
      <w:r w:rsidRPr="007218E4">
        <w:rPr>
          <w:rFonts w:ascii="Arial" w:hAnsi="Arial" w:cs="Arial"/>
          <w:sz w:val="22"/>
          <w:szCs w:val="22"/>
        </w:rPr>
        <w:t>En primer lugar, la regulación en España del Interés superior del menor ha sido desarrollada en el apartado dos del artículo primero de la  L.O. 8/2015, de 22 de julio, de modificación del sistema de protección a la infancia y a la adolescencia («B.O.E.» 23 julio). En este precepto se modifica en el artículo 2 de la Ley Orgánica 1/1996, de 15 de enero, de Protección Jurídica del Menor (LOPJM), de modificación parcial del Código Civil y de la Ley de Enjuiciamiento Civil. El fundamento de esta regulación se encuentra en que este principio fundamental contiene un concepto jurídico indeterminado que ha sido objeto de diversas interpretaciones y que requiere que esté dotado de contenido para ser de aplicación efectiva. Con este fin fue modificado el artículo 2 LOPJM, incorporando tanto la jurisprudencia del Tribunal Supremo de los últimos años como los criterios de la Observación general n</w:t>
      </w:r>
      <w:r w:rsidR="00C23A0E" w:rsidRPr="007218E4">
        <w:rPr>
          <w:rFonts w:ascii="Arial" w:hAnsi="Arial" w:cs="Arial"/>
          <w:sz w:val="22"/>
          <w:szCs w:val="22"/>
        </w:rPr>
        <w:t>úmero</w:t>
      </w:r>
      <w:r w:rsidRPr="007218E4">
        <w:rPr>
          <w:rFonts w:ascii="Arial" w:hAnsi="Arial" w:cs="Arial"/>
          <w:sz w:val="22"/>
          <w:szCs w:val="22"/>
        </w:rPr>
        <w:t xml:space="preserve"> 14, de 29 de mayo de 2013, del Comité de Naciones Unidas de Derechos del Niño, sobre el derecho del niño a que su interés superior sea una consideración primordial. </w:t>
      </w:r>
    </w:p>
    <w:p w:rsidR="00072894" w:rsidRPr="007218E4" w:rsidRDefault="00072894" w:rsidP="00DB0058">
      <w:pPr>
        <w:pStyle w:val="ListParagraph"/>
        <w:spacing w:before="120" w:line="288" w:lineRule="auto"/>
        <w:jc w:val="both"/>
        <w:rPr>
          <w:rFonts w:ascii="Arial" w:hAnsi="Arial" w:cs="Arial"/>
          <w:sz w:val="22"/>
          <w:szCs w:val="22"/>
        </w:rPr>
      </w:pPr>
    </w:p>
    <w:p w:rsidR="00072894" w:rsidRDefault="00072894" w:rsidP="00DB0058">
      <w:pPr>
        <w:pStyle w:val="ListParagraph"/>
        <w:spacing w:before="120" w:line="288" w:lineRule="auto"/>
        <w:jc w:val="both"/>
        <w:rPr>
          <w:rFonts w:ascii="Arial" w:hAnsi="Arial" w:cs="Arial"/>
          <w:sz w:val="22"/>
          <w:szCs w:val="22"/>
        </w:rPr>
      </w:pPr>
    </w:p>
    <w:p w:rsidR="00DB0058" w:rsidRPr="007218E4" w:rsidRDefault="00DB0058" w:rsidP="00DB0058">
      <w:pPr>
        <w:pStyle w:val="ListParagraph"/>
        <w:spacing w:before="120" w:line="288" w:lineRule="auto"/>
        <w:jc w:val="both"/>
        <w:rPr>
          <w:rFonts w:ascii="Arial" w:hAnsi="Arial" w:cs="Arial"/>
          <w:sz w:val="22"/>
          <w:szCs w:val="22"/>
        </w:rPr>
      </w:pPr>
      <w:r w:rsidRPr="007218E4">
        <w:rPr>
          <w:rFonts w:ascii="Arial" w:hAnsi="Arial" w:cs="Arial"/>
          <w:sz w:val="22"/>
          <w:szCs w:val="22"/>
        </w:rPr>
        <w:t>Este concepto se define desde un contenido triple. Por una parte, es un derecho sustantivo en el sentido de que el menor tiene derecho a que, cuando se adopte una medida que le concierna, sus mejores intereses hayan sido evaluados y, en el caso de que haya otros intereses en presencia, se hayan ponderado a la hora de llegar a una solución. Por otra, es un principio general de carácter interpretativo, de manera que si una disposición jurídica puede ser interpretada en más de una forma se debe optar por la interpretación que mejor responda a los intereses del menor. Pero además, en último lugar, este principio es una norma de procedimiento. En estas tres dimensiones, el interés superior del menor tiene una misma finalidad: asegurar el respeto completo y efectivo de todos los derechos del menor, así como su desarrollo integral. A la luz de estas consideraciones, es claro que la determinación del interés superior del menor en cada caso debe basarse en una serie de criterios aceptados y valores universalmente reconocidos por el legislador que deben ser tenidos en cuenta y ponderados en función de diversos elementos y de las circunstancias del caso, y que deben explicitarse en la motivación de la decisión adoptada, a fin de conocer si ha sido correcta o no la aplicación del principio.</w:t>
      </w:r>
    </w:p>
    <w:p w:rsidR="00DB0058" w:rsidRPr="007218E4" w:rsidRDefault="00DB0058" w:rsidP="00DB0058">
      <w:pPr>
        <w:pStyle w:val="ListParagraph"/>
        <w:spacing w:before="120" w:line="288" w:lineRule="auto"/>
        <w:jc w:val="both"/>
        <w:rPr>
          <w:rFonts w:ascii="Arial" w:hAnsi="Arial" w:cs="Arial"/>
          <w:sz w:val="22"/>
          <w:szCs w:val="22"/>
        </w:rPr>
      </w:pPr>
    </w:p>
    <w:p w:rsidR="00DB0058" w:rsidRPr="007218E4" w:rsidRDefault="00DB0058" w:rsidP="00DB0058">
      <w:pPr>
        <w:pStyle w:val="ListParagraph"/>
        <w:spacing w:before="120" w:line="288" w:lineRule="auto"/>
        <w:jc w:val="both"/>
        <w:rPr>
          <w:rFonts w:ascii="Arial" w:hAnsi="Arial" w:cs="Arial"/>
          <w:sz w:val="22"/>
          <w:szCs w:val="22"/>
        </w:rPr>
      </w:pPr>
      <w:r w:rsidRPr="007218E4">
        <w:rPr>
          <w:rFonts w:ascii="Arial" w:hAnsi="Arial" w:cs="Arial"/>
          <w:sz w:val="22"/>
          <w:szCs w:val="22"/>
        </w:rPr>
        <w:t xml:space="preserve">En segundo lugar, con objeto de que cualquier iniciativa normativa tenga en cuenta el impacto que la misma va a tener en la infancia y la adolescencia, la Ley 26/2015, de 28 de julio, de modificación del sistema de protección a la infancia y a la adolescencia introduce en la citada LOPJM el artículo 22 </w:t>
      </w:r>
      <w:proofErr w:type="spellStart"/>
      <w:r w:rsidRPr="007218E4">
        <w:rPr>
          <w:rFonts w:ascii="Arial" w:hAnsi="Arial" w:cs="Arial"/>
          <w:sz w:val="22"/>
          <w:szCs w:val="22"/>
        </w:rPr>
        <w:t>quinquies</w:t>
      </w:r>
      <w:proofErr w:type="spellEnd"/>
      <w:r w:rsidRPr="007218E4">
        <w:rPr>
          <w:rFonts w:ascii="Arial" w:hAnsi="Arial" w:cs="Arial"/>
          <w:sz w:val="22"/>
          <w:szCs w:val="22"/>
        </w:rPr>
        <w:t xml:space="preserve">, que establece que las memorias del análisis de impacto normativo que deben acompañar a los anteproyectos de ley y a los proyectos de reglamentos incluirán el impacto de la normativa en la infancia y en la adolescencia. Esta previsión afecta a todo tipo de normas, incluidas por supuestos las dictadas en materia medioambiental. </w:t>
      </w:r>
    </w:p>
    <w:p w:rsidR="00DB0058" w:rsidRPr="007218E4" w:rsidRDefault="00DB0058" w:rsidP="00DB0058">
      <w:pPr>
        <w:pStyle w:val="ListParagraph"/>
        <w:spacing w:before="120" w:line="288" w:lineRule="auto"/>
        <w:jc w:val="both"/>
        <w:rPr>
          <w:rFonts w:ascii="Arial" w:hAnsi="Arial" w:cs="Arial"/>
          <w:sz w:val="22"/>
          <w:szCs w:val="22"/>
        </w:rPr>
      </w:pPr>
    </w:p>
    <w:p w:rsidR="00DB0058" w:rsidRPr="007218E4" w:rsidRDefault="00DB0058" w:rsidP="00DB0058">
      <w:pPr>
        <w:pStyle w:val="ListParagraph"/>
        <w:spacing w:before="120" w:line="288" w:lineRule="auto"/>
        <w:jc w:val="both"/>
        <w:rPr>
          <w:rFonts w:ascii="Arial" w:hAnsi="Arial" w:cs="Arial"/>
          <w:sz w:val="22"/>
          <w:szCs w:val="22"/>
        </w:rPr>
      </w:pPr>
      <w:r w:rsidRPr="007218E4">
        <w:rPr>
          <w:rFonts w:ascii="Arial" w:hAnsi="Arial" w:cs="Arial"/>
          <w:sz w:val="22"/>
          <w:szCs w:val="22"/>
        </w:rPr>
        <w:t xml:space="preserve">En tercer lugar, procede indicar que actualmente se encuentra en su último año del periodo de vigencia el II Plan Estratégico Nacional de Infancia y Adolescencia (2013 -2016) – II PENIA. Este plan </w:t>
      </w:r>
      <w:r w:rsidR="0013318E">
        <w:rPr>
          <w:rFonts w:ascii="Arial" w:hAnsi="Arial" w:cs="Arial"/>
          <w:sz w:val="22"/>
          <w:szCs w:val="22"/>
        </w:rPr>
        <w:t>diseña</w:t>
      </w:r>
      <w:r w:rsidRPr="007218E4">
        <w:rPr>
          <w:rFonts w:ascii="Arial" w:hAnsi="Arial" w:cs="Arial"/>
          <w:sz w:val="22"/>
          <w:szCs w:val="22"/>
        </w:rPr>
        <w:t xml:space="preserve"> el marco de cooperación de </w:t>
      </w:r>
      <w:r w:rsidR="005D5B6B">
        <w:rPr>
          <w:rFonts w:ascii="Arial" w:hAnsi="Arial" w:cs="Arial"/>
          <w:sz w:val="22"/>
          <w:szCs w:val="22"/>
        </w:rPr>
        <w:t xml:space="preserve">las </w:t>
      </w:r>
      <w:r w:rsidRPr="007218E4">
        <w:rPr>
          <w:rFonts w:ascii="Arial" w:hAnsi="Arial" w:cs="Arial"/>
          <w:sz w:val="22"/>
          <w:szCs w:val="22"/>
        </w:rPr>
        <w:t xml:space="preserve">Administraciones Públicas en sus distintos niveles, que asumen responsabilidades en distintas cuestiones, y del movimiento asociativo. Este Plan se encuentra publicado íntegramente en la siguiente web:  </w:t>
      </w:r>
    </w:p>
    <w:p w:rsidR="00DB0058" w:rsidRPr="007218E4" w:rsidRDefault="00DB0058" w:rsidP="00DB0058">
      <w:pPr>
        <w:pStyle w:val="ListParagraph"/>
        <w:spacing w:before="120" w:line="288" w:lineRule="auto"/>
        <w:jc w:val="both"/>
        <w:rPr>
          <w:rFonts w:ascii="Arial" w:hAnsi="Arial" w:cs="Arial"/>
          <w:sz w:val="22"/>
          <w:szCs w:val="22"/>
        </w:rPr>
      </w:pPr>
      <w:r w:rsidRPr="007218E4">
        <w:rPr>
          <w:rFonts w:ascii="Arial" w:hAnsi="Arial" w:cs="Arial"/>
          <w:sz w:val="22"/>
          <w:szCs w:val="22"/>
        </w:rPr>
        <w:t>http://www.observatoriodelainfancia.msssi.gob.es/documentos/PENIA_2013-2016.pdf</w:t>
      </w:r>
    </w:p>
    <w:p w:rsidR="00DB0058" w:rsidRPr="007218E4" w:rsidRDefault="00DB0058" w:rsidP="00DB0058">
      <w:pPr>
        <w:pStyle w:val="ListParagraph"/>
        <w:spacing w:before="120" w:line="288" w:lineRule="auto"/>
        <w:jc w:val="both"/>
        <w:rPr>
          <w:rFonts w:ascii="Arial" w:hAnsi="Arial" w:cs="Arial"/>
          <w:sz w:val="22"/>
          <w:szCs w:val="22"/>
        </w:rPr>
      </w:pPr>
    </w:p>
    <w:p w:rsidR="00DB0058" w:rsidRPr="007218E4" w:rsidRDefault="00DB0058" w:rsidP="00DB0058">
      <w:pPr>
        <w:pStyle w:val="ListParagraph"/>
        <w:spacing w:before="120" w:line="288" w:lineRule="auto"/>
        <w:jc w:val="both"/>
        <w:rPr>
          <w:rFonts w:ascii="Arial" w:hAnsi="Arial" w:cs="Arial"/>
          <w:sz w:val="22"/>
          <w:szCs w:val="22"/>
        </w:rPr>
      </w:pPr>
      <w:r w:rsidRPr="007218E4">
        <w:rPr>
          <w:rFonts w:ascii="Arial" w:hAnsi="Arial" w:cs="Arial"/>
          <w:sz w:val="22"/>
          <w:szCs w:val="22"/>
        </w:rPr>
        <w:t xml:space="preserve">Este II PENIA consta de ocho objetivos generales para la promoción de los derechos de los niños y adolescentes. En el objetivo séptimo, que aborda el desarrollo de acciones para alcanzar el máximo progreso en los derechos de salud de la infancia y la adolescencia dando prioridad a las poblaciones más vulnerables, existe una </w:t>
      </w:r>
      <w:proofErr w:type="spellStart"/>
      <w:r w:rsidRPr="007218E4">
        <w:rPr>
          <w:rFonts w:ascii="Arial" w:hAnsi="Arial" w:cs="Arial"/>
          <w:sz w:val="22"/>
          <w:szCs w:val="22"/>
        </w:rPr>
        <w:t>submedida</w:t>
      </w:r>
      <w:proofErr w:type="spellEnd"/>
      <w:r w:rsidRPr="007218E4">
        <w:rPr>
          <w:rFonts w:ascii="Arial" w:hAnsi="Arial" w:cs="Arial"/>
          <w:sz w:val="22"/>
          <w:szCs w:val="22"/>
        </w:rPr>
        <w:t xml:space="preserve">, la 7.2.4 destinada a “Promover entornos seguros en todos los ámbitos y etapas del desarrollo del niño”, así mismo,  otra de sus medidas la 7.2.5 tiene que ver con la colaboración en la Alianza Europea de Seguridad Infantil. </w:t>
      </w:r>
    </w:p>
    <w:p w:rsidR="00DB0058" w:rsidRPr="007218E4" w:rsidRDefault="00DB0058" w:rsidP="00DB0058">
      <w:pPr>
        <w:pStyle w:val="ListParagraph"/>
        <w:spacing w:before="120" w:line="288" w:lineRule="auto"/>
        <w:jc w:val="both"/>
        <w:rPr>
          <w:rFonts w:ascii="Arial" w:hAnsi="Arial" w:cs="Arial"/>
          <w:sz w:val="22"/>
          <w:szCs w:val="22"/>
        </w:rPr>
      </w:pPr>
    </w:p>
    <w:p w:rsidR="00DB0058" w:rsidRPr="007218E4" w:rsidRDefault="00DB0058" w:rsidP="00DB0058">
      <w:pPr>
        <w:pStyle w:val="ListParagraph"/>
        <w:spacing w:before="120" w:line="288" w:lineRule="auto"/>
        <w:jc w:val="both"/>
        <w:rPr>
          <w:rFonts w:ascii="Arial" w:hAnsi="Arial" w:cs="Arial"/>
          <w:sz w:val="22"/>
          <w:szCs w:val="22"/>
        </w:rPr>
      </w:pPr>
      <w:r w:rsidRPr="007218E4">
        <w:rPr>
          <w:rFonts w:ascii="Arial" w:hAnsi="Arial" w:cs="Arial"/>
          <w:sz w:val="22"/>
          <w:szCs w:val="22"/>
        </w:rPr>
        <w:t xml:space="preserve">Por otra parte, el objetivo octavo tiene como finalidad promover activamente uno de los principios de la Convención sobre los Derechos del Niño, la participación de los menores de 18 años, favoreciendo entornos medioambientales y sociales apropiados que permitan el desarrollo adecuado de sus capacidades tanto en las zonas urbanas como en las rurales en aras de un desarrollo sostenible. En esta línea, la medida 8.7: Supresión de  barreras, regulación del tráfico y control de la contaminación, recoge la </w:t>
      </w:r>
      <w:proofErr w:type="spellStart"/>
      <w:r w:rsidRPr="007218E4">
        <w:rPr>
          <w:rFonts w:ascii="Arial" w:hAnsi="Arial" w:cs="Arial"/>
          <w:sz w:val="22"/>
          <w:szCs w:val="22"/>
        </w:rPr>
        <w:t>submedida</w:t>
      </w:r>
      <w:proofErr w:type="spellEnd"/>
      <w:r w:rsidRPr="007218E4">
        <w:rPr>
          <w:rFonts w:ascii="Arial" w:hAnsi="Arial" w:cs="Arial"/>
          <w:sz w:val="22"/>
          <w:szCs w:val="22"/>
        </w:rPr>
        <w:t xml:space="preserve"> 8.7.3: “Incidir en políticas municipales que promuevan un ambiente menos contaminante”.</w:t>
      </w:r>
    </w:p>
    <w:p w:rsidR="00DB0058" w:rsidRPr="007218E4" w:rsidRDefault="00DB0058" w:rsidP="00DB0058">
      <w:pPr>
        <w:pStyle w:val="ListParagraph"/>
        <w:spacing w:before="120" w:line="288" w:lineRule="auto"/>
        <w:jc w:val="both"/>
        <w:rPr>
          <w:rFonts w:ascii="Arial" w:hAnsi="Arial" w:cs="Arial"/>
          <w:sz w:val="22"/>
          <w:szCs w:val="22"/>
        </w:rPr>
      </w:pPr>
    </w:p>
    <w:p w:rsidR="00072894" w:rsidRDefault="00072894" w:rsidP="00DB0058">
      <w:pPr>
        <w:pStyle w:val="ListParagraph"/>
        <w:spacing w:before="120" w:line="288" w:lineRule="auto"/>
        <w:jc w:val="both"/>
        <w:rPr>
          <w:rFonts w:ascii="Arial" w:hAnsi="Arial" w:cs="Arial"/>
          <w:sz w:val="22"/>
          <w:szCs w:val="22"/>
        </w:rPr>
      </w:pPr>
    </w:p>
    <w:p w:rsidR="00072894" w:rsidRDefault="00C84D49" w:rsidP="00072894">
      <w:pPr>
        <w:pStyle w:val="ListParagraph"/>
        <w:spacing w:before="120" w:line="288" w:lineRule="auto"/>
        <w:jc w:val="both"/>
        <w:rPr>
          <w:rFonts w:ascii="Arial" w:hAnsi="Arial" w:cs="Arial"/>
          <w:sz w:val="22"/>
          <w:szCs w:val="22"/>
        </w:rPr>
      </w:pPr>
      <w:r w:rsidRPr="007218E4">
        <w:rPr>
          <w:rFonts w:ascii="Arial" w:hAnsi="Arial" w:cs="Arial"/>
          <w:sz w:val="22"/>
          <w:szCs w:val="22"/>
        </w:rPr>
        <w:t>C</w:t>
      </w:r>
      <w:r w:rsidR="00DB0058" w:rsidRPr="007218E4">
        <w:rPr>
          <w:rFonts w:ascii="Arial" w:hAnsi="Arial" w:cs="Arial"/>
          <w:sz w:val="22"/>
          <w:szCs w:val="22"/>
        </w:rPr>
        <w:t xml:space="preserve">ada medida y </w:t>
      </w:r>
      <w:proofErr w:type="spellStart"/>
      <w:r w:rsidR="00DB0058" w:rsidRPr="007218E4">
        <w:rPr>
          <w:rFonts w:ascii="Arial" w:hAnsi="Arial" w:cs="Arial"/>
          <w:sz w:val="22"/>
          <w:szCs w:val="22"/>
        </w:rPr>
        <w:t>submedida</w:t>
      </w:r>
      <w:proofErr w:type="spellEnd"/>
      <w:r w:rsidR="00DB0058" w:rsidRPr="007218E4">
        <w:rPr>
          <w:rFonts w:ascii="Arial" w:hAnsi="Arial" w:cs="Arial"/>
          <w:sz w:val="22"/>
          <w:szCs w:val="22"/>
        </w:rPr>
        <w:t xml:space="preserve"> recogida en el II PENIA tiene asignado el/los organismos responsables de la ejecución y los colaboradores, actuando cada uno en el marco de sus competencias.</w:t>
      </w:r>
    </w:p>
    <w:p w:rsidR="00072894" w:rsidRPr="00072894" w:rsidRDefault="00072894" w:rsidP="00072894">
      <w:pPr>
        <w:pStyle w:val="ListParagraph"/>
        <w:spacing w:before="120" w:line="288" w:lineRule="auto"/>
        <w:jc w:val="both"/>
        <w:rPr>
          <w:rFonts w:ascii="Arial" w:hAnsi="Arial" w:cs="Arial"/>
          <w:sz w:val="22"/>
          <w:szCs w:val="22"/>
        </w:rPr>
      </w:pPr>
    </w:p>
    <w:p w:rsidR="00DB0058" w:rsidRPr="007218E4" w:rsidRDefault="00C84D49" w:rsidP="00DB0058">
      <w:pPr>
        <w:pStyle w:val="ListParagraph"/>
        <w:spacing w:before="120" w:line="288" w:lineRule="auto"/>
        <w:jc w:val="both"/>
        <w:rPr>
          <w:rFonts w:ascii="Arial" w:hAnsi="Arial" w:cs="Arial"/>
          <w:sz w:val="22"/>
          <w:szCs w:val="22"/>
        </w:rPr>
      </w:pPr>
      <w:r w:rsidRPr="007218E4">
        <w:rPr>
          <w:rFonts w:ascii="Arial" w:hAnsi="Arial" w:cs="Arial"/>
          <w:sz w:val="22"/>
          <w:szCs w:val="22"/>
        </w:rPr>
        <w:t>Asimismo,</w:t>
      </w:r>
      <w:r w:rsidR="00036496" w:rsidRPr="007218E4">
        <w:rPr>
          <w:rFonts w:ascii="Arial" w:hAnsi="Arial" w:cs="Arial"/>
          <w:sz w:val="22"/>
          <w:szCs w:val="22"/>
        </w:rPr>
        <w:t xml:space="preserve"> un pilar importante  para prevenir la exposición a sustancias peligrosas durante la infancia</w:t>
      </w:r>
      <w:r w:rsidRPr="007218E4">
        <w:rPr>
          <w:rFonts w:ascii="Arial" w:hAnsi="Arial" w:cs="Arial"/>
          <w:sz w:val="22"/>
          <w:szCs w:val="22"/>
        </w:rPr>
        <w:t xml:space="preserve"> </w:t>
      </w:r>
      <w:r w:rsidR="00DB0058" w:rsidRPr="007218E4">
        <w:rPr>
          <w:rFonts w:ascii="Arial" w:hAnsi="Arial" w:cs="Arial"/>
          <w:sz w:val="22"/>
          <w:szCs w:val="22"/>
        </w:rPr>
        <w:t>es el Reglamento (CE) Nº 1272/2008 sobre clasificación, envasado y etiquetado de sustancias y mezclas químicas (CLP)</w:t>
      </w:r>
      <w:r w:rsidR="00036496" w:rsidRPr="007218E4">
        <w:rPr>
          <w:rFonts w:ascii="Arial" w:hAnsi="Arial" w:cs="Arial"/>
          <w:sz w:val="22"/>
          <w:szCs w:val="22"/>
        </w:rPr>
        <w:t xml:space="preserve">, el cual </w:t>
      </w:r>
      <w:r w:rsidR="00DB0058" w:rsidRPr="007218E4">
        <w:rPr>
          <w:rFonts w:ascii="Arial" w:hAnsi="Arial" w:cs="Arial"/>
          <w:sz w:val="22"/>
          <w:szCs w:val="22"/>
        </w:rPr>
        <w:t>tiene como objetivo identificar y comunicar adecuadamente la peligrosidad de las sustancias y mezclas comercializadas.</w:t>
      </w:r>
    </w:p>
    <w:p w:rsidR="007218E4" w:rsidRPr="007218E4" w:rsidRDefault="007218E4" w:rsidP="00DB0058">
      <w:pPr>
        <w:pStyle w:val="ListParagraph"/>
        <w:spacing w:before="120" w:line="288" w:lineRule="auto"/>
        <w:jc w:val="both"/>
        <w:rPr>
          <w:rFonts w:ascii="Arial" w:hAnsi="Arial" w:cs="Arial"/>
          <w:sz w:val="22"/>
          <w:szCs w:val="22"/>
        </w:rPr>
      </w:pPr>
    </w:p>
    <w:p w:rsidR="00DB0058" w:rsidRPr="007218E4" w:rsidRDefault="00DB0058" w:rsidP="00DB0058">
      <w:pPr>
        <w:pStyle w:val="ListParagraph"/>
        <w:spacing w:before="120" w:line="288" w:lineRule="auto"/>
        <w:jc w:val="both"/>
        <w:rPr>
          <w:rFonts w:ascii="Arial" w:hAnsi="Arial" w:cs="Arial"/>
          <w:sz w:val="22"/>
          <w:szCs w:val="22"/>
        </w:rPr>
      </w:pPr>
      <w:r w:rsidRPr="007218E4">
        <w:rPr>
          <w:rFonts w:ascii="Arial" w:hAnsi="Arial" w:cs="Arial"/>
          <w:sz w:val="22"/>
          <w:szCs w:val="22"/>
        </w:rPr>
        <w:t>La comunicación se realiza a través de la etiqueta, que permite alertar al usuario de la presencia de un peligro y de la necesidad de actuar con precaución, evitando la exposición y por tanto el riesgo de sufrir un efecto.</w:t>
      </w:r>
    </w:p>
    <w:p w:rsidR="007218E4" w:rsidRPr="007218E4" w:rsidRDefault="007218E4" w:rsidP="00DB0058">
      <w:pPr>
        <w:pStyle w:val="ListParagraph"/>
        <w:spacing w:before="120" w:line="288" w:lineRule="auto"/>
        <w:jc w:val="both"/>
        <w:rPr>
          <w:rFonts w:ascii="Arial" w:hAnsi="Arial" w:cs="Arial"/>
          <w:sz w:val="22"/>
          <w:szCs w:val="22"/>
        </w:rPr>
      </w:pPr>
    </w:p>
    <w:p w:rsidR="00DB0058" w:rsidRPr="007218E4" w:rsidRDefault="00DB0058" w:rsidP="00DB0058">
      <w:pPr>
        <w:pStyle w:val="ListParagraph"/>
        <w:spacing w:before="120" w:line="288" w:lineRule="auto"/>
        <w:jc w:val="both"/>
        <w:rPr>
          <w:rFonts w:ascii="Arial" w:hAnsi="Arial" w:cs="Arial"/>
          <w:sz w:val="22"/>
          <w:szCs w:val="22"/>
        </w:rPr>
      </w:pPr>
      <w:r w:rsidRPr="007218E4">
        <w:rPr>
          <w:rFonts w:ascii="Arial" w:hAnsi="Arial" w:cs="Arial"/>
          <w:sz w:val="22"/>
          <w:szCs w:val="22"/>
        </w:rPr>
        <w:t>Específicamente, se transmiten consejos de prudencia como “mantener fuera del alcance de los niños”, establece disposiciones de envasado con el fin de no atraer la curiosidad de los niños, para determinados casos (Anexo II), los envases deberán ir provistos de cierres de seguridad para niños. Adicionalmente, y con el fin de reducir el alto índice de accidentes con niños comunicados en la UE, se han establecido condiciones adicionales.</w:t>
      </w:r>
    </w:p>
    <w:p w:rsidR="007218E4" w:rsidRPr="007218E4" w:rsidRDefault="007218E4" w:rsidP="00DB0058">
      <w:pPr>
        <w:pStyle w:val="ListParagraph"/>
        <w:spacing w:before="120" w:line="288" w:lineRule="auto"/>
        <w:jc w:val="both"/>
        <w:rPr>
          <w:rFonts w:ascii="Arial" w:hAnsi="Arial" w:cs="Arial"/>
          <w:sz w:val="22"/>
          <w:szCs w:val="22"/>
        </w:rPr>
      </w:pPr>
    </w:p>
    <w:p w:rsidR="00DB0058" w:rsidRPr="007218E4" w:rsidRDefault="00DB0058" w:rsidP="00DB0058">
      <w:pPr>
        <w:pStyle w:val="ListParagraph"/>
        <w:spacing w:before="120" w:line="288" w:lineRule="auto"/>
        <w:jc w:val="both"/>
        <w:rPr>
          <w:rFonts w:ascii="Arial" w:hAnsi="Arial" w:cs="Arial"/>
          <w:sz w:val="22"/>
          <w:szCs w:val="22"/>
        </w:rPr>
      </w:pPr>
      <w:r w:rsidRPr="007218E4">
        <w:rPr>
          <w:rFonts w:ascii="Arial" w:hAnsi="Arial" w:cs="Arial"/>
          <w:sz w:val="22"/>
          <w:szCs w:val="22"/>
        </w:rPr>
        <w:t>Un ejemplo de la continuidad en las políticas de protección de la infancia frente a la exposición de determinadas sustancias químicas es el Reglamento (UE) nº 1297/2014 de la Comisión, de 5 de diciembre de 2014, (modifica el Reglamento CLP) que, con el fin de reducir el alto índice de accidentes con niños comunicados en la UE, se han establecido condiciones para la comercialización de detergentes en cápsulas solubles de un solo uso, de forma que no sean atractivas y contengan un agente repelente en una concentración inocua que suscite repulsión oral en seis segundos como máximo, en caso de exposición oral accidental.</w:t>
      </w:r>
    </w:p>
    <w:p w:rsidR="00DB0058" w:rsidRPr="007218E4" w:rsidRDefault="00DB0058" w:rsidP="00DB0058">
      <w:pPr>
        <w:pStyle w:val="ListParagraph"/>
        <w:spacing w:before="120" w:line="288" w:lineRule="auto"/>
        <w:jc w:val="both"/>
        <w:rPr>
          <w:rFonts w:ascii="Arial" w:hAnsi="Arial" w:cs="Arial"/>
          <w:sz w:val="22"/>
          <w:szCs w:val="22"/>
        </w:rPr>
      </w:pPr>
    </w:p>
    <w:p w:rsidR="00DB0058" w:rsidRPr="007218E4" w:rsidRDefault="00DB0058" w:rsidP="00DB0058">
      <w:pPr>
        <w:pStyle w:val="ListParagraph"/>
        <w:spacing w:before="120" w:line="288" w:lineRule="auto"/>
        <w:jc w:val="both"/>
        <w:rPr>
          <w:rFonts w:ascii="Arial" w:hAnsi="Arial" w:cs="Arial"/>
          <w:sz w:val="22"/>
          <w:szCs w:val="22"/>
        </w:rPr>
      </w:pPr>
    </w:p>
    <w:p w:rsidR="00D67B3C" w:rsidRPr="002B58BE" w:rsidRDefault="00D67B3C" w:rsidP="00A53169">
      <w:pPr>
        <w:pStyle w:val="ListParagraph"/>
        <w:numPr>
          <w:ilvl w:val="0"/>
          <w:numId w:val="20"/>
        </w:numPr>
        <w:spacing w:before="120" w:line="288" w:lineRule="auto"/>
        <w:jc w:val="both"/>
        <w:rPr>
          <w:rFonts w:ascii="Arial" w:hAnsi="Arial" w:cs="Arial"/>
          <w:b/>
          <w:sz w:val="22"/>
          <w:szCs w:val="22"/>
        </w:rPr>
      </w:pPr>
      <w:r w:rsidRPr="002B58BE">
        <w:rPr>
          <w:rFonts w:ascii="Arial" w:hAnsi="Arial" w:cs="Arial"/>
          <w:b/>
          <w:sz w:val="22"/>
          <w:szCs w:val="22"/>
        </w:rPr>
        <w:t xml:space="preserve">A menudo la necesidad de establecer la causalidad es un obstáculo </w:t>
      </w:r>
      <w:r w:rsidR="005638F2" w:rsidRPr="002B58BE">
        <w:rPr>
          <w:rFonts w:ascii="Arial" w:hAnsi="Arial" w:cs="Arial"/>
          <w:b/>
          <w:sz w:val="22"/>
          <w:szCs w:val="22"/>
        </w:rPr>
        <w:t>insuperable</w:t>
      </w:r>
      <w:r w:rsidRPr="002B58BE">
        <w:rPr>
          <w:rFonts w:ascii="Arial" w:hAnsi="Arial" w:cs="Arial"/>
          <w:b/>
          <w:sz w:val="22"/>
          <w:szCs w:val="22"/>
        </w:rPr>
        <w:t xml:space="preserve"> para las </w:t>
      </w:r>
      <w:r w:rsidR="005638F2" w:rsidRPr="002B58BE">
        <w:rPr>
          <w:rFonts w:ascii="Arial" w:hAnsi="Arial" w:cs="Arial"/>
          <w:b/>
          <w:sz w:val="22"/>
          <w:szCs w:val="22"/>
        </w:rPr>
        <w:t>víctimas</w:t>
      </w:r>
      <w:r w:rsidRPr="002B58BE">
        <w:rPr>
          <w:rFonts w:ascii="Arial" w:hAnsi="Arial" w:cs="Arial"/>
          <w:b/>
          <w:sz w:val="22"/>
          <w:szCs w:val="22"/>
        </w:rPr>
        <w:t xml:space="preserve"> de las sustancias peligrosas, en particular para los niños. Por favor, sírvanse describir los esfuerzos positivos llevados a cabo para eliminar los obstáculos para establecer la causalidad que deben superar los niños que están o han estado expuestos a productos químicos tóxicos durante su desarrollo, pero no muestran impactos adversos en su salud, tales como el cáncer, hasta mucho más tarde en su vida. Por ejemplo, ampliando los plazos de prescripción de los litigios o reduciendo la carga de la prueba en las victimas para establecer la relación de causalidad.</w:t>
      </w:r>
    </w:p>
    <w:p w:rsidR="00DB0058" w:rsidRPr="007218E4" w:rsidRDefault="00DB0058" w:rsidP="00DB0058">
      <w:pPr>
        <w:pStyle w:val="ListParagraph"/>
        <w:spacing w:before="120" w:line="288" w:lineRule="auto"/>
        <w:jc w:val="both"/>
        <w:rPr>
          <w:rFonts w:ascii="Arial" w:hAnsi="Arial" w:cs="Arial"/>
          <w:sz w:val="22"/>
          <w:szCs w:val="22"/>
        </w:rPr>
      </w:pPr>
    </w:p>
    <w:p w:rsidR="00DB0058" w:rsidRPr="007218E4" w:rsidRDefault="00DB0058" w:rsidP="00DB0058">
      <w:pPr>
        <w:pStyle w:val="ListParagraph"/>
        <w:spacing w:before="120" w:line="288" w:lineRule="auto"/>
        <w:jc w:val="both"/>
        <w:rPr>
          <w:rFonts w:ascii="Arial" w:hAnsi="Arial" w:cs="Arial"/>
          <w:sz w:val="22"/>
          <w:szCs w:val="22"/>
        </w:rPr>
      </w:pPr>
    </w:p>
    <w:p w:rsidR="00D67B3C" w:rsidRPr="002B58BE" w:rsidRDefault="00D67B3C" w:rsidP="00A53169">
      <w:pPr>
        <w:pStyle w:val="ListParagraph"/>
        <w:numPr>
          <w:ilvl w:val="0"/>
          <w:numId w:val="20"/>
        </w:numPr>
        <w:spacing w:before="120" w:line="288" w:lineRule="auto"/>
        <w:jc w:val="both"/>
        <w:rPr>
          <w:rFonts w:ascii="Arial" w:hAnsi="Arial" w:cs="Arial"/>
          <w:b/>
          <w:sz w:val="22"/>
          <w:szCs w:val="22"/>
        </w:rPr>
      </w:pPr>
      <w:r w:rsidRPr="002B58BE">
        <w:rPr>
          <w:rFonts w:ascii="Arial" w:hAnsi="Arial" w:cs="Arial"/>
          <w:b/>
          <w:sz w:val="22"/>
          <w:szCs w:val="22"/>
        </w:rPr>
        <w:t xml:space="preserve">Sírvanse explicar cualquier proceso especifico judicial y no judicial para responsabilizar a los autores de reclamaciones relacionadas con impactos adversos en la salud y otros derechos del niño como consecuencia sustancias peligrosas de los. </w:t>
      </w:r>
      <w:r w:rsidR="00036496" w:rsidRPr="002B58BE">
        <w:rPr>
          <w:rFonts w:ascii="Arial" w:hAnsi="Arial" w:cs="Arial"/>
          <w:b/>
          <w:sz w:val="22"/>
          <w:szCs w:val="22"/>
        </w:rPr>
        <w:t xml:space="preserve"> (de la utilización de sustancias peligrosas) </w:t>
      </w:r>
      <w:r w:rsidRPr="002B58BE">
        <w:rPr>
          <w:rFonts w:ascii="Arial" w:hAnsi="Arial" w:cs="Arial"/>
          <w:b/>
          <w:sz w:val="22"/>
          <w:szCs w:val="22"/>
        </w:rPr>
        <w:t>Por favor, proporcionen la jurisprudencia más relevante de casos relativos a la exposición de menores a sustancias peligrosas, así como intentos judiciales para garantizar un remedio eficaz y oportuno, incluyendo casos nacionales y trasnacionales relevantes.</w:t>
      </w:r>
    </w:p>
    <w:p w:rsidR="00DB0058" w:rsidRPr="007218E4" w:rsidRDefault="00DB0058" w:rsidP="00DB0058">
      <w:pPr>
        <w:pStyle w:val="ListParagraph"/>
        <w:spacing w:before="120" w:line="288" w:lineRule="auto"/>
        <w:jc w:val="both"/>
        <w:rPr>
          <w:rFonts w:ascii="Arial" w:hAnsi="Arial" w:cs="Arial"/>
          <w:sz w:val="22"/>
          <w:szCs w:val="22"/>
        </w:rPr>
      </w:pPr>
    </w:p>
    <w:p w:rsidR="00072894" w:rsidRDefault="00072894" w:rsidP="00DB0058">
      <w:pPr>
        <w:pStyle w:val="ListParagraph"/>
        <w:spacing w:before="120" w:line="288" w:lineRule="auto"/>
        <w:jc w:val="both"/>
        <w:rPr>
          <w:rFonts w:ascii="Arial" w:hAnsi="Arial" w:cs="Arial"/>
          <w:sz w:val="22"/>
          <w:szCs w:val="22"/>
        </w:rPr>
      </w:pPr>
    </w:p>
    <w:p w:rsidR="00072894" w:rsidRDefault="00072894" w:rsidP="00DB0058">
      <w:pPr>
        <w:pStyle w:val="ListParagraph"/>
        <w:spacing w:before="120" w:line="288" w:lineRule="auto"/>
        <w:jc w:val="both"/>
        <w:rPr>
          <w:rFonts w:ascii="Arial" w:hAnsi="Arial" w:cs="Arial"/>
          <w:sz w:val="22"/>
          <w:szCs w:val="22"/>
        </w:rPr>
      </w:pPr>
    </w:p>
    <w:p w:rsidR="00072894" w:rsidRDefault="00072894" w:rsidP="00DB0058">
      <w:pPr>
        <w:pStyle w:val="ListParagraph"/>
        <w:spacing w:before="120" w:line="288" w:lineRule="auto"/>
        <w:jc w:val="both"/>
        <w:rPr>
          <w:rFonts w:ascii="Arial" w:hAnsi="Arial" w:cs="Arial"/>
          <w:sz w:val="22"/>
          <w:szCs w:val="22"/>
        </w:rPr>
      </w:pPr>
    </w:p>
    <w:p w:rsidR="00072894" w:rsidRDefault="00DB0058" w:rsidP="00072894">
      <w:pPr>
        <w:pStyle w:val="ListParagraph"/>
        <w:spacing w:before="120" w:line="288" w:lineRule="auto"/>
        <w:jc w:val="both"/>
        <w:rPr>
          <w:rFonts w:ascii="Arial" w:hAnsi="Arial" w:cs="Arial"/>
          <w:sz w:val="22"/>
          <w:szCs w:val="22"/>
        </w:rPr>
      </w:pPr>
      <w:r w:rsidRPr="007218E4">
        <w:rPr>
          <w:rFonts w:ascii="Arial" w:hAnsi="Arial" w:cs="Arial"/>
          <w:sz w:val="22"/>
          <w:szCs w:val="22"/>
        </w:rPr>
        <w:t>Los sistemas de alerta temprana son sistemas preventivos de gran eficacia ya que un objetivo de los mismos es retirar de los circuitos de comercialización y/o proporcionar información a la población información sobre aquellos productos con problemas potenciales o evidenciados para la seguridad y la  salud de la población. En ellas pueden contribuir positivamente tanto los empresarios, organizaciones sociales y administraciones.</w:t>
      </w:r>
    </w:p>
    <w:p w:rsidR="00072894" w:rsidRPr="00072894" w:rsidRDefault="00072894" w:rsidP="00072894">
      <w:pPr>
        <w:pStyle w:val="ListParagraph"/>
        <w:spacing w:before="120" w:line="288" w:lineRule="auto"/>
        <w:jc w:val="both"/>
        <w:rPr>
          <w:rFonts w:ascii="Arial" w:hAnsi="Arial" w:cs="Arial"/>
          <w:sz w:val="22"/>
          <w:szCs w:val="22"/>
        </w:rPr>
      </w:pPr>
    </w:p>
    <w:p w:rsidR="00DB0058" w:rsidRPr="007218E4" w:rsidRDefault="00DB0058" w:rsidP="00DB0058">
      <w:pPr>
        <w:pStyle w:val="ListParagraph"/>
        <w:spacing w:before="120" w:line="288" w:lineRule="auto"/>
        <w:jc w:val="both"/>
        <w:rPr>
          <w:rFonts w:ascii="Arial" w:hAnsi="Arial" w:cs="Arial"/>
          <w:sz w:val="22"/>
          <w:szCs w:val="22"/>
        </w:rPr>
      </w:pPr>
      <w:r w:rsidRPr="007218E4">
        <w:rPr>
          <w:rFonts w:ascii="Arial" w:hAnsi="Arial" w:cs="Arial"/>
          <w:sz w:val="22"/>
          <w:szCs w:val="22"/>
        </w:rPr>
        <w:t>Las reclamaciones y, en su caso, las denuncias, sin perjuicio de las investigaciones que las administraciones lleven a cabo a</w:t>
      </w:r>
      <w:r w:rsidR="007218E4" w:rsidRPr="007218E4">
        <w:rPr>
          <w:rFonts w:ascii="Arial" w:hAnsi="Arial" w:cs="Arial"/>
          <w:sz w:val="22"/>
          <w:szCs w:val="22"/>
        </w:rPr>
        <w:t xml:space="preserve"> resultas </w:t>
      </w:r>
      <w:r w:rsidRPr="007218E4">
        <w:rPr>
          <w:rFonts w:ascii="Arial" w:hAnsi="Arial" w:cs="Arial"/>
          <w:sz w:val="22"/>
          <w:szCs w:val="22"/>
        </w:rPr>
        <w:t>de las mismas, implican identificar el hecho y el producto y cuando existen lesione</w:t>
      </w:r>
      <w:r w:rsidR="00036496" w:rsidRPr="007218E4">
        <w:rPr>
          <w:rFonts w:ascii="Arial" w:hAnsi="Arial" w:cs="Arial"/>
          <w:sz w:val="22"/>
          <w:szCs w:val="22"/>
        </w:rPr>
        <w:t xml:space="preserve">s suelen precisar, en su caso, </w:t>
      </w:r>
      <w:r w:rsidRPr="007218E4">
        <w:rPr>
          <w:rFonts w:ascii="Arial" w:hAnsi="Arial" w:cs="Arial"/>
          <w:sz w:val="22"/>
          <w:szCs w:val="22"/>
        </w:rPr>
        <w:t>el diagnóstico de un profesional de la salud (informe m</w:t>
      </w:r>
      <w:r w:rsidR="00036496" w:rsidRPr="007218E4">
        <w:rPr>
          <w:rFonts w:ascii="Arial" w:hAnsi="Arial" w:cs="Arial"/>
          <w:sz w:val="22"/>
          <w:szCs w:val="22"/>
        </w:rPr>
        <w:t xml:space="preserve">édico) identificando lesiones y el </w:t>
      </w:r>
      <w:r w:rsidRPr="007218E4">
        <w:rPr>
          <w:rFonts w:ascii="Arial" w:hAnsi="Arial" w:cs="Arial"/>
          <w:sz w:val="22"/>
          <w:szCs w:val="22"/>
        </w:rPr>
        <w:t xml:space="preserve">producto proporcionada </w:t>
      </w:r>
      <w:r w:rsidR="00036496" w:rsidRPr="007218E4">
        <w:rPr>
          <w:rFonts w:ascii="Arial" w:hAnsi="Arial" w:cs="Arial"/>
          <w:sz w:val="22"/>
          <w:szCs w:val="22"/>
        </w:rPr>
        <w:t xml:space="preserve">(utilizado) </w:t>
      </w:r>
      <w:r w:rsidRPr="007218E4">
        <w:rPr>
          <w:rFonts w:ascii="Arial" w:hAnsi="Arial" w:cs="Arial"/>
          <w:sz w:val="22"/>
          <w:szCs w:val="22"/>
        </w:rPr>
        <w:t>por el afectado o sus familiares.</w:t>
      </w:r>
    </w:p>
    <w:p w:rsidR="00DB0058" w:rsidRPr="007218E4" w:rsidRDefault="00DB0058" w:rsidP="00DB0058">
      <w:pPr>
        <w:pStyle w:val="ListParagraph"/>
        <w:spacing w:before="120" w:line="288" w:lineRule="auto"/>
        <w:jc w:val="both"/>
        <w:rPr>
          <w:rFonts w:ascii="Arial" w:hAnsi="Arial" w:cs="Arial"/>
          <w:sz w:val="22"/>
          <w:szCs w:val="22"/>
        </w:rPr>
      </w:pPr>
    </w:p>
    <w:p w:rsidR="00D67B3C" w:rsidRPr="002B58BE" w:rsidRDefault="00D67B3C" w:rsidP="00A53169">
      <w:pPr>
        <w:pStyle w:val="ListParagraph"/>
        <w:numPr>
          <w:ilvl w:val="0"/>
          <w:numId w:val="20"/>
        </w:numPr>
        <w:spacing w:before="120" w:line="288" w:lineRule="auto"/>
        <w:jc w:val="both"/>
        <w:rPr>
          <w:rFonts w:ascii="Arial" w:hAnsi="Arial" w:cs="Arial"/>
          <w:b/>
          <w:sz w:val="22"/>
          <w:szCs w:val="22"/>
        </w:rPr>
      </w:pPr>
      <w:r w:rsidRPr="002B58BE">
        <w:rPr>
          <w:rFonts w:ascii="Arial" w:hAnsi="Arial" w:cs="Arial"/>
          <w:b/>
          <w:sz w:val="22"/>
          <w:szCs w:val="22"/>
        </w:rPr>
        <w:t>Sírvanse por favor proporcionar cualquier información adicional que usted crea útil para facilitar la comprensión de los esfuerzo realizados y6 los desafíos afrontados por su Gobierno en relación con sus esfuerzos para proteger los derechos del niño en el ámbito de las sustancias peligrosas.</w:t>
      </w:r>
    </w:p>
    <w:p w:rsidR="00D67B3C" w:rsidRPr="007218E4" w:rsidRDefault="00D67B3C" w:rsidP="00D67B3C">
      <w:pPr>
        <w:pStyle w:val="ListParagraph"/>
        <w:spacing w:before="120" w:line="288" w:lineRule="auto"/>
        <w:jc w:val="both"/>
        <w:rPr>
          <w:rFonts w:ascii="Arial" w:hAnsi="Arial" w:cs="Arial"/>
          <w:sz w:val="22"/>
          <w:szCs w:val="22"/>
        </w:rPr>
      </w:pPr>
    </w:p>
    <w:p w:rsidR="00DB0058" w:rsidRPr="00A53169" w:rsidRDefault="00DB0058" w:rsidP="00D67B3C">
      <w:pPr>
        <w:pStyle w:val="ListParagraph"/>
        <w:spacing w:before="120" w:line="288" w:lineRule="auto"/>
        <w:jc w:val="both"/>
        <w:rPr>
          <w:rFonts w:ascii="Arial" w:hAnsi="Arial" w:cs="Arial"/>
          <w:sz w:val="22"/>
          <w:szCs w:val="22"/>
        </w:rPr>
      </w:pPr>
      <w:r w:rsidRPr="007218E4">
        <w:rPr>
          <w:rFonts w:ascii="Arial" w:hAnsi="Arial" w:cs="Arial"/>
          <w:sz w:val="22"/>
          <w:szCs w:val="22"/>
        </w:rPr>
        <w:t>Es importante no olvidar el papel de las organizaciones o asociaciones de consumidores que constituyen una buena correa de transmisión en esta materia.</w:t>
      </w:r>
    </w:p>
    <w:sectPr w:rsidR="00DB0058" w:rsidRPr="00A53169" w:rsidSect="00B1374A">
      <w:footerReference w:type="default" r:id="rId8"/>
      <w:footerReference w:type="first" r:id="rId9"/>
      <w:type w:val="continuous"/>
      <w:pgSz w:w="11906" w:h="16838" w:code="9"/>
      <w:pgMar w:top="127" w:right="1286" w:bottom="1797" w:left="720" w:header="899" w:footer="25"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274" w:rsidRDefault="00180274">
      <w:r>
        <w:separator/>
      </w:r>
    </w:p>
  </w:endnote>
  <w:endnote w:type="continuationSeparator" w:id="0">
    <w:p w:rsidR="00180274" w:rsidRDefault="0018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gi">
    <w:panose1 w:val="04040504061007020D02"/>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48" w:type="dxa"/>
      <w:tblLayout w:type="fixed"/>
      <w:tblCellMar>
        <w:left w:w="0" w:type="dxa"/>
        <w:right w:w="0" w:type="dxa"/>
      </w:tblCellMar>
      <w:tblLook w:val="01E0" w:firstRow="1" w:lastRow="1" w:firstColumn="1" w:lastColumn="1" w:noHBand="0" w:noVBand="0"/>
    </w:tblPr>
    <w:tblGrid>
      <w:gridCol w:w="9360"/>
      <w:gridCol w:w="288"/>
    </w:tblGrid>
    <w:tr w:rsidR="002B58BE" w:rsidRPr="004B4CEE" w:rsidTr="002B58BE">
      <w:tc>
        <w:tcPr>
          <w:tcW w:w="9360" w:type="dxa"/>
          <w:tcBorders>
            <w:top w:val="nil"/>
            <w:left w:val="nil"/>
            <w:bottom w:val="nil"/>
            <w:right w:val="nil"/>
          </w:tcBorders>
        </w:tcPr>
        <w:p w:rsidR="002B58BE" w:rsidRPr="00754CF3" w:rsidRDefault="002B58BE" w:rsidP="004B4CEE">
          <w:pPr>
            <w:pStyle w:val="Header"/>
            <w:jc w:val="center"/>
            <w:rPr>
              <w:rFonts w:ascii="Arial" w:hAnsi="Arial" w:cs="Arial"/>
              <w:sz w:val="22"/>
              <w:szCs w:val="22"/>
            </w:rPr>
          </w:pPr>
          <w:r w:rsidRPr="00754CF3">
            <w:rPr>
              <w:rStyle w:val="PageNumber"/>
              <w:rFonts w:ascii="Arial" w:hAnsi="Arial" w:cs="Arial"/>
              <w:sz w:val="22"/>
              <w:szCs w:val="22"/>
            </w:rPr>
            <w:fldChar w:fldCharType="begin"/>
          </w:r>
          <w:r w:rsidRPr="00754CF3">
            <w:rPr>
              <w:rStyle w:val="PageNumber"/>
              <w:rFonts w:ascii="Arial" w:hAnsi="Arial" w:cs="Arial"/>
              <w:sz w:val="22"/>
              <w:szCs w:val="22"/>
            </w:rPr>
            <w:instrText xml:space="preserve"> PAGE </w:instrText>
          </w:r>
          <w:r w:rsidRPr="00754CF3">
            <w:rPr>
              <w:rStyle w:val="PageNumber"/>
              <w:rFonts w:ascii="Arial" w:hAnsi="Arial" w:cs="Arial"/>
              <w:sz w:val="22"/>
              <w:szCs w:val="22"/>
            </w:rPr>
            <w:fldChar w:fldCharType="separate"/>
          </w:r>
          <w:r w:rsidR="008A2D9A">
            <w:rPr>
              <w:rStyle w:val="PageNumber"/>
              <w:rFonts w:ascii="Arial" w:hAnsi="Arial" w:cs="Arial"/>
              <w:noProof/>
              <w:sz w:val="22"/>
              <w:szCs w:val="22"/>
            </w:rPr>
            <w:t>5</w:t>
          </w:r>
          <w:r w:rsidRPr="00754CF3">
            <w:rPr>
              <w:rStyle w:val="PageNumber"/>
              <w:rFonts w:ascii="Arial" w:hAnsi="Arial" w:cs="Arial"/>
              <w:sz w:val="22"/>
              <w:szCs w:val="22"/>
            </w:rPr>
            <w:fldChar w:fldCharType="end"/>
          </w:r>
        </w:p>
      </w:tc>
      <w:tc>
        <w:tcPr>
          <w:tcW w:w="288" w:type="dxa"/>
          <w:tcBorders>
            <w:top w:val="nil"/>
            <w:left w:val="nil"/>
            <w:bottom w:val="nil"/>
            <w:right w:val="nil"/>
          </w:tcBorders>
        </w:tcPr>
        <w:p w:rsidR="002B58BE" w:rsidRPr="004B4CEE" w:rsidRDefault="002B58BE" w:rsidP="004B4CEE">
          <w:pPr>
            <w:pStyle w:val="Header"/>
            <w:jc w:val="right"/>
            <w:rPr>
              <w:lang w:val="es-ES_tradnl"/>
            </w:rPr>
          </w:pPr>
        </w:p>
      </w:tc>
    </w:tr>
    <w:tr w:rsidR="002B58BE" w:rsidRPr="004B4CEE" w:rsidTr="002B58BE">
      <w:trPr>
        <w:trHeight w:hRule="exact" w:val="170"/>
      </w:trPr>
      <w:tc>
        <w:tcPr>
          <w:tcW w:w="9360" w:type="dxa"/>
          <w:tcBorders>
            <w:top w:val="nil"/>
            <w:left w:val="nil"/>
            <w:bottom w:val="nil"/>
            <w:right w:val="nil"/>
          </w:tcBorders>
        </w:tcPr>
        <w:p w:rsidR="002B58BE" w:rsidRPr="004B4CEE" w:rsidRDefault="002B58BE" w:rsidP="004B4CEE">
          <w:pPr>
            <w:pStyle w:val="Header"/>
            <w:rPr>
              <w:lang w:val="es-ES_tradnl"/>
            </w:rPr>
          </w:pPr>
        </w:p>
      </w:tc>
      <w:tc>
        <w:tcPr>
          <w:tcW w:w="288" w:type="dxa"/>
          <w:tcBorders>
            <w:top w:val="nil"/>
            <w:left w:val="nil"/>
            <w:bottom w:val="nil"/>
            <w:right w:val="nil"/>
          </w:tcBorders>
        </w:tcPr>
        <w:p w:rsidR="002B58BE" w:rsidRPr="004B4CEE" w:rsidRDefault="002B58BE" w:rsidP="004B4CEE">
          <w:pPr>
            <w:pStyle w:val="Header"/>
            <w:rPr>
              <w:lang w:val="es-ES_tradnl"/>
            </w:rPr>
          </w:pPr>
        </w:p>
      </w:tc>
    </w:tr>
    <w:tr w:rsidR="002B58BE" w:rsidRPr="004B4CEE" w:rsidTr="002B58BE">
      <w:trPr>
        <w:trHeight w:hRule="exact" w:val="170"/>
      </w:trPr>
      <w:tc>
        <w:tcPr>
          <w:tcW w:w="9360" w:type="dxa"/>
          <w:tcBorders>
            <w:top w:val="nil"/>
            <w:left w:val="nil"/>
            <w:bottom w:val="nil"/>
            <w:right w:val="nil"/>
          </w:tcBorders>
        </w:tcPr>
        <w:p w:rsidR="002B58BE" w:rsidRPr="004B4CEE" w:rsidRDefault="002B58BE" w:rsidP="004B4CEE">
          <w:pPr>
            <w:pStyle w:val="Header"/>
            <w:rPr>
              <w:lang w:val="es-ES_tradnl"/>
            </w:rPr>
          </w:pPr>
        </w:p>
      </w:tc>
      <w:tc>
        <w:tcPr>
          <w:tcW w:w="288" w:type="dxa"/>
          <w:tcBorders>
            <w:top w:val="nil"/>
            <w:left w:val="nil"/>
            <w:bottom w:val="nil"/>
            <w:right w:val="nil"/>
          </w:tcBorders>
        </w:tcPr>
        <w:p w:rsidR="002B58BE" w:rsidRPr="004B4CEE" w:rsidRDefault="002B58BE" w:rsidP="004B4CEE">
          <w:pPr>
            <w:pStyle w:val="Header"/>
            <w:rPr>
              <w:lang w:val="es-ES_tradnl"/>
            </w:rPr>
          </w:pPr>
        </w:p>
      </w:tc>
    </w:tr>
    <w:tr w:rsidR="002B58BE" w:rsidRPr="004B4CEE" w:rsidTr="002B58BE">
      <w:trPr>
        <w:trHeight w:hRule="exact" w:val="396"/>
      </w:trPr>
      <w:tc>
        <w:tcPr>
          <w:tcW w:w="9360" w:type="dxa"/>
          <w:tcBorders>
            <w:top w:val="nil"/>
            <w:left w:val="nil"/>
            <w:bottom w:val="nil"/>
            <w:right w:val="nil"/>
          </w:tcBorders>
        </w:tcPr>
        <w:p w:rsidR="002B58BE" w:rsidRPr="004B4CEE" w:rsidRDefault="002B58BE" w:rsidP="004B4CEE">
          <w:pPr>
            <w:pStyle w:val="Header"/>
            <w:rPr>
              <w:lang w:val="es-ES_tradnl"/>
            </w:rPr>
          </w:pPr>
        </w:p>
      </w:tc>
      <w:tc>
        <w:tcPr>
          <w:tcW w:w="288" w:type="dxa"/>
          <w:tcBorders>
            <w:top w:val="nil"/>
            <w:left w:val="nil"/>
            <w:bottom w:val="nil"/>
            <w:right w:val="nil"/>
          </w:tcBorders>
        </w:tcPr>
        <w:p w:rsidR="002B58BE" w:rsidRPr="004B4CEE" w:rsidRDefault="002B58BE" w:rsidP="004B4CEE">
          <w:pPr>
            <w:pStyle w:val="Header"/>
            <w:rPr>
              <w:lang w:val="es-ES_tradnl"/>
            </w:rPr>
          </w:pPr>
        </w:p>
      </w:tc>
    </w:tr>
  </w:tbl>
  <w:p w:rsidR="004B1272" w:rsidRPr="004B4CEE" w:rsidRDefault="004B1272" w:rsidP="00C03E9C">
    <w:pPr>
      <w:pStyle w:val="Footer"/>
      <w:jc w:val="right"/>
      <w:rPr>
        <w:rFonts w:ascii="Arial" w:hAnsi="Arial" w:cs="Arial"/>
        <w:lang w:val="es-ES_tradn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709341"/>
      <w:docPartObj>
        <w:docPartGallery w:val="Page Numbers (Bottom of Page)"/>
        <w:docPartUnique/>
      </w:docPartObj>
    </w:sdtPr>
    <w:sdtEndPr/>
    <w:sdtContent>
      <w:p w:rsidR="002B58BE" w:rsidRDefault="002B58BE">
        <w:pPr>
          <w:pStyle w:val="Footer"/>
          <w:jc w:val="right"/>
        </w:pPr>
        <w:r>
          <w:fldChar w:fldCharType="begin"/>
        </w:r>
        <w:r>
          <w:instrText>PAGE   \* MERGEFORMAT</w:instrText>
        </w:r>
        <w:r>
          <w:fldChar w:fldCharType="separate"/>
        </w:r>
        <w:r w:rsidR="008A2D9A">
          <w:rPr>
            <w:noProof/>
          </w:rPr>
          <w:t>1</w:t>
        </w:r>
        <w:r>
          <w:fldChar w:fldCharType="end"/>
        </w:r>
      </w:p>
    </w:sdtContent>
  </w:sdt>
  <w:p w:rsidR="00203E39" w:rsidRDefault="00203E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274" w:rsidRDefault="00180274">
      <w:r>
        <w:separator/>
      </w:r>
    </w:p>
  </w:footnote>
  <w:footnote w:type="continuationSeparator" w:id="0">
    <w:p w:rsidR="00180274" w:rsidRDefault="001802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4"/>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1233"/>
        </w:tabs>
        <w:ind w:left="1233" w:hanging="360"/>
      </w:pPr>
      <w:rPr>
        <w:rFonts w:ascii="Symbol" w:hAnsi="Symbol" w:cs="OpenSymbol"/>
      </w:rPr>
    </w:lvl>
    <w:lvl w:ilvl="1">
      <w:start w:val="1"/>
      <w:numFmt w:val="bullet"/>
      <w:lvlText w:val="◦"/>
      <w:lvlJc w:val="left"/>
      <w:pPr>
        <w:tabs>
          <w:tab w:val="num" w:pos="1593"/>
        </w:tabs>
        <w:ind w:left="1593" w:hanging="360"/>
      </w:pPr>
      <w:rPr>
        <w:rFonts w:ascii="OpenSymbol" w:hAnsi="OpenSymbol" w:cs="OpenSymbol"/>
      </w:rPr>
    </w:lvl>
    <w:lvl w:ilvl="2">
      <w:start w:val="1"/>
      <w:numFmt w:val="bullet"/>
      <w:lvlText w:val="▪"/>
      <w:lvlJc w:val="left"/>
      <w:pPr>
        <w:tabs>
          <w:tab w:val="num" w:pos="1953"/>
        </w:tabs>
        <w:ind w:left="1953" w:hanging="360"/>
      </w:pPr>
      <w:rPr>
        <w:rFonts w:ascii="OpenSymbol" w:hAnsi="OpenSymbol" w:cs="OpenSymbol"/>
      </w:rPr>
    </w:lvl>
    <w:lvl w:ilvl="3">
      <w:start w:val="1"/>
      <w:numFmt w:val="bullet"/>
      <w:lvlText w:val=""/>
      <w:lvlJc w:val="left"/>
      <w:pPr>
        <w:tabs>
          <w:tab w:val="num" w:pos="2313"/>
        </w:tabs>
        <w:ind w:left="2313" w:hanging="360"/>
      </w:pPr>
      <w:rPr>
        <w:rFonts w:ascii="Symbol" w:hAnsi="Symbol" w:cs="OpenSymbol"/>
      </w:rPr>
    </w:lvl>
    <w:lvl w:ilvl="4">
      <w:start w:val="1"/>
      <w:numFmt w:val="bullet"/>
      <w:lvlText w:val="◦"/>
      <w:lvlJc w:val="left"/>
      <w:pPr>
        <w:tabs>
          <w:tab w:val="num" w:pos="2673"/>
        </w:tabs>
        <w:ind w:left="2673" w:hanging="360"/>
      </w:pPr>
      <w:rPr>
        <w:rFonts w:ascii="OpenSymbol" w:hAnsi="OpenSymbol" w:cs="OpenSymbol"/>
      </w:rPr>
    </w:lvl>
    <w:lvl w:ilvl="5">
      <w:start w:val="1"/>
      <w:numFmt w:val="bullet"/>
      <w:lvlText w:val="▪"/>
      <w:lvlJc w:val="left"/>
      <w:pPr>
        <w:tabs>
          <w:tab w:val="num" w:pos="3033"/>
        </w:tabs>
        <w:ind w:left="3033" w:hanging="360"/>
      </w:pPr>
      <w:rPr>
        <w:rFonts w:ascii="OpenSymbol" w:hAnsi="OpenSymbol" w:cs="OpenSymbol"/>
      </w:rPr>
    </w:lvl>
    <w:lvl w:ilvl="6">
      <w:start w:val="1"/>
      <w:numFmt w:val="bullet"/>
      <w:lvlText w:val=""/>
      <w:lvlJc w:val="left"/>
      <w:pPr>
        <w:tabs>
          <w:tab w:val="num" w:pos="3393"/>
        </w:tabs>
        <w:ind w:left="3393" w:hanging="360"/>
      </w:pPr>
      <w:rPr>
        <w:rFonts w:ascii="Symbol" w:hAnsi="Symbol" w:cs="OpenSymbol"/>
      </w:rPr>
    </w:lvl>
    <w:lvl w:ilvl="7">
      <w:start w:val="1"/>
      <w:numFmt w:val="bullet"/>
      <w:lvlText w:val="◦"/>
      <w:lvlJc w:val="left"/>
      <w:pPr>
        <w:tabs>
          <w:tab w:val="num" w:pos="3753"/>
        </w:tabs>
        <w:ind w:left="3753" w:hanging="360"/>
      </w:pPr>
      <w:rPr>
        <w:rFonts w:ascii="OpenSymbol" w:hAnsi="OpenSymbol" w:cs="OpenSymbol"/>
      </w:rPr>
    </w:lvl>
    <w:lvl w:ilvl="8">
      <w:start w:val="1"/>
      <w:numFmt w:val="bullet"/>
      <w:lvlText w:val="▪"/>
      <w:lvlJc w:val="left"/>
      <w:pPr>
        <w:tabs>
          <w:tab w:val="num" w:pos="4113"/>
        </w:tabs>
        <w:ind w:left="4113" w:hanging="360"/>
      </w:pPr>
      <w:rPr>
        <w:rFonts w:ascii="OpenSymbol" w:hAnsi="OpenSymbol" w:cs="OpenSymbol"/>
      </w:rPr>
    </w:lvl>
  </w:abstractNum>
  <w:abstractNum w:abstractNumId="4">
    <w:nsid w:val="05640139"/>
    <w:multiLevelType w:val="hybridMultilevel"/>
    <w:tmpl w:val="2E02854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54110A2"/>
    <w:multiLevelType w:val="hybridMultilevel"/>
    <w:tmpl w:val="A92ED242"/>
    <w:lvl w:ilvl="0" w:tplc="0C0A0001">
      <w:start w:val="1"/>
      <w:numFmt w:val="bullet"/>
      <w:lvlText w:val=""/>
      <w:lvlJc w:val="left"/>
      <w:pPr>
        <w:tabs>
          <w:tab w:val="num" w:pos="1620"/>
        </w:tabs>
        <w:ind w:left="1620" w:hanging="360"/>
      </w:pPr>
      <w:rPr>
        <w:rFonts w:ascii="Symbol" w:hAnsi="Symbol" w:hint="default"/>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6">
    <w:nsid w:val="1B9C60FB"/>
    <w:multiLevelType w:val="hybridMultilevel"/>
    <w:tmpl w:val="45EA9E30"/>
    <w:lvl w:ilvl="0" w:tplc="0AC6A6A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4FC07C3"/>
    <w:multiLevelType w:val="hybridMultilevel"/>
    <w:tmpl w:val="02C46B90"/>
    <w:lvl w:ilvl="0" w:tplc="0C0A0001">
      <w:start w:val="1"/>
      <w:numFmt w:val="bullet"/>
      <w:lvlText w:val=""/>
      <w:lvlJc w:val="left"/>
      <w:pPr>
        <w:tabs>
          <w:tab w:val="num" w:pos="1620"/>
        </w:tabs>
        <w:ind w:left="1620" w:hanging="360"/>
      </w:pPr>
      <w:rPr>
        <w:rFonts w:ascii="Symbol" w:hAnsi="Symbol" w:hint="default"/>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8">
    <w:nsid w:val="2DD161E7"/>
    <w:multiLevelType w:val="hybridMultilevel"/>
    <w:tmpl w:val="0E9A79B8"/>
    <w:lvl w:ilvl="0" w:tplc="8038882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1C61727"/>
    <w:multiLevelType w:val="hybridMultilevel"/>
    <w:tmpl w:val="CF80DE98"/>
    <w:lvl w:ilvl="0" w:tplc="CB169752">
      <w:numFmt w:val="bullet"/>
      <w:lvlText w:val="-"/>
      <w:lvlJc w:val="left"/>
      <w:pPr>
        <w:tabs>
          <w:tab w:val="num" w:pos="720"/>
        </w:tabs>
        <w:ind w:left="720" w:hanging="360"/>
      </w:pPr>
      <w:rPr>
        <w:rFonts w:ascii="Arial" w:eastAsia="Gigi" w:hAnsi="Arial" w:cs="Arial"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2C37574"/>
    <w:multiLevelType w:val="hybridMultilevel"/>
    <w:tmpl w:val="878ED46A"/>
    <w:lvl w:ilvl="0" w:tplc="0C0A0011">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42E544C"/>
    <w:multiLevelType w:val="hybridMultilevel"/>
    <w:tmpl w:val="52EA31E4"/>
    <w:lvl w:ilvl="0" w:tplc="0C0A0001">
      <w:start w:val="1"/>
      <w:numFmt w:val="bullet"/>
      <w:lvlText w:val=""/>
      <w:lvlJc w:val="left"/>
      <w:pPr>
        <w:tabs>
          <w:tab w:val="num" w:pos="1224"/>
        </w:tabs>
        <w:ind w:left="1224" w:hanging="360"/>
      </w:pPr>
      <w:rPr>
        <w:rFonts w:ascii="Symbol" w:hAnsi="Symbol" w:hint="default"/>
      </w:rPr>
    </w:lvl>
    <w:lvl w:ilvl="1" w:tplc="0C0A0003" w:tentative="1">
      <w:start w:val="1"/>
      <w:numFmt w:val="bullet"/>
      <w:lvlText w:val="o"/>
      <w:lvlJc w:val="left"/>
      <w:pPr>
        <w:tabs>
          <w:tab w:val="num" w:pos="1944"/>
        </w:tabs>
        <w:ind w:left="1944" w:hanging="360"/>
      </w:pPr>
      <w:rPr>
        <w:rFonts w:ascii="Courier New" w:hAnsi="Courier New" w:cs="Courier New" w:hint="default"/>
      </w:rPr>
    </w:lvl>
    <w:lvl w:ilvl="2" w:tplc="0C0A0005" w:tentative="1">
      <w:start w:val="1"/>
      <w:numFmt w:val="bullet"/>
      <w:lvlText w:val=""/>
      <w:lvlJc w:val="left"/>
      <w:pPr>
        <w:tabs>
          <w:tab w:val="num" w:pos="2664"/>
        </w:tabs>
        <w:ind w:left="2664" w:hanging="360"/>
      </w:pPr>
      <w:rPr>
        <w:rFonts w:ascii="Wingdings" w:hAnsi="Wingdings" w:hint="default"/>
      </w:rPr>
    </w:lvl>
    <w:lvl w:ilvl="3" w:tplc="0C0A0001" w:tentative="1">
      <w:start w:val="1"/>
      <w:numFmt w:val="bullet"/>
      <w:lvlText w:val=""/>
      <w:lvlJc w:val="left"/>
      <w:pPr>
        <w:tabs>
          <w:tab w:val="num" w:pos="3384"/>
        </w:tabs>
        <w:ind w:left="3384" w:hanging="360"/>
      </w:pPr>
      <w:rPr>
        <w:rFonts w:ascii="Symbol" w:hAnsi="Symbol" w:hint="default"/>
      </w:rPr>
    </w:lvl>
    <w:lvl w:ilvl="4" w:tplc="0C0A0003" w:tentative="1">
      <w:start w:val="1"/>
      <w:numFmt w:val="bullet"/>
      <w:lvlText w:val="o"/>
      <w:lvlJc w:val="left"/>
      <w:pPr>
        <w:tabs>
          <w:tab w:val="num" w:pos="4104"/>
        </w:tabs>
        <w:ind w:left="4104" w:hanging="360"/>
      </w:pPr>
      <w:rPr>
        <w:rFonts w:ascii="Courier New" w:hAnsi="Courier New" w:cs="Courier New" w:hint="default"/>
      </w:rPr>
    </w:lvl>
    <w:lvl w:ilvl="5" w:tplc="0C0A0005" w:tentative="1">
      <w:start w:val="1"/>
      <w:numFmt w:val="bullet"/>
      <w:lvlText w:val=""/>
      <w:lvlJc w:val="left"/>
      <w:pPr>
        <w:tabs>
          <w:tab w:val="num" w:pos="4824"/>
        </w:tabs>
        <w:ind w:left="4824" w:hanging="360"/>
      </w:pPr>
      <w:rPr>
        <w:rFonts w:ascii="Wingdings" w:hAnsi="Wingdings" w:hint="default"/>
      </w:rPr>
    </w:lvl>
    <w:lvl w:ilvl="6" w:tplc="0C0A0001" w:tentative="1">
      <w:start w:val="1"/>
      <w:numFmt w:val="bullet"/>
      <w:lvlText w:val=""/>
      <w:lvlJc w:val="left"/>
      <w:pPr>
        <w:tabs>
          <w:tab w:val="num" w:pos="5544"/>
        </w:tabs>
        <w:ind w:left="5544" w:hanging="360"/>
      </w:pPr>
      <w:rPr>
        <w:rFonts w:ascii="Symbol" w:hAnsi="Symbol" w:hint="default"/>
      </w:rPr>
    </w:lvl>
    <w:lvl w:ilvl="7" w:tplc="0C0A0003" w:tentative="1">
      <w:start w:val="1"/>
      <w:numFmt w:val="bullet"/>
      <w:lvlText w:val="o"/>
      <w:lvlJc w:val="left"/>
      <w:pPr>
        <w:tabs>
          <w:tab w:val="num" w:pos="6264"/>
        </w:tabs>
        <w:ind w:left="6264" w:hanging="360"/>
      </w:pPr>
      <w:rPr>
        <w:rFonts w:ascii="Courier New" w:hAnsi="Courier New" w:cs="Courier New" w:hint="default"/>
      </w:rPr>
    </w:lvl>
    <w:lvl w:ilvl="8" w:tplc="0C0A0005" w:tentative="1">
      <w:start w:val="1"/>
      <w:numFmt w:val="bullet"/>
      <w:lvlText w:val=""/>
      <w:lvlJc w:val="left"/>
      <w:pPr>
        <w:tabs>
          <w:tab w:val="num" w:pos="6984"/>
        </w:tabs>
        <w:ind w:left="6984" w:hanging="360"/>
      </w:pPr>
      <w:rPr>
        <w:rFonts w:ascii="Wingdings" w:hAnsi="Wingdings" w:hint="default"/>
      </w:rPr>
    </w:lvl>
  </w:abstractNum>
  <w:abstractNum w:abstractNumId="12">
    <w:nsid w:val="4DC41767"/>
    <w:multiLevelType w:val="hybridMultilevel"/>
    <w:tmpl w:val="23864F3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nsid w:val="51B95F86"/>
    <w:multiLevelType w:val="hybridMultilevel"/>
    <w:tmpl w:val="ADD43D7A"/>
    <w:lvl w:ilvl="0" w:tplc="E2C09B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801743E"/>
    <w:multiLevelType w:val="hybridMultilevel"/>
    <w:tmpl w:val="6DE0BD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60DE691E"/>
    <w:multiLevelType w:val="hybridMultilevel"/>
    <w:tmpl w:val="35D80112"/>
    <w:lvl w:ilvl="0" w:tplc="CE5AE00E">
      <w:numFmt w:val="bullet"/>
      <w:lvlText w:val="-"/>
      <w:lvlJc w:val="left"/>
      <w:pPr>
        <w:ind w:left="1260" w:hanging="360"/>
      </w:pPr>
      <w:rPr>
        <w:rFonts w:ascii="Arial" w:eastAsia="Times New Roman" w:hAnsi="Arial" w:cs="Arial" w:hint="default"/>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16">
    <w:nsid w:val="6A01679F"/>
    <w:multiLevelType w:val="hybridMultilevel"/>
    <w:tmpl w:val="B394DB08"/>
    <w:lvl w:ilvl="0" w:tplc="8038882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72F854C8"/>
    <w:multiLevelType w:val="hybridMultilevel"/>
    <w:tmpl w:val="A93E34DE"/>
    <w:lvl w:ilvl="0" w:tplc="CB169752">
      <w:numFmt w:val="bullet"/>
      <w:lvlText w:val="-"/>
      <w:lvlJc w:val="left"/>
      <w:pPr>
        <w:tabs>
          <w:tab w:val="num" w:pos="1800"/>
        </w:tabs>
        <w:ind w:left="1800" w:hanging="360"/>
      </w:pPr>
      <w:rPr>
        <w:rFonts w:ascii="Arial" w:eastAsia="Gigi" w:hAnsi="Arial" w:cs="Arial" w:hint="default"/>
        <w:b/>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8">
    <w:nsid w:val="735A1204"/>
    <w:multiLevelType w:val="hybridMultilevel"/>
    <w:tmpl w:val="8AB48A66"/>
    <w:lvl w:ilvl="0" w:tplc="8038882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73E86AC3"/>
    <w:multiLevelType w:val="hybridMultilevel"/>
    <w:tmpl w:val="06403262"/>
    <w:lvl w:ilvl="0" w:tplc="0C0A0001">
      <w:start w:val="1"/>
      <w:numFmt w:val="bullet"/>
      <w:lvlText w:val=""/>
      <w:lvlJc w:val="left"/>
      <w:pPr>
        <w:tabs>
          <w:tab w:val="num" w:pos="1620"/>
        </w:tabs>
        <w:ind w:left="1620" w:hanging="360"/>
      </w:pPr>
      <w:rPr>
        <w:rFonts w:ascii="Symbol" w:hAnsi="Symbol" w:hint="default"/>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num w:numId="1">
    <w:abstractNumId w:val="11"/>
  </w:num>
  <w:num w:numId="2">
    <w:abstractNumId w:val="4"/>
  </w:num>
  <w:num w:numId="3">
    <w:abstractNumId w:val="14"/>
  </w:num>
  <w:num w:numId="4">
    <w:abstractNumId w:val="7"/>
  </w:num>
  <w:num w:numId="5">
    <w:abstractNumId w:val="19"/>
  </w:num>
  <w:num w:numId="6">
    <w:abstractNumId w:val="5"/>
  </w:num>
  <w:num w:numId="7">
    <w:abstractNumId w:val="0"/>
  </w:num>
  <w:num w:numId="8">
    <w:abstractNumId w:val="1"/>
  </w:num>
  <w:num w:numId="9">
    <w:abstractNumId w:val="2"/>
  </w:num>
  <w:num w:numId="10">
    <w:abstractNumId w:val="3"/>
  </w:num>
  <w:num w:numId="11">
    <w:abstractNumId w:val="17"/>
  </w:num>
  <w:num w:numId="12">
    <w:abstractNumId w:val="10"/>
  </w:num>
  <w:num w:numId="13">
    <w:abstractNumId w:val="9"/>
  </w:num>
  <w:num w:numId="14">
    <w:abstractNumId w:val="12"/>
  </w:num>
  <w:num w:numId="15">
    <w:abstractNumId w:val="8"/>
  </w:num>
  <w:num w:numId="16">
    <w:abstractNumId w:val="18"/>
  </w:num>
  <w:num w:numId="17">
    <w:abstractNumId w:val="16"/>
  </w:num>
  <w:num w:numId="18">
    <w:abstractNumId w:val="6"/>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0C5"/>
    <w:rsid w:val="000035C1"/>
    <w:rsid w:val="00005E1B"/>
    <w:rsid w:val="000171EA"/>
    <w:rsid w:val="00027C84"/>
    <w:rsid w:val="00036496"/>
    <w:rsid w:val="00051C9C"/>
    <w:rsid w:val="00072894"/>
    <w:rsid w:val="00076DD2"/>
    <w:rsid w:val="00077E19"/>
    <w:rsid w:val="000935E5"/>
    <w:rsid w:val="000B03AA"/>
    <w:rsid w:val="000C1C60"/>
    <w:rsid w:val="000C4815"/>
    <w:rsid w:val="000D25B6"/>
    <w:rsid w:val="000D53B9"/>
    <w:rsid w:val="000E310E"/>
    <w:rsid w:val="000E4613"/>
    <w:rsid w:val="000E530A"/>
    <w:rsid w:val="000F4325"/>
    <w:rsid w:val="001010DE"/>
    <w:rsid w:val="001101EE"/>
    <w:rsid w:val="00121F47"/>
    <w:rsid w:val="00124785"/>
    <w:rsid w:val="00126E47"/>
    <w:rsid w:val="0013318E"/>
    <w:rsid w:val="0015384B"/>
    <w:rsid w:val="00155401"/>
    <w:rsid w:val="00171B4F"/>
    <w:rsid w:val="00180274"/>
    <w:rsid w:val="001829CB"/>
    <w:rsid w:val="00186BDD"/>
    <w:rsid w:val="001A38EA"/>
    <w:rsid w:val="001C5548"/>
    <w:rsid w:val="001D01DA"/>
    <w:rsid w:val="001E40F7"/>
    <w:rsid w:val="001E576D"/>
    <w:rsid w:val="001F2F1D"/>
    <w:rsid w:val="001F4511"/>
    <w:rsid w:val="001F56A7"/>
    <w:rsid w:val="001F6D02"/>
    <w:rsid w:val="00203E39"/>
    <w:rsid w:val="00203F56"/>
    <w:rsid w:val="002109C9"/>
    <w:rsid w:val="002222CB"/>
    <w:rsid w:val="00241156"/>
    <w:rsid w:val="00247DEC"/>
    <w:rsid w:val="00265AD1"/>
    <w:rsid w:val="00274448"/>
    <w:rsid w:val="00276431"/>
    <w:rsid w:val="0029741B"/>
    <w:rsid w:val="002B2122"/>
    <w:rsid w:val="002B58BE"/>
    <w:rsid w:val="002F1D5D"/>
    <w:rsid w:val="003270E7"/>
    <w:rsid w:val="003276C3"/>
    <w:rsid w:val="003412C3"/>
    <w:rsid w:val="00356356"/>
    <w:rsid w:val="00362820"/>
    <w:rsid w:val="00370461"/>
    <w:rsid w:val="00382FCA"/>
    <w:rsid w:val="00384968"/>
    <w:rsid w:val="003A5726"/>
    <w:rsid w:val="003A7477"/>
    <w:rsid w:val="003B25AF"/>
    <w:rsid w:val="003B50C5"/>
    <w:rsid w:val="003B7463"/>
    <w:rsid w:val="003E6B5D"/>
    <w:rsid w:val="003F2B64"/>
    <w:rsid w:val="003F68E6"/>
    <w:rsid w:val="003F753B"/>
    <w:rsid w:val="004027CF"/>
    <w:rsid w:val="0041315B"/>
    <w:rsid w:val="00414A38"/>
    <w:rsid w:val="00415514"/>
    <w:rsid w:val="0042701E"/>
    <w:rsid w:val="0045211F"/>
    <w:rsid w:val="00461469"/>
    <w:rsid w:val="00462046"/>
    <w:rsid w:val="00486BD3"/>
    <w:rsid w:val="00491564"/>
    <w:rsid w:val="0049733B"/>
    <w:rsid w:val="004A4FF0"/>
    <w:rsid w:val="004B1272"/>
    <w:rsid w:val="004B4CEE"/>
    <w:rsid w:val="004C26C6"/>
    <w:rsid w:val="004C2998"/>
    <w:rsid w:val="004E6BE8"/>
    <w:rsid w:val="00503F31"/>
    <w:rsid w:val="00505FF0"/>
    <w:rsid w:val="0051102D"/>
    <w:rsid w:val="0052723B"/>
    <w:rsid w:val="00544BA6"/>
    <w:rsid w:val="00553289"/>
    <w:rsid w:val="00553FA0"/>
    <w:rsid w:val="00562209"/>
    <w:rsid w:val="005638F2"/>
    <w:rsid w:val="00564BD8"/>
    <w:rsid w:val="005765CE"/>
    <w:rsid w:val="00577A0C"/>
    <w:rsid w:val="00584725"/>
    <w:rsid w:val="005A0F7D"/>
    <w:rsid w:val="005B7AC0"/>
    <w:rsid w:val="005C49EE"/>
    <w:rsid w:val="005C62C2"/>
    <w:rsid w:val="005D5B6B"/>
    <w:rsid w:val="005D5F61"/>
    <w:rsid w:val="005E2FA5"/>
    <w:rsid w:val="00607AC3"/>
    <w:rsid w:val="00607FC6"/>
    <w:rsid w:val="0061470E"/>
    <w:rsid w:val="00624CD7"/>
    <w:rsid w:val="00635178"/>
    <w:rsid w:val="00650D16"/>
    <w:rsid w:val="006703C1"/>
    <w:rsid w:val="006870E8"/>
    <w:rsid w:val="00695C4D"/>
    <w:rsid w:val="006B6F42"/>
    <w:rsid w:val="006E1B0E"/>
    <w:rsid w:val="007218E4"/>
    <w:rsid w:val="00737A6A"/>
    <w:rsid w:val="00754826"/>
    <w:rsid w:val="0077046F"/>
    <w:rsid w:val="00783FCA"/>
    <w:rsid w:val="00792C16"/>
    <w:rsid w:val="007C5B4D"/>
    <w:rsid w:val="007E701B"/>
    <w:rsid w:val="00804B3D"/>
    <w:rsid w:val="00852F8B"/>
    <w:rsid w:val="008622C8"/>
    <w:rsid w:val="00865BB6"/>
    <w:rsid w:val="00877B30"/>
    <w:rsid w:val="0088675A"/>
    <w:rsid w:val="008A0237"/>
    <w:rsid w:val="008A057A"/>
    <w:rsid w:val="008A2D9A"/>
    <w:rsid w:val="008A44E8"/>
    <w:rsid w:val="008B2BEB"/>
    <w:rsid w:val="008B6140"/>
    <w:rsid w:val="008F5EB5"/>
    <w:rsid w:val="0091326E"/>
    <w:rsid w:val="00920A4E"/>
    <w:rsid w:val="009277DA"/>
    <w:rsid w:val="009406CA"/>
    <w:rsid w:val="00964B8D"/>
    <w:rsid w:val="00985E33"/>
    <w:rsid w:val="009962FA"/>
    <w:rsid w:val="009A51E4"/>
    <w:rsid w:val="009B0535"/>
    <w:rsid w:val="009B39DC"/>
    <w:rsid w:val="009B53FB"/>
    <w:rsid w:val="009C1008"/>
    <w:rsid w:val="009C2E21"/>
    <w:rsid w:val="009C6648"/>
    <w:rsid w:val="009D2F8A"/>
    <w:rsid w:val="009E7624"/>
    <w:rsid w:val="009F4B36"/>
    <w:rsid w:val="00A02F47"/>
    <w:rsid w:val="00A1209B"/>
    <w:rsid w:val="00A14A50"/>
    <w:rsid w:val="00A15FEF"/>
    <w:rsid w:val="00A34585"/>
    <w:rsid w:val="00A44E21"/>
    <w:rsid w:val="00A53169"/>
    <w:rsid w:val="00A658E0"/>
    <w:rsid w:val="00A67BAC"/>
    <w:rsid w:val="00A726A1"/>
    <w:rsid w:val="00A73269"/>
    <w:rsid w:val="00A84633"/>
    <w:rsid w:val="00A90CB2"/>
    <w:rsid w:val="00AA7DAA"/>
    <w:rsid w:val="00AC2E80"/>
    <w:rsid w:val="00AE17B1"/>
    <w:rsid w:val="00B00D89"/>
    <w:rsid w:val="00B1374A"/>
    <w:rsid w:val="00B169F7"/>
    <w:rsid w:val="00B31895"/>
    <w:rsid w:val="00B362B6"/>
    <w:rsid w:val="00B60A52"/>
    <w:rsid w:val="00B75A86"/>
    <w:rsid w:val="00B93E0D"/>
    <w:rsid w:val="00BB30DA"/>
    <w:rsid w:val="00BB5887"/>
    <w:rsid w:val="00BD22A9"/>
    <w:rsid w:val="00BD41FF"/>
    <w:rsid w:val="00BD6B97"/>
    <w:rsid w:val="00BF32C2"/>
    <w:rsid w:val="00C0116D"/>
    <w:rsid w:val="00C02980"/>
    <w:rsid w:val="00C03E9C"/>
    <w:rsid w:val="00C1012B"/>
    <w:rsid w:val="00C23A0E"/>
    <w:rsid w:val="00C61BF2"/>
    <w:rsid w:val="00C71040"/>
    <w:rsid w:val="00C74A20"/>
    <w:rsid w:val="00C84D49"/>
    <w:rsid w:val="00C943C1"/>
    <w:rsid w:val="00CA054F"/>
    <w:rsid w:val="00CA4646"/>
    <w:rsid w:val="00CC4862"/>
    <w:rsid w:val="00CF750E"/>
    <w:rsid w:val="00D02F8D"/>
    <w:rsid w:val="00D03BF7"/>
    <w:rsid w:val="00D15499"/>
    <w:rsid w:val="00D36941"/>
    <w:rsid w:val="00D40B5E"/>
    <w:rsid w:val="00D47E8B"/>
    <w:rsid w:val="00D53636"/>
    <w:rsid w:val="00D67B3C"/>
    <w:rsid w:val="00D82894"/>
    <w:rsid w:val="00DB0058"/>
    <w:rsid w:val="00DB7FAE"/>
    <w:rsid w:val="00DD1641"/>
    <w:rsid w:val="00DE304B"/>
    <w:rsid w:val="00DF0182"/>
    <w:rsid w:val="00DF4450"/>
    <w:rsid w:val="00E25C0E"/>
    <w:rsid w:val="00E25C97"/>
    <w:rsid w:val="00E33FB6"/>
    <w:rsid w:val="00E634EA"/>
    <w:rsid w:val="00E710D0"/>
    <w:rsid w:val="00E81ED4"/>
    <w:rsid w:val="00E921FB"/>
    <w:rsid w:val="00E942F3"/>
    <w:rsid w:val="00E94E94"/>
    <w:rsid w:val="00EA365B"/>
    <w:rsid w:val="00EB238A"/>
    <w:rsid w:val="00ED3948"/>
    <w:rsid w:val="00F05ECE"/>
    <w:rsid w:val="00F10BEC"/>
    <w:rsid w:val="00F175DF"/>
    <w:rsid w:val="00F17E39"/>
    <w:rsid w:val="00F36CEE"/>
    <w:rsid w:val="00F44832"/>
    <w:rsid w:val="00F50A72"/>
    <w:rsid w:val="00F626A0"/>
    <w:rsid w:val="00F63815"/>
    <w:rsid w:val="00F77A4A"/>
    <w:rsid w:val="00F81326"/>
    <w:rsid w:val="00F84494"/>
    <w:rsid w:val="00F95621"/>
    <w:rsid w:val="00FA068C"/>
    <w:rsid w:val="00FC0C4D"/>
    <w:rsid w:val="00FE54B6"/>
    <w:rsid w:val="00FF3A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B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50C5"/>
    <w:pPr>
      <w:tabs>
        <w:tab w:val="center" w:pos="4536"/>
        <w:tab w:val="right" w:pos="9072"/>
      </w:tabs>
    </w:pPr>
  </w:style>
  <w:style w:type="paragraph" w:styleId="Footer">
    <w:name w:val="footer"/>
    <w:basedOn w:val="Normal"/>
    <w:link w:val="FooterChar"/>
    <w:uiPriority w:val="99"/>
    <w:rsid w:val="003B50C5"/>
    <w:pPr>
      <w:tabs>
        <w:tab w:val="center" w:pos="4536"/>
        <w:tab w:val="right" w:pos="9072"/>
      </w:tabs>
    </w:pPr>
  </w:style>
  <w:style w:type="paragraph" w:styleId="BalloonText">
    <w:name w:val="Balloon Text"/>
    <w:basedOn w:val="Normal"/>
    <w:semiHidden/>
    <w:rsid w:val="00C02980"/>
    <w:rPr>
      <w:rFonts w:ascii="Tahoma" w:hAnsi="Tahoma" w:cs="Tahoma"/>
      <w:sz w:val="16"/>
      <w:szCs w:val="16"/>
    </w:rPr>
  </w:style>
  <w:style w:type="character" w:styleId="PageNumber">
    <w:name w:val="page number"/>
    <w:basedOn w:val="DefaultParagraphFont"/>
    <w:rsid w:val="00051C9C"/>
  </w:style>
  <w:style w:type="table" w:styleId="TableGrid">
    <w:name w:val="Table Grid"/>
    <w:basedOn w:val="TableNormal"/>
    <w:rsid w:val="00051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101EE"/>
    <w:rPr>
      <w:color w:val="0000FF"/>
      <w:u w:val="single"/>
    </w:rPr>
  </w:style>
  <w:style w:type="paragraph" w:styleId="DocumentMap">
    <w:name w:val="Document Map"/>
    <w:basedOn w:val="Normal"/>
    <w:semiHidden/>
    <w:rsid w:val="005D5F61"/>
    <w:pPr>
      <w:shd w:val="clear" w:color="auto" w:fill="000080"/>
    </w:pPr>
    <w:rPr>
      <w:rFonts w:ascii="Tahoma" w:hAnsi="Tahoma" w:cs="Tahoma"/>
      <w:sz w:val="20"/>
      <w:szCs w:val="20"/>
    </w:rPr>
  </w:style>
  <w:style w:type="character" w:customStyle="1" w:styleId="noteintro">
    <w:name w:val="noteintro"/>
    <w:basedOn w:val="DefaultParagraphFont"/>
    <w:rsid w:val="00EA365B"/>
  </w:style>
  <w:style w:type="paragraph" w:styleId="ListParagraph">
    <w:name w:val="List Paragraph"/>
    <w:basedOn w:val="Normal"/>
    <w:uiPriority w:val="34"/>
    <w:qFormat/>
    <w:rsid w:val="00A53169"/>
    <w:pPr>
      <w:ind w:left="720"/>
      <w:contextualSpacing/>
    </w:pPr>
  </w:style>
  <w:style w:type="character" w:customStyle="1" w:styleId="FooterChar">
    <w:name w:val="Footer Char"/>
    <w:basedOn w:val="DefaultParagraphFont"/>
    <w:link w:val="Footer"/>
    <w:uiPriority w:val="99"/>
    <w:rsid w:val="002B58B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B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50C5"/>
    <w:pPr>
      <w:tabs>
        <w:tab w:val="center" w:pos="4536"/>
        <w:tab w:val="right" w:pos="9072"/>
      </w:tabs>
    </w:pPr>
  </w:style>
  <w:style w:type="paragraph" w:styleId="Footer">
    <w:name w:val="footer"/>
    <w:basedOn w:val="Normal"/>
    <w:link w:val="FooterChar"/>
    <w:uiPriority w:val="99"/>
    <w:rsid w:val="003B50C5"/>
    <w:pPr>
      <w:tabs>
        <w:tab w:val="center" w:pos="4536"/>
        <w:tab w:val="right" w:pos="9072"/>
      </w:tabs>
    </w:pPr>
  </w:style>
  <w:style w:type="paragraph" w:styleId="BalloonText">
    <w:name w:val="Balloon Text"/>
    <w:basedOn w:val="Normal"/>
    <w:semiHidden/>
    <w:rsid w:val="00C02980"/>
    <w:rPr>
      <w:rFonts w:ascii="Tahoma" w:hAnsi="Tahoma" w:cs="Tahoma"/>
      <w:sz w:val="16"/>
      <w:szCs w:val="16"/>
    </w:rPr>
  </w:style>
  <w:style w:type="character" w:styleId="PageNumber">
    <w:name w:val="page number"/>
    <w:basedOn w:val="DefaultParagraphFont"/>
    <w:rsid w:val="00051C9C"/>
  </w:style>
  <w:style w:type="table" w:styleId="TableGrid">
    <w:name w:val="Table Grid"/>
    <w:basedOn w:val="TableNormal"/>
    <w:rsid w:val="00051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101EE"/>
    <w:rPr>
      <w:color w:val="0000FF"/>
      <w:u w:val="single"/>
    </w:rPr>
  </w:style>
  <w:style w:type="paragraph" w:styleId="DocumentMap">
    <w:name w:val="Document Map"/>
    <w:basedOn w:val="Normal"/>
    <w:semiHidden/>
    <w:rsid w:val="005D5F61"/>
    <w:pPr>
      <w:shd w:val="clear" w:color="auto" w:fill="000080"/>
    </w:pPr>
    <w:rPr>
      <w:rFonts w:ascii="Tahoma" w:hAnsi="Tahoma" w:cs="Tahoma"/>
      <w:sz w:val="20"/>
      <w:szCs w:val="20"/>
    </w:rPr>
  </w:style>
  <w:style w:type="character" w:customStyle="1" w:styleId="noteintro">
    <w:name w:val="noteintro"/>
    <w:basedOn w:val="DefaultParagraphFont"/>
    <w:rsid w:val="00EA365B"/>
  </w:style>
  <w:style w:type="paragraph" w:styleId="ListParagraph">
    <w:name w:val="List Paragraph"/>
    <w:basedOn w:val="Normal"/>
    <w:uiPriority w:val="34"/>
    <w:qFormat/>
    <w:rsid w:val="00A53169"/>
    <w:pPr>
      <w:ind w:left="720"/>
      <w:contextualSpacing/>
    </w:pPr>
  </w:style>
  <w:style w:type="character" w:customStyle="1" w:styleId="FooterChar">
    <w:name w:val="Footer Char"/>
    <w:basedOn w:val="DefaultParagraphFont"/>
    <w:link w:val="Footer"/>
    <w:uiPriority w:val="99"/>
    <w:rsid w:val="002B58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0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42E014-7F14-4DA1-A2C5-8CA36115FF47}"/>
</file>

<file path=customXml/itemProps2.xml><?xml version="1.0" encoding="utf-8"?>
<ds:datastoreItem xmlns:ds="http://schemas.openxmlformats.org/officeDocument/2006/customXml" ds:itemID="{5C004037-8286-415F-BB58-2838DFF659E0}"/>
</file>

<file path=customXml/itemProps3.xml><?xml version="1.0" encoding="utf-8"?>
<ds:datastoreItem xmlns:ds="http://schemas.openxmlformats.org/officeDocument/2006/customXml" ds:itemID="{D04610D5-B4B2-4937-B12E-394D516B488D}"/>
</file>

<file path=docProps/app.xml><?xml version="1.0" encoding="utf-8"?>
<Properties xmlns="http://schemas.openxmlformats.org/officeDocument/2006/extended-properties" xmlns:vt="http://schemas.openxmlformats.org/officeDocument/2006/docPropsVTypes">
  <Template>Normal.dotm</Template>
  <TotalTime>1</TotalTime>
  <Pages>5</Pages>
  <Words>2233</Words>
  <Characters>12257</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NOTA PARA EL ARCHIVO</vt:lpstr>
    </vt:vector>
  </TitlesOfParts>
  <Company>Embajada de España</Company>
  <LinksUpToDate>false</LinksUpToDate>
  <CharactersWithSpaces>14462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Embajador</dc:creator>
  <cp:lastModifiedBy>Patricia Varela</cp:lastModifiedBy>
  <cp:revision>2</cp:revision>
  <cp:lastPrinted>2016-06-02T13:08:00Z</cp:lastPrinted>
  <dcterms:created xsi:type="dcterms:W3CDTF">2016-06-08T15:17:00Z</dcterms:created>
  <dcterms:modified xsi:type="dcterms:W3CDTF">2016-06-08T15:17:00Z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3549900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