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C" w:rsidRPr="0045701A" w:rsidRDefault="00E9721C" w:rsidP="00AA05ED">
      <w:pPr>
        <w:rPr>
          <w:rStyle w:val="Heading2Char"/>
          <w:rFonts w:ascii="Times New Roman" w:hAnsi="Times New Roman" w:cs="Times New Roman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884058">
        <w:rPr>
          <w:rFonts w:eastAsiaTheme="majorEastAsia"/>
          <w:b/>
          <w:smallCaps/>
        </w:rPr>
        <w:t xml:space="preserve">Obligation </w:t>
      </w:r>
      <w:r w:rsidR="0045701A">
        <w:rPr>
          <w:rFonts w:eastAsiaTheme="majorEastAsia"/>
          <w:b/>
          <w:smallCaps/>
        </w:rPr>
        <w:t>to F</w:t>
      </w:r>
      <w:r w:rsidR="00C31B18" w:rsidRPr="0045701A">
        <w:rPr>
          <w:rFonts w:eastAsiaTheme="majorEastAsia"/>
          <w:b/>
          <w:smallCaps/>
        </w:rPr>
        <w:t>acilit</w:t>
      </w:r>
      <w:bookmarkStart w:id="0" w:name="_GoBack"/>
      <w:bookmarkEnd w:id="0"/>
      <w:r w:rsidR="00C31B18" w:rsidRPr="0045701A">
        <w:rPr>
          <w:rFonts w:eastAsiaTheme="majorEastAsia"/>
          <w:b/>
          <w:smallCaps/>
        </w:rPr>
        <w:t xml:space="preserve">ate </w:t>
      </w:r>
      <w:r w:rsidR="0045701A">
        <w:rPr>
          <w:rFonts w:eastAsiaTheme="majorEastAsia"/>
          <w:b/>
          <w:smallCaps/>
        </w:rPr>
        <w:t>Public Participation in Environmental Decision-M</w:t>
      </w:r>
      <w:r w:rsidR="00C31B18" w:rsidRPr="0045701A">
        <w:rPr>
          <w:rFonts w:eastAsiaTheme="majorEastAsia"/>
          <w:b/>
          <w:smallCaps/>
        </w:rPr>
        <w:t>aking</w:t>
      </w:r>
    </w:p>
    <w:p w:rsidR="00E9721C" w:rsidRPr="0045701A" w:rsidRDefault="00E9721C" w:rsidP="00AA05ED">
      <w:pPr>
        <w:rPr>
          <w:rStyle w:val="Heading2Char"/>
          <w:rFonts w:ascii="Times New Roman" w:hAnsi="Times New Roman" w:cs="Times New Roman"/>
          <w:b w:val="0"/>
          <w:szCs w:val="24"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 w:rsidRPr="0045701A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4F27D9">
        <w:rPr>
          <w:rFonts w:eastAsiaTheme="majorEastAsia"/>
          <w:b/>
          <w:smallCaps/>
        </w:rPr>
        <w:t>Evaluating Public Participation Effectiveness</w:t>
      </w:r>
    </w:p>
    <w:p w:rsidR="0066212E" w:rsidRDefault="00E9721C" w:rsidP="00AA05ED">
      <w:pPr>
        <w:rPr>
          <w:rFonts w:eastAsiaTheme="majorEastAsia"/>
          <w:b/>
          <w:smallCaps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45701A">
        <w:rPr>
          <w:rStyle w:val="Heading2Char"/>
          <w:rFonts w:ascii="Times New Roman" w:hAnsi="Times New Roman" w:cs="Times New Roman"/>
          <w:szCs w:val="24"/>
        </w:rPr>
        <w:t>:</w:t>
      </w:r>
      <w:r w:rsidR="00385B22" w:rsidRPr="0045701A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66212E" w:rsidRPr="0066212E">
        <w:rPr>
          <w:rFonts w:eastAsiaTheme="majorEastAsia"/>
          <w:b/>
          <w:smallCaps/>
        </w:rPr>
        <w:t xml:space="preserve"> </w:t>
      </w:r>
      <w:r w:rsidR="0066212E">
        <w:rPr>
          <w:rFonts w:eastAsiaTheme="majorEastAsia"/>
          <w:b/>
          <w:smallCaps/>
        </w:rPr>
        <w:t xml:space="preserve">Mexico’s </w:t>
      </w:r>
      <w:proofErr w:type="spellStart"/>
      <w:r w:rsidR="0066212E" w:rsidRPr="0066212E">
        <w:rPr>
          <w:rFonts w:eastAsiaTheme="majorEastAsia"/>
          <w:b/>
          <w:smallCaps/>
        </w:rPr>
        <w:t>Indice</w:t>
      </w:r>
      <w:proofErr w:type="spellEnd"/>
      <w:r w:rsidR="0066212E" w:rsidRPr="0066212E">
        <w:rPr>
          <w:rFonts w:eastAsiaTheme="majorEastAsia"/>
          <w:b/>
          <w:smallCaps/>
        </w:rPr>
        <w:t xml:space="preserve"> de </w:t>
      </w:r>
      <w:proofErr w:type="spellStart"/>
      <w:r w:rsidR="0066212E" w:rsidRPr="0066212E">
        <w:rPr>
          <w:rFonts w:eastAsiaTheme="majorEastAsia"/>
          <w:b/>
          <w:smallCaps/>
        </w:rPr>
        <w:t>Participacion</w:t>
      </w:r>
      <w:proofErr w:type="spellEnd"/>
      <w:r w:rsidR="0066212E" w:rsidRPr="0066212E">
        <w:rPr>
          <w:rFonts w:eastAsiaTheme="majorEastAsia"/>
          <w:b/>
          <w:smallCaps/>
        </w:rPr>
        <w:t xml:space="preserve"> </w:t>
      </w:r>
      <w:proofErr w:type="spellStart"/>
      <w:r w:rsidR="0066212E" w:rsidRPr="0066212E">
        <w:rPr>
          <w:rFonts w:eastAsiaTheme="majorEastAsia"/>
          <w:b/>
          <w:smallCaps/>
        </w:rPr>
        <w:t>Ciudadan</w:t>
      </w:r>
      <w:proofErr w:type="spellEnd"/>
      <w:r w:rsidR="0066212E" w:rsidRPr="0066212E">
        <w:rPr>
          <w:rFonts w:eastAsiaTheme="majorEastAsia"/>
          <w:b/>
          <w:smallCaps/>
        </w:rPr>
        <w:t xml:space="preserve"> del Sector </w:t>
      </w:r>
      <w:proofErr w:type="spellStart"/>
      <w:r w:rsidR="0066212E" w:rsidRPr="0066212E">
        <w:rPr>
          <w:rFonts w:eastAsiaTheme="majorEastAsia"/>
          <w:b/>
          <w:smallCaps/>
        </w:rPr>
        <w:t>Ambiental</w:t>
      </w:r>
      <w:proofErr w:type="spellEnd"/>
      <w:r w:rsidR="0066212E" w:rsidRPr="0066212E">
        <w:rPr>
          <w:rFonts w:eastAsiaTheme="majorEastAsia"/>
          <w:b/>
          <w:smallCaps/>
        </w:rPr>
        <w:t xml:space="preserve"> (IPC) or Environmental </w:t>
      </w:r>
      <w:r w:rsidR="00884058">
        <w:rPr>
          <w:rFonts w:eastAsiaTheme="majorEastAsia"/>
          <w:b/>
          <w:smallCaps/>
        </w:rPr>
        <w:t>P</w:t>
      </w:r>
      <w:r w:rsidR="0066212E" w:rsidRPr="0066212E">
        <w:rPr>
          <w:rFonts w:eastAsiaTheme="majorEastAsia"/>
          <w:b/>
          <w:smallCaps/>
        </w:rPr>
        <w:t xml:space="preserve">ublic </w:t>
      </w:r>
      <w:r w:rsidR="00884058">
        <w:rPr>
          <w:rFonts w:eastAsiaTheme="majorEastAsia"/>
          <w:b/>
          <w:smallCaps/>
        </w:rPr>
        <w:t>P</w:t>
      </w:r>
      <w:r w:rsidR="0066212E" w:rsidRPr="0066212E">
        <w:rPr>
          <w:rFonts w:eastAsiaTheme="majorEastAsia"/>
          <w:b/>
          <w:smallCaps/>
        </w:rPr>
        <w:t xml:space="preserve">articipation </w:t>
      </w:r>
      <w:r w:rsidR="00884058">
        <w:rPr>
          <w:rFonts w:eastAsiaTheme="majorEastAsia"/>
          <w:b/>
          <w:smallCaps/>
        </w:rPr>
        <w:t>I</w:t>
      </w:r>
      <w:r w:rsidR="0066212E" w:rsidRPr="0066212E">
        <w:rPr>
          <w:rFonts w:eastAsiaTheme="majorEastAsia"/>
          <w:b/>
          <w:smallCaps/>
        </w:rPr>
        <w:t>ndex</w:t>
      </w:r>
    </w:p>
    <w:p w:rsidR="00E9721C" w:rsidRPr="002F6330" w:rsidRDefault="00E9721C" w:rsidP="00AA05ED">
      <w:pPr>
        <w:rPr>
          <w:rStyle w:val="Heading2Char"/>
          <w:rFonts w:ascii="Times New Roman" w:hAnsi="Times New Roman" w:cs="Times New Roman"/>
          <w:b w:val="0"/>
          <w:szCs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ords: </w:t>
      </w:r>
      <w:r w:rsidR="0045701A">
        <w:t>P</w:t>
      </w:r>
      <w:r w:rsidR="00C31B18">
        <w:t>articipation</w:t>
      </w:r>
      <w:r w:rsidR="0045701A">
        <w:t xml:space="preserve">, </w:t>
      </w:r>
      <w:r w:rsidR="00306CD7">
        <w:t>Internet, Monitoring</w:t>
      </w:r>
      <w:r w:rsidR="003E47D4">
        <w:t>, Access to Information</w:t>
      </w:r>
    </w:p>
    <w:p w:rsidR="00E9721C" w:rsidRPr="0056659E" w:rsidRDefault="00E9721C" w:rsidP="00AA05ED"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Pr="00DA5FA4">
        <w:t xml:space="preserve"> </w:t>
      </w:r>
      <w:r w:rsidR="00EA6E47">
        <w:t xml:space="preserve">National Ministry: </w:t>
      </w:r>
      <w:proofErr w:type="spellStart"/>
      <w:r w:rsidR="00306CD7" w:rsidRPr="00306CD7">
        <w:t>Secretaría</w:t>
      </w:r>
      <w:proofErr w:type="spellEnd"/>
      <w:r w:rsidR="00306CD7" w:rsidRPr="00306CD7">
        <w:t xml:space="preserve"> de </w:t>
      </w:r>
      <w:proofErr w:type="spellStart"/>
      <w:r w:rsidR="00306CD7" w:rsidRPr="00306CD7">
        <w:t>Medio</w:t>
      </w:r>
      <w:proofErr w:type="spellEnd"/>
      <w:r w:rsidR="00306CD7" w:rsidRPr="00306CD7">
        <w:t xml:space="preserve"> </w:t>
      </w:r>
      <w:proofErr w:type="spellStart"/>
      <w:r w:rsidR="00306CD7" w:rsidRPr="00306CD7">
        <w:t>Ambiente</w:t>
      </w:r>
      <w:proofErr w:type="spellEnd"/>
      <w:r w:rsidR="00306CD7" w:rsidRPr="00306CD7">
        <w:t xml:space="preserve"> y </w:t>
      </w:r>
      <w:proofErr w:type="spellStart"/>
      <w:r w:rsidR="00306CD7" w:rsidRPr="00306CD7">
        <w:t>Recursos</w:t>
      </w:r>
      <w:proofErr w:type="spellEnd"/>
      <w:r w:rsidR="00306CD7" w:rsidRPr="00306CD7">
        <w:t xml:space="preserve"> </w:t>
      </w:r>
      <w:proofErr w:type="spellStart"/>
      <w:r w:rsidR="00306CD7" w:rsidRPr="00306CD7">
        <w:t>Naturales</w:t>
      </w:r>
      <w:proofErr w:type="spellEnd"/>
      <w:r w:rsidR="00DB3B01">
        <w:t xml:space="preserve"> (SEMARNAT)/</w:t>
      </w:r>
      <w:r w:rsidR="00306CD7">
        <w:t xml:space="preserve">Mexican Ministry of Environment and Natural Resources </w:t>
      </w:r>
    </w:p>
    <w:p w:rsidR="00E9721C" w:rsidRPr="00DA5FA4" w:rsidRDefault="00E9721C" w:rsidP="00AA05ED"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t xml:space="preserve"> </w:t>
      </w:r>
      <w:r w:rsidR="00306CD7">
        <w:t>Mexico</w:t>
      </w:r>
    </w:p>
    <w:p w:rsidR="00DD3FF9" w:rsidRDefault="00E9721C" w:rsidP="00306CD7"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Pr="00DA5FA4">
        <w:rPr>
          <w:rFonts w:eastAsia="Cambria"/>
        </w:rPr>
        <w:t xml:space="preserve"> </w:t>
      </w:r>
      <w:r w:rsidR="00263C95">
        <w:t>Articles 1</w:t>
      </w:r>
      <w:r w:rsidR="00263C95" w:rsidRPr="00263C95">
        <w:t xml:space="preserve">57 y 159 </w:t>
      </w:r>
      <w:r w:rsidR="00E07C7F">
        <w:t>of the</w:t>
      </w:r>
      <w:r w:rsidR="00884058">
        <w:t xml:space="preserve"> Mexican</w:t>
      </w:r>
      <w:r w:rsidR="00E07C7F">
        <w:t xml:space="preserve"> </w:t>
      </w:r>
      <w:r w:rsidR="00E07C7F" w:rsidRPr="00884058">
        <w:rPr>
          <w:i/>
        </w:rPr>
        <w:t>Ley</w:t>
      </w:r>
      <w:r w:rsidR="00263C95" w:rsidRPr="00884058">
        <w:rPr>
          <w:i/>
        </w:rPr>
        <w:t xml:space="preserve"> General del </w:t>
      </w:r>
      <w:proofErr w:type="spellStart"/>
      <w:r w:rsidR="00263C95" w:rsidRPr="00884058">
        <w:rPr>
          <w:i/>
        </w:rPr>
        <w:t>Equilibrio</w:t>
      </w:r>
      <w:proofErr w:type="spellEnd"/>
      <w:r w:rsidR="00263C95" w:rsidRPr="00884058">
        <w:rPr>
          <w:i/>
        </w:rPr>
        <w:t xml:space="preserve"> </w:t>
      </w:r>
      <w:proofErr w:type="spellStart"/>
      <w:r w:rsidR="00263C95" w:rsidRPr="00884058">
        <w:rPr>
          <w:i/>
        </w:rPr>
        <w:t>Ecológico</w:t>
      </w:r>
      <w:proofErr w:type="spellEnd"/>
      <w:r w:rsidR="00263C95" w:rsidRPr="00884058">
        <w:rPr>
          <w:i/>
        </w:rPr>
        <w:t xml:space="preserve"> y la </w:t>
      </w:r>
      <w:proofErr w:type="spellStart"/>
      <w:r w:rsidR="00263C95" w:rsidRPr="00884058">
        <w:rPr>
          <w:i/>
        </w:rPr>
        <w:t>Protección</w:t>
      </w:r>
      <w:proofErr w:type="spellEnd"/>
      <w:r w:rsidR="00263C95" w:rsidRPr="00884058">
        <w:rPr>
          <w:i/>
        </w:rPr>
        <w:t xml:space="preserve"> al </w:t>
      </w:r>
      <w:proofErr w:type="spellStart"/>
      <w:r w:rsidR="00263C95" w:rsidRPr="00884058">
        <w:rPr>
          <w:i/>
        </w:rPr>
        <w:t>Ambiente</w:t>
      </w:r>
      <w:proofErr w:type="spellEnd"/>
      <w:r w:rsidR="00E07C7F" w:rsidRPr="00884058">
        <w:rPr>
          <w:i/>
        </w:rPr>
        <w:t xml:space="preserve"> </w:t>
      </w:r>
      <w:r w:rsidR="00E07C7F">
        <w:t>(Environmental Framework Law)</w:t>
      </w:r>
      <w:r w:rsidR="00263C95">
        <w:t xml:space="preserve"> establish that the national </w:t>
      </w:r>
      <w:r w:rsidR="00E07C7F">
        <w:t xml:space="preserve">government must promote public participation in the planning, implementation, evaluation and monitoring of environmental and natural resource policy.  </w:t>
      </w:r>
      <w:r w:rsidR="00884058">
        <w:t xml:space="preserve">The </w:t>
      </w:r>
      <w:proofErr w:type="spellStart"/>
      <w:r w:rsidR="00884058" w:rsidRPr="00306CD7">
        <w:t>Secretaría</w:t>
      </w:r>
      <w:proofErr w:type="spellEnd"/>
      <w:r w:rsidR="00884058" w:rsidRPr="00306CD7">
        <w:t xml:space="preserve"> de </w:t>
      </w:r>
      <w:proofErr w:type="spellStart"/>
      <w:r w:rsidR="00884058" w:rsidRPr="00306CD7">
        <w:t>Medio</w:t>
      </w:r>
      <w:proofErr w:type="spellEnd"/>
      <w:r w:rsidR="00884058" w:rsidRPr="00306CD7">
        <w:t xml:space="preserve"> </w:t>
      </w:r>
      <w:proofErr w:type="spellStart"/>
      <w:r w:rsidR="00884058" w:rsidRPr="00306CD7">
        <w:t>Ambiente</w:t>
      </w:r>
      <w:proofErr w:type="spellEnd"/>
      <w:r w:rsidR="00884058" w:rsidRPr="00306CD7">
        <w:t xml:space="preserve"> y </w:t>
      </w:r>
      <w:proofErr w:type="spellStart"/>
      <w:r w:rsidR="00884058" w:rsidRPr="00306CD7">
        <w:t>Recursos</w:t>
      </w:r>
      <w:proofErr w:type="spellEnd"/>
      <w:r w:rsidR="00884058" w:rsidRPr="00306CD7">
        <w:t xml:space="preserve"> </w:t>
      </w:r>
      <w:proofErr w:type="spellStart"/>
      <w:r w:rsidR="00884058" w:rsidRPr="00306CD7">
        <w:t>Naturales</w:t>
      </w:r>
      <w:proofErr w:type="spellEnd"/>
      <w:r w:rsidR="00884058">
        <w:t xml:space="preserve"> (SEMARNAT)</w:t>
      </w:r>
      <w:r w:rsidR="00E07C7F">
        <w:t xml:space="preserve"> </w:t>
      </w:r>
      <w:r w:rsidR="00053233">
        <w:t xml:space="preserve">created </w:t>
      </w:r>
      <w:r w:rsidR="00E07C7F">
        <w:t>the</w:t>
      </w:r>
      <w:r w:rsidR="00E07C7F" w:rsidRPr="00E07C7F">
        <w:t xml:space="preserve"> </w:t>
      </w:r>
      <w:proofErr w:type="spellStart"/>
      <w:r w:rsidR="00884058" w:rsidRPr="00884058">
        <w:t>I</w:t>
      </w:r>
      <w:r w:rsidR="00884058">
        <w:t>ndice</w:t>
      </w:r>
      <w:proofErr w:type="spellEnd"/>
      <w:r w:rsidR="00884058">
        <w:t xml:space="preserve"> de </w:t>
      </w:r>
      <w:proofErr w:type="spellStart"/>
      <w:r w:rsidR="00884058">
        <w:t>Participacion</w:t>
      </w:r>
      <w:proofErr w:type="spellEnd"/>
      <w:r w:rsidR="00884058">
        <w:t xml:space="preserve"> </w:t>
      </w:r>
      <w:proofErr w:type="spellStart"/>
      <w:r w:rsidR="00884058">
        <w:t>Ciudadan</w:t>
      </w:r>
      <w:proofErr w:type="spellEnd"/>
      <w:r w:rsidR="00884058">
        <w:t xml:space="preserve"> del Sector </w:t>
      </w:r>
      <w:proofErr w:type="spellStart"/>
      <w:r w:rsidR="00884058">
        <w:t>Ambiental</w:t>
      </w:r>
      <w:proofErr w:type="spellEnd"/>
      <w:r w:rsidR="00884058">
        <w:t xml:space="preserve"> (IPC)</w:t>
      </w:r>
      <w:r w:rsidR="00E07C7F" w:rsidRPr="00E07C7F">
        <w:t xml:space="preserve"> </w:t>
      </w:r>
      <w:r w:rsidR="00053233">
        <w:t>in 2009</w:t>
      </w:r>
      <w:r w:rsidR="00E07C7F" w:rsidRPr="00E07C7F">
        <w:t xml:space="preserve"> as a tool to measure and evaluate citizen participation in the various instruments and institutions relating to environmental decision-making.</w:t>
      </w:r>
      <w:r w:rsidR="00053233">
        <w:t xml:space="preserve"> </w:t>
      </w:r>
    </w:p>
    <w:p w:rsidR="00DD3FF9" w:rsidRDefault="00C8756D" w:rsidP="00CB0CF9">
      <w:r>
        <w:t xml:space="preserve">The </w:t>
      </w:r>
      <w:r w:rsidR="00DD3FF9">
        <w:t>IPC</w:t>
      </w:r>
      <w:r>
        <w:t xml:space="preserve"> evaluates participation based on four main categories: public participation; transparency; inclusion and equality; and citizen complaints.</w:t>
      </w:r>
      <w:r w:rsidR="00253736">
        <w:t xml:space="preserve"> Each of these four categories</w:t>
      </w:r>
      <w:r w:rsidR="00DD3FF9">
        <w:t xml:space="preserve"> </w:t>
      </w:r>
      <w:r w:rsidR="00CB0CF9">
        <w:t xml:space="preserve">is </w:t>
      </w:r>
      <w:r w:rsidR="00253736">
        <w:t>further subdivided into s</w:t>
      </w:r>
      <w:r w:rsidR="00AD440C">
        <w:t>ub-categories</w:t>
      </w:r>
      <w:r w:rsidR="00253736">
        <w:t xml:space="preserve">. For example, </w:t>
      </w:r>
      <w:r w:rsidR="00CB0CF9">
        <w:t>with</w:t>
      </w:r>
      <w:r w:rsidR="00981762">
        <w:t xml:space="preserve"> respect to the first category of public participation, </w:t>
      </w:r>
      <w:r w:rsidR="00745FA1">
        <w:t xml:space="preserve">the IPC sets out four </w:t>
      </w:r>
      <w:r w:rsidR="00AD440C">
        <w:t>sub-categories</w:t>
      </w:r>
      <w:r w:rsidR="00745FA1">
        <w:t xml:space="preserve">: </w:t>
      </w:r>
      <w:r w:rsidR="002437C7">
        <w:t>consultation bodies</w:t>
      </w:r>
      <w:r w:rsidR="00745FA1">
        <w:t xml:space="preserve">; public consultation meetings; environmental education activities; </w:t>
      </w:r>
      <w:r w:rsidR="002437C7">
        <w:t xml:space="preserve">and </w:t>
      </w:r>
      <w:r w:rsidR="00745FA1">
        <w:t>environmental awareness raising activities.  In addition, each of these sub-</w:t>
      </w:r>
      <w:r w:rsidR="00AD440C">
        <w:t>categories</w:t>
      </w:r>
      <w:r w:rsidR="00745FA1">
        <w:t xml:space="preserve"> </w:t>
      </w:r>
      <w:r w:rsidR="002437C7">
        <w:t>is</w:t>
      </w:r>
      <w:r w:rsidR="00745FA1">
        <w:t xml:space="preserve"> defined and ha</w:t>
      </w:r>
      <w:r w:rsidR="00884058">
        <w:t>s</w:t>
      </w:r>
      <w:r w:rsidR="00745FA1">
        <w:t xml:space="preserve"> indicators associated with </w:t>
      </w:r>
      <w:r w:rsidR="00884058">
        <w:t>it</w:t>
      </w:r>
      <w:r w:rsidR="00745FA1">
        <w:t xml:space="preserve">. For example, the IPC defines </w:t>
      </w:r>
      <w:r w:rsidR="002437C7">
        <w:t>consultation bodies</w:t>
      </w:r>
      <w:r w:rsidR="00745FA1">
        <w:t xml:space="preserve"> as </w:t>
      </w:r>
      <w:r w:rsidR="00745FA1" w:rsidRPr="00745FA1">
        <w:t>advisory boards, technical committees and other working groups</w:t>
      </w:r>
      <w:r w:rsidR="00745FA1">
        <w:t xml:space="preserve"> under</w:t>
      </w:r>
      <w:r w:rsidR="00745FA1" w:rsidRPr="00745FA1">
        <w:t xml:space="preserve"> SEMARNAT </w:t>
      </w:r>
      <w:r w:rsidR="00745FA1">
        <w:t>or its subsidiary bodies where</w:t>
      </w:r>
      <w:r w:rsidR="00745FA1" w:rsidRPr="00745FA1">
        <w:t xml:space="preserve"> </w:t>
      </w:r>
      <w:r w:rsidR="00745FA1">
        <w:t>civil society can</w:t>
      </w:r>
      <w:r w:rsidR="00745FA1" w:rsidRPr="00745FA1">
        <w:t xml:space="preserve"> review and make recommendations on plans, programs, projects, laws and other instruments</w:t>
      </w:r>
      <w:r w:rsidR="00745FA1">
        <w:t xml:space="preserve"> relating to </w:t>
      </w:r>
      <w:r w:rsidR="00745FA1" w:rsidRPr="00745FA1">
        <w:t xml:space="preserve">environmental </w:t>
      </w:r>
      <w:r w:rsidR="00015208">
        <w:t>decision-making.  The indicators under this sub-</w:t>
      </w:r>
      <w:r w:rsidR="00AD440C">
        <w:t>category</w:t>
      </w:r>
      <w:r w:rsidR="00015208">
        <w:t xml:space="preserve"> include: </w:t>
      </w:r>
      <w:r w:rsidR="002437C7">
        <w:t xml:space="preserve">citizen representation in SEMARNAT’s consultation bodies; the number of public consultation meetings held; recommendations issued by consultative bodies; and budgetary expenditures for meetings, such as for citizen transportation, food and lodging. </w:t>
      </w:r>
      <w:r w:rsidR="00884058">
        <w:t>T</w:t>
      </w:r>
      <w:r w:rsidR="00AD440C">
        <w:t xml:space="preserve">he 2013 Report included a total of 4 categories, 10 sub-indexes and 39 indicators. </w:t>
      </w:r>
    </w:p>
    <w:p w:rsidR="002437C7" w:rsidRDefault="00AD440C" w:rsidP="00CB0CF9">
      <w:r>
        <w:t>SEMARNAT published the first IPC in</w:t>
      </w:r>
      <w:r w:rsidR="002437C7" w:rsidRPr="002437C7">
        <w:t xml:space="preserve"> 2010, and subsequent </w:t>
      </w:r>
      <w:r w:rsidR="000507B8">
        <w:t xml:space="preserve">IPCs </w:t>
      </w:r>
      <w:r w:rsidR="002437C7" w:rsidRPr="002437C7">
        <w:t xml:space="preserve">use 2010 as the baseline year to evaluate whether public participation is improving or retrogressing.  </w:t>
      </w:r>
      <w:r>
        <w:t>For example, the 2013 IPC noted a</w:t>
      </w:r>
      <w:r w:rsidR="00884058">
        <w:t>n overall</w:t>
      </w:r>
      <w:r>
        <w:t xml:space="preserve"> score of 1.5 on the Index, an improvement from 1.0 in 2010. </w:t>
      </w:r>
    </w:p>
    <w:p w:rsidR="002C71E3" w:rsidRDefault="00C31B18" w:rsidP="00AA05ED">
      <w:r w:rsidRPr="00C31B18">
        <w:rPr>
          <w:b/>
          <w:bCs/>
          <w:smallCaps/>
        </w:rPr>
        <w:t>Further Information</w:t>
      </w:r>
      <w:r w:rsidRPr="00C31B18">
        <w:rPr>
          <w:b/>
        </w:rPr>
        <w:t>:</w:t>
      </w:r>
      <w:r w:rsidRPr="00C31B18">
        <w:t xml:space="preserve"> </w:t>
      </w:r>
      <w:r w:rsidR="00AD440C">
        <w:t xml:space="preserve">The annual IPC reports can be found on SEMARNAT’s website: </w:t>
      </w:r>
      <w:hyperlink r:id="rId6" w:history="1">
        <w:r w:rsidR="00AD440C" w:rsidRPr="00874903">
          <w:rPr>
            <w:rStyle w:val="Hyperlink"/>
          </w:rPr>
          <w:t>http://www.semarnat.gob.mx/transparencia/participacion-ciudadana/indice-de-participacion-ciudadana-del-sector-ambiental</w:t>
        </w:r>
      </w:hyperlink>
      <w:r w:rsidR="00AD440C">
        <w:t xml:space="preserve">. </w:t>
      </w:r>
    </w:p>
    <w:sectPr w:rsidR="002C71E3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15208"/>
    <w:rsid w:val="000507B8"/>
    <w:rsid w:val="00053233"/>
    <w:rsid w:val="00057295"/>
    <w:rsid w:val="00095A81"/>
    <w:rsid w:val="000A10F4"/>
    <w:rsid w:val="000A2B55"/>
    <w:rsid w:val="000C15DA"/>
    <w:rsid w:val="000F3EAB"/>
    <w:rsid w:val="00101A5F"/>
    <w:rsid w:val="00111A13"/>
    <w:rsid w:val="001370DD"/>
    <w:rsid w:val="00176228"/>
    <w:rsid w:val="00183D21"/>
    <w:rsid w:val="001A0796"/>
    <w:rsid w:val="00215E2D"/>
    <w:rsid w:val="002437C7"/>
    <w:rsid w:val="00253736"/>
    <w:rsid w:val="00263C95"/>
    <w:rsid w:val="002958FB"/>
    <w:rsid w:val="002A1597"/>
    <w:rsid w:val="002C376C"/>
    <w:rsid w:val="002E1C43"/>
    <w:rsid w:val="002F4FDE"/>
    <w:rsid w:val="002F6330"/>
    <w:rsid w:val="00306CD7"/>
    <w:rsid w:val="00312F7C"/>
    <w:rsid w:val="003205D5"/>
    <w:rsid w:val="00327C9E"/>
    <w:rsid w:val="003300AC"/>
    <w:rsid w:val="00385B22"/>
    <w:rsid w:val="003B283B"/>
    <w:rsid w:val="003D01AF"/>
    <w:rsid w:val="003E47D4"/>
    <w:rsid w:val="00450905"/>
    <w:rsid w:val="0045701A"/>
    <w:rsid w:val="00494E6F"/>
    <w:rsid w:val="004C66F2"/>
    <w:rsid w:val="004F27D9"/>
    <w:rsid w:val="00522138"/>
    <w:rsid w:val="00555E5D"/>
    <w:rsid w:val="0056659E"/>
    <w:rsid w:val="0056704F"/>
    <w:rsid w:val="005E0715"/>
    <w:rsid w:val="005F139A"/>
    <w:rsid w:val="00601EE4"/>
    <w:rsid w:val="0066212E"/>
    <w:rsid w:val="0066769C"/>
    <w:rsid w:val="00691B6C"/>
    <w:rsid w:val="00692830"/>
    <w:rsid w:val="006A4089"/>
    <w:rsid w:val="006B6A52"/>
    <w:rsid w:val="006F52B8"/>
    <w:rsid w:val="00745FA1"/>
    <w:rsid w:val="00797BD0"/>
    <w:rsid w:val="00846327"/>
    <w:rsid w:val="00884058"/>
    <w:rsid w:val="008D6E46"/>
    <w:rsid w:val="00931262"/>
    <w:rsid w:val="0093723C"/>
    <w:rsid w:val="00947203"/>
    <w:rsid w:val="00981762"/>
    <w:rsid w:val="00987176"/>
    <w:rsid w:val="00AA05ED"/>
    <w:rsid w:val="00AD440C"/>
    <w:rsid w:val="00B2173C"/>
    <w:rsid w:val="00B4615B"/>
    <w:rsid w:val="00B52316"/>
    <w:rsid w:val="00B56C9C"/>
    <w:rsid w:val="00B61B00"/>
    <w:rsid w:val="00B64247"/>
    <w:rsid w:val="00B65748"/>
    <w:rsid w:val="00B66BAE"/>
    <w:rsid w:val="00B916F2"/>
    <w:rsid w:val="00B95D3B"/>
    <w:rsid w:val="00C17C6C"/>
    <w:rsid w:val="00C31B18"/>
    <w:rsid w:val="00C33C55"/>
    <w:rsid w:val="00C8756D"/>
    <w:rsid w:val="00CA3D28"/>
    <w:rsid w:val="00CB0CF9"/>
    <w:rsid w:val="00D04745"/>
    <w:rsid w:val="00D05E6B"/>
    <w:rsid w:val="00D53361"/>
    <w:rsid w:val="00D6225E"/>
    <w:rsid w:val="00D745C4"/>
    <w:rsid w:val="00DA4A93"/>
    <w:rsid w:val="00DB3B01"/>
    <w:rsid w:val="00DD3FF9"/>
    <w:rsid w:val="00E07C7F"/>
    <w:rsid w:val="00E9721C"/>
    <w:rsid w:val="00EA6E47"/>
    <w:rsid w:val="00EB609F"/>
    <w:rsid w:val="00F81351"/>
    <w:rsid w:val="00FA64D6"/>
    <w:rsid w:val="00FD1F0B"/>
    <w:rsid w:val="00FD5B0B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arnat.gob.mx/transparencia/participacion-ciudadana/indice-de-participacion-ciudadana-del-sector-ambienta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8C01AD-6A9F-4573-9869-B6A0F9709B51}"/>
</file>

<file path=customXml/itemProps2.xml><?xml version="1.0" encoding="utf-8"?>
<ds:datastoreItem xmlns:ds="http://schemas.openxmlformats.org/officeDocument/2006/customXml" ds:itemID="{7AFDB627-6396-467A-9F0F-AAF47D649312}"/>
</file>

<file path=customXml/itemProps3.xml><?xml version="1.0" encoding="utf-8"?>
<ds:datastoreItem xmlns:ds="http://schemas.openxmlformats.org/officeDocument/2006/customXml" ds:itemID="{AFE40351-AFEE-41A7-B130-69A1FD2B7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2</cp:revision>
  <dcterms:created xsi:type="dcterms:W3CDTF">2014-11-29T14:43:00Z</dcterms:created>
  <dcterms:modified xsi:type="dcterms:W3CDTF">2014-11-29T14:43:00Z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2693200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