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45701A" w:rsidRDefault="00E9721C" w:rsidP="00AA05ED">
      <w:pPr>
        <w:rPr>
          <w:rStyle w:val="Heading2Char"/>
          <w:rFonts w:ascii="Times New Roman" w:hAnsi="Times New Roman" w:cs="Times New Roman"/>
          <w:szCs w:val="24"/>
        </w:rPr>
      </w:pPr>
      <w:bookmarkStart w:id="0" w:name="_GoBack"/>
      <w:bookmarkEnd w:id="0"/>
      <w:r>
        <w:rPr>
          <w:rStyle w:val="Heading2Char"/>
          <w:rFonts w:ascii="Times New Roman" w:hAnsi="Times New Roman" w:cs="Times New Roman"/>
          <w:szCs w:val="24"/>
          <w:u w:val="single"/>
        </w:rPr>
        <w:t>Category</w:t>
      </w:r>
      <w:r w:rsidR="00176228">
        <w:rPr>
          <w:rStyle w:val="Heading2Char"/>
          <w:rFonts w:ascii="Times New Roman" w:hAnsi="Times New Roman" w:cs="Times New Roman"/>
          <w:b w:val="0"/>
          <w:szCs w:val="24"/>
        </w:rPr>
        <w:t xml:space="preserve">: </w:t>
      </w:r>
      <w:r w:rsidR="002F7EDD">
        <w:rPr>
          <w:rFonts w:eastAsiaTheme="majorEastAsia"/>
          <w:b/>
          <w:smallCaps/>
        </w:rPr>
        <w:t>Obligation</w:t>
      </w:r>
      <w:r w:rsidR="0045701A">
        <w:rPr>
          <w:rFonts w:eastAsiaTheme="majorEastAsia"/>
          <w:b/>
          <w:smallCaps/>
        </w:rPr>
        <w:t xml:space="preserve"> to F</w:t>
      </w:r>
      <w:r w:rsidR="00C31B18" w:rsidRPr="0045701A">
        <w:rPr>
          <w:rFonts w:eastAsiaTheme="majorEastAsia"/>
          <w:b/>
          <w:smallCaps/>
        </w:rPr>
        <w:t xml:space="preserve">acilitate </w:t>
      </w:r>
      <w:r w:rsidR="0045701A">
        <w:rPr>
          <w:rFonts w:eastAsiaTheme="majorEastAsia"/>
          <w:b/>
          <w:smallCaps/>
        </w:rPr>
        <w:t>Public Participation in Environmental Decision-M</w:t>
      </w:r>
      <w:r w:rsidR="00C31B18" w:rsidRPr="0045701A">
        <w:rPr>
          <w:rFonts w:eastAsiaTheme="majorEastAsia"/>
          <w:b/>
          <w:smallCaps/>
        </w:rPr>
        <w:t>aking</w:t>
      </w:r>
    </w:p>
    <w:p w:rsidR="00E9721C" w:rsidRPr="0045701A" w:rsidRDefault="00E9721C" w:rsidP="00AA05ED">
      <w:pPr>
        <w:rPr>
          <w:rStyle w:val="Heading2Char"/>
          <w:rFonts w:ascii="Times New Roman" w:hAnsi="Times New Roman" w:cs="Times New Roman"/>
          <w:b w:val="0"/>
          <w:szCs w:val="24"/>
        </w:rPr>
      </w:pPr>
      <w:r w:rsidRPr="0045701A">
        <w:rPr>
          <w:rStyle w:val="Heading2Char"/>
          <w:rFonts w:ascii="Times New Roman" w:hAnsi="Times New Roman" w:cs="Times New Roman"/>
          <w:szCs w:val="24"/>
          <w:u w:val="single"/>
        </w:rPr>
        <w:t>Sub-Category</w:t>
      </w:r>
      <w:r w:rsidR="00176228" w:rsidRPr="0045701A">
        <w:rPr>
          <w:rStyle w:val="Heading2Char"/>
          <w:rFonts w:ascii="Times New Roman" w:hAnsi="Times New Roman" w:cs="Times New Roman"/>
          <w:szCs w:val="24"/>
        </w:rPr>
        <w:t xml:space="preserve">: </w:t>
      </w:r>
      <w:r w:rsidR="0058202E">
        <w:rPr>
          <w:rStyle w:val="Heading2Char"/>
          <w:rFonts w:ascii="Times New Roman" w:hAnsi="Times New Roman" w:cs="Times New Roman"/>
          <w:szCs w:val="24"/>
        </w:rPr>
        <w:t xml:space="preserve">Public Participation in Environmental </w:t>
      </w:r>
      <w:r w:rsidR="0001361F">
        <w:rPr>
          <w:rStyle w:val="Heading2Char"/>
          <w:rFonts w:ascii="Times New Roman" w:hAnsi="Times New Roman" w:cs="Times New Roman"/>
          <w:szCs w:val="24"/>
        </w:rPr>
        <w:t>Impact Assessment</w:t>
      </w:r>
    </w:p>
    <w:p w:rsidR="00E9721C" w:rsidRPr="0045701A" w:rsidRDefault="00E9721C" w:rsidP="00AA05ED">
      <w:pPr>
        <w:rPr>
          <w:rStyle w:val="Heading2Char"/>
          <w:rFonts w:ascii="Times New Roman" w:hAnsi="Times New Roman" w:cs="Times New Roman"/>
          <w:szCs w:val="24"/>
        </w:rPr>
      </w:pPr>
      <w:r w:rsidRPr="0045701A">
        <w:rPr>
          <w:rStyle w:val="Heading2Char"/>
          <w:rFonts w:ascii="Times New Roman" w:hAnsi="Times New Roman" w:cs="Times New Roman"/>
          <w:szCs w:val="24"/>
          <w:u w:val="single"/>
        </w:rPr>
        <w:t>Name of Good Practice</w:t>
      </w:r>
      <w:r w:rsidRPr="0045701A">
        <w:rPr>
          <w:rStyle w:val="Heading2Char"/>
          <w:rFonts w:ascii="Times New Roman" w:hAnsi="Times New Roman" w:cs="Times New Roman"/>
          <w:szCs w:val="24"/>
        </w:rPr>
        <w:t>:</w:t>
      </w:r>
      <w:r w:rsidR="00385B22" w:rsidRPr="0045701A">
        <w:rPr>
          <w:rStyle w:val="Heading2Char"/>
          <w:rFonts w:ascii="Times New Roman" w:hAnsi="Times New Roman" w:cs="Times New Roman"/>
          <w:szCs w:val="24"/>
        </w:rPr>
        <w:t xml:space="preserve"> </w:t>
      </w:r>
      <w:r w:rsidR="0058202E" w:rsidRPr="0058202E">
        <w:rPr>
          <w:rFonts w:eastAsiaTheme="majorEastAsia"/>
          <w:b/>
          <w:bCs/>
          <w:smallCaps/>
          <w:color w:val="000000" w:themeColor="text1"/>
        </w:rPr>
        <w:t xml:space="preserve">Public Participation in </w:t>
      </w:r>
      <w:r w:rsidR="0016061B">
        <w:rPr>
          <w:rFonts w:eastAsiaTheme="majorEastAsia"/>
          <w:b/>
          <w:bCs/>
          <w:smallCaps/>
          <w:color w:val="000000" w:themeColor="text1"/>
        </w:rPr>
        <w:t xml:space="preserve">Environmental Impact </w:t>
      </w:r>
      <w:r w:rsidR="00054F7C">
        <w:rPr>
          <w:rFonts w:eastAsiaTheme="majorEastAsia"/>
          <w:b/>
          <w:bCs/>
          <w:smallCaps/>
          <w:color w:val="000000" w:themeColor="text1"/>
        </w:rPr>
        <w:t xml:space="preserve">Assessment </w:t>
      </w:r>
      <w:r w:rsidR="0016061B">
        <w:rPr>
          <w:rFonts w:eastAsiaTheme="majorEastAsia"/>
          <w:b/>
          <w:bCs/>
          <w:smallCaps/>
          <w:color w:val="000000" w:themeColor="text1"/>
        </w:rPr>
        <w:t>Procedures</w:t>
      </w:r>
    </w:p>
    <w:p w:rsidR="00E9721C" w:rsidRPr="002F6330" w:rsidRDefault="00E9721C" w:rsidP="00AA05ED">
      <w:pPr>
        <w:rPr>
          <w:rStyle w:val="Heading2Char"/>
          <w:rFonts w:ascii="Times New Roman" w:hAnsi="Times New Roman" w:cs="Times New Roman"/>
          <w:b w:val="0"/>
          <w:szCs w:val="24"/>
        </w:rPr>
      </w:pPr>
      <w:r>
        <w:rPr>
          <w:rStyle w:val="Heading2Char"/>
          <w:rFonts w:ascii="Times New Roman" w:hAnsi="Times New Roman" w:cs="Times New Roman"/>
          <w:szCs w:val="24"/>
        </w:rPr>
        <w:t>Key W</w:t>
      </w:r>
      <w:r w:rsidRPr="00DA5FA4">
        <w:rPr>
          <w:rStyle w:val="Heading2Char"/>
          <w:rFonts w:ascii="Times New Roman" w:hAnsi="Times New Roman" w:cs="Times New Roman"/>
          <w:szCs w:val="24"/>
        </w:rPr>
        <w:t xml:space="preserve">ords: </w:t>
      </w:r>
      <w:r w:rsidR="0058202E">
        <w:t xml:space="preserve">Access to Information, Consultation, </w:t>
      </w:r>
      <w:r w:rsidR="0016061B">
        <w:t xml:space="preserve">Impact Assessment, </w:t>
      </w:r>
      <w:r w:rsidR="0045701A">
        <w:t>I</w:t>
      </w:r>
      <w:r w:rsidR="00B95D3B">
        <w:t>nternet</w:t>
      </w:r>
      <w:r w:rsidR="00054F7C">
        <w:t xml:space="preserve">, </w:t>
      </w:r>
      <w:r w:rsidR="00054F7C" w:rsidRPr="00054F7C">
        <w:t>Participation</w:t>
      </w:r>
    </w:p>
    <w:p w:rsidR="00E9721C" w:rsidRPr="0056659E" w:rsidRDefault="00E9721C" w:rsidP="00AA05ED">
      <w:r w:rsidRPr="00DA5FA4">
        <w:rPr>
          <w:rStyle w:val="Heading2Char"/>
          <w:rFonts w:ascii="Times New Roman" w:hAnsi="Times New Roman" w:cs="Times New Roman"/>
          <w:szCs w:val="24"/>
        </w:rPr>
        <w:t>Implementing Actors:</w:t>
      </w:r>
      <w:r w:rsidRPr="00DA5FA4">
        <w:t xml:space="preserve"> </w:t>
      </w:r>
      <w:r w:rsidR="0058202E">
        <w:t>National Ministries</w:t>
      </w:r>
      <w:r w:rsidR="0016061B">
        <w:t>; Sub-National Government</w:t>
      </w:r>
      <w:r w:rsidR="00054F7C">
        <w:t>s</w:t>
      </w:r>
    </w:p>
    <w:p w:rsidR="00E9721C" w:rsidRPr="00DA5FA4" w:rsidRDefault="00E9721C" w:rsidP="00AA05ED">
      <w:r w:rsidRPr="00DA5FA4">
        <w:rPr>
          <w:rStyle w:val="Heading2Char"/>
          <w:rFonts w:ascii="Times New Roman" w:hAnsi="Times New Roman" w:cs="Times New Roman"/>
          <w:szCs w:val="24"/>
        </w:rPr>
        <w:t>Location:</w:t>
      </w:r>
      <w:r w:rsidR="0058202E">
        <w:t xml:space="preserve"> </w:t>
      </w:r>
      <w:r w:rsidR="00716A53">
        <w:t>Multiple Countries</w:t>
      </w:r>
    </w:p>
    <w:p w:rsidR="0058202E" w:rsidRDefault="00E9721C" w:rsidP="0058202E">
      <w:r w:rsidRPr="00DA5FA4">
        <w:rPr>
          <w:rStyle w:val="Heading2Char"/>
          <w:rFonts w:ascii="Times New Roman" w:hAnsi="Times New Roman" w:cs="Times New Roman"/>
          <w:szCs w:val="24"/>
        </w:rPr>
        <w:t>Description:</w:t>
      </w:r>
      <w:r w:rsidR="00E318AC">
        <w:rPr>
          <w:rStyle w:val="Heading2Char"/>
          <w:rFonts w:ascii="Times New Roman" w:hAnsi="Times New Roman" w:cs="Times New Roman"/>
          <w:szCs w:val="24"/>
        </w:rPr>
        <w:t xml:space="preserve"> </w:t>
      </w:r>
      <w:r w:rsidR="00E318AC" w:rsidRPr="00E318AC">
        <w:rPr>
          <w:bCs/>
          <w:iCs/>
          <w:color w:val="000000"/>
          <w:lang w:val="en-ZA"/>
        </w:rPr>
        <w:t>Most States have adopted environmental impact assessmen</w:t>
      </w:r>
      <w:r w:rsidR="00E318AC">
        <w:rPr>
          <w:rFonts w:eastAsiaTheme="majorEastAsia"/>
          <w:bCs/>
          <w:iCs/>
          <w:color w:val="000000" w:themeColor="text1"/>
          <w:lang w:val="en-ZA"/>
        </w:rPr>
        <w:t>t (EIA)</w:t>
      </w:r>
      <w:r w:rsidR="00E318AC" w:rsidRPr="00E318AC">
        <w:rPr>
          <w:bCs/>
          <w:iCs/>
          <w:color w:val="000000"/>
          <w:lang w:val="en-ZA"/>
        </w:rPr>
        <w:t xml:space="preserve"> laws, in accordance with principle 17 of the Rio Declaration, which states that “environmental impact assessment, as a national instrument, shall be undertaken for proposed activities that are likely to have a significant adverse impact on the environment and are subject to a decision of a competent national authority.”</w:t>
      </w:r>
      <w:r w:rsidR="00E318AC" w:rsidRPr="00E318AC">
        <w:rPr>
          <w:b/>
          <w:bCs/>
          <w:iCs/>
          <w:smallCaps/>
          <w:color w:val="000000"/>
          <w:lang w:val="en-ZA"/>
        </w:rPr>
        <w:t xml:space="preserve"> </w:t>
      </w:r>
      <w:r w:rsidRPr="00DA5FA4">
        <w:rPr>
          <w:rFonts w:eastAsia="Cambria"/>
        </w:rPr>
        <w:t xml:space="preserve"> </w:t>
      </w:r>
      <w:r w:rsidR="00E318AC">
        <w:rPr>
          <w:rFonts w:eastAsia="Cambria"/>
        </w:rPr>
        <w:t>A</w:t>
      </w:r>
      <w:r w:rsidR="0058202E">
        <w:t xml:space="preserve">llowing for public participation </w:t>
      </w:r>
      <w:r w:rsidR="00E318AC">
        <w:t xml:space="preserve">and consultation during the EIA process </w:t>
      </w:r>
      <w:r w:rsidR="00DE6141">
        <w:t>can lead to better informed decisions that reflect the public’s interests</w:t>
      </w:r>
      <w:r w:rsidR="00E318AC">
        <w:t>, concerns</w:t>
      </w:r>
      <w:r w:rsidR="00DE6141">
        <w:t xml:space="preserve"> and values. M</w:t>
      </w:r>
      <w:r w:rsidR="0058202E">
        <w:t>any countries have adopted comprehensive public participation</w:t>
      </w:r>
      <w:r w:rsidR="00DE6141">
        <w:t xml:space="preserve"> procedures </w:t>
      </w:r>
      <w:r w:rsidR="00625DA5">
        <w:t xml:space="preserve">in relation to their EIA laws.  </w:t>
      </w:r>
    </w:p>
    <w:p w:rsidR="00A43638" w:rsidRPr="00B64E6F" w:rsidRDefault="00625DA5" w:rsidP="00BF41E5">
      <w:pPr>
        <w:shd w:val="clear" w:color="auto" w:fill="FFFFFF"/>
        <w:spacing w:after="120"/>
        <w:rPr>
          <w:lang w:val="en-GB"/>
        </w:rPr>
      </w:pPr>
      <w:r>
        <w:t xml:space="preserve">For example, India amended its EIA law in 2006 to require a public consultation period once a draft EIA is prepared under the law. </w:t>
      </w:r>
      <w:r w:rsidRPr="00A21F5F">
        <w:rPr>
          <w:rFonts w:cs="Lucida Sans Unicode"/>
        </w:rPr>
        <w:t xml:space="preserve">Public consultation </w:t>
      </w:r>
      <w:r>
        <w:rPr>
          <w:rFonts w:cs="Lucida Sans Unicode"/>
        </w:rPr>
        <w:t>consists of a public hearing and a period for w</w:t>
      </w:r>
      <w:r w:rsidRPr="00A21F5F">
        <w:rPr>
          <w:rFonts w:cs="Lucida Sans Unicode"/>
        </w:rPr>
        <w:t>rit</w:t>
      </w:r>
      <w:r>
        <w:rPr>
          <w:rFonts w:cs="Lucida Sans Unicode"/>
        </w:rPr>
        <w:t xml:space="preserve">ten presentations/comments from the concerned public and </w:t>
      </w:r>
      <w:r w:rsidRPr="00A21F5F">
        <w:rPr>
          <w:rFonts w:cs="Lucida Sans Unicode"/>
          <w:shd w:val="clear" w:color="auto" w:fill="FFFFFF"/>
        </w:rPr>
        <w:t xml:space="preserve">provides a legal space for </w:t>
      </w:r>
      <w:r>
        <w:rPr>
          <w:rFonts w:cs="Lucida Sans Unicode"/>
          <w:shd w:val="clear" w:color="auto" w:fill="FFFFFF"/>
        </w:rPr>
        <w:t>them</w:t>
      </w:r>
      <w:r w:rsidRPr="00A21F5F">
        <w:rPr>
          <w:rFonts w:cs="Lucida Sans Unicode"/>
          <w:shd w:val="clear" w:color="auto" w:fill="FFFFFF"/>
        </w:rPr>
        <w:t xml:space="preserve"> to come face-to-face with the project proponent in the presence of regulatory bodies and express their concerns. </w:t>
      </w:r>
      <w:r>
        <w:t xml:space="preserve"> Since 2006, the government has organized 565 public hearings. </w:t>
      </w:r>
      <w:r>
        <w:rPr>
          <w:lang w:val="en-GB"/>
        </w:rPr>
        <w:t xml:space="preserve">In Trinidad and Tobago, the Certificate of Environmental Clearance Law of 2001 (CEC) governs the EIA procedure for potential environmental and human impacts from 44 categories of activities. The CEC provides the public with the opportunity to submit comments on a proposed project’s EIA for up to at least 30 days after notice for comment is advertised in daily newspapers. The government also holds public consultations, depending </w:t>
      </w:r>
      <w:proofErr w:type="gramStart"/>
      <w:r>
        <w:rPr>
          <w:lang w:val="en-GB"/>
        </w:rPr>
        <w:t>on</w:t>
      </w:r>
      <w:proofErr w:type="gramEnd"/>
      <w:r>
        <w:rPr>
          <w:lang w:val="en-GB"/>
        </w:rPr>
        <w:t xml:space="preserve"> the scale of the project and the circumstances surrounding the application for an environmental clearance.</w:t>
      </w:r>
      <w:r w:rsidR="00032434">
        <w:rPr>
          <w:lang w:val="en-GB"/>
        </w:rPr>
        <w:t xml:space="preserve">  </w:t>
      </w:r>
      <w:r>
        <w:t>T</w:t>
      </w:r>
      <w:r w:rsidR="00E318AC">
        <w:t>he United States adopted the National Environmental Policy Act (NEPA) in 1970 which, among other things, governs the EIA p</w:t>
      </w:r>
      <w:r w:rsidR="00A43638">
        <w:t>rocedure</w:t>
      </w:r>
      <w:r w:rsidR="00E318AC">
        <w:t xml:space="preserve"> for </w:t>
      </w:r>
      <w:r w:rsidR="007C5484">
        <w:t xml:space="preserve">applicable </w:t>
      </w:r>
      <w:r w:rsidR="00E318AC">
        <w:t xml:space="preserve">federal agency projects and actions.  </w:t>
      </w:r>
      <w:r w:rsidR="00BE020E">
        <w:t xml:space="preserve">For projects requiring EIAs, federal agencies must provide public notice of EIA-related hearings, conduct public meetings, provide relevant documents, and set deadlines for comments and appeals.  The public typically can provide comments on the initial scoping report for a project and on the draft EIA, as well as file administrative appeals of a final decision by the agency and ultimately seek judicial review. </w:t>
      </w:r>
    </w:p>
    <w:p w:rsidR="00CB7CA4" w:rsidRDefault="00C31B18" w:rsidP="00AA05ED">
      <w:r w:rsidRPr="00C31B18">
        <w:rPr>
          <w:b/>
          <w:bCs/>
          <w:smallCaps/>
        </w:rPr>
        <w:t>Further Information</w:t>
      </w:r>
      <w:r w:rsidRPr="00C31B18">
        <w:rPr>
          <w:b/>
        </w:rPr>
        <w:t>:</w:t>
      </w:r>
      <w:r w:rsidRPr="00C31B18">
        <w:t xml:space="preserve"> </w:t>
      </w:r>
      <w:r w:rsidR="00FD5D57">
        <w:t xml:space="preserve">More information about </w:t>
      </w:r>
      <w:r w:rsidR="00054F7C">
        <w:t xml:space="preserve">the U.S. </w:t>
      </w:r>
      <w:r w:rsidR="00FD5D57">
        <w:t>NEPA is available at</w:t>
      </w:r>
      <w:r w:rsidR="0058202E">
        <w:t>:</w:t>
      </w:r>
      <w:r w:rsidR="00FD5D57" w:rsidRPr="00FD5D57">
        <w:t xml:space="preserve"> </w:t>
      </w:r>
      <w:hyperlink r:id="rId6" w:history="1">
        <w:r w:rsidR="00FD5D57" w:rsidRPr="003A4E0E">
          <w:rPr>
            <w:rStyle w:val="Hyperlink"/>
          </w:rPr>
          <w:t>https://ceq.doe.gov/</w:t>
        </w:r>
      </w:hyperlink>
      <w:r w:rsidR="00FD5D57">
        <w:t xml:space="preserve">; </w:t>
      </w:r>
      <w:r w:rsidR="001D7879">
        <w:t>info</w:t>
      </w:r>
      <w:r w:rsidR="00FD5D57">
        <w:t>rmation on India’s</w:t>
      </w:r>
      <w:r w:rsidR="001D7879">
        <w:t xml:space="preserve"> EIA procedure: </w:t>
      </w:r>
      <w:hyperlink r:id="rId7" w:history="1">
        <w:r w:rsidR="00FD5D57" w:rsidRPr="003A4E0E">
          <w:rPr>
            <w:rStyle w:val="Hyperlink"/>
          </w:rPr>
          <w:t>http://envfor.nic.in/division/introduction-8</w:t>
        </w:r>
      </w:hyperlink>
      <w:r w:rsidR="00FD5D57">
        <w:t xml:space="preserve">; </w:t>
      </w:r>
      <w:r w:rsidR="001D7879">
        <w:t>t</w:t>
      </w:r>
      <w:r w:rsidR="00CB7CA4">
        <w:t xml:space="preserve">he CEC </w:t>
      </w:r>
      <w:r w:rsidR="00054F7C">
        <w:t xml:space="preserve">of Trinidad and Tobago </w:t>
      </w:r>
      <w:r w:rsidR="00CB7CA4">
        <w:t xml:space="preserve">at: </w:t>
      </w:r>
      <w:hyperlink r:id="rId8" w:history="1">
        <w:r w:rsidR="00FD5D57" w:rsidRPr="003A4E0E">
          <w:rPr>
            <w:rStyle w:val="Hyperlink"/>
          </w:rPr>
          <w:t>http://www.ema.co.tt/new/index.php/legal/legislation/certificate-of-environmental-clearance</w:t>
        </w:r>
      </w:hyperlink>
      <w:r w:rsidR="00FD5D57">
        <w:t xml:space="preserve">. </w:t>
      </w:r>
    </w:p>
    <w:sectPr w:rsidR="00CB7CA4"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nsid w:val="741C2B13"/>
    <w:multiLevelType w:val="multilevel"/>
    <w:tmpl w:val="544E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1361F"/>
    <w:rsid w:val="00024781"/>
    <w:rsid w:val="00030BE3"/>
    <w:rsid w:val="00032434"/>
    <w:rsid w:val="00054F7C"/>
    <w:rsid w:val="00057295"/>
    <w:rsid w:val="00095A81"/>
    <w:rsid w:val="000A10F4"/>
    <w:rsid w:val="000A2B55"/>
    <w:rsid w:val="000C15DA"/>
    <w:rsid w:val="000F3EAB"/>
    <w:rsid w:val="00101A5F"/>
    <w:rsid w:val="00111A13"/>
    <w:rsid w:val="001370DD"/>
    <w:rsid w:val="0015336D"/>
    <w:rsid w:val="0016061B"/>
    <w:rsid w:val="00176228"/>
    <w:rsid w:val="00183D21"/>
    <w:rsid w:val="001A0796"/>
    <w:rsid w:val="001B762A"/>
    <w:rsid w:val="001D7879"/>
    <w:rsid w:val="002958FB"/>
    <w:rsid w:val="00295CB5"/>
    <w:rsid w:val="002A1597"/>
    <w:rsid w:val="002C376C"/>
    <w:rsid w:val="002E1C43"/>
    <w:rsid w:val="002F4FDE"/>
    <w:rsid w:val="002F6330"/>
    <w:rsid w:val="002F7EDD"/>
    <w:rsid w:val="00312F7C"/>
    <w:rsid w:val="003205D5"/>
    <w:rsid w:val="00327C9E"/>
    <w:rsid w:val="00341616"/>
    <w:rsid w:val="00385B22"/>
    <w:rsid w:val="003B283B"/>
    <w:rsid w:val="003D01AF"/>
    <w:rsid w:val="00450905"/>
    <w:rsid w:val="0045701A"/>
    <w:rsid w:val="00494E6F"/>
    <w:rsid w:val="004C66F2"/>
    <w:rsid w:val="00522138"/>
    <w:rsid w:val="00555E5D"/>
    <w:rsid w:val="0056659E"/>
    <w:rsid w:val="0058202E"/>
    <w:rsid w:val="005F139A"/>
    <w:rsid w:val="00600A9D"/>
    <w:rsid w:val="00602E06"/>
    <w:rsid w:val="00625DA5"/>
    <w:rsid w:val="0066769C"/>
    <w:rsid w:val="00691B6C"/>
    <w:rsid w:val="00692830"/>
    <w:rsid w:val="006A4089"/>
    <w:rsid w:val="006D2A1E"/>
    <w:rsid w:val="006E2659"/>
    <w:rsid w:val="006F42A8"/>
    <w:rsid w:val="006F52B8"/>
    <w:rsid w:val="00716A53"/>
    <w:rsid w:val="00797BD0"/>
    <w:rsid w:val="007C5484"/>
    <w:rsid w:val="00801219"/>
    <w:rsid w:val="00846327"/>
    <w:rsid w:val="008D6E46"/>
    <w:rsid w:val="00931262"/>
    <w:rsid w:val="0093723C"/>
    <w:rsid w:val="00947203"/>
    <w:rsid w:val="00987176"/>
    <w:rsid w:val="009B77B4"/>
    <w:rsid w:val="00A43638"/>
    <w:rsid w:val="00A855CA"/>
    <w:rsid w:val="00AA05ED"/>
    <w:rsid w:val="00B02370"/>
    <w:rsid w:val="00B2173C"/>
    <w:rsid w:val="00B4615B"/>
    <w:rsid w:val="00B56C9C"/>
    <w:rsid w:val="00B61B00"/>
    <w:rsid w:val="00B64247"/>
    <w:rsid w:val="00B64E6F"/>
    <w:rsid w:val="00B65748"/>
    <w:rsid w:val="00B66BAE"/>
    <w:rsid w:val="00B95D3B"/>
    <w:rsid w:val="00BE020E"/>
    <w:rsid w:val="00BF41E5"/>
    <w:rsid w:val="00C17C6C"/>
    <w:rsid w:val="00C31B18"/>
    <w:rsid w:val="00C33C55"/>
    <w:rsid w:val="00C70150"/>
    <w:rsid w:val="00CA3D28"/>
    <w:rsid w:val="00CB7CA4"/>
    <w:rsid w:val="00CD2733"/>
    <w:rsid w:val="00D04745"/>
    <w:rsid w:val="00D05E6B"/>
    <w:rsid w:val="00D53361"/>
    <w:rsid w:val="00D6225E"/>
    <w:rsid w:val="00D745C4"/>
    <w:rsid w:val="00DA4A93"/>
    <w:rsid w:val="00DB1E5C"/>
    <w:rsid w:val="00DE6141"/>
    <w:rsid w:val="00E318AC"/>
    <w:rsid w:val="00E630B4"/>
    <w:rsid w:val="00E94C52"/>
    <w:rsid w:val="00E9721C"/>
    <w:rsid w:val="00EA6E47"/>
    <w:rsid w:val="00EB4E1C"/>
    <w:rsid w:val="00EB609F"/>
    <w:rsid w:val="00F81351"/>
    <w:rsid w:val="00FA64D6"/>
    <w:rsid w:val="00FD1F0B"/>
    <w:rsid w:val="00FD5B0B"/>
    <w:rsid w:val="00FD5D57"/>
    <w:rsid w:val="00FF1464"/>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05"/>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846327"/>
    <w:rPr>
      <w:b/>
      <w:bCs/>
    </w:rPr>
  </w:style>
  <w:style w:type="character" w:customStyle="1" w:styleId="CommentSubjectChar">
    <w:name w:val="Comment Subject Char"/>
    <w:basedOn w:val="CommentTextChar"/>
    <w:link w:val="CommentSubject"/>
    <w:uiPriority w:val="99"/>
    <w:semiHidden/>
    <w:rsid w:val="00846327"/>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05"/>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846327"/>
    <w:rPr>
      <w:b/>
      <w:bCs/>
    </w:rPr>
  </w:style>
  <w:style w:type="character" w:customStyle="1" w:styleId="CommentSubjectChar">
    <w:name w:val="Comment Subject Char"/>
    <w:basedOn w:val="CommentTextChar"/>
    <w:link w:val="CommentSubject"/>
    <w:uiPriority w:val="99"/>
    <w:semiHidden/>
    <w:rsid w:val="0084632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71493">
      <w:bodyDiv w:val="1"/>
      <w:marLeft w:val="0"/>
      <w:marRight w:val="0"/>
      <w:marTop w:val="0"/>
      <w:marBottom w:val="0"/>
      <w:divBdr>
        <w:top w:val="none" w:sz="0" w:space="0" w:color="auto"/>
        <w:left w:val="none" w:sz="0" w:space="0" w:color="auto"/>
        <w:bottom w:val="none" w:sz="0" w:space="0" w:color="auto"/>
        <w:right w:val="none" w:sz="0" w:space="0" w:color="auto"/>
      </w:divBdr>
    </w:div>
    <w:div w:id="14863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co.tt/new/index.php/legal/legislation/certificate-of-environmental-clearance"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envfor.nic.in/division/introduction-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q.doe.gov/"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B34EDB-1010-44BF-8595-A79953814E01}"/>
</file>

<file path=customXml/itemProps2.xml><?xml version="1.0" encoding="utf-8"?>
<ds:datastoreItem xmlns:ds="http://schemas.openxmlformats.org/officeDocument/2006/customXml" ds:itemID="{309BC319-92C4-4EF6-BE18-EE7F674830E3}"/>
</file>

<file path=customXml/itemProps3.xml><?xml version="1.0" encoding="utf-8"?>
<ds:datastoreItem xmlns:ds="http://schemas.openxmlformats.org/officeDocument/2006/customXml" ds:itemID="{01A67096-14F6-4897-9800-4B69F78610BA}"/>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Ahreum Lee</cp:lastModifiedBy>
  <cp:revision>2</cp:revision>
  <dcterms:created xsi:type="dcterms:W3CDTF">2015-02-17T12:39:00Z</dcterms:created>
  <dcterms:modified xsi:type="dcterms:W3CDTF">2015-02-17T12:39:00Z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