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110F32" w:rsidRDefault="00E9721C" w:rsidP="00BB5423">
      <w:pPr>
        <w:rPr>
          <w:rStyle w:val="Heading2Char"/>
          <w:rFonts w:ascii="Times New Roman" w:hAnsi="Times New Roman" w:cs="Times New Roman"/>
          <w:szCs w:val="24"/>
        </w:rPr>
      </w:pPr>
      <w:bookmarkStart w:id="0" w:name="_GoBack"/>
      <w:bookmarkEnd w:id="0"/>
      <w:r w:rsidRPr="00110F32">
        <w:rPr>
          <w:rStyle w:val="Heading2Char"/>
          <w:rFonts w:ascii="Times New Roman" w:hAnsi="Times New Roman" w:cs="Times New Roman"/>
          <w:szCs w:val="24"/>
          <w:u w:val="single"/>
        </w:rPr>
        <w:t>Category</w:t>
      </w:r>
      <w:r w:rsidR="00176228" w:rsidRPr="00110F32">
        <w:rPr>
          <w:rStyle w:val="Heading2Char"/>
          <w:rFonts w:ascii="Times New Roman" w:hAnsi="Times New Roman" w:cs="Times New Roman"/>
          <w:b w:val="0"/>
          <w:szCs w:val="24"/>
        </w:rPr>
        <w:t xml:space="preserve">: </w:t>
      </w:r>
      <w:r w:rsidR="00973535">
        <w:rPr>
          <w:rFonts w:ascii="Times New Roman" w:eastAsiaTheme="majorEastAsia" w:hAnsi="Times New Roman"/>
          <w:b/>
          <w:bCs/>
          <w:smallCaps/>
          <w:color w:val="000000" w:themeColor="text1"/>
          <w:sz w:val="24"/>
          <w:szCs w:val="24"/>
        </w:rPr>
        <w:t>Obligation</w:t>
      </w:r>
      <w:r w:rsidR="003F3225" w:rsidRPr="00110F32">
        <w:rPr>
          <w:rFonts w:ascii="Times New Roman" w:eastAsiaTheme="majorEastAsia" w:hAnsi="Times New Roman"/>
          <w:b/>
          <w:bCs/>
          <w:smallCaps/>
          <w:color w:val="000000" w:themeColor="text1"/>
          <w:sz w:val="24"/>
          <w:szCs w:val="24"/>
        </w:rPr>
        <w:t xml:space="preserve"> to Provide Access to Legal Remedies</w:t>
      </w:r>
      <w:r w:rsidR="00716B08">
        <w:rPr>
          <w:rFonts w:ascii="Times New Roman" w:eastAsiaTheme="majorEastAsia" w:hAnsi="Times New Roman"/>
          <w:b/>
          <w:bCs/>
          <w:smallCaps/>
          <w:color w:val="000000" w:themeColor="text1"/>
          <w:sz w:val="24"/>
          <w:szCs w:val="24"/>
        </w:rPr>
        <w:t>; Substantive Obligations</w:t>
      </w:r>
    </w:p>
    <w:p w:rsidR="00E9721C" w:rsidRPr="00110F32" w:rsidRDefault="00E9721C" w:rsidP="00BB5423">
      <w:pPr>
        <w:rPr>
          <w:rStyle w:val="Heading2Char"/>
          <w:rFonts w:ascii="Times New Roman" w:hAnsi="Times New Roman" w:cs="Times New Roman"/>
          <w:szCs w:val="24"/>
        </w:rPr>
      </w:pPr>
      <w:r w:rsidRPr="00110F32">
        <w:rPr>
          <w:rStyle w:val="Heading2Char"/>
          <w:rFonts w:ascii="Times New Roman" w:hAnsi="Times New Roman" w:cs="Times New Roman"/>
          <w:szCs w:val="24"/>
          <w:u w:val="single"/>
        </w:rPr>
        <w:t>Sub-Category</w:t>
      </w:r>
      <w:r w:rsidR="00176228" w:rsidRPr="00110F32">
        <w:rPr>
          <w:rStyle w:val="Heading2Char"/>
          <w:rFonts w:ascii="Times New Roman" w:hAnsi="Times New Roman" w:cs="Times New Roman"/>
          <w:b w:val="0"/>
          <w:szCs w:val="24"/>
        </w:rPr>
        <w:t xml:space="preserve">: </w:t>
      </w:r>
      <w:r w:rsidR="003F3225" w:rsidRPr="00110F32">
        <w:rPr>
          <w:rFonts w:ascii="Times New Roman" w:eastAsiaTheme="majorEastAsia" w:hAnsi="Times New Roman"/>
          <w:b/>
          <w:bCs/>
          <w:smallCaps/>
          <w:color w:val="000000" w:themeColor="text1"/>
          <w:sz w:val="24"/>
          <w:szCs w:val="24"/>
        </w:rPr>
        <w:t>Court Decisions</w:t>
      </w:r>
      <w:r w:rsidR="00D533FD" w:rsidRPr="00110F32">
        <w:rPr>
          <w:rFonts w:ascii="Times New Roman" w:eastAsiaTheme="majorEastAsia" w:hAnsi="Times New Roman"/>
          <w:b/>
          <w:bCs/>
          <w:smallCaps/>
          <w:color w:val="000000" w:themeColor="text1"/>
          <w:sz w:val="24"/>
          <w:szCs w:val="24"/>
        </w:rPr>
        <w:t xml:space="preserve"> </w:t>
      </w:r>
    </w:p>
    <w:p w:rsidR="00BB5423" w:rsidRPr="00110F32" w:rsidRDefault="00BB5423" w:rsidP="00BB5423">
      <w:pPr>
        <w:rPr>
          <w:rStyle w:val="Heading2Char"/>
          <w:rFonts w:ascii="Times New Roman" w:hAnsi="Times New Roman" w:cs="Times New Roman"/>
          <w:szCs w:val="24"/>
        </w:rPr>
      </w:pPr>
      <w:r w:rsidRPr="00110F32">
        <w:rPr>
          <w:rStyle w:val="Heading2Char"/>
          <w:rFonts w:ascii="Times New Roman" w:hAnsi="Times New Roman" w:cs="Times New Roman"/>
          <w:szCs w:val="24"/>
          <w:u w:val="single"/>
        </w:rPr>
        <w:t>Name of Good Practice</w:t>
      </w:r>
      <w:r w:rsidR="00212289">
        <w:rPr>
          <w:rStyle w:val="Heading2Char"/>
          <w:rFonts w:ascii="Times New Roman" w:hAnsi="Times New Roman" w:cs="Times New Roman"/>
          <w:szCs w:val="24"/>
        </w:rPr>
        <w:t xml:space="preserve">: </w:t>
      </w:r>
      <w:r w:rsidRPr="00110F32">
        <w:rPr>
          <w:rStyle w:val="Heading2Char"/>
          <w:rFonts w:ascii="Times New Roman" w:hAnsi="Times New Roman" w:cs="Times New Roman"/>
          <w:szCs w:val="24"/>
        </w:rPr>
        <w:t xml:space="preserve">Jurisprudence of the Supreme Court of </w:t>
      </w:r>
      <w:r w:rsidR="00212289">
        <w:rPr>
          <w:rStyle w:val="Heading2Char"/>
          <w:rFonts w:ascii="Times New Roman" w:hAnsi="Times New Roman" w:cs="Times New Roman"/>
          <w:szCs w:val="24"/>
        </w:rPr>
        <w:t>India Relating to Environmental Protection</w:t>
      </w:r>
    </w:p>
    <w:p w:rsidR="00BB5423" w:rsidRPr="00110F32" w:rsidRDefault="00BB5423" w:rsidP="00BB5423">
      <w:pPr>
        <w:rPr>
          <w:rStyle w:val="Heading2Char"/>
          <w:rFonts w:ascii="Times New Roman" w:hAnsi="Times New Roman" w:cs="Times New Roman"/>
          <w:szCs w:val="24"/>
        </w:rPr>
      </w:pPr>
      <w:r w:rsidRPr="00110F32">
        <w:rPr>
          <w:rStyle w:val="Heading2Char"/>
          <w:rFonts w:ascii="Times New Roman" w:hAnsi="Times New Roman" w:cs="Times New Roman"/>
          <w:szCs w:val="24"/>
        </w:rPr>
        <w:t>Key Words:</w:t>
      </w:r>
      <w:r w:rsidR="00953375">
        <w:rPr>
          <w:rStyle w:val="Heading2Char"/>
          <w:rFonts w:ascii="Times New Roman" w:hAnsi="Times New Roman" w:cs="Times New Roman"/>
          <w:szCs w:val="24"/>
        </w:rPr>
        <w:t xml:space="preserve"> </w:t>
      </w:r>
      <w:r w:rsidRPr="00110F32">
        <w:rPr>
          <w:rFonts w:ascii="Times New Roman" w:hAnsi="Times New Roman"/>
          <w:sz w:val="24"/>
          <w:szCs w:val="24"/>
        </w:rPr>
        <w:t>Accountability</w:t>
      </w:r>
      <w:r w:rsidR="00CB2F00" w:rsidRPr="00110F32">
        <w:rPr>
          <w:rFonts w:ascii="Times New Roman" w:hAnsi="Times New Roman"/>
          <w:sz w:val="24"/>
          <w:szCs w:val="24"/>
        </w:rPr>
        <w:t>, A</w:t>
      </w:r>
      <w:r w:rsidRPr="00110F32">
        <w:rPr>
          <w:rFonts w:ascii="Times New Roman" w:hAnsi="Times New Roman"/>
          <w:sz w:val="24"/>
          <w:szCs w:val="24"/>
        </w:rPr>
        <w:t>ccess to Justice</w:t>
      </w:r>
      <w:r w:rsidR="00CB2F00" w:rsidRPr="00110F32">
        <w:rPr>
          <w:rFonts w:ascii="Times New Roman" w:hAnsi="Times New Roman"/>
          <w:sz w:val="24"/>
          <w:szCs w:val="24"/>
        </w:rPr>
        <w:t>,</w:t>
      </w:r>
      <w:r w:rsidR="00212289" w:rsidRPr="00212289">
        <w:rPr>
          <w:rFonts w:ascii="Times New Roman" w:hAnsi="Times New Roman"/>
          <w:sz w:val="24"/>
          <w:szCs w:val="24"/>
        </w:rPr>
        <w:t xml:space="preserve"> Constitutional Court</w:t>
      </w:r>
      <w:r w:rsidR="00212289">
        <w:rPr>
          <w:rFonts w:ascii="Times New Roman" w:hAnsi="Times New Roman"/>
          <w:sz w:val="24"/>
          <w:szCs w:val="24"/>
        </w:rPr>
        <w:t xml:space="preserve">, </w:t>
      </w:r>
      <w:r w:rsidR="00212289" w:rsidRPr="00212289">
        <w:rPr>
          <w:rFonts w:ascii="Times New Roman" w:hAnsi="Times New Roman"/>
          <w:sz w:val="24"/>
          <w:szCs w:val="24"/>
        </w:rPr>
        <w:t xml:space="preserve">Jurisprudence, </w:t>
      </w:r>
      <w:r w:rsidR="00212289">
        <w:rPr>
          <w:rFonts w:ascii="Times New Roman" w:hAnsi="Times New Roman"/>
          <w:sz w:val="24"/>
          <w:szCs w:val="24"/>
        </w:rPr>
        <w:t>R</w:t>
      </w:r>
      <w:r w:rsidR="00CB2F00" w:rsidRPr="00110F32">
        <w:rPr>
          <w:rFonts w:ascii="Times New Roman" w:hAnsi="Times New Roman"/>
          <w:sz w:val="24"/>
          <w:szCs w:val="24"/>
        </w:rPr>
        <w:t xml:space="preserve">emedy, </w:t>
      </w:r>
      <w:r w:rsidR="00212289">
        <w:rPr>
          <w:rFonts w:ascii="Times New Roman" w:hAnsi="Times New Roman"/>
          <w:sz w:val="24"/>
          <w:szCs w:val="24"/>
        </w:rPr>
        <w:t>Right to Life</w:t>
      </w:r>
    </w:p>
    <w:p w:rsidR="00BB5423" w:rsidRPr="00110F32" w:rsidRDefault="00BB5423" w:rsidP="00BB5423">
      <w:pPr>
        <w:rPr>
          <w:rStyle w:val="Heading2Char"/>
          <w:rFonts w:ascii="Times New Roman" w:hAnsi="Times New Roman" w:cs="Times New Roman"/>
          <w:b w:val="0"/>
          <w:smallCaps w:val="0"/>
          <w:szCs w:val="24"/>
        </w:rPr>
      </w:pPr>
      <w:r w:rsidRPr="00110F32">
        <w:rPr>
          <w:rStyle w:val="Heading2Char"/>
          <w:rFonts w:ascii="Times New Roman" w:hAnsi="Times New Roman" w:cs="Times New Roman"/>
          <w:szCs w:val="24"/>
        </w:rPr>
        <w:t xml:space="preserve">Implementing Actors: </w:t>
      </w:r>
      <w:r w:rsidR="002D01DF">
        <w:rPr>
          <w:rStyle w:val="Heading2Char"/>
          <w:rFonts w:ascii="Times New Roman" w:hAnsi="Times New Roman" w:cs="Times New Roman"/>
          <w:b w:val="0"/>
          <w:smallCaps w:val="0"/>
          <w:szCs w:val="24"/>
        </w:rPr>
        <w:t xml:space="preserve"> </w:t>
      </w:r>
      <w:r w:rsidR="00832DDC">
        <w:rPr>
          <w:rStyle w:val="Heading2Char"/>
          <w:rFonts w:ascii="Times New Roman" w:hAnsi="Times New Roman" w:cs="Times New Roman"/>
          <w:b w:val="0"/>
          <w:smallCaps w:val="0"/>
          <w:szCs w:val="24"/>
        </w:rPr>
        <w:t xml:space="preserve">Court: </w:t>
      </w:r>
      <w:r w:rsidR="00C37657" w:rsidRPr="00110F32">
        <w:rPr>
          <w:rStyle w:val="Heading2Char"/>
          <w:rFonts w:ascii="Times New Roman" w:hAnsi="Times New Roman" w:cs="Times New Roman"/>
          <w:b w:val="0"/>
          <w:smallCaps w:val="0"/>
          <w:szCs w:val="24"/>
        </w:rPr>
        <w:t>Supreme Court of</w:t>
      </w:r>
      <w:r w:rsidR="00212289">
        <w:rPr>
          <w:rStyle w:val="Heading2Char"/>
          <w:rFonts w:ascii="Times New Roman" w:hAnsi="Times New Roman" w:cs="Times New Roman"/>
          <w:b w:val="0"/>
          <w:smallCaps w:val="0"/>
          <w:szCs w:val="24"/>
        </w:rPr>
        <w:t xml:space="preserve"> India</w:t>
      </w:r>
    </w:p>
    <w:p w:rsidR="00BB5423" w:rsidRPr="00110F32" w:rsidRDefault="00BB5423" w:rsidP="00BB5423">
      <w:pPr>
        <w:rPr>
          <w:rStyle w:val="Heading2Char"/>
          <w:rFonts w:ascii="Times New Roman" w:hAnsi="Times New Roman" w:cs="Times New Roman"/>
          <w:szCs w:val="24"/>
        </w:rPr>
      </w:pPr>
      <w:r w:rsidRPr="00110F32">
        <w:rPr>
          <w:rStyle w:val="Heading2Char"/>
          <w:rFonts w:ascii="Times New Roman" w:hAnsi="Times New Roman" w:cs="Times New Roman"/>
          <w:szCs w:val="24"/>
        </w:rPr>
        <w:t xml:space="preserve">Location: </w:t>
      </w:r>
      <w:r w:rsidR="00212289">
        <w:rPr>
          <w:rFonts w:ascii="Times New Roman" w:hAnsi="Times New Roman"/>
          <w:sz w:val="24"/>
          <w:szCs w:val="24"/>
        </w:rPr>
        <w:t>India</w:t>
      </w:r>
    </w:p>
    <w:p w:rsidR="00BB5423" w:rsidRDefault="00BB5423" w:rsidP="00212289">
      <w:pPr>
        <w:rPr>
          <w:rStyle w:val="Heading2Char"/>
          <w:rFonts w:ascii="Times New Roman" w:hAnsi="Times New Roman" w:cs="Times New Roman"/>
          <w:b w:val="0"/>
          <w:smallCaps w:val="0"/>
          <w:szCs w:val="24"/>
        </w:rPr>
      </w:pPr>
      <w:r w:rsidRPr="00110F32">
        <w:rPr>
          <w:rStyle w:val="Heading2Char"/>
          <w:rFonts w:ascii="Times New Roman" w:hAnsi="Times New Roman" w:cs="Times New Roman"/>
          <w:szCs w:val="24"/>
        </w:rPr>
        <w:t xml:space="preserve">Description: </w:t>
      </w:r>
      <w:r w:rsidR="00212289">
        <w:rPr>
          <w:rStyle w:val="Heading2Char"/>
          <w:rFonts w:ascii="Times New Roman" w:hAnsi="Times New Roman" w:cs="Times New Roman"/>
          <w:b w:val="0"/>
          <w:smallCaps w:val="0"/>
          <w:szCs w:val="24"/>
        </w:rPr>
        <w:t xml:space="preserve">Article 21 of the Indian Constitution of 1949 provides for the fundamental rights to protection of life and personal liberty, stating that “[n]o person shall be deprived of his life or personal liberty except according to procedure established by law.”  The Indian Supreme Court in a series of decisions has connected Article 21 with a right to a healthy environment. </w:t>
      </w:r>
    </w:p>
    <w:p w:rsidR="009841AC" w:rsidRPr="00CF3AB6" w:rsidRDefault="009841AC" w:rsidP="009405A4">
      <w:pPr>
        <w:rPr>
          <w:rStyle w:val="Heading2Char"/>
          <w:rFonts w:ascii="Times New Roman" w:eastAsia="Calibri" w:hAnsi="Times New Roman" w:cs="Times New Roman"/>
          <w:b w:val="0"/>
          <w:bCs w:val="0"/>
          <w:smallCaps w:val="0"/>
          <w:color w:val="auto"/>
          <w:szCs w:val="24"/>
          <w:lang w:val="en-ZA"/>
        </w:rPr>
      </w:pPr>
      <w:r>
        <w:rPr>
          <w:rStyle w:val="Heading2Char"/>
          <w:rFonts w:ascii="Times New Roman" w:hAnsi="Times New Roman" w:cs="Times New Roman"/>
          <w:b w:val="0"/>
          <w:smallCaps w:val="0"/>
          <w:szCs w:val="24"/>
        </w:rPr>
        <w:t xml:space="preserve">The Court set up the groundwork for linking a right to a healthy environment to the right to life in </w:t>
      </w:r>
      <w:proofErr w:type="spellStart"/>
      <w:r w:rsidRPr="009841AC">
        <w:rPr>
          <w:rFonts w:ascii="Times New Roman" w:eastAsiaTheme="majorEastAsia" w:hAnsi="Times New Roman"/>
          <w:bCs/>
          <w:i/>
          <w:iCs/>
          <w:color w:val="000000" w:themeColor="text1"/>
          <w:sz w:val="24"/>
          <w:szCs w:val="24"/>
          <w:lang w:val="en-ZA"/>
        </w:rPr>
        <w:t>Maneka</w:t>
      </w:r>
      <w:proofErr w:type="spellEnd"/>
      <w:r w:rsidRPr="009841AC">
        <w:rPr>
          <w:rFonts w:ascii="Times New Roman" w:eastAsiaTheme="majorEastAsia" w:hAnsi="Times New Roman"/>
          <w:bCs/>
          <w:i/>
          <w:iCs/>
          <w:color w:val="000000" w:themeColor="text1"/>
          <w:sz w:val="24"/>
          <w:szCs w:val="24"/>
          <w:lang w:val="en-ZA"/>
        </w:rPr>
        <w:t xml:space="preserve"> Gandhi v. Union of India</w:t>
      </w:r>
      <w:r>
        <w:rPr>
          <w:rFonts w:ascii="Times New Roman" w:eastAsiaTheme="majorEastAsia" w:hAnsi="Times New Roman"/>
          <w:bCs/>
          <w:iCs/>
          <w:color w:val="000000" w:themeColor="text1"/>
          <w:sz w:val="24"/>
          <w:szCs w:val="24"/>
        </w:rPr>
        <w:t xml:space="preserve"> (1979)</w:t>
      </w:r>
      <w:r w:rsidR="00370831">
        <w:rPr>
          <w:rFonts w:ascii="Times New Roman" w:eastAsiaTheme="majorEastAsia" w:hAnsi="Times New Roman"/>
          <w:bCs/>
          <w:iCs/>
          <w:color w:val="000000" w:themeColor="text1"/>
          <w:sz w:val="24"/>
          <w:szCs w:val="24"/>
        </w:rPr>
        <w:t>,</w:t>
      </w:r>
      <w:r w:rsidR="007C326C">
        <w:rPr>
          <w:rFonts w:ascii="Times New Roman" w:eastAsiaTheme="majorEastAsia" w:hAnsi="Times New Roman"/>
          <w:bCs/>
          <w:iCs/>
          <w:color w:val="000000" w:themeColor="text1"/>
          <w:sz w:val="24"/>
          <w:szCs w:val="24"/>
        </w:rPr>
        <w:t xml:space="preserve"> in which it held that </w:t>
      </w:r>
      <w:r w:rsidR="003F129F">
        <w:rPr>
          <w:rFonts w:ascii="Times New Roman" w:eastAsiaTheme="majorEastAsia" w:hAnsi="Times New Roman"/>
          <w:bCs/>
          <w:iCs/>
          <w:color w:val="000000" w:themeColor="text1"/>
          <w:sz w:val="24"/>
          <w:szCs w:val="24"/>
        </w:rPr>
        <w:t>any</w:t>
      </w:r>
      <w:r>
        <w:rPr>
          <w:rFonts w:ascii="Times New Roman" w:eastAsiaTheme="majorEastAsia" w:hAnsi="Times New Roman"/>
          <w:bCs/>
          <w:iCs/>
          <w:color w:val="000000" w:themeColor="text1"/>
          <w:sz w:val="24"/>
          <w:szCs w:val="24"/>
        </w:rPr>
        <w:t xml:space="preserve"> State action</w:t>
      </w:r>
      <w:r w:rsidRPr="009841AC">
        <w:rPr>
          <w:rFonts w:ascii="Times New Roman" w:eastAsiaTheme="majorEastAsia" w:hAnsi="Times New Roman"/>
          <w:bCs/>
          <w:iCs/>
          <w:color w:val="000000" w:themeColor="text1"/>
          <w:sz w:val="24"/>
          <w:szCs w:val="24"/>
          <w:lang w:val="en-ZA"/>
        </w:rPr>
        <w:t xml:space="preserve"> interfering </w:t>
      </w:r>
      <w:r w:rsidR="003F129F">
        <w:rPr>
          <w:rFonts w:ascii="Times New Roman" w:eastAsiaTheme="majorEastAsia" w:hAnsi="Times New Roman"/>
          <w:bCs/>
          <w:iCs/>
          <w:color w:val="000000" w:themeColor="text1"/>
          <w:sz w:val="24"/>
          <w:szCs w:val="24"/>
          <w:lang w:val="en-ZA"/>
        </w:rPr>
        <w:t xml:space="preserve">with </w:t>
      </w:r>
      <w:r w:rsidR="007C326C">
        <w:rPr>
          <w:rFonts w:ascii="Times New Roman" w:eastAsiaTheme="majorEastAsia" w:hAnsi="Times New Roman"/>
          <w:bCs/>
          <w:iCs/>
          <w:color w:val="000000" w:themeColor="text1"/>
          <w:sz w:val="24"/>
          <w:szCs w:val="24"/>
          <w:lang w:val="en-ZA"/>
        </w:rPr>
        <w:t xml:space="preserve">the rights protected by </w:t>
      </w:r>
      <w:r w:rsidR="003F129F">
        <w:rPr>
          <w:rFonts w:ascii="Times New Roman" w:eastAsiaTheme="majorEastAsia" w:hAnsi="Times New Roman"/>
          <w:bCs/>
          <w:iCs/>
          <w:color w:val="000000" w:themeColor="text1"/>
          <w:sz w:val="24"/>
          <w:szCs w:val="24"/>
          <w:lang w:val="en-ZA"/>
        </w:rPr>
        <w:t>Article 21</w:t>
      </w:r>
      <w:r w:rsidRPr="009841AC">
        <w:rPr>
          <w:rFonts w:ascii="Times New Roman" w:eastAsiaTheme="majorEastAsia" w:hAnsi="Times New Roman"/>
          <w:bCs/>
          <w:iCs/>
          <w:color w:val="000000" w:themeColor="text1"/>
          <w:sz w:val="24"/>
          <w:szCs w:val="24"/>
          <w:lang w:val="en-ZA"/>
        </w:rPr>
        <w:t xml:space="preserve"> </w:t>
      </w:r>
      <w:r w:rsidR="007C326C">
        <w:rPr>
          <w:rFonts w:ascii="Times New Roman" w:eastAsiaTheme="majorEastAsia" w:hAnsi="Times New Roman"/>
          <w:bCs/>
          <w:iCs/>
          <w:color w:val="000000" w:themeColor="text1"/>
          <w:sz w:val="24"/>
          <w:szCs w:val="24"/>
          <w:lang w:val="en-ZA"/>
        </w:rPr>
        <w:t xml:space="preserve">had </w:t>
      </w:r>
      <w:r w:rsidRPr="009841AC">
        <w:rPr>
          <w:rFonts w:ascii="Times New Roman" w:eastAsiaTheme="majorEastAsia" w:hAnsi="Times New Roman"/>
          <w:bCs/>
          <w:iCs/>
          <w:color w:val="000000" w:themeColor="text1"/>
          <w:sz w:val="24"/>
          <w:szCs w:val="24"/>
          <w:lang w:val="en-ZA"/>
        </w:rPr>
        <w:t xml:space="preserve">to </w:t>
      </w:r>
      <w:r w:rsidR="003F129F">
        <w:rPr>
          <w:rFonts w:ascii="Times New Roman" w:eastAsiaTheme="majorEastAsia" w:hAnsi="Times New Roman"/>
          <w:bCs/>
          <w:iCs/>
          <w:color w:val="000000" w:themeColor="text1"/>
          <w:sz w:val="24"/>
          <w:szCs w:val="24"/>
          <w:lang w:val="en-ZA"/>
        </w:rPr>
        <w:t>be “</w:t>
      </w:r>
      <w:r w:rsidRPr="009841AC">
        <w:rPr>
          <w:rFonts w:ascii="Times New Roman" w:eastAsiaTheme="majorEastAsia" w:hAnsi="Times New Roman"/>
          <w:bCs/>
          <w:iCs/>
          <w:color w:val="000000" w:themeColor="text1"/>
          <w:sz w:val="24"/>
          <w:szCs w:val="24"/>
          <w:lang w:val="en-ZA"/>
        </w:rPr>
        <w:t>right, just and fair</w:t>
      </w:r>
      <w:r w:rsidR="003F129F">
        <w:rPr>
          <w:rFonts w:ascii="Times New Roman" w:eastAsiaTheme="majorEastAsia" w:hAnsi="Times New Roman"/>
          <w:bCs/>
          <w:iCs/>
          <w:color w:val="000000" w:themeColor="text1"/>
          <w:sz w:val="24"/>
          <w:szCs w:val="24"/>
          <w:lang w:val="en-ZA"/>
        </w:rPr>
        <w:t>.”</w:t>
      </w:r>
      <w:r w:rsidR="00CF3AB6">
        <w:rPr>
          <w:rFonts w:ascii="Times New Roman" w:eastAsiaTheme="majorEastAsia" w:hAnsi="Times New Roman"/>
          <w:bCs/>
          <w:iCs/>
          <w:color w:val="000000" w:themeColor="text1"/>
          <w:sz w:val="24"/>
          <w:szCs w:val="24"/>
          <w:lang w:val="en-ZA"/>
        </w:rPr>
        <w:t xml:space="preserve">  </w:t>
      </w:r>
      <w:r w:rsidR="00E8172D">
        <w:rPr>
          <w:rFonts w:ascii="Times New Roman" w:eastAsiaTheme="majorEastAsia" w:hAnsi="Times New Roman"/>
          <w:bCs/>
          <w:iCs/>
          <w:color w:val="000000" w:themeColor="text1"/>
          <w:sz w:val="24"/>
          <w:szCs w:val="24"/>
          <w:lang w:val="en-ZA"/>
        </w:rPr>
        <w:t xml:space="preserve">Since </w:t>
      </w:r>
      <w:proofErr w:type="spellStart"/>
      <w:r w:rsidR="00E8172D">
        <w:rPr>
          <w:rFonts w:ascii="Times New Roman" w:eastAsiaTheme="majorEastAsia" w:hAnsi="Times New Roman"/>
          <w:bCs/>
          <w:i/>
          <w:iCs/>
          <w:color w:val="000000" w:themeColor="text1"/>
          <w:sz w:val="24"/>
          <w:szCs w:val="24"/>
          <w:lang w:val="en-ZA"/>
        </w:rPr>
        <w:t>Mankeka</w:t>
      </w:r>
      <w:proofErr w:type="spellEnd"/>
      <w:r w:rsidR="00E8172D">
        <w:rPr>
          <w:rFonts w:ascii="Times New Roman" w:eastAsiaTheme="majorEastAsia" w:hAnsi="Times New Roman"/>
          <w:bCs/>
          <w:i/>
          <w:iCs/>
          <w:color w:val="000000" w:themeColor="text1"/>
          <w:sz w:val="24"/>
          <w:szCs w:val="24"/>
          <w:lang w:val="en-ZA"/>
        </w:rPr>
        <w:t xml:space="preserve">, </w:t>
      </w:r>
      <w:r w:rsidR="00E0776A">
        <w:rPr>
          <w:rFonts w:ascii="Times New Roman" w:eastAsiaTheme="majorEastAsia" w:hAnsi="Times New Roman"/>
          <w:bCs/>
          <w:iCs/>
          <w:color w:val="000000" w:themeColor="text1"/>
          <w:sz w:val="24"/>
          <w:szCs w:val="24"/>
          <w:lang w:val="en-ZA"/>
        </w:rPr>
        <w:t xml:space="preserve">the Court has been active in </w:t>
      </w:r>
      <w:r w:rsidR="00E8172D">
        <w:rPr>
          <w:rFonts w:ascii="Times New Roman" w:eastAsiaTheme="majorEastAsia" w:hAnsi="Times New Roman"/>
          <w:bCs/>
          <w:iCs/>
          <w:color w:val="000000" w:themeColor="text1"/>
          <w:sz w:val="24"/>
          <w:szCs w:val="24"/>
          <w:lang w:val="en-ZA"/>
        </w:rPr>
        <w:t xml:space="preserve">protecting the </w:t>
      </w:r>
      <w:r w:rsidR="00E0776A">
        <w:rPr>
          <w:rFonts w:ascii="Times New Roman" w:eastAsiaTheme="majorEastAsia" w:hAnsi="Times New Roman"/>
          <w:bCs/>
          <w:iCs/>
          <w:color w:val="000000" w:themeColor="text1"/>
          <w:sz w:val="24"/>
          <w:szCs w:val="24"/>
          <w:lang w:val="en-ZA"/>
        </w:rPr>
        <w:t xml:space="preserve">right to life from </w:t>
      </w:r>
      <w:r w:rsidR="00E8172D">
        <w:rPr>
          <w:rFonts w:ascii="Times New Roman" w:eastAsiaTheme="majorEastAsia" w:hAnsi="Times New Roman"/>
          <w:bCs/>
          <w:iCs/>
          <w:color w:val="000000" w:themeColor="text1"/>
          <w:sz w:val="24"/>
          <w:szCs w:val="24"/>
          <w:lang w:val="en-ZA"/>
        </w:rPr>
        <w:t>environment</w:t>
      </w:r>
      <w:r w:rsidR="00E0776A">
        <w:rPr>
          <w:rFonts w:ascii="Times New Roman" w:eastAsiaTheme="majorEastAsia" w:hAnsi="Times New Roman"/>
          <w:bCs/>
          <w:iCs/>
          <w:color w:val="000000" w:themeColor="text1"/>
          <w:sz w:val="24"/>
          <w:szCs w:val="24"/>
          <w:lang w:val="en-ZA"/>
        </w:rPr>
        <w:t xml:space="preserve"> degradation</w:t>
      </w:r>
      <w:r w:rsidR="00E8172D">
        <w:rPr>
          <w:rFonts w:ascii="Times New Roman" w:eastAsiaTheme="majorEastAsia" w:hAnsi="Times New Roman"/>
          <w:bCs/>
          <w:iCs/>
          <w:color w:val="000000" w:themeColor="text1"/>
          <w:sz w:val="24"/>
          <w:szCs w:val="24"/>
          <w:lang w:val="en-ZA"/>
        </w:rPr>
        <w:t>.</w:t>
      </w:r>
      <w:r w:rsidR="00E0776A">
        <w:rPr>
          <w:rFonts w:ascii="Times New Roman" w:eastAsiaTheme="majorEastAsia" w:hAnsi="Times New Roman"/>
          <w:bCs/>
          <w:iCs/>
          <w:color w:val="000000" w:themeColor="text1"/>
          <w:sz w:val="24"/>
          <w:szCs w:val="24"/>
          <w:lang w:val="en-ZA"/>
        </w:rPr>
        <w:t xml:space="preserve"> </w:t>
      </w:r>
      <w:r w:rsidR="006D2451">
        <w:rPr>
          <w:rFonts w:ascii="Times New Roman" w:eastAsiaTheme="majorEastAsia" w:hAnsi="Times New Roman"/>
          <w:bCs/>
          <w:iCs/>
          <w:color w:val="000000" w:themeColor="text1"/>
          <w:sz w:val="24"/>
          <w:szCs w:val="24"/>
          <w:lang w:val="en-ZA"/>
        </w:rPr>
        <w:t xml:space="preserve">For example, in </w:t>
      </w:r>
      <w:r w:rsidR="006D2451" w:rsidRPr="006D2451">
        <w:rPr>
          <w:rFonts w:ascii="Times New Roman" w:eastAsiaTheme="majorEastAsia" w:hAnsi="Times New Roman"/>
          <w:bCs/>
          <w:i/>
          <w:iCs/>
          <w:color w:val="000000" w:themeColor="text1"/>
          <w:sz w:val="24"/>
          <w:szCs w:val="24"/>
          <w:lang w:val="en-ZA"/>
        </w:rPr>
        <w:t>RLEK v. State of Uttar Pradesh and Others</w:t>
      </w:r>
      <w:r w:rsidR="006D2451">
        <w:rPr>
          <w:rFonts w:ascii="Times New Roman" w:eastAsiaTheme="majorEastAsia" w:hAnsi="Times New Roman"/>
          <w:bCs/>
          <w:iCs/>
          <w:color w:val="000000" w:themeColor="text1"/>
          <w:sz w:val="24"/>
          <w:szCs w:val="24"/>
          <w:lang w:val="en-ZA"/>
        </w:rPr>
        <w:t xml:space="preserve"> (</w:t>
      </w:r>
      <w:r w:rsidR="004E0454">
        <w:rPr>
          <w:rFonts w:ascii="Times New Roman" w:eastAsiaTheme="majorEastAsia" w:hAnsi="Times New Roman"/>
          <w:bCs/>
          <w:iCs/>
          <w:color w:val="000000" w:themeColor="text1"/>
          <w:sz w:val="24"/>
          <w:szCs w:val="24"/>
          <w:lang w:val="en-ZA"/>
        </w:rPr>
        <w:t>1988</w:t>
      </w:r>
      <w:r w:rsidR="006D2451">
        <w:rPr>
          <w:rFonts w:ascii="Times New Roman" w:eastAsiaTheme="majorEastAsia" w:hAnsi="Times New Roman"/>
          <w:bCs/>
          <w:iCs/>
          <w:color w:val="000000" w:themeColor="text1"/>
          <w:sz w:val="24"/>
          <w:szCs w:val="24"/>
          <w:lang w:val="en-ZA"/>
        </w:rPr>
        <w:t>)</w:t>
      </w:r>
      <w:r w:rsidR="007C326C">
        <w:rPr>
          <w:rFonts w:ascii="Times New Roman" w:eastAsiaTheme="majorEastAsia" w:hAnsi="Times New Roman"/>
          <w:bCs/>
          <w:iCs/>
          <w:color w:val="000000" w:themeColor="text1"/>
          <w:sz w:val="24"/>
          <w:szCs w:val="24"/>
          <w:lang w:val="en-ZA"/>
        </w:rPr>
        <w:t>,</w:t>
      </w:r>
      <w:r w:rsidR="004E0454">
        <w:rPr>
          <w:rFonts w:ascii="Times New Roman" w:eastAsiaTheme="majorEastAsia" w:hAnsi="Times New Roman"/>
          <w:bCs/>
          <w:iCs/>
          <w:color w:val="000000" w:themeColor="text1"/>
          <w:sz w:val="24"/>
          <w:szCs w:val="24"/>
          <w:lang w:val="en-ZA"/>
        </w:rPr>
        <w:t xml:space="preserve"> the Court ordered the closing down of several limestone quarries that were causing environmental degradation.  </w:t>
      </w:r>
      <w:r w:rsidR="007C326C">
        <w:rPr>
          <w:rFonts w:ascii="Times New Roman" w:eastAsiaTheme="majorEastAsia" w:hAnsi="Times New Roman"/>
          <w:bCs/>
          <w:iCs/>
          <w:color w:val="000000" w:themeColor="text1"/>
          <w:sz w:val="24"/>
          <w:szCs w:val="24"/>
          <w:lang w:val="en-ZA"/>
        </w:rPr>
        <w:t>T</w:t>
      </w:r>
      <w:r w:rsidR="004E0454">
        <w:rPr>
          <w:rFonts w:ascii="Times New Roman" w:eastAsiaTheme="majorEastAsia" w:hAnsi="Times New Roman"/>
          <w:bCs/>
          <w:iCs/>
          <w:color w:val="000000" w:themeColor="text1"/>
          <w:sz w:val="24"/>
          <w:szCs w:val="24"/>
          <w:lang w:val="en-ZA"/>
        </w:rPr>
        <w:t xml:space="preserve">he Court explained that its order </w:t>
      </w:r>
      <w:r w:rsidR="009405A4">
        <w:rPr>
          <w:rFonts w:ascii="Times New Roman" w:eastAsiaTheme="majorEastAsia" w:hAnsi="Times New Roman"/>
          <w:bCs/>
          <w:iCs/>
          <w:color w:val="000000" w:themeColor="text1"/>
          <w:sz w:val="24"/>
          <w:szCs w:val="24"/>
          <w:lang w:val="en-ZA"/>
        </w:rPr>
        <w:t>would “</w:t>
      </w:r>
      <w:r w:rsidR="009405A4" w:rsidRPr="009405A4">
        <w:rPr>
          <w:rFonts w:ascii="Times New Roman" w:eastAsiaTheme="majorEastAsia" w:hAnsi="Times New Roman"/>
          <w:bCs/>
          <w:iCs/>
          <w:color w:val="000000" w:themeColor="text1"/>
          <w:sz w:val="24"/>
          <w:szCs w:val="24"/>
        </w:rPr>
        <w:t xml:space="preserve">undoubtedly cause hardship to </w:t>
      </w:r>
      <w:r w:rsidR="009405A4">
        <w:rPr>
          <w:rFonts w:ascii="Times New Roman" w:eastAsiaTheme="majorEastAsia" w:hAnsi="Times New Roman"/>
          <w:bCs/>
          <w:iCs/>
          <w:color w:val="000000" w:themeColor="text1"/>
          <w:sz w:val="24"/>
          <w:szCs w:val="24"/>
        </w:rPr>
        <w:t>[the quarry owners]</w:t>
      </w:r>
      <w:r w:rsidR="009405A4" w:rsidRPr="009405A4">
        <w:rPr>
          <w:rFonts w:ascii="Times New Roman" w:eastAsiaTheme="majorEastAsia" w:hAnsi="Times New Roman"/>
          <w:bCs/>
          <w:iCs/>
          <w:color w:val="000000" w:themeColor="text1"/>
          <w:sz w:val="24"/>
          <w:szCs w:val="24"/>
        </w:rPr>
        <w:t xml:space="preserve"> but it is a price that has to be paid for protecting and safeguarding the right of the people to live in healthy environment with minimal disturbance of ecological balance and without avoidable hazard to them and to their cattle, homes and agricultural land and undue affectation of air, water and environment.</w:t>
      </w:r>
      <w:r w:rsidR="009405A4">
        <w:rPr>
          <w:rFonts w:ascii="Times New Roman" w:eastAsiaTheme="majorEastAsia" w:hAnsi="Times New Roman"/>
          <w:bCs/>
          <w:iCs/>
          <w:color w:val="000000" w:themeColor="text1"/>
          <w:sz w:val="24"/>
          <w:szCs w:val="24"/>
        </w:rPr>
        <w:t xml:space="preserve">”  </w:t>
      </w:r>
      <w:r w:rsidR="00495BA1">
        <w:rPr>
          <w:rFonts w:ascii="Times New Roman" w:eastAsiaTheme="majorEastAsia" w:hAnsi="Times New Roman"/>
          <w:bCs/>
          <w:iCs/>
          <w:color w:val="000000" w:themeColor="text1"/>
          <w:sz w:val="24"/>
          <w:szCs w:val="24"/>
          <w:lang w:val="en-ZA"/>
        </w:rPr>
        <w:t>In</w:t>
      </w:r>
      <w:r w:rsidR="00E0776A">
        <w:rPr>
          <w:rFonts w:ascii="Times New Roman" w:eastAsiaTheme="majorEastAsia" w:hAnsi="Times New Roman"/>
          <w:bCs/>
          <w:iCs/>
          <w:color w:val="000000" w:themeColor="text1"/>
          <w:sz w:val="24"/>
          <w:szCs w:val="24"/>
          <w:lang w:val="en-ZA"/>
        </w:rPr>
        <w:t xml:space="preserve"> </w:t>
      </w:r>
      <w:proofErr w:type="spellStart"/>
      <w:r w:rsidR="00E0776A">
        <w:rPr>
          <w:rFonts w:ascii="Times New Roman" w:eastAsiaTheme="majorEastAsia" w:hAnsi="Times New Roman"/>
          <w:bCs/>
          <w:i/>
          <w:iCs/>
          <w:color w:val="000000" w:themeColor="text1"/>
          <w:sz w:val="24"/>
          <w:szCs w:val="24"/>
          <w:lang w:val="en-ZA"/>
        </w:rPr>
        <w:t>Subhash</w:t>
      </w:r>
      <w:proofErr w:type="spellEnd"/>
      <w:r w:rsidR="00E0776A">
        <w:rPr>
          <w:rFonts w:ascii="Times New Roman" w:eastAsiaTheme="majorEastAsia" w:hAnsi="Times New Roman"/>
          <w:bCs/>
          <w:i/>
          <w:iCs/>
          <w:color w:val="000000" w:themeColor="text1"/>
          <w:sz w:val="24"/>
          <w:szCs w:val="24"/>
          <w:lang w:val="en-ZA"/>
        </w:rPr>
        <w:t xml:space="preserve"> Kumar v. State o</w:t>
      </w:r>
      <w:r w:rsidR="00E0776A" w:rsidRPr="00E0776A">
        <w:rPr>
          <w:rFonts w:ascii="Times New Roman" w:eastAsiaTheme="majorEastAsia" w:hAnsi="Times New Roman"/>
          <w:bCs/>
          <w:i/>
          <w:iCs/>
          <w:color w:val="000000" w:themeColor="text1"/>
          <w:sz w:val="24"/>
          <w:szCs w:val="24"/>
          <w:lang w:val="en-ZA"/>
        </w:rPr>
        <w:t>f Bihar</w:t>
      </w:r>
      <w:r w:rsidR="00E0776A">
        <w:rPr>
          <w:rFonts w:ascii="Times New Roman" w:eastAsiaTheme="majorEastAsia" w:hAnsi="Times New Roman"/>
          <w:bCs/>
          <w:i/>
          <w:iCs/>
          <w:color w:val="000000" w:themeColor="text1"/>
          <w:sz w:val="24"/>
          <w:szCs w:val="24"/>
          <w:lang w:val="en-ZA"/>
        </w:rPr>
        <w:t xml:space="preserve"> </w:t>
      </w:r>
      <w:r w:rsidR="00E0776A">
        <w:rPr>
          <w:rFonts w:ascii="Times New Roman" w:eastAsiaTheme="majorEastAsia" w:hAnsi="Times New Roman"/>
          <w:bCs/>
          <w:iCs/>
          <w:color w:val="000000" w:themeColor="text1"/>
          <w:sz w:val="24"/>
          <w:szCs w:val="24"/>
          <w:lang w:val="en-ZA"/>
        </w:rPr>
        <w:t>(1991)</w:t>
      </w:r>
      <w:r w:rsidR="000F7434">
        <w:rPr>
          <w:rFonts w:ascii="Times New Roman" w:eastAsiaTheme="majorEastAsia" w:hAnsi="Times New Roman"/>
          <w:bCs/>
          <w:iCs/>
          <w:color w:val="000000" w:themeColor="text1"/>
          <w:sz w:val="24"/>
          <w:szCs w:val="24"/>
          <w:lang w:val="en-ZA"/>
        </w:rPr>
        <w:t xml:space="preserve">, a case dealing with the discharge of industrial pollution into a river, </w:t>
      </w:r>
      <w:r w:rsidR="006D2451">
        <w:rPr>
          <w:rFonts w:ascii="Times New Roman" w:eastAsiaTheme="majorEastAsia" w:hAnsi="Times New Roman"/>
          <w:bCs/>
          <w:iCs/>
          <w:color w:val="000000" w:themeColor="text1"/>
          <w:sz w:val="24"/>
          <w:szCs w:val="24"/>
          <w:lang w:val="en-ZA"/>
        </w:rPr>
        <w:t>the Court noted that Article 21 includes the “</w:t>
      </w:r>
      <w:r w:rsidR="006D2451" w:rsidRPr="006D2451">
        <w:rPr>
          <w:rFonts w:ascii="Times New Roman" w:eastAsiaTheme="majorEastAsia" w:hAnsi="Times New Roman"/>
          <w:bCs/>
          <w:iCs/>
          <w:color w:val="000000" w:themeColor="text1"/>
          <w:sz w:val="24"/>
          <w:szCs w:val="24"/>
        </w:rPr>
        <w:t>enjoyment of pollution free water and air for full enjoyment of life.</w:t>
      </w:r>
      <w:r w:rsidR="006D2451">
        <w:rPr>
          <w:rFonts w:ascii="Times New Roman" w:eastAsiaTheme="majorEastAsia" w:hAnsi="Times New Roman"/>
          <w:bCs/>
          <w:iCs/>
          <w:color w:val="000000" w:themeColor="text1"/>
          <w:sz w:val="24"/>
          <w:szCs w:val="24"/>
        </w:rPr>
        <w:t>” It further noted that should such environmental pollution occur, individuals are entitled to a remedy, including “</w:t>
      </w:r>
      <w:r w:rsidR="006D2451" w:rsidRPr="006D2451">
        <w:rPr>
          <w:rFonts w:ascii="Times New Roman" w:eastAsiaTheme="majorEastAsia" w:hAnsi="Times New Roman"/>
          <w:bCs/>
          <w:iCs/>
          <w:color w:val="000000" w:themeColor="text1"/>
          <w:sz w:val="24"/>
          <w:szCs w:val="24"/>
        </w:rPr>
        <w:t>removing the pollution of water or air which may be detrimental to the quality of life</w:t>
      </w:r>
      <w:r w:rsidR="006D2451">
        <w:rPr>
          <w:rFonts w:ascii="Times New Roman" w:eastAsiaTheme="majorEastAsia" w:hAnsi="Times New Roman"/>
          <w:bCs/>
          <w:iCs/>
          <w:color w:val="000000" w:themeColor="text1"/>
          <w:sz w:val="24"/>
          <w:szCs w:val="24"/>
        </w:rPr>
        <w:t>.”</w:t>
      </w:r>
      <w:r w:rsidR="009405A4">
        <w:rPr>
          <w:rFonts w:ascii="Times New Roman" w:eastAsiaTheme="majorEastAsia" w:hAnsi="Times New Roman"/>
          <w:bCs/>
          <w:iCs/>
          <w:color w:val="000000" w:themeColor="text1"/>
          <w:sz w:val="24"/>
          <w:szCs w:val="24"/>
        </w:rPr>
        <w:t xml:space="preserve"> </w:t>
      </w:r>
      <w:r w:rsidR="007C326C">
        <w:rPr>
          <w:rFonts w:ascii="Times New Roman" w:eastAsiaTheme="majorEastAsia" w:hAnsi="Times New Roman"/>
          <w:bCs/>
          <w:iCs/>
          <w:color w:val="000000" w:themeColor="text1"/>
          <w:sz w:val="24"/>
          <w:szCs w:val="24"/>
          <w:lang w:val="en-ZA"/>
        </w:rPr>
        <w:t>I</w:t>
      </w:r>
      <w:r w:rsidR="009405A4">
        <w:rPr>
          <w:rFonts w:ascii="Times New Roman" w:eastAsiaTheme="majorEastAsia" w:hAnsi="Times New Roman"/>
          <w:bCs/>
          <w:iCs/>
          <w:color w:val="000000" w:themeColor="text1"/>
          <w:sz w:val="24"/>
          <w:szCs w:val="24"/>
          <w:lang w:val="en-ZA"/>
        </w:rPr>
        <w:t>n</w:t>
      </w:r>
      <w:r w:rsidR="00CF3AB6">
        <w:rPr>
          <w:rFonts w:ascii="Times New Roman" w:eastAsiaTheme="majorEastAsia" w:hAnsi="Times New Roman"/>
          <w:bCs/>
          <w:iCs/>
          <w:color w:val="000000" w:themeColor="text1"/>
          <w:sz w:val="24"/>
          <w:szCs w:val="24"/>
          <w:lang w:val="en-ZA"/>
        </w:rPr>
        <w:t xml:space="preserve"> </w:t>
      </w:r>
      <w:r w:rsidR="00CF3AB6" w:rsidRPr="00CF3AB6">
        <w:rPr>
          <w:rFonts w:ascii="Times New Roman" w:eastAsiaTheme="majorEastAsia" w:hAnsi="Times New Roman"/>
          <w:bCs/>
          <w:i/>
          <w:iCs/>
          <w:color w:val="000000" w:themeColor="text1"/>
          <w:sz w:val="24"/>
          <w:szCs w:val="24"/>
        </w:rPr>
        <w:t>M.C. Mehta v. Union of India</w:t>
      </w:r>
      <w:r w:rsidR="00E8172D">
        <w:rPr>
          <w:rFonts w:ascii="Times New Roman" w:eastAsiaTheme="majorEastAsia" w:hAnsi="Times New Roman"/>
          <w:bCs/>
          <w:iCs/>
          <w:color w:val="000000" w:themeColor="text1"/>
          <w:sz w:val="24"/>
          <w:szCs w:val="24"/>
        </w:rPr>
        <w:t xml:space="preserve"> (2004</w:t>
      </w:r>
      <w:r w:rsidR="00CF3AB6">
        <w:rPr>
          <w:rFonts w:ascii="Times New Roman" w:eastAsiaTheme="majorEastAsia" w:hAnsi="Times New Roman"/>
          <w:bCs/>
          <w:iCs/>
          <w:color w:val="000000" w:themeColor="text1"/>
          <w:sz w:val="24"/>
          <w:szCs w:val="24"/>
        </w:rPr>
        <w:t>)</w:t>
      </w:r>
      <w:r w:rsidR="0005071A">
        <w:rPr>
          <w:rFonts w:ascii="Times New Roman" w:eastAsiaTheme="majorEastAsia" w:hAnsi="Times New Roman"/>
          <w:bCs/>
          <w:iCs/>
          <w:color w:val="000000" w:themeColor="text1"/>
          <w:sz w:val="24"/>
          <w:szCs w:val="24"/>
        </w:rPr>
        <w:t>,</w:t>
      </w:r>
      <w:r w:rsidR="00E8172D">
        <w:rPr>
          <w:rFonts w:ascii="Times New Roman" w:eastAsiaTheme="majorEastAsia" w:hAnsi="Times New Roman"/>
          <w:bCs/>
          <w:iCs/>
          <w:color w:val="000000" w:themeColor="text1"/>
          <w:sz w:val="24"/>
          <w:szCs w:val="24"/>
        </w:rPr>
        <w:t xml:space="preserve"> a case dealing with pollution caused by mining operations,</w:t>
      </w:r>
      <w:r w:rsidR="0005071A">
        <w:rPr>
          <w:rFonts w:ascii="Times New Roman" w:eastAsiaTheme="majorEastAsia" w:hAnsi="Times New Roman"/>
          <w:bCs/>
          <w:iCs/>
          <w:color w:val="000000" w:themeColor="text1"/>
          <w:sz w:val="24"/>
          <w:szCs w:val="24"/>
        </w:rPr>
        <w:t xml:space="preserve"> </w:t>
      </w:r>
      <w:r w:rsidR="007C326C">
        <w:rPr>
          <w:rFonts w:ascii="Times New Roman" w:eastAsiaTheme="majorEastAsia" w:hAnsi="Times New Roman"/>
          <w:bCs/>
          <w:iCs/>
          <w:color w:val="000000" w:themeColor="text1"/>
          <w:sz w:val="24"/>
          <w:szCs w:val="24"/>
        </w:rPr>
        <w:t>the Court</w:t>
      </w:r>
      <w:r w:rsidR="0005071A">
        <w:rPr>
          <w:rFonts w:ascii="Times New Roman" w:eastAsiaTheme="majorEastAsia" w:hAnsi="Times New Roman"/>
          <w:bCs/>
          <w:iCs/>
          <w:color w:val="000000" w:themeColor="text1"/>
          <w:sz w:val="24"/>
          <w:szCs w:val="24"/>
        </w:rPr>
        <w:t xml:space="preserve"> </w:t>
      </w:r>
      <w:r w:rsidR="009405A4">
        <w:rPr>
          <w:rFonts w:ascii="Times New Roman" w:eastAsiaTheme="majorEastAsia" w:hAnsi="Times New Roman"/>
          <w:bCs/>
          <w:iCs/>
          <w:color w:val="000000" w:themeColor="text1"/>
          <w:sz w:val="24"/>
          <w:szCs w:val="24"/>
          <w:lang w:val="en-ZA"/>
        </w:rPr>
        <w:t xml:space="preserve">explained that regulatory authorities have a duty to protect the environment from impacting on </w:t>
      </w:r>
      <w:r w:rsidR="00F95874">
        <w:rPr>
          <w:rFonts w:ascii="Times New Roman" w:eastAsiaTheme="majorEastAsia" w:hAnsi="Times New Roman"/>
          <w:bCs/>
          <w:iCs/>
          <w:color w:val="000000" w:themeColor="text1"/>
          <w:sz w:val="24"/>
          <w:szCs w:val="24"/>
          <w:lang w:val="en-ZA"/>
        </w:rPr>
        <w:t>the right to life</w:t>
      </w:r>
      <w:r w:rsidR="009405A4">
        <w:rPr>
          <w:rFonts w:ascii="Times New Roman" w:eastAsiaTheme="majorEastAsia" w:hAnsi="Times New Roman"/>
          <w:bCs/>
          <w:iCs/>
          <w:color w:val="000000" w:themeColor="text1"/>
          <w:sz w:val="24"/>
          <w:szCs w:val="24"/>
          <w:lang w:val="en-ZA"/>
        </w:rPr>
        <w:t xml:space="preserve"> and  “w</w:t>
      </w:r>
      <w:r w:rsidR="009405A4" w:rsidRPr="009405A4">
        <w:rPr>
          <w:rFonts w:ascii="Times New Roman" w:eastAsiaTheme="majorEastAsia" w:hAnsi="Times New Roman"/>
          <w:bCs/>
          <w:iCs/>
          <w:color w:val="000000" w:themeColor="text1"/>
          <w:sz w:val="24"/>
          <w:szCs w:val="24"/>
          <w:lang w:val="en-ZA"/>
        </w:rPr>
        <w:t>here the regulatory authorities, either connive or act negligently</w:t>
      </w:r>
      <w:r w:rsidR="009405A4">
        <w:rPr>
          <w:rFonts w:ascii="Times New Roman" w:eastAsiaTheme="majorEastAsia" w:hAnsi="Times New Roman"/>
          <w:bCs/>
          <w:iCs/>
          <w:color w:val="000000" w:themeColor="text1"/>
          <w:sz w:val="24"/>
          <w:szCs w:val="24"/>
          <w:lang w:val="en-ZA"/>
        </w:rPr>
        <w:t xml:space="preserve"> </w:t>
      </w:r>
      <w:r w:rsidR="009405A4" w:rsidRPr="009405A4">
        <w:rPr>
          <w:rFonts w:ascii="Times New Roman" w:eastAsiaTheme="majorEastAsia" w:hAnsi="Times New Roman"/>
          <w:bCs/>
          <w:iCs/>
          <w:color w:val="000000" w:themeColor="text1"/>
          <w:sz w:val="24"/>
          <w:szCs w:val="24"/>
          <w:lang w:val="en-ZA"/>
        </w:rPr>
        <w:t>by not taking prompt action to prevent, avoid or control the damage to environment,</w:t>
      </w:r>
      <w:r w:rsidR="009405A4">
        <w:rPr>
          <w:rFonts w:ascii="Times New Roman" w:eastAsiaTheme="majorEastAsia" w:hAnsi="Times New Roman"/>
          <w:bCs/>
          <w:iCs/>
          <w:color w:val="000000" w:themeColor="text1"/>
          <w:sz w:val="24"/>
          <w:szCs w:val="24"/>
          <w:lang w:val="en-ZA"/>
        </w:rPr>
        <w:t xml:space="preserve"> </w:t>
      </w:r>
      <w:r w:rsidR="009405A4" w:rsidRPr="009405A4">
        <w:rPr>
          <w:rFonts w:ascii="Times New Roman" w:eastAsiaTheme="majorEastAsia" w:hAnsi="Times New Roman"/>
          <w:bCs/>
          <w:iCs/>
          <w:color w:val="000000" w:themeColor="text1"/>
          <w:sz w:val="24"/>
          <w:szCs w:val="24"/>
          <w:lang w:val="en-ZA"/>
        </w:rPr>
        <w:t>natural resources and peoples' life, health and property, the principles of accountability</w:t>
      </w:r>
      <w:r w:rsidR="009405A4">
        <w:rPr>
          <w:rFonts w:ascii="Times New Roman" w:eastAsiaTheme="majorEastAsia" w:hAnsi="Times New Roman"/>
          <w:bCs/>
          <w:iCs/>
          <w:color w:val="000000" w:themeColor="text1"/>
          <w:sz w:val="24"/>
          <w:szCs w:val="24"/>
          <w:lang w:val="en-ZA"/>
        </w:rPr>
        <w:t xml:space="preserve"> </w:t>
      </w:r>
      <w:r w:rsidR="009405A4" w:rsidRPr="009405A4">
        <w:rPr>
          <w:rFonts w:ascii="Times New Roman" w:eastAsiaTheme="majorEastAsia" w:hAnsi="Times New Roman"/>
          <w:bCs/>
          <w:iCs/>
          <w:color w:val="000000" w:themeColor="text1"/>
          <w:sz w:val="24"/>
          <w:szCs w:val="24"/>
          <w:lang w:val="en-ZA"/>
        </w:rPr>
        <w:t>for restoration and compensation have to be applied.</w:t>
      </w:r>
      <w:r w:rsidR="009405A4">
        <w:rPr>
          <w:rFonts w:ascii="Times New Roman" w:eastAsiaTheme="majorEastAsia" w:hAnsi="Times New Roman"/>
          <w:bCs/>
          <w:iCs/>
          <w:color w:val="000000" w:themeColor="text1"/>
          <w:sz w:val="24"/>
          <w:szCs w:val="24"/>
          <w:lang w:val="en-ZA"/>
        </w:rPr>
        <w:t>”</w:t>
      </w:r>
      <w:r w:rsidR="0005071A">
        <w:rPr>
          <w:rFonts w:ascii="Times New Roman" w:eastAsiaTheme="majorEastAsia" w:hAnsi="Times New Roman"/>
          <w:bCs/>
          <w:iCs/>
          <w:color w:val="000000" w:themeColor="text1"/>
          <w:sz w:val="24"/>
          <w:szCs w:val="24"/>
          <w:lang w:val="en-ZA"/>
        </w:rPr>
        <w:t xml:space="preserve"> </w:t>
      </w:r>
    </w:p>
    <w:p w:rsidR="002C71E3" w:rsidRDefault="00BB5423" w:rsidP="00953375">
      <w:r w:rsidRPr="00110F32">
        <w:rPr>
          <w:rStyle w:val="Heading2Char"/>
          <w:rFonts w:ascii="Times New Roman" w:hAnsi="Times New Roman" w:cs="Times New Roman"/>
          <w:szCs w:val="24"/>
        </w:rPr>
        <w:t>Further Information</w:t>
      </w:r>
      <w:r w:rsidRPr="00110F32">
        <w:rPr>
          <w:rFonts w:ascii="Times New Roman" w:hAnsi="Times New Roman"/>
          <w:sz w:val="24"/>
          <w:szCs w:val="24"/>
        </w:rPr>
        <w:t xml:space="preserve">: </w:t>
      </w:r>
      <w:r w:rsidRPr="00953375">
        <w:rPr>
          <w:rFonts w:ascii="Times New Roman" w:hAnsi="Times New Roman"/>
          <w:i/>
          <w:sz w:val="24"/>
          <w:szCs w:val="24"/>
        </w:rPr>
        <w:t>See</w:t>
      </w:r>
      <w:r w:rsidRPr="00110F32">
        <w:rPr>
          <w:rFonts w:ascii="Times New Roman" w:hAnsi="Times New Roman"/>
          <w:sz w:val="24"/>
          <w:szCs w:val="24"/>
        </w:rPr>
        <w:t xml:space="preserve"> </w:t>
      </w:r>
      <w:proofErr w:type="spellStart"/>
      <w:r w:rsidR="006D2451" w:rsidRPr="006D2451">
        <w:rPr>
          <w:rFonts w:ascii="Times New Roman" w:hAnsi="Times New Roman"/>
          <w:bCs/>
          <w:i/>
          <w:iCs/>
          <w:sz w:val="24"/>
          <w:szCs w:val="24"/>
          <w:lang w:val="en-ZA"/>
        </w:rPr>
        <w:t>Subhash</w:t>
      </w:r>
      <w:proofErr w:type="spellEnd"/>
      <w:r w:rsidR="006D2451" w:rsidRPr="006D2451">
        <w:rPr>
          <w:rFonts w:ascii="Times New Roman" w:hAnsi="Times New Roman"/>
          <w:bCs/>
          <w:i/>
          <w:iCs/>
          <w:sz w:val="24"/>
          <w:szCs w:val="24"/>
          <w:lang w:val="en-ZA"/>
        </w:rPr>
        <w:t xml:space="preserve"> Kumar v. State of Bihar</w:t>
      </w:r>
      <w:r w:rsidR="009405A4">
        <w:rPr>
          <w:rFonts w:ascii="Times New Roman" w:hAnsi="Times New Roman"/>
          <w:bCs/>
          <w:i/>
          <w:iCs/>
          <w:sz w:val="24"/>
          <w:szCs w:val="24"/>
          <w:lang w:val="en-ZA"/>
        </w:rPr>
        <w:t xml:space="preserve">i </w:t>
      </w:r>
      <w:r w:rsidR="009405A4">
        <w:rPr>
          <w:rFonts w:ascii="Times New Roman" w:hAnsi="Times New Roman"/>
          <w:bCs/>
          <w:iCs/>
          <w:sz w:val="24"/>
          <w:szCs w:val="24"/>
          <w:lang w:val="en-ZA"/>
        </w:rPr>
        <w:t>(1</w:t>
      </w:r>
      <w:r w:rsidR="009405A4" w:rsidRPr="009405A4">
        <w:rPr>
          <w:rFonts w:ascii="Times New Roman" w:hAnsi="Times New Roman"/>
          <w:bCs/>
          <w:iCs/>
          <w:sz w:val="24"/>
          <w:szCs w:val="24"/>
          <w:lang w:val="en-ZA"/>
        </w:rPr>
        <w:t>991)</w:t>
      </w:r>
      <w:r w:rsidR="006D2451">
        <w:rPr>
          <w:rFonts w:ascii="Times New Roman" w:hAnsi="Times New Roman"/>
          <w:bCs/>
          <w:iCs/>
          <w:sz w:val="24"/>
          <w:szCs w:val="24"/>
          <w:lang w:val="en-ZA"/>
        </w:rPr>
        <w:t xml:space="preserve">: </w:t>
      </w:r>
      <w:hyperlink r:id="rId9" w:history="1">
        <w:r w:rsidR="006D2451" w:rsidRPr="003A4E0E">
          <w:rPr>
            <w:rStyle w:val="Hyperlink"/>
            <w:rFonts w:ascii="Times New Roman" w:hAnsi="Times New Roman"/>
            <w:bCs/>
            <w:iCs/>
            <w:sz w:val="24"/>
            <w:szCs w:val="24"/>
            <w:lang w:val="en-ZA"/>
          </w:rPr>
          <w:t>http://indiankanoon.org/doc/1646284/</w:t>
        </w:r>
      </w:hyperlink>
      <w:r w:rsidR="00953375">
        <w:rPr>
          <w:rFonts w:ascii="Times New Roman" w:hAnsi="Times New Roman"/>
          <w:sz w:val="24"/>
          <w:szCs w:val="24"/>
        </w:rPr>
        <w:t>;</w:t>
      </w:r>
      <w:r w:rsidR="006D2451">
        <w:rPr>
          <w:rFonts w:ascii="Times New Roman" w:hAnsi="Times New Roman"/>
          <w:sz w:val="24"/>
          <w:szCs w:val="24"/>
        </w:rPr>
        <w:t xml:space="preserve"> </w:t>
      </w:r>
      <w:r w:rsidR="006D2451" w:rsidRPr="006D2451">
        <w:rPr>
          <w:rFonts w:ascii="Times New Roman" w:hAnsi="Times New Roman"/>
          <w:bCs/>
          <w:i/>
          <w:iCs/>
          <w:sz w:val="24"/>
          <w:szCs w:val="24"/>
        </w:rPr>
        <w:t>M.C. Mehta v. Union of India</w:t>
      </w:r>
      <w:r w:rsidR="006D2451" w:rsidRPr="006D2451">
        <w:rPr>
          <w:rFonts w:ascii="Times New Roman" w:hAnsi="Times New Roman"/>
          <w:bCs/>
          <w:iCs/>
          <w:sz w:val="24"/>
          <w:szCs w:val="24"/>
        </w:rPr>
        <w:t xml:space="preserve"> (2004</w:t>
      </w:r>
      <w:r w:rsidR="006D2451">
        <w:rPr>
          <w:rFonts w:ascii="Times New Roman" w:hAnsi="Times New Roman"/>
          <w:bCs/>
          <w:iCs/>
          <w:sz w:val="24"/>
          <w:szCs w:val="24"/>
        </w:rPr>
        <w:t xml:space="preserve">): </w:t>
      </w:r>
      <w:hyperlink r:id="rId10" w:history="1">
        <w:r w:rsidR="006D2451" w:rsidRPr="003A4E0E">
          <w:rPr>
            <w:rStyle w:val="Hyperlink"/>
            <w:rFonts w:ascii="Times New Roman" w:hAnsi="Times New Roman"/>
            <w:bCs/>
            <w:iCs/>
            <w:sz w:val="24"/>
            <w:szCs w:val="24"/>
          </w:rPr>
          <w:t>http://www.ielrc.org/content/e0409.pdf</w:t>
        </w:r>
      </w:hyperlink>
      <w:r w:rsidR="006D2451">
        <w:rPr>
          <w:rFonts w:ascii="Times New Roman" w:hAnsi="Times New Roman"/>
          <w:bCs/>
          <w:iCs/>
          <w:sz w:val="24"/>
          <w:szCs w:val="24"/>
        </w:rPr>
        <w:t xml:space="preserve">; </w:t>
      </w:r>
      <w:r w:rsidR="006D2451" w:rsidRPr="006D2451">
        <w:rPr>
          <w:rFonts w:ascii="Times New Roman" w:hAnsi="Times New Roman"/>
          <w:bCs/>
          <w:i/>
          <w:iCs/>
          <w:sz w:val="24"/>
          <w:szCs w:val="24"/>
          <w:lang w:val="en-ZA"/>
        </w:rPr>
        <w:t>RLEK v. State of Uttar Pradesh and Others</w:t>
      </w:r>
      <w:r w:rsidR="006D2451" w:rsidRPr="006D2451">
        <w:rPr>
          <w:rFonts w:ascii="Times New Roman" w:hAnsi="Times New Roman"/>
          <w:bCs/>
          <w:iCs/>
          <w:sz w:val="24"/>
          <w:szCs w:val="24"/>
          <w:lang w:val="en-ZA"/>
        </w:rPr>
        <w:t xml:space="preserve"> (19</w:t>
      </w:r>
      <w:r w:rsidR="00370831">
        <w:rPr>
          <w:rFonts w:ascii="Times New Roman" w:hAnsi="Times New Roman"/>
          <w:bCs/>
          <w:iCs/>
          <w:sz w:val="24"/>
          <w:szCs w:val="24"/>
          <w:lang w:val="en-ZA"/>
        </w:rPr>
        <w:t>8</w:t>
      </w:r>
      <w:r w:rsidR="006D2451" w:rsidRPr="006D2451">
        <w:rPr>
          <w:rFonts w:ascii="Times New Roman" w:hAnsi="Times New Roman"/>
          <w:bCs/>
          <w:iCs/>
          <w:sz w:val="24"/>
          <w:szCs w:val="24"/>
          <w:lang w:val="en-ZA"/>
        </w:rPr>
        <w:t>8)</w:t>
      </w:r>
      <w:r w:rsidR="006D2451">
        <w:rPr>
          <w:rFonts w:ascii="Times New Roman" w:hAnsi="Times New Roman"/>
          <w:bCs/>
          <w:iCs/>
          <w:sz w:val="24"/>
          <w:szCs w:val="24"/>
          <w:lang w:val="en-ZA"/>
        </w:rPr>
        <w:t xml:space="preserve">: </w:t>
      </w:r>
      <w:hyperlink r:id="rId11" w:history="1">
        <w:r w:rsidR="009405A4" w:rsidRPr="003A4E0E">
          <w:rPr>
            <w:rStyle w:val="Hyperlink"/>
            <w:rFonts w:ascii="Times New Roman" w:hAnsi="Times New Roman"/>
            <w:bCs/>
            <w:iCs/>
            <w:sz w:val="24"/>
            <w:szCs w:val="24"/>
            <w:lang w:val="en-ZA"/>
          </w:rPr>
          <w:t>http://indiankanoon.org/doc/104313664/</w:t>
        </w:r>
      </w:hyperlink>
      <w:r w:rsidR="009405A4">
        <w:rPr>
          <w:rFonts w:ascii="Times New Roman" w:hAnsi="Times New Roman"/>
          <w:bCs/>
          <w:iCs/>
          <w:sz w:val="24"/>
          <w:szCs w:val="24"/>
          <w:lang w:val="en-ZA"/>
        </w:rPr>
        <w:t xml:space="preserve">. </w:t>
      </w:r>
    </w:p>
    <w:sectPr w:rsidR="002C71E3"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D1" w:rsidRDefault="00A577D1" w:rsidP="00275F06">
      <w:pPr>
        <w:spacing w:after="0" w:line="240" w:lineRule="auto"/>
      </w:pPr>
      <w:r>
        <w:separator/>
      </w:r>
    </w:p>
  </w:endnote>
  <w:endnote w:type="continuationSeparator" w:id="0">
    <w:p w:rsidR="00A577D1" w:rsidRDefault="00A577D1" w:rsidP="0027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D1" w:rsidRDefault="00A577D1" w:rsidP="00275F06">
      <w:pPr>
        <w:spacing w:after="0" w:line="240" w:lineRule="auto"/>
      </w:pPr>
      <w:r>
        <w:separator/>
      </w:r>
    </w:p>
  </w:footnote>
  <w:footnote w:type="continuationSeparator" w:id="0">
    <w:p w:rsidR="00A577D1" w:rsidRDefault="00A577D1" w:rsidP="00275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30C98"/>
    <w:rsid w:val="0005071A"/>
    <w:rsid w:val="00055BD5"/>
    <w:rsid w:val="00057295"/>
    <w:rsid w:val="0006082D"/>
    <w:rsid w:val="00060BF1"/>
    <w:rsid w:val="00095A81"/>
    <w:rsid w:val="000A10F4"/>
    <w:rsid w:val="000A2B55"/>
    <w:rsid w:val="000A66F8"/>
    <w:rsid w:val="000F2E9F"/>
    <w:rsid w:val="000F3EAB"/>
    <w:rsid w:val="000F4996"/>
    <w:rsid w:val="000F7434"/>
    <w:rsid w:val="00101A5F"/>
    <w:rsid w:val="00110F32"/>
    <w:rsid w:val="001370DD"/>
    <w:rsid w:val="00143753"/>
    <w:rsid w:val="00176228"/>
    <w:rsid w:val="00187161"/>
    <w:rsid w:val="001A0796"/>
    <w:rsid w:val="00212289"/>
    <w:rsid w:val="002136A9"/>
    <w:rsid w:val="00225075"/>
    <w:rsid w:val="00226901"/>
    <w:rsid w:val="00275F06"/>
    <w:rsid w:val="002958FB"/>
    <w:rsid w:val="002A1597"/>
    <w:rsid w:val="002A3C75"/>
    <w:rsid w:val="002C376C"/>
    <w:rsid w:val="002D01DF"/>
    <w:rsid w:val="002F4FDE"/>
    <w:rsid w:val="002F6330"/>
    <w:rsid w:val="00312F7C"/>
    <w:rsid w:val="003205D5"/>
    <w:rsid w:val="00327C9E"/>
    <w:rsid w:val="00366467"/>
    <w:rsid w:val="00370831"/>
    <w:rsid w:val="0038523D"/>
    <w:rsid w:val="00385B22"/>
    <w:rsid w:val="003A0691"/>
    <w:rsid w:val="003B283B"/>
    <w:rsid w:val="003C75CF"/>
    <w:rsid w:val="003D01AF"/>
    <w:rsid w:val="003F129F"/>
    <w:rsid w:val="003F3225"/>
    <w:rsid w:val="004274B6"/>
    <w:rsid w:val="00467024"/>
    <w:rsid w:val="00495BA1"/>
    <w:rsid w:val="004B17C5"/>
    <w:rsid w:val="004E0454"/>
    <w:rsid w:val="004E64F7"/>
    <w:rsid w:val="004F6EF7"/>
    <w:rsid w:val="0056659E"/>
    <w:rsid w:val="0057405D"/>
    <w:rsid w:val="005E70C1"/>
    <w:rsid w:val="0066769C"/>
    <w:rsid w:val="00675473"/>
    <w:rsid w:val="00677A6A"/>
    <w:rsid w:val="00691B6C"/>
    <w:rsid w:val="00692830"/>
    <w:rsid w:val="006A3D9D"/>
    <w:rsid w:val="006A4089"/>
    <w:rsid w:val="006D2451"/>
    <w:rsid w:val="006F52B8"/>
    <w:rsid w:val="00716B08"/>
    <w:rsid w:val="00740A2D"/>
    <w:rsid w:val="00797BD0"/>
    <w:rsid w:val="007C326C"/>
    <w:rsid w:val="007F04F4"/>
    <w:rsid w:val="00821AD5"/>
    <w:rsid w:val="00832DDC"/>
    <w:rsid w:val="0084331D"/>
    <w:rsid w:val="00856E95"/>
    <w:rsid w:val="0086304B"/>
    <w:rsid w:val="00923F27"/>
    <w:rsid w:val="00931262"/>
    <w:rsid w:val="0093723C"/>
    <w:rsid w:val="009405A4"/>
    <w:rsid w:val="00947203"/>
    <w:rsid w:val="00953375"/>
    <w:rsid w:val="00973535"/>
    <w:rsid w:val="009841AC"/>
    <w:rsid w:val="009E3A07"/>
    <w:rsid w:val="009E5B75"/>
    <w:rsid w:val="00A45343"/>
    <w:rsid w:val="00A577D1"/>
    <w:rsid w:val="00A97A28"/>
    <w:rsid w:val="00AA1DB8"/>
    <w:rsid w:val="00AA61EF"/>
    <w:rsid w:val="00AB321C"/>
    <w:rsid w:val="00B2173C"/>
    <w:rsid w:val="00B3252A"/>
    <w:rsid w:val="00B56C9C"/>
    <w:rsid w:val="00B6062D"/>
    <w:rsid w:val="00B60982"/>
    <w:rsid w:val="00B61B00"/>
    <w:rsid w:val="00B61C67"/>
    <w:rsid w:val="00B64247"/>
    <w:rsid w:val="00B65748"/>
    <w:rsid w:val="00B66BAE"/>
    <w:rsid w:val="00B95D3B"/>
    <w:rsid w:val="00BB5423"/>
    <w:rsid w:val="00BF2605"/>
    <w:rsid w:val="00C33C55"/>
    <w:rsid w:val="00C37657"/>
    <w:rsid w:val="00CB2F00"/>
    <w:rsid w:val="00CF3AB6"/>
    <w:rsid w:val="00D04745"/>
    <w:rsid w:val="00D05E6B"/>
    <w:rsid w:val="00D533FD"/>
    <w:rsid w:val="00D6225E"/>
    <w:rsid w:val="00D745C4"/>
    <w:rsid w:val="00D77EBC"/>
    <w:rsid w:val="00DA4A93"/>
    <w:rsid w:val="00DA518C"/>
    <w:rsid w:val="00DD0D20"/>
    <w:rsid w:val="00E0776A"/>
    <w:rsid w:val="00E1582D"/>
    <w:rsid w:val="00E8172D"/>
    <w:rsid w:val="00E90470"/>
    <w:rsid w:val="00E932B7"/>
    <w:rsid w:val="00E9721C"/>
    <w:rsid w:val="00ED399E"/>
    <w:rsid w:val="00ED6DA8"/>
    <w:rsid w:val="00EE0AE3"/>
    <w:rsid w:val="00EF2FAE"/>
    <w:rsid w:val="00EF4150"/>
    <w:rsid w:val="00F07F0D"/>
    <w:rsid w:val="00F25F05"/>
    <w:rsid w:val="00F57FA0"/>
    <w:rsid w:val="00F60D11"/>
    <w:rsid w:val="00F768F7"/>
    <w:rsid w:val="00F81351"/>
    <w:rsid w:val="00F95874"/>
    <w:rsid w:val="00F979C5"/>
    <w:rsid w:val="00FA64D6"/>
    <w:rsid w:val="00FC1B94"/>
    <w:rsid w:val="00FD1F0B"/>
    <w:rsid w:val="00FD5B0B"/>
    <w:rsid w:val="00FF1464"/>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275F06"/>
    <w:rPr>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275F06"/>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275F06"/>
    <w:rPr>
      <w:rFonts w:eastAsiaTheme="minorEastAsia"/>
      <w:sz w:val="20"/>
      <w:szCs w:val="20"/>
      <w:lang w:val="en-GB" w:eastAsia="ko-KR"/>
    </w:rPr>
  </w:style>
  <w:style w:type="paragraph" w:styleId="CommentSubject">
    <w:name w:val="annotation subject"/>
    <w:basedOn w:val="CommentText"/>
    <w:next w:val="CommentText"/>
    <w:link w:val="CommentSubjectChar"/>
    <w:uiPriority w:val="99"/>
    <w:semiHidden/>
    <w:unhideWhenUsed/>
    <w:rsid w:val="002D01DF"/>
    <w:rPr>
      <w:b/>
      <w:bCs/>
    </w:rPr>
  </w:style>
  <w:style w:type="character" w:customStyle="1" w:styleId="CommentSubjectChar">
    <w:name w:val="Comment Subject Char"/>
    <w:basedOn w:val="CommentTextChar"/>
    <w:link w:val="CommentSubject"/>
    <w:uiPriority w:val="99"/>
    <w:semiHidden/>
    <w:rsid w:val="002D01DF"/>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275F06"/>
    <w:rPr>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275F06"/>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275F06"/>
    <w:rPr>
      <w:rFonts w:eastAsiaTheme="minorEastAsia"/>
      <w:sz w:val="20"/>
      <w:szCs w:val="20"/>
      <w:lang w:val="en-GB" w:eastAsia="ko-KR"/>
    </w:rPr>
  </w:style>
  <w:style w:type="paragraph" w:styleId="CommentSubject">
    <w:name w:val="annotation subject"/>
    <w:basedOn w:val="CommentText"/>
    <w:next w:val="CommentText"/>
    <w:link w:val="CommentSubjectChar"/>
    <w:uiPriority w:val="99"/>
    <w:semiHidden/>
    <w:unhideWhenUsed/>
    <w:rsid w:val="002D01DF"/>
    <w:rPr>
      <w:b/>
      <w:bCs/>
    </w:rPr>
  </w:style>
  <w:style w:type="character" w:customStyle="1" w:styleId="CommentSubjectChar">
    <w:name w:val="Comment Subject Char"/>
    <w:basedOn w:val="CommentTextChar"/>
    <w:link w:val="CommentSubject"/>
    <w:uiPriority w:val="99"/>
    <w:semiHidden/>
    <w:rsid w:val="002D01DF"/>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25">
      <w:bodyDiv w:val="1"/>
      <w:marLeft w:val="0"/>
      <w:marRight w:val="0"/>
      <w:marTop w:val="0"/>
      <w:marBottom w:val="0"/>
      <w:divBdr>
        <w:top w:val="none" w:sz="0" w:space="0" w:color="auto"/>
        <w:left w:val="none" w:sz="0" w:space="0" w:color="auto"/>
        <w:bottom w:val="none" w:sz="0" w:space="0" w:color="auto"/>
        <w:right w:val="none" w:sz="0" w:space="0" w:color="auto"/>
      </w:divBdr>
    </w:div>
    <w:div w:id="1377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diankanoon.org/doc/104313664/"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ielrc.org/content/e0409.pdf" TargetMode="External"/><Relationship Id="rId4" Type="http://schemas.microsoft.com/office/2007/relationships/stylesWithEffects" Target="stylesWithEffects.xml"/><Relationship Id="rId9" Type="http://schemas.openxmlformats.org/officeDocument/2006/relationships/hyperlink" Target="http://indiankanoon.org/doc/1646284/"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B034EF-1EA5-44D7-8B05-A7219B4E4F2B}"/>
</file>

<file path=customXml/itemProps2.xml><?xml version="1.0" encoding="utf-8"?>
<ds:datastoreItem xmlns:ds="http://schemas.openxmlformats.org/officeDocument/2006/customXml" ds:itemID="{70BC658C-8D7E-4A83-87A0-EB9BBDFD0D1C}"/>
</file>

<file path=customXml/itemProps3.xml><?xml version="1.0" encoding="utf-8"?>
<ds:datastoreItem xmlns:ds="http://schemas.openxmlformats.org/officeDocument/2006/customXml" ds:itemID="{0A5DD5BE-B233-4450-9768-A870E184C6F8}"/>
</file>

<file path=customXml/itemProps4.xml><?xml version="1.0" encoding="utf-8"?>
<ds:datastoreItem xmlns:ds="http://schemas.openxmlformats.org/officeDocument/2006/customXml" ds:itemID="{B9B9C274-B492-45EB-99F7-ED439A1D8B89}"/>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Ahreum Lee</cp:lastModifiedBy>
  <cp:revision>2</cp:revision>
  <dcterms:created xsi:type="dcterms:W3CDTF">2015-02-17T10:41:00Z</dcterms:created>
  <dcterms:modified xsi:type="dcterms:W3CDTF">2015-02-17T10:41:00Z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2701300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