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10F32" w:rsidRDefault="00E9721C"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u w:val="single"/>
        </w:rPr>
        <w:t>Category</w:t>
      </w:r>
      <w:r w:rsidR="00176228" w:rsidRPr="00110F32">
        <w:rPr>
          <w:rStyle w:val="Heading2Char"/>
          <w:rFonts w:ascii="Times New Roman" w:hAnsi="Times New Roman" w:cs="Times New Roman"/>
          <w:b w:val="0"/>
          <w:szCs w:val="24"/>
        </w:rPr>
        <w:t xml:space="preserve">: </w:t>
      </w:r>
      <w:r w:rsidR="00973535">
        <w:rPr>
          <w:rFonts w:ascii="Times New Roman" w:eastAsiaTheme="majorEastAsia" w:hAnsi="Times New Roman"/>
          <w:b/>
          <w:bCs/>
          <w:smallCaps/>
          <w:color w:val="000000" w:themeColor="text1"/>
          <w:sz w:val="24"/>
          <w:szCs w:val="24"/>
        </w:rPr>
        <w:t>Obligation</w:t>
      </w:r>
      <w:r w:rsidR="003F3225" w:rsidRPr="00110F32">
        <w:rPr>
          <w:rFonts w:ascii="Times New Roman" w:eastAsiaTheme="majorEastAsia" w:hAnsi="Times New Roman"/>
          <w:b/>
          <w:bCs/>
          <w:smallCaps/>
          <w:color w:val="000000" w:themeColor="text1"/>
          <w:sz w:val="24"/>
          <w:szCs w:val="24"/>
        </w:rPr>
        <w:t xml:space="preserve"> to Provide Access to Legal Remedies</w:t>
      </w:r>
      <w:r w:rsidR="00716B08">
        <w:rPr>
          <w:rFonts w:ascii="Times New Roman" w:eastAsiaTheme="majorEastAsia" w:hAnsi="Times New Roman"/>
          <w:b/>
          <w:bCs/>
          <w:smallCaps/>
          <w:color w:val="000000" w:themeColor="text1"/>
          <w:sz w:val="24"/>
          <w:szCs w:val="24"/>
        </w:rPr>
        <w:t>; Substantive Obligations</w:t>
      </w:r>
    </w:p>
    <w:p w:rsidR="00E9721C" w:rsidRPr="00110F32" w:rsidRDefault="00E9721C"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u w:val="single"/>
        </w:rPr>
        <w:t>Sub-Category</w:t>
      </w:r>
      <w:r w:rsidR="00176228" w:rsidRPr="00110F32">
        <w:rPr>
          <w:rStyle w:val="Heading2Char"/>
          <w:rFonts w:ascii="Times New Roman" w:hAnsi="Times New Roman" w:cs="Times New Roman"/>
          <w:b w:val="0"/>
          <w:szCs w:val="24"/>
        </w:rPr>
        <w:t xml:space="preserve">: </w:t>
      </w:r>
      <w:r w:rsidR="003F3225" w:rsidRPr="00110F32">
        <w:rPr>
          <w:rFonts w:ascii="Times New Roman" w:eastAsiaTheme="majorEastAsia" w:hAnsi="Times New Roman"/>
          <w:b/>
          <w:bCs/>
          <w:smallCaps/>
          <w:color w:val="000000" w:themeColor="text1"/>
          <w:sz w:val="24"/>
          <w:szCs w:val="24"/>
        </w:rPr>
        <w:t>Court Decisions</w:t>
      </w:r>
      <w:r w:rsidR="00D533FD" w:rsidRPr="00110F32">
        <w:rPr>
          <w:rFonts w:ascii="Times New Roman" w:eastAsiaTheme="majorEastAsia" w:hAnsi="Times New Roman"/>
          <w:b/>
          <w:bCs/>
          <w:smallCaps/>
          <w:color w:val="000000" w:themeColor="text1"/>
          <w:sz w:val="24"/>
          <w:szCs w:val="24"/>
        </w:rPr>
        <w:t xml:space="preserve"> </w:t>
      </w:r>
    </w:p>
    <w:p w:rsidR="00BB5423" w:rsidRPr="00110F32" w:rsidRDefault="00BB5423"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u w:val="single"/>
        </w:rPr>
        <w:t>Name of Good Practice</w:t>
      </w:r>
      <w:r w:rsidRPr="00110F32">
        <w:rPr>
          <w:rStyle w:val="Heading2Char"/>
          <w:rFonts w:ascii="Times New Roman" w:hAnsi="Times New Roman" w:cs="Times New Roman"/>
          <w:szCs w:val="24"/>
        </w:rPr>
        <w:t>: Environmental Jurisprudence of the Supreme Court of the Philippines</w:t>
      </w:r>
    </w:p>
    <w:p w:rsidR="00BB5423" w:rsidRPr="00110F32" w:rsidRDefault="00BB5423"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rPr>
        <w:t>Key Words:</w:t>
      </w:r>
      <w:r w:rsidR="00953375">
        <w:rPr>
          <w:rStyle w:val="Heading2Char"/>
          <w:rFonts w:ascii="Times New Roman" w:hAnsi="Times New Roman" w:cs="Times New Roman"/>
          <w:szCs w:val="24"/>
        </w:rPr>
        <w:t xml:space="preserve"> </w:t>
      </w:r>
      <w:r w:rsidRPr="00110F32">
        <w:rPr>
          <w:rFonts w:ascii="Times New Roman" w:hAnsi="Times New Roman"/>
          <w:sz w:val="24"/>
          <w:szCs w:val="24"/>
        </w:rPr>
        <w:t>Accountability</w:t>
      </w:r>
      <w:r w:rsidR="00CB2F00" w:rsidRPr="00110F32">
        <w:rPr>
          <w:rFonts w:ascii="Times New Roman" w:hAnsi="Times New Roman"/>
          <w:sz w:val="24"/>
          <w:szCs w:val="24"/>
        </w:rPr>
        <w:t>, A</w:t>
      </w:r>
      <w:r w:rsidRPr="00110F32">
        <w:rPr>
          <w:rFonts w:ascii="Times New Roman" w:hAnsi="Times New Roman"/>
          <w:sz w:val="24"/>
          <w:szCs w:val="24"/>
        </w:rPr>
        <w:t>ccess to Justice</w:t>
      </w:r>
      <w:r w:rsidR="00CB2F00" w:rsidRPr="00110F32">
        <w:rPr>
          <w:rFonts w:ascii="Times New Roman" w:hAnsi="Times New Roman"/>
          <w:sz w:val="24"/>
          <w:szCs w:val="24"/>
        </w:rPr>
        <w:t xml:space="preserve">, Remedy, </w:t>
      </w:r>
      <w:r w:rsidRPr="00110F32">
        <w:rPr>
          <w:rFonts w:ascii="Times New Roman" w:hAnsi="Times New Roman"/>
          <w:sz w:val="24"/>
          <w:szCs w:val="24"/>
        </w:rPr>
        <w:t>Continuing Mandamus</w:t>
      </w:r>
      <w:r w:rsidR="00CB2F00" w:rsidRPr="00110F32">
        <w:rPr>
          <w:rFonts w:ascii="Times New Roman" w:hAnsi="Times New Roman"/>
          <w:sz w:val="24"/>
          <w:szCs w:val="24"/>
        </w:rPr>
        <w:t>, Jurisprudence</w:t>
      </w:r>
      <w:r w:rsidR="00832DDC">
        <w:rPr>
          <w:rFonts w:ascii="Times New Roman" w:hAnsi="Times New Roman"/>
          <w:sz w:val="24"/>
          <w:szCs w:val="24"/>
        </w:rPr>
        <w:t>, Constitutional Right to Environment, Constitutional Court</w:t>
      </w:r>
      <w:r w:rsidRPr="00110F32">
        <w:rPr>
          <w:rFonts w:ascii="Times New Roman" w:hAnsi="Times New Roman"/>
          <w:sz w:val="24"/>
          <w:szCs w:val="24"/>
        </w:rPr>
        <w:t xml:space="preserve"> </w:t>
      </w:r>
    </w:p>
    <w:p w:rsidR="00BB5423" w:rsidRPr="00110F32" w:rsidRDefault="00BB5423" w:rsidP="00BB5423">
      <w:pPr>
        <w:rPr>
          <w:rStyle w:val="Heading2Char"/>
          <w:rFonts w:ascii="Times New Roman" w:hAnsi="Times New Roman" w:cs="Times New Roman"/>
          <w:b w:val="0"/>
          <w:smallCaps w:val="0"/>
          <w:szCs w:val="24"/>
        </w:rPr>
      </w:pPr>
      <w:r w:rsidRPr="00110F32">
        <w:rPr>
          <w:rStyle w:val="Heading2Char"/>
          <w:rFonts w:ascii="Times New Roman" w:hAnsi="Times New Roman" w:cs="Times New Roman"/>
          <w:szCs w:val="24"/>
        </w:rPr>
        <w:t xml:space="preserve">Implementing Actors: </w:t>
      </w:r>
      <w:r w:rsidR="002D01DF">
        <w:rPr>
          <w:rStyle w:val="Heading2Char"/>
          <w:rFonts w:ascii="Times New Roman" w:hAnsi="Times New Roman" w:cs="Times New Roman"/>
          <w:b w:val="0"/>
          <w:smallCaps w:val="0"/>
          <w:szCs w:val="24"/>
        </w:rPr>
        <w:t xml:space="preserve"> </w:t>
      </w:r>
      <w:r w:rsidR="00832DDC">
        <w:rPr>
          <w:rStyle w:val="Heading2Char"/>
          <w:rFonts w:ascii="Times New Roman" w:hAnsi="Times New Roman" w:cs="Times New Roman"/>
          <w:b w:val="0"/>
          <w:smallCaps w:val="0"/>
          <w:szCs w:val="24"/>
        </w:rPr>
        <w:t xml:space="preserve">Court: </w:t>
      </w:r>
      <w:r w:rsidR="00C37657" w:rsidRPr="00110F32">
        <w:rPr>
          <w:rStyle w:val="Heading2Char"/>
          <w:rFonts w:ascii="Times New Roman" w:hAnsi="Times New Roman" w:cs="Times New Roman"/>
          <w:b w:val="0"/>
          <w:smallCaps w:val="0"/>
          <w:szCs w:val="24"/>
        </w:rPr>
        <w:t xml:space="preserve">Supreme Court of the </w:t>
      </w:r>
      <w:r w:rsidR="00953375" w:rsidRPr="00110F32">
        <w:rPr>
          <w:rStyle w:val="Heading2Char"/>
          <w:rFonts w:ascii="Times New Roman" w:hAnsi="Times New Roman" w:cs="Times New Roman"/>
          <w:b w:val="0"/>
          <w:smallCaps w:val="0"/>
          <w:szCs w:val="24"/>
        </w:rPr>
        <w:t>Philippines</w:t>
      </w:r>
    </w:p>
    <w:p w:rsidR="00BB5423" w:rsidRPr="00110F32" w:rsidRDefault="00BB5423"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rPr>
        <w:t xml:space="preserve">Location: </w:t>
      </w:r>
      <w:r w:rsidRPr="00110F32">
        <w:rPr>
          <w:rFonts w:ascii="Times New Roman" w:hAnsi="Times New Roman"/>
          <w:sz w:val="24"/>
          <w:szCs w:val="24"/>
        </w:rPr>
        <w:t xml:space="preserve">Philippines </w:t>
      </w:r>
    </w:p>
    <w:p w:rsidR="00110F32" w:rsidRPr="00110F32" w:rsidRDefault="00BB5423" w:rsidP="00BB5423">
      <w:pPr>
        <w:rPr>
          <w:rFonts w:ascii="Times New Roman" w:hAnsi="Times New Roman"/>
          <w:sz w:val="24"/>
          <w:szCs w:val="24"/>
        </w:rPr>
      </w:pPr>
      <w:r w:rsidRPr="00110F32">
        <w:rPr>
          <w:rStyle w:val="Heading2Char"/>
          <w:rFonts w:ascii="Times New Roman" w:hAnsi="Times New Roman" w:cs="Times New Roman"/>
          <w:szCs w:val="24"/>
        </w:rPr>
        <w:t xml:space="preserve">Description: </w:t>
      </w:r>
      <w:r w:rsidR="00C37657" w:rsidRPr="00110F32">
        <w:rPr>
          <w:rStyle w:val="Heading2Char"/>
          <w:rFonts w:ascii="Times New Roman" w:hAnsi="Times New Roman" w:cs="Times New Roman"/>
          <w:b w:val="0"/>
          <w:smallCaps w:val="0"/>
          <w:szCs w:val="24"/>
        </w:rPr>
        <w:t xml:space="preserve">The Philippines’ </w:t>
      </w:r>
      <w:r w:rsidR="00C37657" w:rsidRPr="00110F32">
        <w:rPr>
          <w:rFonts w:ascii="Times New Roman" w:hAnsi="Times New Roman"/>
          <w:sz w:val="24"/>
          <w:szCs w:val="24"/>
        </w:rPr>
        <w:t>Constitution</w:t>
      </w:r>
      <w:r w:rsidRPr="00110F32">
        <w:rPr>
          <w:rFonts w:ascii="Times New Roman" w:hAnsi="Times New Roman"/>
          <w:sz w:val="24"/>
          <w:szCs w:val="24"/>
        </w:rPr>
        <w:t xml:space="preserve"> includes as a State policy that “[t]he State shall protect and advance the right of the people to a balanced and healthful ecology in accord with the rhythm and harmony of nature.” The first major case the Court decided with regard to this clause was the </w:t>
      </w:r>
      <w:r w:rsidRPr="00110F32">
        <w:rPr>
          <w:rFonts w:ascii="Times New Roman" w:hAnsi="Times New Roman"/>
          <w:i/>
          <w:sz w:val="24"/>
          <w:szCs w:val="24"/>
        </w:rPr>
        <w:t xml:space="preserve">Minors </w:t>
      </w:r>
      <w:proofErr w:type="spellStart"/>
      <w:r w:rsidRPr="00110F32">
        <w:rPr>
          <w:rFonts w:ascii="Times New Roman" w:hAnsi="Times New Roman"/>
          <w:i/>
          <w:sz w:val="24"/>
          <w:szCs w:val="24"/>
        </w:rPr>
        <w:t>Oposa</w:t>
      </w:r>
      <w:proofErr w:type="spellEnd"/>
      <w:r w:rsidRPr="00110F32">
        <w:rPr>
          <w:rFonts w:ascii="Times New Roman" w:hAnsi="Times New Roman"/>
          <w:i/>
          <w:sz w:val="24"/>
          <w:szCs w:val="24"/>
        </w:rPr>
        <w:t xml:space="preserve"> </w:t>
      </w:r>
      <w:r w:rsidRPr="00110F32">
        <w:rPr>
          <w:rFonts w:ascii="Times New Roman" w:hAnsi="Times New Roman"/>
          <w:sz w:val="24"/>
          <w:szCs w:val="24"/>
        </w:rPr>
        <w:t xml:space="preserve">case, </w:t>
      </w:r>
      <w:r w:rsidR="002D01DF">
        <w:rPr>
          <w:rFonts w:ascii="Times New Roman" w:hAnsi="Times New Roman"/>
          <w:sz w:val="24"/>
          <w:szCs w:val="24"/>
        </w:rPr>
        <w:t>in which</w:t>
      </w:r>
      <w:r w:rsidRPr="00110F32">
        <w:rPr>
          <w:rFonts w:ascii="Times New Roman" w:hAnsi="Times New Roman"/>
          <w:sz w:val="24"/>
          <w:szCs w:val="24"/>
        </w:rPr>
        <w:t xml:space="preserve"> </w:t>
      </w:r>
      <w:r w:rsidR="002D01DF">
        <w:rPr>
          <w:rFonts w:ascii="Times New Roman" w:hAnsi="Times New Roman"/>
          <w:sz w:val="24"/>
          <w:szCs w:val="24"/>
        </w:rPr>
        <w:t>the plaintiffs</w:t>
      </w:r>
      <w:r w:rsidRPr="00110F32">
        <w:rPr>
          <w:rFonts w:ascii="Times New Roman" w:hAnsi="Times New Roman"/>
          <w:sz w:val="24"/>
          <w:szCs w:val="24"/>
        </w:rPr>
        <w:t xml:space="preserve"> filed a class action law suit on behalf of their children and future generations, asking the Court to order the government to cancel all existing timber license agreements in the Philippines and to stop issuing new licenses. The Court in </w:t>
      </w:r>
      <w:proofErr w:type="spellStart"/>
      <w:r w:rsidRPr="00110F32">
        <w:rPr>
          <w:rFonts w:ascii="Times New Roman" w:hAnsi="Times New Roman"/>
          <w:i/>
          <w:sz w:val="24"/>
          <w:szCs w:val="24"/>
        </w:rPr>
        <w:t>Oposa</w:t>
      </w:r>
      <w:proofErr w:type="spellEnd"/>
      <w:r w:rsidRPr="00110F32">
        <w:rPr>
          <w:rFonts w:ascii="Times New Roman" w:hAnsi="Times New Roman"/>
          <w:sz w:val="24"/>
          <w:szCs w:val="24"/>
        </w:rPr>
        <w:t xml:space="preserve"> clarified that the environmental right in the Constitution, although falling under the section dealing with State policy, is nonetheless a legally enforceable and self-executing right with correlative State duties.</w:t>
      </w:r>
    </w:p>
    <w:p w:rsidR="00BB5423" w:rsidRPr="00110F32" w:rsidRDefault="00BB5423" w:rsidP="00BB5423">
      <w:pPr>
        <w:rPr>
          <w:rStyle w:val="Heading2Char"/>
          <w:rFonts w:ascii="Times New Roman" w:eastAsia="Calibri" w:hAnsi="Times New Roman" w:cs="Times New Roman"/>
          <w:b w:val="0"/>
          <w:bCs w:val="0"/>
          <w:smallCaps w:val="0"/>
          <w:color w:val="auto"/>
          <w:szCs w:val="24"/>
          <w:lang w:val="en-ZA"/>
        </w:rPr>
      </w:pPr>
      <w:r w:rsidRPr="00110F32">
        <w:rPr>
          <w:rFonts w:ascii="Times New Roman" w:hAnsi="Times New Roman"/>
          <w:sz w:val="24"/>
          <w:szCs w:val="24"/>
        </w:rPr>
        <w:t xml:space="preserve"> In </w:t>
      </w:r>
      <w:r w:rsidRPr="00110F32">
        <w:rPr>
          <w:rFonts w:ascii="Times New Roman" w:hAnsi="Times New Roman"/>
          <w:i/>
          <w:sz w:val="24"/>
          <w:szCs w:val="24"/>
        </w:rPr>
        <w:t>Concerned Citizens of Manila Bay</w:t>
      </w:r>
      <w:r w:rsidRPr="00110F32">
        <w:rPr>
          <w:rFonts w:ascii="Times New Roman" w:hAnsi="Times New Roman"/>
          <w:sz w:val="24"/>
          <w:szCs w:val="24"/>
        </w:rPr>
        <w:t xml:space="preserve"> (</w:t>
      </w:r>
      <w:r w:rsidRPr="00110F32">
        <w:rPr>
          <w:rFonts w:ascii="Times New Roman" w:hAnsi="Times New Roman"/>
          <w:i/>
          <w:sz w:val="24"/>
          <w:szCs w:val="24"/>
        </w:rPr>
        <w:t>CCMB)</w:t>
      </w:r>
      <w:r w:rsidRPr="00110F32">
        <w:rPr>
          <w:rFonts w:ascii="Times New Roman" w:hAnsi="Times New Roman"/>
          <w:sz w:val="24"/>
          <w:szCs w:val="24"/>
        </w:rPr>
        <w:t>, a case regarding the clean-up, rehabilitation and protection of Manila Bay, the Court reaffirmed the far</w:t>
      </w:r>
      <w:r w:rsidR="002D01DF">
        <w:rPr>
          <w:rFonts w:ascii="Times New Roman" w:hAnsi="Times New Roman"/>
          <w:sz w:val="24"/>
          <w:szCs w:val="24"/>
        </w:rPr>
        <w:t>-</w:t>
      </w:r>
      <w:r w:rsidRPr="00110F32">
        <w:rPr>
          <w:rFonts w:ascii="Times New Roman" w:hAnsi="Times New Roman"/>
          <w:sz w:val="24"/>
          <w:szCs w:val="24"/>
        </w:rPr>
        <w:t xml:space="preserve">reaching scope of the </w:t>
      </w:r>
      <w:r w:rsidR="00953375">
        <w:rPr>
          <w:rFonts w:ascii="Times New Roman" w:hAnsi="Times New Roman"/>
          <w:sz w:val="24"/>
          <w:szCs w:val="24"/>
        </w:rPr>
        <w:t xml:space="preserve">environmental right in the </w:t>
      </w:r>
      <w:r w:rsidRPr="00110F32">
        <w:rPr>
          <w:rFonts w:ascii="Times New Roman" w:hAnsi="Times New Roman"/>
          <w:sz w:val="24"/>
          <w:szCs w:val="24"/>
        </w:rPr>
        <w:t>Constitution</w:t>
      </w:r>
      <w:r w:rsidR="00953375">
        <w:rPr>
          <w:rFonts w:ascii="Times New Roman" w:hAnsi="Times New Roman"/>
          <w:sz w:val="24"/>
          <w:szCs w:val="24"/>
        </w:rPr>
        <w:t>, stating that “</w:t>
      </w:r>
      <w:r w:rsidR="00953375" w:rsidRPr="00953375">
        <w:rPr>
          <w:rFonts w:ascii="Times New Roman" w:hAnsi="Times New Roman"/>
          <w:iCs/>
          <w:sz w:val="24"/>
          <w:szCs w:val="24"/>
          <w:lang w:val="en-ZA"/>
        </w:rPr>
        <w:t>the</w:t>
      </w:r>
      <w:r w:rsidR="00953375" w:rsidRPr="00953375">
        <w:rPr>
          <w:rFonts w:ascii="Times New Roman" w:hAnsi="Times New Roman"/>
          <w:sz w:val="24"/>
          <w:szCs w:val="24"/>
          <w:lang w:val="en-ZA"/>
        </w:rPr>
        <w:t xml:space="preserve"> right to a balanced and healthful ecology need not even be written in the Constitution for it is assumed, like other civil and political rights guaranteed in the Bill of Rights, to exist from the inception of mankind and it is an issue of transcendental importance with intergenerational implications</w:t>
      </w:r>
      <w:r w:rsidR="00953375">
        <w:rPr>
          <w:rFonts w:ascii="Times New Roman" w:hAnsi="Times New Roman"/>
          <w:sz w:val="24"/>
          <w:szCs w:val="24"/>
          <w:lang w:val="en-ZA"/>
        </w:rPr>
        <w:t xml:space="preserve">.” </w:t>
      </w:r>
      <w:r w:rsidRPr="00110F32">
        <w:rPr>
          <w:rFonts w:ascii="Times New Roman" w:hAnsi="Times New Roman"/>
          <w:sz w:val="24"/>
          <w:szCs w:val="24"/>
        </w:rPr>
        <w:t xml:space="preserve">In </w:t>
      </w:r>
      <w:r w:rsidRPr="00110F32">
        <w:rPr>
          <w:rFonts w:ascii="Times New Roman" w:hAnsi="Times New Roman"/>
          <w:i/>
          <w:sz w:val="24"/>
          <w:szCs w:val="24"/>
        </w:rPr>
        <w:t>CCMB</w:t>
      </w:r>
      <w:r w:rsidRPr="00110F32">
        <w:rPr>
          <w:rFonts w:ascii="Times New Roman" w:hAnsi="Times New Roman"/>
          <w:sz w:val="24"/>
          <w:szCs w:val="24"/>
        </w:rPr>
        <w:t xml:space="preserve">, the Supreme Court issued a multi-faceted order that required a wide range of government agencies to take coordinated action to rehabilitate the Bay as well as to put in place measures to prevent and control the discharge of additional pollution.  It </w:t>
      </w:r>
      <w:r w:rsidRPr="00110F32">
        <w:rPr>
          <w:rFonts w:ascii="Times New Roman" w:hAnsi="Times New Roman"/>
          <w:sz w:val="24"/>
          <w:szCs w:val="24"/>
          <w:lang w:val="en-ZA"/>
        </w:rPr>
        <w:t xml:space="preserve">emphasized “the extreme necessity for all concerned executive departments and agencies to immediately act and discharge their respective official duties and obligations.” The Court also required each of the 13 agencies it addressed in its order to submit a quarterly progress report to the Court of the activities undertaken in accordance with its Decision. The Court explained that the principle </w:t>
      </w:r>
      <w:r w:rsidR="002D01DF">
        <w:rPr>
          <w:rFonts w:ascii="Times New Roman" w:hAnsi="Times New Roman"/>
          <w:sz w:val="24"/>
          <w:szCs w:val="24"/>
          <w:lang w:val="en-ZA"/>
        </w:rPr>
        <w:t xml:space="preserve">of </w:t>
      </w:r>
      <w:r w:rsidRPr="00110F32">
        <w:rPr>
          <w:rFonts w:ascii="Times New Roman" w:hAnsi="Times New Roman"/>
          <w:sz w:val="24"/>
          <w:szCs w:val="24"/>
          <w:lang w:val="en-ZA"/>
        </w:rPr>
        <w:t xml:space="preserve">“continuing mandamus” would allow the Court “under extraordinary circumstances, </w:t>
      </w:r>
      <w:r w:rsidR="002D01DF">
        <w:rPr>
          <w:rFonts w:ascii="Times New Roman" w:hAnsi="Times New Roman"/>
          <w:sz w:val="24"/>
          <w:szCs w:val="24"/>
          <w:lang w:val="en-ZA"/>
        </w:rPr>
        <w:t xml:space="preserve">[to] </w:t>
      </w:r>
      <w:r w:rsidRPr="00110F32">
        <w:rPr>
          <w:rFonts w:ascii="Times New Roman" w:hAnsi="Times New Roman"/>
          <w:sz w:val="24"/>
          <w:szCs w:val="24"/>
          <w:lang w:val="en-ZA"/>
        </w:rPr>
        <w:t xml:space="preserve">issue directives with the end in view of ensuring that its decision would not be set to naught by administrative inaction or indifference.” </w:t>
      </w:r>
    </w:p>
    <w:p w:rsidR="002C71E3" w:rsidRDefault="00BB5423" w:rsidP="00953375">
      <w:r w:rsidRPr="00110F32">
        <w:rPr>
          <w:rStyle w:val="Heading2Char"/>
          <w:rFonts w:ascii="Times New Roman" w:hAnsi="Times New Roman" w:cs="Times New Roman"/>
          <w:szCs w:val="24"/>
        </w:rPr>
        <w:t>Further Information</w:t>
      </w:r>
      <w:r w:rsidRPr="00110F32">
        <w:rPr>
          <w:rFonts w:ascii="Times New Roman" w:hAnsi="Times New Roman"/>
          <w:sz w:val="24"/>
          <w:szCs w:val="24"/>
        </w:rPr>
        <w:t xml:space="preserve">: </w:t>
      </w:r>
      <w:r w:rsidRPr="00953375">
        <w:rPr>
          <w:rFonts w:ascii="Times New Roman" w:hAnsi="Times New Roman"/>
          <w:i/>
          <w:sz w:val="24"/>
          <w:szCs w:val="24"/>
        </w:rPr>
        <w:t>See</w:t>
      </w:r>
      <w:r w:rsidRPr="00110F32">
        <w:rPr>
          <w:rFonts w:ascii="Times New Roman" w:hAnsi="Times New Roman"/>
          <w:sz w:val="24"/>
          <w:szCs w:val="24"/>
        </w:rPr>
        <w:t xml:space="preserve"> </w:t>
      </w:r>
      <w:bookmarkStart w:id="0" w:name="_GoBack"/>
      <w:r w:rsidR="00953375" w:rsidRPr="00953375">
        <w:rPr>
          <w:rFonts w:ascii="Times New Roman" w:hAnsi="Times New Roman"/>
          <w:i/>
          <w:sz w:val="24"/>
          <w:szCs w:val="24"/>
        </w:rPr>
        <w:t xml:space="preserve">Minors </w:t>
      </w:r>
      <w:proofErr w:type="spellStart"/>
      <w:r w:rsidR="00953375" w:rsidRPr="00953375">
        <w:rPr>
          <w:rFonts w:ascii="Times New Roman" w:hAnsi="Times New Roman"/>
          <w:i/>
          <w:sz w:val="24"/>
          <w:szCs w:val="24"/>
        </w:rPr>
        <w:t>Oposa</w:t>
      </w:r>
      <w:proofErr w:type="spellEnd"/>
      <w:r w:rsidR="00953375" w:rsidRPr="00953375">
        <w:rPr>
          <w:rFonts w:ascii="Times New Roman" w:hAnsi="Times New Roman"/>
          <w:i/>
          <w:sz w:val="24"/>
          <w:szCs w:val="24"/>
        </w:rPr>
        <w:t xml:space="preserve"> v. </w:t>
      </w:r>
      <w:proofErr w:type="spellStart"/>
      <w:r w:rsidR="00953375" w:rsidRPr="00953375">
        <w:rPr>
          <w:rFonts w:ascii="Times New Roman" w:hAnsi="Times New Roman"/>
          <w:i/>
          <w:sz w:val="24"/>
          <w:szCs w:val="24"/>
        </w:rPr>
        <w:t>Factoran</w:t>
      </w:r>
      <w:proofErr w:type="spellEnd"/>
      <w:r w:rsidR="00953375" w:rsidRPr="00953375">
        <w:rPr>
          <w:rFonts w:ascii="Times New Roman" w:hAnsi="Times New Roman"/>
          <w:sz w:val="24"/>
          <w:szCs w:val="24"/>
        </w:rPr>
        <w:t>, G.R. No. 101083, 224 S.C.R.A. 792 (30 July 1993) (Phil.)</w:t>
      </w:r>
      <w:r w:rsidR="00953375">
        <w:rPr>
          <w:rFonts w:ascii="Times New Roman" w:hAnsi="Times New Roman"/>
          <w:sz w:val="24"/>
          <w:szCs w:val="24"/>
        </w:rPr>
        <w:t xml:space="preserve">; </w:t>
      </w:r>
      <w:r w:rsidR="00953375" w:rsidRPr="00953375">
        <w:rPr>
          <w:rFonts w:ascii="Times New Roman" w:hAnsi="Times New Roman"/>
          <w:i/>
          <w:sz w:val="24"/>
          <w:szCs w:val="24"/>
          <w:lang w:val="en-US"/>
        </w:rPr>
        <w:t xml:space="preserve">Metropolitan Manila Development Authority v. Concerned Residents of Manila Bay, </w:t>
      </w:r>
      <w:bookmarkEnd w:id="0"/>
      <w:r w:rsidR="00953375" w:rsidRPr="00953375">
        <w:rPr>
          <w:rFonts w:ascii="Times New Roman" w:hAnsi="Times New Roman"/>
          <w:i/>
          <w:sz w:val="24"/>
          <w:szCs w:val="24"/>
          <w:lang w:val="en-US"/>
        </w:rPr>
        <w:t xml:space="preserve">G.R. Nos. 171947–48, 574 SCRA 661, 665 </w:t>
      </w:r>
      <w:r w:rsidR="00953375" w:rsidRPr="00A54ACA">
        <w:rPr>
          <w:rFonts w:ascii="Times New Roman" w:hAnsi="Times New Roman"/>
          <w:sz w:val="24"/>
          <w:szCs w:val="24"/>
          <w:lang w:val="en-US"/>
        </w:rPr>
        <w:t>(18 December 2008) (Phil.);</w:t>
      </w:r>
      <w:r w:rsidR="00953375">
        <w:rPr>
          <w:rFonts w:ascii="Times New Roman" w:hAnsi="Times New Roman"/>
          <w:i/>
          <w:sz w:val="24"/>
          <w:szCs w:val="24"/>
          <w:lang w:val="en-US"/>
        </w:rPr>
        <w:t xml:space="preserve"> </w:t>
      </w:r>
      <w:r w:rsidR="00953375">
        <w:rPr>
          <w:rFonts w:ascii="Times New Roman" w:hAnsi="Times New Roman"/>
          <w:sz w:val="24"/>
          <w:szCs w:val="24"/>
          <w:lang w:val="en-US"/>
        </w:rPr>
        <w:t xml:space="preserve">the writ of continuing mandamus: </w:t>
      </w:r>
      <w:r w:rsidRPr="00110F32">
        <w:rPr>
          <w:rFonts w:ascii="Times New Roman" w:hAnsi="Times New Roman"/>
          <w:sz w:val="24"/>
          <w:szCs w:val="24"/>
        </w:rPr>
        <w:t xml:space="preserve">Republic of the Philippines Supreme Court, Rules </w:t>
      </w:r>
      <w:r w:rsidRPr="00110F32">
        <w:rPr>
          <w:rFonts w:ascii="Times New Roman" w:hAnsi="Times New Roman"/>
          <w:sz w:val="24"/>
          <w:szCs w:val="24"/>
        </w:rPr>
        <w:lastRenderedPageBreak/>
        <w:t>of Procedure for Environmental cases, A.M. No.</w:t>
      </w:r>
      <w:r w:rsidRPr="00670E6B">
        <w:rPr>
          <w:rFonts w:ascii="Times New Roman" w:hAnsi="Times New Roman"/>
        </w:rPr>
        <w:t xml:space="preserve"> 09-6-8-SC, 29 April 2010, Rule 8</w:t>
      </w:r>
      <w:r w:rsidR="00832DDC">
        <w:rPr>
          <w:rFonts w:ascii="Times New Roman" w:hAnsi="Times New Roman"/>
        </w:rPr>
        <w:t xml:space="preserve">: </w:t>
      </w:r>
      <w:hyperlink r:id="rId8" w:history="1">
        <w:r w:rsidR="00973535" w:rsidRPr="003C6AB8">
          <w:rPr>
            <w:rStyle w:val="Hyperlink"/>
            <w:rFonts w:ascii="Times New Roman" w:hAnsi="Times New Roman"/>
            <w:lang w:val="en-US"/>
          </w:rPr>
          <w:t>http://www.law.pace.edu/sites/default/files/IJIEA/Rules_of_Procedure_for_Environmental_Cases.pdf</w:t>
        </w:r>
      </w:hyperlink>
      <w:r w:rsidR="00832DDC">
        <w:rPr>
          <w:rFonts w:ascii="Times New Roman" w:hAnsi="Times New Roman"/>
        </w:rPr>
        <w:t>.</w:t>
      </w:r>
    </w:p>
    <w:sectPr w:rsidR="002C71E3"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87" w:rsidRDefault="00330687" w:rsidP="00275F06">
      <w:pPr>
        <w:spacing w:after="0" w:line="240" w:lineRule="auto"/>
      </w:pPr>
      <w:r>
        <w:separator/>
      </w:r>
    </w:p>
  </w:endnote>
  <w:endnote w:type="continuationSeparator" w:id="0">
    <w:p w:rsidR="00330687" w:rsidRDefault="00330687" w:rsidP="0027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87" w:rsidRDefault="00330687" w:rsidP="00275F06">
      <w:pPr>
        <w:spacing w:after="0" w:line="240" w:lineRule="auto"/>
      </w:pPr>
      <w:r>
        <w:separator/>
      </w:r>
    </w:p>
  </w:footnote>
  <w:footnote w:type="continuationSeparator" w:id="0">
    <w:p w:rsidR="00330687" w:rsidRDefault="00330687" w:rsidP="0027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30C98"/>
    <w:rsid w:val="00055BD5"/>
    <w:rsid w:val="00057295"/>
    <w:rsid w:val="0006082D"/>
    <w:rsid w:val="00060BF1"/>
    <w:rsid w:val="00095A81"/>
    <w:rsid w:val="000A10F4"/>
    <w:rsid w:val="000A2B55"/>
    <w:rsid w:val="000A66F8"/>
    <w:rsid w:val="000F2E9F"/>
    <w:rsid w:val="000F3EAB"/>
    <w:rsid w:val="000F4996"/>
    <w:rsid w:val="00101A5F"/>
    <w:rsid w:val="00110F32"/>
    <w:rsid w:val="001370DD"/>
    <w:rsid w:val="00143753"/>
    <w:rsid w:val="00176228"/>
    <w:rsid w:val="00187161"/>
    <w:rsid w:val="001A0796"/>
    <w:rsid w:val="00225075"/>
    <w:rsid w:val="00226901"/>
    <w:rsid w:val="00275F06"/>
    <w:rsid w:val="002958FB"/>
    <w:rsid w:val="002A1597"/>
    <w:rsid w:val="002A3C75"/>
    <w:rsid w:val="002C376C"/>
    <w:rsid w:val="002D01DF"/>
    <w:rsid w:val="002F4FDE"/>
    <w:rsid w:val="002F6330"/>
    <w:rsid w:val="00312F7C"/>
    <w:rsid w:val="003205D5"/>
    <w:rsid w:val="00327C9E"/>
    <w:rsid w:val="00330687"/>
    <w:rsid w:val="00366467"/>
    <w:rsid w:val="0038523D"/>
    <w:rsid w:val="00385B22"/>
    <w:rsid w:val="003A0691"/>
    <w:rsid w:val="003B283B"/>
    <w:rsid w:val="003C75CF"/>
    <w:rsid w:val="003D01AF"/>
    <w:rsid w:val="003F3225"/>
    <w:rsid w:val="00467024"/>
    <w:rsid w:val="004E64F7"/>
    <w:rsid w:val="0056659E"/>
    <w:rsid w:val="0057405D"/>
    <w:rsid w:val="005E70C1"/>
    <w:rsid w:val="0066769C"/>
    <w:rsid w:val="00675473"/>
    <w:rsid w:val="00691B6C"/>
    <w:rsid w:val="00692830"/>
    <w:rsid w:val="006A3D9D"/>
    <w:rsid w:val="006A4089"/>
    <w:rsid w:val="006F52B8"/>
    <w:rsid w:val="00716B08"/>
    <w:rsid w:val="00740A2D"/>
    <w:rsid w:val="00797BD0"/>
    <w:rsid w:val="00821AD5"/>
    <w:rsid w:val="00832DDC"/>
    <w:rsid w:val="0084331D"/>
    <w:rsid w:val="0086304B"/>
    <w:rsid w:val="00923F27"/>
    <w:rsid w:val="00931262"/>
    <w:rsid w:val="0093723C"/>
    <w:rsid w:val="00947203"/>
    <w:rsid w:val="00953375"/>
    <w:rsid w:val="00973535"/>
    <w:rsid w:val="009E5B75"/>
    <w:rsid w:val="00A45343"/>
    <w:rsid w:val="00A54ACA"/>
    <w:rsid w:val="00A97A28"/>
    <w:rsid w:val="00AA1DB8"/>
    <w:rsid w:val="00AB321C"/>
    <w:rsid w:val="00B2173C"/>
    <w:rsid w:val="00B56C9C"/>
    <w:rsid w:val="00B60982"/>
    <w:rsid w:val="00B61B00"/>
    <w:rsid w:val="00B61C67"/>
    <w:rsid w:val="00B64247"/>
    <w:rsid w:val="00B65748"/>
    <w:rsid w:val="00B66BAE"/>
    <w:rsid w:val="00B95D3B"/>
    <w:rsid w:val="00BB5423"/>
    <w:rsid w:val="00BF2605"/>
    <w:rsid w:val="00C33C55"/>
    <w:rsid w:val="00C37657"/>
    <w:rsid w:val="00CB2F00"/>
    <w:rsid w:val="00D04745"/>
    <w:rsid w:val="00D05E6B"/>
    <w:rsid w:val="00D533FD"/>
    <w:rsid w:val="00D6225E"/>
    <w:rsid w:val="00D745C4"/>
    <w:rsid w:val="00D77EBC"/>
    <w:rsid w:val="00DA4A93"/>
    <w:rsid w:val="00E1582D"/>
    <w:rsid w:val="00E90470"/>
    <w:rsid w:val="00E932B7"/>
    <w:rsid w:val="00E9721C"/>
    <w:rsid w:val="00ED6DA8"/>
    <w:rsid w:val="00EE0AE3"/>
    <w:rsid w:val="00EF2FAE"/>
    <w:rsid w:val="00F07F0D"/>
    <w:rsid w:val="00F25F05"/>
    <w:rsid w:val="00F57FA0"/>
    <w:rsid w:val="00F60D11"/>
    <w:rsid w:val="00F768F7"/>
    <w:rsid w:val="00F81351"/>
    <w:rsid w:val="00F979C5"/>
    <w:rsid w:val="00FA64D6"/>
    <w:rsid w:val="00FC1B94"/>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 w:type="paragraph" w:styleId="CommentSubject">
    <w:name w:val="annotation subject"/>
    <w:basedOn w:val="CommentText"/>
    <w:next w:val="CommentText"/>
    <w:link w:val="CommentSubjectChar"/>
    <w:uiPriority w:val="99"/>
    <w:semiHidden/>
    <w:unhideWhenUsed/>
    <w:rsid w:val="002D01DF"/>
    <w:rPr>
      <w:b/>
      <w:bCs/>
    </w:rPr>
  </w:style>
  <w:style w:type="character" w:customStyle="1" w:styleId="CommentSubjectChar">
    <w:name w:val="Comment Subject Char"/>
    <w:basedOn w:val="CommentTextChar"/>
    <w:link w:val="CommentSubject"/>
    <w:uiPriority w:val="99"/>
    <w:semiHidden/>
    <w:rsid w:val="002D01DF"/>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 w:type="paragraph" w:styleId="CommentSubject">
    <w:name w:val="annotation subject"/>
    <w:basedOn w:val="CommentText"/>
    <w:next w:val="CommentText"/>
    <w:link w:val="CommentSubjectChar"/>
    <w:uiPriority w:val="99"/>
    <w:semiHidden/>
    <w:unhideWhenUsed/>
    <w:rsid w:val="002D01DF"/>
    <w:rPr>
      <w:b/>
      <w:bCs/>
    </w:rPr>
  </w:style>
  <w:style w:type="character" w:customStyle="1" w:styleId="CommentSubjectChar">
    <w:name w:val="Comment Subject Char"/>
    <w:basedOn w:val="CommentTextChar"/>
    <w:link w:val="CommentSubject"/>
    <w:uiPriority w:val="99"/>
    <w:semiHidden/>
    <w:rsid w:val="002D01DF"/>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25">
      <w:bodyDiv w:val="1"/>
      <w:marLeft w:val="0"/>
      <w:marRight w:val="0"/>
      <w:marTop w:val="0"/>
      <w:marBottom w:val="0"/>
      <w:divBdr>
        <w:top w:val="none" w:sz="0" w:space="0" w:color="auto"/>
        <w:left w:val="none" w:sz="0" w:space="0" w:color="auto"/>
        <w:bottom w:val="none" w:sz="0" w:space="0" w:color="auto"/>
        <w:right w:val="none" w:sz="0" w:space="0" w:color="auto"/>
      </w:divBdr>
    </w:div>
    <w:div w:id="1377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pace.edu/sites/default/files/IJIEA/Rules_of_Procedure_for_Environmental_Cases.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21CD1-B6F6-41F2-AE40-06679D5DCBFB}"/>
</file>

<file path=customXml/itemProps2.xml><?xml version="1.0" encoding="utf-8"?>
<ds:datastoreItem xmlns:ds="http://schemas.openxmlformats.org/officeDocument/2006/customXml" ds:itemID="{27A517D7-BE2F-4ADE-9DA9-9C33A56329CB}"/>
</file>

<file path=customXml/itemProps3.xml><?xml version="1.0" encoding="utf-8"?>
<ds:datastoreItem xmlns:ds="http://schemas.openxmlformats.org/officeDocument/2006/customXml" ds:itemID="{66BABD8E-21CC-4026-8F5C-FC9C1F69B82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2014-11-28T14:06:00Z</dcterms:created>
  <dcterms:modified xsi:type="dcterms:W3CDTF">2015-01-09T22:35:00Z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