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05" w:rsidRPr="0024642A" w:rsidRDefault="004C5705" w:rsidP="0024642A">
      <w:pPr>
        <w:jc w:val="center"/>
        <w:rPr>
          <w:rFonts w:ascii="Times New Roman" w:hAnsi="Times New Roman"/>
          <w:b/>
          <w:bCs/>
          <w:color w:val="000000" w:themeColor="text1"/>
          <w:sz w:val="24"/>
          <w:szCs w:val="24"/>
        </w:rPr>
      </w:pPr>
      <w:bookmarkStart w:id="0" w:name="_GoBack"/>
      <w:bookmarkEnd w:id="0"/>
      <w:r w:rsidRPr="0024642A">
        <w:rPr>
          <w:rFonts w:ascii="Times New Roman" w:hAnsi="Times New Roman"/>
          <w:noProof/>
          <w:sz w:val="24"/>
          <w:szCs w:val="24"/>
          <w:lang w:eastAsia="en-GB"/>
        </w:rPr>
        <w:drawing>
          <wp:inline distT="0" distB="0" distL="0" distR="0" wp14:anchorId="78C50F01" wp14:editId="3ADDA4A8">
            <wp:extent cx="1272540" cy="1068070"/>
            <wp:effectExtent l="0" t="0" r="3810" b="0"/>
            <wp:docPr id="1" name="Picture 1" descr="correct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ctcol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1068070"/>
                    </a:xfrm>
                    <a:prstGeom prst="rect">
                      <a:avLst/>
                    </a:prstGeom>
                    <a:noFill/>
                    <a:ln>
                      <a:noFill/>
                    </a:ln>
                  </pic:spPr>
                </pic:pic>
              </a:graphicData>
            </a:graphic>
          </wp:inline>
        </w:drawing>
      </w:r>
    </w:p>
    <w:p w:rsidR="004C5705" w:rsidRPr="0024642A" w:rsidRDefault="004C5705" w:rsidP="0024642A">
      <w:pPr>
        <w:jc w:val="both"/>
        <w:rPr>
          <w:rFonts w:ascii="Times New Roman" w:hAnsi="Times New Roman"/>
          <w:b/>
          <w:bCs/>
          <w:color w:val="000000" w:themeColor="text1"/>
          <w:sz w:val="24"/>
          <w:szCs w:val="24"/>
        </w:rPr>
      </w:pPr>
    </w:p>
    <w:p w:rsidR="00955A44" w:rsidRPr="0024642A" w:rsidRDefault="00955A44" w:rsidP="0024642A">
      <w:pPr>
        <w:jc w:val="both"/>
        <w:rPr>
          <w:rFonts w:ascii="Times New Roman" w:hAnsi="Times New Roman"/>
          <w:b/>
          <w:bCs/>
          <w:color w:val="000000" w:themeColor="text1"/>
          <w:sz w:val="24"/>
          <w:szCs w:val="24"/>
        </w:rPr>
      </w:pPr>
    </w:p>
    <w:p w:rsidR="0024642A" w:rsidRPr="0024642A" w:rsidRDefault="0024642A" w:rsidP="0024642A">
      <w:pPr>
        <w:jc w:val="center"/>
        <w:rPr>
          <w:rFonts w:ascii="Times New Roman" w:hAnsi="Times New Roman"/>
          <w:b/>
          <w:bCs/>
          <w:color w:val="000000" w:themeColor="text1"/>
          <w:sz w:val="24"/>
          <w:szCs w:val="24"/>
        </w:rPr>
      </w:pPr>
      <w:r w:rsidRPr="0024642A">
        <w:rPr>
          <w:rFonts w:ascii="Times New Roman" w:hAnsi="Times New Roman"/>
          <w:b/>
          <w:bCs/>
          <w:color w:val="000000" w:themeColor="text1"/>
          <w:sz w:val="24"/>
          <w:szCs w:val="24"/>
        </w:rPr>
        <w:t>ODIHR c</w:t>
      </w:r>
      <w:r w:rsidR="0000011B" w:rsidRPr="0024642A">
        <w:rPr>
          <w:rFonts w:ascii="Times New Roman" w:hAnsi="Times New Roman"/>
          <w:b/>
          <w:bCs/>
          <w:color w:val="000000" w:themeColor="text1"/>
          <w:sz w:val="24"/>
          <w:szCs w:val="24"/>
        </w:rPr>
        <w:t xml:space="preserve">ontribution to the UN Draft guidelines </w:t>
      </w:r>
    </w:p>
    <w:p w:rsidR="0000011B" w:rsidRPr="0024642A" w:rsidRDefault="0000011B" w:rsidP="0024642A">
      <w:pPr>
        <w:jc w:val="center"/>
        <w:rPr>
          <w:rFonts w:ascii="Times New Roman" w:hAnsi="Times New Roman"/>
          <w:b/>
          <w:bCs/>
          <w:color w:val="000000" w:themeColor="text1"/>
          <w:sz w:val="24"/>
          <w:szCs w:val="24"/>
        </w:rPr>
      </w:pPr>
      <w:r w:rsidRPr="0024642A">
        <w:rPr>
          <w:rFonts w:ascii="Times New Roman" w:hAnsi="Times New Roman"/>
          <w:b/>
          <w:bCs/>
          <w:color w:val="000000" w:themeColor="text1"/>
          <w:sz w:val="24"/>
          <w:szCs w:val="24"/>
        </w:rPr>
        <w:t>on the effective implementation of the right to participate in public affairs</w:t>
      </w:r>
    </w:p>
    <w:p w:rsidR="004C5705" w:rsidRPr="0024642A" w:rsidRDefault="004C5705" w:rsidP="0024642A">
      <w:pPr>
        <w:jc w:val="both"/>
        <w:rPr>
          <w:rFonts w:ascii="Times New Roman" w:hAnsi="Times New Roman"/>
          <w:b/>
          <w:bCs/>
          <w:color w:val="000000" w:themeColor="text1"/>
          <w:sz w:val="24"/>
          <w:szCs w:val="24"/>
        </w:rPr>
      </w:pPr>
    </w:p>
    <w:p w:rsidR="005225A2" w:rsidRPr="0024642A" w:rsidRDefault="00955A44" w:rsidP="0024642A">
      <w:pPr>
        <w:jc w:val="both"/>
        <w:rPr>
          <w:rFonts w:ascii="Times New Roman" w:hAnsi="Times New Roman"/>
          <w:b/>
          <w:bCs/>
          <w:color w:val="000000" w:themeColor="text1"/>
          <w:sz w:val="24"/>
          <w:szCs w:val="24"/>
        </w:rPr>
      </w:pPr>
      <w:r w:rsidRPr="0024642A">
        <w:rPr>
          <w:rFonts w:ascii="Times New Roman" w:hAnsi="Times New Roman"/>
          <w:b/>
          <w:bCs/>
          <w:color w:val="000000" w:themeColor="text1"/>
          <w:sz w:val="24"/>
          <w:szCs w:val="24"/>
        </w:rPr>
        <w:t xml:space="preserve">Disclaimer: </w:t>
      </w:r>
      <w:r w:rsidR="00820C66" w:rsidRPr="0024642A">
        <w:rPr>
          <w:rFonts w:ascii="Times New Roman" w:hAnsi="Times New Roman"/>
          <w:bCs/>
          <w:i/>
          <w:color w:val="000000" w:themeColor="text1"/>
          <w:sz w:val="24"/>
          <w:szCs w:val="24"/>
        </w:rPr>
        <w:t xml:space="preserve">ODIHR </w:t>
      </w:r>
      <w:r w:rsidR="005225A2" w:rsidRPr="0024642A">
        <w:rPr>
          <w:rFonts w:ascii="Times New Roman" w:hAnsi="Times New Roman"/>
          <w:bCs/>
          <w:i/>
          <w:color w:val="000000" w:themeColor="text1"/>
          <w:sz w:val="24"/>
          <w:szCs w:val="24"/>
        </w:rPr>
        <w:t>contributed to the 2015 UN Study on the right to participate in public affairs. In order to make ODIHR’s contribution useful for the purpose of drafting guidelines on the effective implementation of the right to participate in public affairs, the submission at hand will concentrate on aspects which have not been covered in the earlier contribution or which require a substantial update.</w:t>
      </w:r>
    </w:p>
    <w:p w:rsidR="005225A2" w:rsidRPr="0024642A" w:rsidRDefault="005225A2" w:rsidP="0024642A">
      <w:pPr>
        <w:jc w:val="both"/>
        <w:rPr>
          <w:rFonts w:ascii="Times New Roman" w:hAnsi="Times New Roman"/>
          <w:b/>
          <w:bCs/>
          <w:color w:val="000000" w:themeColor="text1"/>
          <w:sz w:val="24"/>
          <w:szCs w:val="24"/>
        </w:rPr>
      </w:pPr>
    </w:p>
    <w:p w:rsidR="004C5705" w:rsidRPr="0024642A" w:rsidRDefault="004C5705" w:rsidP="0024642A">
      <w:pPr>
        <w:jc w:val="both"/>
        <w:rPr>
          <w:rFonts w:ascii="Times New Roman" w:hAnsi="Times New Roman"/>
          <w:b/>
          <w:bCs/>
          <w:color w:val="000000" w:themeColor="text1"/>
          <w:sz w:val="24"/>
          <w:szCs w:val="24"/>
          <w:u w:val="single"/>
        </w:rPr>
      </w:pPr>
      <w:r w:rsidRPr="0024642A">
        <w:rPr>
          <w:rFonts w:ascii="Times New Roman" w:hAnsi="Times New Roman"/>
          <w:b/>
          <w:bCs/>
          <w:color w:val="000000" w:themeColor="text1"/>
          <w:sz w:val="24"/>
          <w:szCs w:val="24"/>
          <w:u w:val="single"/>
        </w:rPr>
        <w:t>Legislative Issues and Regulatory Framework</w:t>
      </w:r>
    </w:p>
    <w:p w:rsidR="004C5705" w:rsidRPr="0024642A" w:rsidRDefault="004C5705" w:rsidP="0024642A">
      <w:pPr>
        <w:jc w:val="both"/>
        <w:rPr>
          <w:rFonts w:ascii="Times New Roman" w:hAnsi="Times New Roman"/>
          <w:b/>
          <w:bCs/>
          <w:color w:val="000000" w:themeColor="text1"/>
          <w:sz w:val="24"/>
          <w:szCs w:val="24"/>
        </w:rPr>
      </w:pPr>
    </w:p>
    <w:p w:rsidR="0000011B" w:rsidRPr="0024642A" w:rsidRDefault="00F3546F" w:rsidP="0024642A">
      <w:pPr>
        <w:jc w:val="both"/>
        <w:rPr>
          <w:rFonts w:ascii="Times New Roman" w:hAnsi="Times New Roman"/>
          <w:color w:val="000000" w:themeColor="text1"/>
          <w:sz w:val="24"/>
          <w:szCs w:val="24"/>
        </w:rPr>
      </w:pPr>
      <w:r w:rsidRPr="0024642A">
        <w:rPr>
          <w:rFonts w:ascii="Times New Roman" w:hAnsi="Times New Roman"/>
          <w:b/>
          <w:bCs/>
          <w:color w:val="000000" w:themeColor="text1"/>
          <w:sz w:val="24"/>
          <w:szCs w:val="24"/>
        </w:rPr>
        <w:t xml:space="preserve">The right to participation </w:t>
      </w:r>
      <w:r w:rsidR="0000011B" w:rsidRPr="0024642A">
        <w:rPr>
          <w:rFonts w:ascii="Times New Roman" w:hAnsi="Times New Roman"/>
          <w:b/>
          <w:bCs/>
          <w:color w:val="000000" w:themeColor="text1"/>
          <w:sz w:val="24"/>
          <w:szCs w:val="24"/>
        </w:rPr>
        <w:t>within internal political party structures and in the wider electoral process</w:t>
      </w:r>
      <w:r w:rsidR="0000011B" w:rsidRPr="0024642A">
        <w:rPr>
          <w:rFonts w:ascii="Times New Roman" w:hAnsi="Times New Roman"/>
          <w:color w:val="000000" w:themeColor="text1"/>
          <w:sz w:val="24"/>
          <w:szCs w:val="24"/>
        </w:rPr>
        <w:t xml:space="preserve"> </w:t>
      </w:r>
    </w:p>
    <w:p w:rsidR="0000011B" w:rsidRPr="0024642A" w:rsidRDefault="0000011B" w:rsidP="0024642A">
      <w:pPr>
        <w:pStyle w:val="ListParagraph"/>
        <w:ind w:left="1080"/>
        <w:jc w:val="both"/>
        <w:rPr>
          <w:rFonts w:ascii="Times New Roman" w:hAnsi="Times New Roman"/>
          <w:color w:val="FF0000"/>
          <w:sz w:val="24"/>
          <w:szCs w:val="24"/>
        </w:rPr>
      </w:pPr>
    </w:p>
    <w:p w:rsidR="0064428F" w:rsidRPr="0024642A" w:rsidRDefault="005225A2" w:rsidP="0024642A">
      <w:pPr>
        <w:jc w:val="both"/>
        <w:rPr>
          <w:rFonts w:ascii="Times New Roman" w:hAnsi="Times New Roman"/>
          <w:iCs/>
          <w:sz w:val="24"/>
          <w:szCs w:val="24"/>
          <w:lang w:val="en-US" w:eastAsia="en-GB"/>
        </w:rPr>
      </w:pPr>
      <w:r w:rsidRPr="0024642A">
        <w:rPr>
          <w:rFonts w:ascii="Times New Roman" w:hAnsi="Times New Roman"/>
          <w:iCs/>
          <w:sz w:val="24"/>
          <w:szCs w:val="24"/>
          <w:lang w:val="en-US" w:eastAsia="en-GB"/>
        </w:rPr>
        <w:t xml:space="preserve">As mentioned in the 2015 </w:t>
      </w:r>
      <w:r w:rsidR="00CF5D05" w:rsidRPr="0024642A">
        <w:rPr>
          <w:rFonts w:ascii="Times New Roman" w:hAnsi="Times New Roman"/>
          <w:iCs/>
          <w:sz w:val="24"/>
          <w:szCs w:val="24"/>
          <w:lang w:val="en-US" w:eastAsia="en-GB"/>
        </w:rPr>
        <w:t xml:space="preserve">ODIHR </w:t>
      </w:r>
      <w:r w:rsidRPr="0024642A">
        <w:rPr>
          <w:rFonts w:ascii="Times New Roman" w:hAnsi="Times New Roman"/>
          <w:iCs/>
          <w:sz w:val="24"/>
          <w:szCs w:val="24"/>
          <w:lang w:val="en-US" w:eastAsia="en-GB"/>
        </w:rPr>
        <w:t xml:space="preserve">submission to the </w:t>
      </w:r>
      <w:r w:rsidRPr="0024642A">
        <w:rPr>
          <w:rFonts w:ascii="Times New Roman" w:hAnsi="Times New Roman"/>
          <w:i/>
          <w:iCs/>
          <w:sz w:val="24"/>
          <w:szCs w:val="24"/>
          <w:lang w:val="en-US" w:eastAsia="en-GB"/>
        </w:rPr>
        <w:t>UN Study on the right to participate in public affairs</w:t>
      </w:r>
      <w:r w:rsidRPr="0024642A">
        <w:rPr>
          <w:rFonts w:ascii="Times New Roman" w:hAnsi="Times New Roman"/>
          <w:iCs/>
          <w:sz w:val="24"/>
          <w:szCs w:val="24"/>
          <w:lang w:val="en-US" w:eastAsia="en-GB"/>
        </w:rPr>
        <w:t>, the 2010</w:t>
      </w:r>
      <w:r w:rsidR="0000011B" w:rsidRPr="0024642A">
        <w:rPr>
          <w:rFonts w:ascii="Times New Roman" w:hAnsi="Times New Roman"/>
          <w:iCs/>
          <w:sz w:val="24"/>
          <w:szCs w:val="24"/>
          <w:lang w:val="en-US" w:eastAsia="en-GB"/>
        </w:rPr>
        <w:t xml:space="preserve"> </w:t>
      </w:r>
      <w:r w:rsidR="0000011B" w:rsidRPr="0024642A">
        <w:rPr>
          <w:rFonts w:ascii="Times New Roman" w:hAnsi="Times New Roman"/>
          <w:i/>
          <w:iCs/>
          <w:sz w:val="24"/>
          <w:szCs w:val="24"/>
          <w:lang w:val="en-US" w:eastAsia="en-GB"/>
        </w:rPr>
        <w:t>ODIHR-Venice Commission Guidelines on Political Party Regulation (2010)</w:t>
      </w:r>
      <w:r w:rsidR="0000011B" w:rsidRPr="0024642A">
        <w:rPr>
          <w:rStyle w:val="FootnoteReference"/>
          <w:rFonts w:ascii="Times New Roman" w:hAnsi="Times New Roman"/>
          <w:iCs/>
          <w:sz w:val="24"/>
          <w:szCs w:val="24"/>
          <w:lang w:val="en-US" w:eastAsia="en-GB"/>
        </w:rPr>
        <w:footnoteReference w:id="1"/>
      </w:r>
      <w:r w:rsidR="0000011B" w:rsidRPr="0024642A">
        <w:rPr>
          <w:rFonts w:ascii="Times New Roman" w:hAnsi="Times New Roman"/>
          <w:iCs/>
          <w:sz w:val="24"/>
          <w:szCs w:val="24"/>
          <w:lang w:val="en-US" w:eastAsia="en-GB"/>
        </w:rPr>
        <w:t xml:space="preserve"> </w:t>
      </w:r>
      <w:r w:rsidR="008237E7" w:rsidRPr="0024642A">
        <w:rPr>
          <w:rFonts w:ascii="Times New Roman" w:hAnsi="Times New Roman"/>
          <w:iCs/>
          <w:sz w:val="24"/>
          <w:szCs w:val="24"/>
          <w:lang w:val="en-US" w:eastAsia="en-GB"/>
        </w:rPr>
        <w:t xml:space="preserve">give concrete guidance to lawmakers with respect to the </w:t>
      </w:r>
      <w:r w:rsidR="00F3546F" w:rsidRPr="0024642A">
        <w:rPr>
          <w:rFonts w:ascii="Times New Roman" w:hAnsi="Times New Roman"/>
          <w:iCs/>
          <w:sz w:val="24"/>
          <w:szCs w:val="24"/>
          <w:lang w:val="en-US" w:eastAsia="en-GB"/>
        </w:rPr>
        <w:t>facilitation of political participation, also</w:t>
      </w:r>
      <w:r w:rsidR="008237E7" w:rsidRPr="0024642A">
        <w:rPr>
          <w:rFonts w:ascii="Times New Roman" w:hAnsi="Times New Roman"/>
          <w:iCs/>
          <w:sz w:val="24"/>
          <w:szCs w:val="24"/>
          <w:lang w:val="en-US" w:eastAsia="en-GB"/>
        </w:rPr>
        <w:t xml:space="preserve"> within internal political party structures and in the wider electoral process. </w:t>
      </w:r>
      <w:r w:rsidR="0064428F" w:rsidRPr="0024642A">
        <w:rPr>
          <w:rFonts w:ascii="Times New Roman" w:hAnsi="Times New Roman"/>
          <w:iCs/>
          <w:sz w:val="24"/>
          <w:szCs w:val="24"/>
          <w:lang w:val="en-US" w:eastAsia="en-GB"/>
        </w:rPr>
        <w:t xml:space="preserve">ODIHR’s 2015 </w:t>
      </w:r>
      <w:hyperlink r:id="rId9" w:history="1">
        <w:r w:rsidR="0064428F" w:rsidRPr="0024642A">
          <w:rPr>
            <w:rStyle w:val="Hyperlink"/>
            <w:rFonts w:ascii="Times New Roman" w:hAnsi="Times New Roman"/>
            <w:i/>
            <w:iCs/>
            <w:sz w:val="24"/>
            <w:szCs w:val="24"/>
            <w:lang w:val="en-US" w:eastAsia="en-GB"/>
          </w:rPr>
          <w:t>Compendium of Good Practices for Advancing Women’s Political Participation in the OSCE Region</w:t>
        </w:r>
      </w:hyperlink>
      <w:r w:rsidR="0064428F" w:rsidRPr="0024642A">
        <w:rPr>
          <w:rFonts w:ascii="Times New Roman" w:hAnsi="Times New Roman"/>
          <w:i/>
          <w:iCs/>
          <w:sz w:val="24"/>
          <w:szCs w:val="24"/>
          <w:lang w:val="en-US" w:eastAsia="en-GB"/>
        </w:rPr>
        <w:t xml:space="preserve"> </w:t>
      </w:r>
      <w:r w:rsidR="0064428F" w:rsidRPr="0024642A">
        <w:rPr>
          <w:rFonts w:ascii="Times New Roman" w:hAnsi="Times New Roman"/>
          <w:iCs/>
          <w:sz w:val="24"/>
          <w:szCs w:val="24"/>
          <w:lang w:val="en-US" w:eastAsia="en-GB"/>
        </w:rPr>
        <w:t>reflects on where progress has been made and identifies some of the continuing challenges in achieving gender equality in politics. The publication explores the participation of women through political parties, in elections, local politics and in parliaments, recognizing that these should be seen as connected and related areas.</w:t>
      </w:r>
    </w:p>
    <w:p w:rsidR="00E27F67" w:rsidRDefault="00E27F67" w:rsidP="0024642A">
      <w:pPr>
        <w:jc w:val="both"/>
        <w:rPr>
          <w:rFonts w:ascii="Times New Roman" w:hAnsi="Times New Roman"/>
          <w:iCs/>
          <w:sz w:val="24"/>
          <w:szCs w:val="24"/>
          <w:lang w:val="en-US" w:eastAsia="en-GB"/>
        </w:rPr>
      </w:pPr>
    </w:p>
    <w:p w:rsidR="00A34E3F" w:rsidRPr="0024642A" w:rsidRDefault="008237E7" w:rsidP="0024642A">
      <w:pPr>
        <w:jc w:val="both"/>
        <w:rPr>
          <w:rFonts w:ascii="Times New Roman" w:hAnsi="Times New Roman"/>
          <w:iCs/>
          <w:sz w:val="24"/>
          <w:szCs w:val="24"/>
          <w:lang w:val="en-US" w:eastAsia="en-GB"/>
        </w:rPr>
      </w:pPr>
      <w:r w:rsidRPr="0024642A">
        <w:rPr>
          <w:rFonts w:ascii="Times New Roman" w:hAnsi="Times New Roman"/>
          <w:iCs/>
          <w:sz w:val="24"/>
          <w:szCs w:val="24"/>
          <w:lang w:val="en-US" w:eastAsia="en-GB"/>
        </w:rPr>
        <w:t xml:space="preserve">The </w:t>
      </w:r>
      <w:hyperlink r:id="rId10" w:history="1">
        <w:r w:rsidRPr="0024642A">
          <w:rPr>
            <w:rStyle w:val="Hyperlink"/>
            <w:rFonts w:ascii="Times New Roman" w:hAnsi="Times New Roman"/>
            <w:i/>
            <w:iCs/>
            <w:sz w:val="24"/>
            <w:szCs w:val="24"/>
            <w:lang w:val="en-US" w:eastAsia="en-GB"/>
          </w:rPr>
          <w:t>ODIHR-Venice Commission Guidelines on Political Party Regulation</w:t>
        </w:r>
      </w:hyperlink>
      <w:r w:rsidRPr="0024642A">
        <w:rPr>
          <w:rFonts w:ascii="Times New Roman" w:hAnsi="Times New Roman"/>
          <w:i/>
          <w:iCs/>
          <w:sz w:val="24"/>
          <w:szCs w:val="24"/>
          <w:lang w:val="en-US" w:eastAsia="en-GB"/>
        </w:rPr>
        <w:t xml:space="preserve"> </w:t>
      </w:r>
      <w:r w:rsidRPr="0024642A">
        <w:rPr>
          <w:rFonts w:ascii="Times New Roman" w:hAnsi="Times New Roman"/>
          <w:iCs/>
          <w:sz w:val="24"/>
          <w:szCs w:val="24"/>
          <w:lang w:val="en-US" w:eastAsia="en-GB"/>
        </w:rPr>
        <w:t xml:space="preserve">are currently undergoing an update and the new edition, which will be launched in 2018, </w:t>
      </w:r>
      <w:r w:rsidR="00CF5D05" w:rsidRPr="0024642A">
        <w:rPr>
          <w:rFonts w:ascii="Times New Roman" w:hAnsi="Times New Roman"/>
          <w:iCs/>
          <w:sz w:val="24"/>
          <w:szCs w:val="24"/>
          <w:lang w:val="en-US" w:eastAsia="en-GB"/>
        </w:rPr>
        <w:t>and</w:t>
      </w:r>
      <w:r w:rsidR="00F3546F" w:rsidRPr="0024642A">
        <w:rPr>
          <w:rFonts w:ascii="Times New Roman" w:hAnsi="Times New Roman"/>
          <w:iCs/>
          <w:sz w:val="24"/>
          <w:szCs w:val="24"/>
          <w:lang w:val="en-US" w:eastAsia="en-GB"/>
        </w:rPr>
        <w:t xml:space="preserve"> </w:t>
      </w:r>
      <w:r w:rsidRPr="0024642A">
        <w:rPr>
          <w:rFonts w:ascii="Times New Roman" w:hAnsi="Times New Roman"/>
          <w:iCs/>
          <w:sz w:val="24"/>
          <w:szCs w:val="24"/>
          <w:lang w:val="en-US" w:eastAsia="en-GB"/>
        </w:rPr>
        <w:t>will mainstream gender aspects throughout the guidelines and ensure that political participation of women is tak</w:t>
      </w:r>
      <w:r w:rsidR="00472755" w:rsidRPr="0024642A">
        <w:rPr>
          <w:rFonts w:ascii="Times New Roman" w:hAnsi="Times New Roman"/>
          <w:iCs/>
          <w:sz w:val="24"/>
          <w:szCs w:val="24"/>
          <w:lang w:val="en-US" w:eastAsia="en-GB"/>
        </w:rPr>
        <w:t>en into account by lawmakers when drafting any regulation on political parties without</w:t>
      </w:r>
      <w:r w:rsidR="00F3546F" w:rsidRPr="0024642A">
        <w:rPr>
          <w:rFonts w:ascii="Times New Roman" w:hAnsi="Times New Roman"/>
          <w:iCs/>
          <w:sz w:val="24"/>
          <w:szCs w:val="24"/>
          <w:lang w:val="en-US" w:eastAsia="en-GB"/>
        </w:rPr>
        <w:t>, however,</w:t>
      </w:r>
      <w:r w:rsidR="00472755" w:rsidRPr="0024642A">
        <w:rPr>
          <w:rFonts w:ascii="Times New Roman" w:hAnsi="Times New Roman"/>
          <w:iCs/>
          <w:sz w:val="24"/>
          <w:szCs w:val="24"/>
          <w:lang w:val="en-US" w:eastAsia="en-GB"/>
        </w:rPr>
        <w:t xml:space="preserve"> impeding party autonomy. Additionally, the new edition of</w:t>
      </w:r>
      <w:r w:rsidR="00A34E3F" w:rsidRPr="0024642A">
        <w:rPr>
          <w:rFonts w:ascii="Times New Roman" w:hAnsi="Times New Roman"/>
          <w:iCs/>
          <w:sz w:val="24"/>
          <w:szCs w:val="24"/>
          <w:lang w:val="en-US" w:eastAsia="en-GB"/>
        </w:rPr>
        <w:t xml:space="preserve"> the </w:t>
      </w:r>
      <w:r w:rsidR="00F3546F" w:rsidRPr="0024642A">
        <w:rPr>
          <w:rFonts w:ascii="Times New Roman" w:hAnsi="Times New Roman"/>
          <w:i/>
          <w:iCs/>
          <w:sz w:val="24"/>
          <w:szCs w:val="24"/>
          <w:lang w:val="en-US" w:eastAsia="en-GB"/>
        </w:rPr>
        <w:t xml:space="preserve">ODIHR-Venice Commission Guidelines on Political Party Regulation </w:t>
      </w:r>
      <w:r w:rsidR="00A34E3F" w:rsidRPr="0024642A">
        <w:rPr>
          <w:rFonts w:ascii="Times New Roman" w:hAnsi="Times New Roman"/>
          <w:iCs/>
          <w:sz w:val="24"/>
          <w:szCs w:val="24"/>
          <w:lang w:val="en-US" w:eastAsia="en-GB"/>
        </w:rPr>
        <w:t xml:space="preserve">will highlight the political wider diversity aspects by outlining standards and good practices on the political participation of persons belonging to national minorities, </w:t>
      </w:r>
      <w:r w:rsidR="00911C35" w:rsidRPr="0024642A">
        <w:rPr>
          <w:rFonts w:ascii="Times New Roman" w:hAnsi="Times New Roman"/>
          <w:iCs/>
          <w:sz w:val="24"/>
          <w:szCs w:val="24"/>
          <w:lang w:val="en-US" w:eastAsia="en-GB"/>
        </w:rPr>
        <w:t>young people</w:t>
      </w:r>
      <w:r w:rsidR="00A34E3F" w:rsidRPr="0024642A">
        <w:rPr>
          <w:rFonts w:ascii="Times New Roman" w:hAnsi="Times New Roman"/>
          <w:iCs/>
          <w:sz w:val="24"/>
          <w:szCs w:val="24"/>
          <w:lang w:val="en-US" w:eastAsia="en-GB"/>
        </w:rPr>
        <w:t>, persons with disabilities and foreign nationals.</w:t>
      </w:r>
    </w:p>
    <w:p w:rsidR="00A34E3F" w:rsidRPr="0024642A" w:rsidRDefault="00A34E3F" w:rsidP="0024642A">
      <w:pPr>
        <w:jc w:val="both"/>
        <w:rPr>
          <w:rFonts w:ascii="Times New Roman" w:hAnsi="Times New Roman"/>
          <w:iCs/>
          <w:sz w:val="24"/>
          <w:szCs w:val="24"/>
          <w:lang w:val="en-US" w:eastAsia="en-GB"/>
        </w:rPr>
      </w:pPr>
    </w:p>
    <w:p w:rsidR="0000011B" w:rsidRPr="0024642A" w:rsidRDefault="00F3546F" w:rsidP="0024642A">
      <w:pPr>
        <w:jc w:val="both"/>
        <w:rPr>
          <w:rFonts w:ascii="Times New Roman" w:hAnsi="Times New Roman"/>
          <w:color w:val="000000" w:themeColor="text1"/>
          <w:sz w:val="24"/>
          <w:szCs w:val="24"/>
        </w:rPr>
      </w:pPr>
      <w:r w:rsidRPr="0024642A">
        <w:rPr>
          <w:rFonts w:ascii="Times New Roman" w:hAnsi="Times New Roman"/>
          <w:b/>
          <w:bCs/>
          <w:color w:val="000000" w:themeColor="text1"/>
          <w:sz w:val="24"/>
          <w:szCs w:val="24"/>
        </w:rPr>
        <w:t>The process of p</w:t>
      </w:r>
      <w:r w:rsidR="0000011B" w:rsidRPr="0024642A">
        <w:rPr>
          <w:rFonts w:ascii="Times New Roman" w:hAnsi="Times New Roman"/>
          <w:b/>
          <w:bCs/>
          <w:color w:val="000000" w:themeColor="text1"/>
          <w:sz w:val="24"/>
          <w:szCs w:val="24"/>
        </w:rPr>
        <w:t>olitical appointments and representation within public bodies/institutions</w:t>
      </w:r>
      <w:r w:rsidR="0000011B" w:rsidRPr="0024642A">
        <w:rPr>
          <w:rFonts w:ascii="Times New Roman" w:hAnsi="Times New Roman"/>
          <w:color w:val="000000" w:themeColor="text1"/>
          <w:sz w:val="24"/>
          <w:szCs w:val="24"/>
        </w:rPr>
        <w:t xml:space="preserve"> </w:t>
      </w:r>
    </w:p>
    <w:p w:rsidR="0000011B" w:rsidRPr="0024642A" w:rsidRDefault="0000011B" w:rsidP="0024642A">
      <w:pPr>
        <w:jc w:val="both"/>
        <w:rPr>
          <w:rFonts w:ascii="Times New Roman" w:hAnsi="Times New Roman"/>
          <w:color w:val="FF0000"/>
          <w:sz w:val="24"/>
          <w:szCs w:val="24"/>
        </w:rPr>
      </w:pPr>
    </w:p>
    <w:p w:rsidR="0000011B" w:rsidRPr="0024642A" w:rsidRDefault="0000011B" w:rsidP="0024642A">
      <w:pPr>
        <w:tabs>
          <w:tab w:val="left" w:pos="284"/>
        </w:tabs>
        <w:autoSpaceDE w:val="0"/>
        <w:autoSpaceDN w:val="0"/>
        <w:adjustRightInd w:val="0"/>
        <w:jc w:val="both"/>
        <w:rPr>
          <w:rFonts w:ascii="Times New Roman" w:hAnsi="Times New Roman"/>
          <w:color w:val="000000" w:themeColor="text1"/>
          <w:sz w:val="24"/>
          <w:szCs w:val="24"/>
        </w:rPr>
      </w:pPr>
      <w:r w:rsidRPr="0024642A">
        <w:rPr>
          <w:rFonts w:ascii="Times New Roman" w:hAnsi="Times New Roman"/>
          <w:color w:val="000000" w:themeColor="text1"/>
          <w:sz w:val="24"/>
          <w:szCs w:val="24"/>
        </w:rPr>
        <w:t>T</w:t>
      </w:r>
      <w:r w:rsidRPr="0024642A">
        <w:rPr>
          <w:rFonts w:ascii="Times New Roman" w:eastAsia="Times New Roman" w:hAnsi="Times New Roman"/>
          <w:color w:val="000000" w:themeColor="text1"/>
          <w:sz w:val="24"/>
          <w:szCs w:val="24"/>
          <w:lang w:eastAsia="en-GB"/>
        </w:rPr>
        <w:t>he 2009 OSCE Ministerial Council decision on Women’s Participation in Political and Public Life</w:t>
      </w:r>
      <w:r w:rsidRPr="0024642A">
        <w:rPr>
          <w:rFonts w:ascii="Times New Roman" w:eastAsia="Times New Roman" w:hAnsi="Times New Roman"/>
          <w:color w:val="000000" w:themeColor="text1"/>
          <w:sz w:val="24"/>
          <w:szCs w:val="24"/>
          <w:vertAlign w:val="superscript"/>
          <w:lang w:eastAsia="en-GB"/>
        </w:rPr>
        <w:footnoteReference w:id="2"/>
      </w:r>
      <w:r w:rsidRPr="0024642A">
        <w:rPr>
          <w:rFonts w:ascii="Times New Roman" w:eastAsia="Times New Roman" w:hAnsi="Times New Roman"/>
          <w:color w:val="000000" w:themeColor="text1"/>
          <w:sz w:val="24"/>
          <w:szCs w:val="24"/>
          <w:lang w:eastAsia="en-GB"/>
        </w:rPr>
        <w:t xml:space="preserve"> calls upon OSCE participating States to consider </w:t>
      </w:r>
      <w:r w:rsidRPr="0024642A">
        <w:rPr>
          <w:rFonts w:ascii="Times New Roman" w:hAnsi="Times New Roman"/>
          <w:color w:val="000000" w:themeColor="text1"/>
          <w:sz w:val="24"/>
          <w:szCs w:val="24"/>
        </w:rPr>
        <w:t xml:space="preserve">possible legislative measures, to facilitate a more balanced participation of women and men in political and public life, </w:t>
      </w:r>
      <w:r w:rsidRPr="0024642A">
        <w:rPr>
          <w:rFonts w:ascii="Times New Roman" w:hAnsi="Times New Roman"/>
          <w:i/>
          <w:color w:val="000000" w:themeColor="text1"/>
          <w:sz w:val="24"/>
          <w:szCs w:val="24"/>
        </w:rPr>
        <w:t xml:space="preserve">and </w:t>
      </w:r>
      <w:r w:rsidRPr="0024642A">
        <w:rPr>
          <w:rFonts w:ascii="Times New Roman" w:hAnsi="Times New Roman"/>
          <w:i/>
          <w:color w:val="000000" w:themeColor="text1"/>
          <w:sz w:val="24"/>
          <w:szCs w:val="24"/>
        </w:rPr>
        <w:lastRenderedPageBreak/>
        <w:t xml:space="preserve">especially in decision-making; </w:t>
      </w:r>
      <w:r w:rsidRPr="0024642A">
        <w:rPr>
          <w:rFonts w:ascii="Times New Roman" w:hAnsi="Times New Roman"/>
          <w:color w:val="000000" w:themeColor="text1"/>
          <w:sz w:val="24"/>
          <w:szCs w:val="24"/>
        </w:rPr>
        <w:t xml:space="preserve">it encourages participating States to consider providing for specific measures to achieve the goal of gender balance in all legislative, judicial and executive bodies, including security services, such as police services. </w:t>
      </w:r>
      <w:r w:rsidR="00B26039" w:rsidRPr="0024642A">
        <w:rPr>
          <w:rFonts w:ascii="Times New Roman" w:hAnsi="Times New Roman"/>
          <w:color w:val="000000" w:themeColor="text1"/>
          <w:sz w:val="24"/>
          <w:szCs w:val="24"/>
        </w:rPr>
        <w:t>The Decision also encourages “all political actors to promote equal participation of women and men in political parties, with a view to achieving better gender-balanced representation in elected public offices at all levels of decision-making”.</w:t>
      </w:r>
      <w:r w:rsidR="003F7F27" w:rsidRPr="0024642A">
        <w:rPr>
          <w:rFonts w:ascii="Times New Roman" w:hAnsi="Times New Roman"/>
          <w:sz w:val="24"/>
          <w:szCs w:val="24"/>
        </w:rPr>
        <w:t xml:space="preserve"> The 2013 OSCE Ministerial Council </w:t>
      </w:r>
      <w:r w:rsidR="00700FDF" w:rsidRPr="0024642A">
        <w:rPr>
          <w:rFonts w:ascii="Times New Roman" w:hAnsi="Times New Roman"/>
          <w:sz w:val="24"/>
          <w:szCs w:val="24"/>
        </w:rPr>
        <w:t>D</w:t>
      </w:r>
      <w:r w:rsidR="003F7F27" w:rsidRPr="0024642A">
        <w:rPr>
          <w:rFonts w:ascii="Times New Roman" w:hAnsi="Times New Roman"/>
          <w:sz w:val="24"/>
          <w:szCs w:val="24"/>
        </w:rPr>
        <w:t xml:space="preserve">ecision </w:t>
      </w:r>
      <w:r w:rsidR="00700FDF" w:rsidRPr="0024642A">
        <w:rPr>
          <w:rFonts w:ascii="Times New Roman" w:hAnsi="Times New Roman"/>
          <w:sz w:val="24"/>
          <w:szCs w:val="24"/>
        </w:rPr>
        <w:t xml:space="preserve">No. </w:t>
      </w:r>
      <w:r w:rsidR="003F7F27" w:rsidRPr="0024642A">
        <w:rPr>
          <w:rFonts w:ascii="Times New Roman" w:hAnsi="Times New Roman"/>
          <w:sz w:val="24"/>
          <w:szCs w:val="24"/>
        </w:rPr>
        <w:t xml:space="preserve">4/13 also commits </w:t>
      </w:r>
      <w:r w:rsidR="00700FDF" w:rsidRPr="0024642A">
        <w:rPr>
          <w:rFonts w:ascii="Times New Roman" w:hAnsi="Times New Roman"/>
          <w:sz w:val="24"/>
          <w:szCs w:val="24"/>
        </w:rPr>
        <w:t xml:space="preserve">the </w:t>
      </w:r>
      <w:r w:rsidR="003F7F27" w:rsidRPr="0024642A">
        <w:rPr>
          <w:rFonts w:ascii="Times New Roman" w:hAnsi="Times New Roman"/>
          <w:sz w:val="24"/>
          <w:szCs w:val="24"/>
        </w:rPr>
        <w:t>participatin</w:t>
      </w:r>
      <w:r w:rsidR="00700FDF" w:rsidRPr="0024642A">
        <w:rPr>
          <w:rFonts w:ascii="Times New Roman" w:hAnsi="Times New Roman"/>
          <w:sz w:val="24"/>
          <w:szCs w:val="24"/>
        </w:rPr>
        <w:t>g</w:t>
      </w:r>
      <w:r w:rsidR="003F7F27" w:rsidRPr="0024642A">
        <w:rPr>
          <w:rFonts w:ascii="Times New Roman" w:hAnsi="Times New Roman"/>
          <w:sz w:val="24"/>
          <w:szCs w:val="24"/>
        </w:rPr>
        <w:t xml:space="preserve"> States </w:t>
      </w:r>
      <w:r w:rsidR="00700FDF" w:rsidRPr="0024642A">
        <w:rPr>
          <w:rFonts w:ascii="Times New Roman" w:hAnsi="Times New Roman"/>
          <w:sz w:val="24"/>
          <w:szCs w:val="24"/>
        </w:rPr>
        <w:t>to</w:t>
      </w:r>
      <w:r w:rsidR="003F7F27" w:rsidRPr="0024642A">
        <w:rPr>
          <w:rFonts w:ascii="Times New Roman" w:hAnsi="Times New Roman"/>
          <w:sz w:val="24"/>
          <w:szCs w:val="24"/>
        </w:rPr>
        <w:t xml:space="preserve"> “promoting the effective and equal participation of Roma and Sinti women in public and political life, including through the promotion of women’s access to public office, public administration and decision making positions</w:t>
      </w:r>
      <w:r w:rsidR="00700FDF" w:rsidRPr="0024642A">
        <w:rPr>
          <w:rFonts w:ascii="Times New Roman" w:hAnsi="Times New Roman"/>
          <w:sz w:val="24"/>
          <w:szCs w:val="24"/>
        </w:rPr>
        <w:t>.</w:t>
      </w:r>
      <w:r w:rsidR="003F7F27" w:rsidRPr="0024642A">
        <w:rPr>
          <w:rFonts w:ascii="Times New Roman" w:hAnsi="Times New Roman"/>
          <w:sz w:val="24"/>
          <w:szCs w:val="24"/>
        </w:rPr>
        <w:t>”</w:t>
      </w:r>
      <w:r w:rsidR="003F7F27" w:rsidRPr="0024642A">
        <w:rPr>
          <w:rStyle w:val="FootnoteReference"/>
          <w:rFonts w:ascii="Times New Roman" w:hAnsi="Times New Roman"/>
          <w:sz w:val="24"/>
          <w:szCs w:val="24"/>
        </w:rPr>
        <w:footnoteReference w:id="3"/>
      </w:r>
      <w:r w:rsidR="003F7F27" w:rsidRPr="0024642A">
        <w:rPr>
          <w:rFonts w:ascii="Times New Roman" w:hAnsi="Times New Roman"/>
          <w:sz w:val="24"/>
          <w:szCs w:val="24"/>
        </w:rPr>
        <w:t xml:space="preserve"> </w:t>
      </w:r>
      <w:r w:rsidR="00B26039" w:rsidRPr="0024642A">
        <w:rPr>
          <w:rFonts w:ascii="Times New Roman" w:hAnsi="Times New Roman"/>
          <w:color w:val="000000" w:themeColor="text1"/>
          <w:sz w:val="24"/>
          <w:szCs w:val="24"/>
        </w:rPr>
        <w:t xml:space="preserve"> </w:t>
      </w:r>
      <w:r w:rsidR="009930F3" w:rsidRPr="0024642A">
        <w:rPr>
          <w:rFonts w:ascii="Times New Roman" w:hAnsi="Times New Roman"/>
          <w:sz w:val="24"/>
          <w:szCs w:val="24"/>
          <w:lang w:val="en-US"/>
        </w:rPr>
        <w:t>OSCE commitments related to political participation of persons with disabilities date back to the Moscow 1991 meeting, where the OSCE participating States committed “to take steps to ensure the equal opportunity of such persons to participate ful</w:t>
      </w:r>
      <w:r w:rsidR="008C54D4" w:rsidRPr="0024642A">
        <w:rPr>
          <w:rFonts w:ascii="Times New Roman" w:hAnsi="Times New Roman"/>
          <w:sz w:val="24"/>
          <w:szCs w:val="24"/>
          <w:lang w:val="en-US"/>
        </w:rPr>
        <w:t xml:space="preserve">ly in the life of their society” </w:t>
      </w:r>
      <w:r w:rsidR="009930F3" w:rsidRPr="0024642A">
        <w:rPr>
          <w:rFonts w:ascii="Times New Roman" w:hAnsi="Times New Roman"/>
          <w:sz w:val="24"/>
          <w:szCs w:val="24"/>
          <w:lang w:val="en-US"/>
        </w:rPr>
        <w:t>and to “promote the appropriate participation of such persons in decision-making in field</w:t>
      </w:r>
      <w:r w:rsidR="008C54D4" w:rsidRPr="0024642A">
        <w:rPr>
          <w:rFonts w:ascii="Times New Roman" w:hAnsi="Times New Roman"/>
          <w:sz w:val="24"/>
          <w:szCs w:val="24"/>
          <w:lang w:val="en-US"/>
        </w:rPr>
        <w:t>s concerning them.”</w:t>
      </w:r>
      <w:r w:rsidR="009930F3" w:rsidRPr="0024642A">
        <w:rPr>
          <w:rStyle w:val="FootnoteReference"/>
          <w:rFonts w:ascii="Times New Roman" w:hAnsi="Times New Roman"/>
          <w:sz w:val="24"/>
          <w:szCs w:val="24"/>
          <w:lang w:val="en-US"/>
        </w:rPr>
        <w:footnoteReference w:id="4"/>
      </w:r>
      <w:r w:rsidR="009930F3" w:rsidRPr="0024642A">
        <w:rPr>
          <w:rFonts w:ascii="Times New Roman" w:hAnsi="Times New Roman"/>
          <w:sz w:val="24"/>
          <w:szCs w:val="24"/>
          <w:lang w:val="en-US"/>
        </w:rPr>
        <w:t xml:space="preserve"> </w:t>
      </w:r>
      <w:r w:rsidRPr="0024642A">
        <w:rPr>
          <w:rFonts w:ascii="Times New Roman" w:hAnsi="Times New Roman"/>
          <w:color w:val="000000" w:themeColor="text1"/>
          <w:sz w:val="24"/>
          <w:szCs w:val="24"/>
        </w:rPr>
        <w:t xml:space="preserve">Specifically regarding the composition of the judiciary, the </w:t>
      </w:r>
      <w:r w:rsidRPr="0024642A">
        <w:rPr>
          <w:rFonts w:ascii="Times New Roman" w:eastAsia="Times New Roman" w:hAnsi="Times New Roman"/>
          <w:color w:val="000000" w:themeColor="text1"/>
          <w:sz w:val="24"/>
          <w:szCs w:val="24"/>
          <w:lang w:eastAsia="en-GB"/>
        </w:rPr>
        <w:t>ODIHR Kyiv Recommendations on Judicial Independence in Eastern Europe, South Caucasus and Central Asia state that “</w:t>
      </w:r>
      <w:r w:rsidRPr="0024642A">
        <w:rPr>
          <w:rFonts w:ascii="Times New Roman" w:hAnsi="Times New Roman"/>
          <w:color w:val="000000" w:themeColor="text1"/>
          <w:sz w:val="24"/>
          <w:szCs w:val="24"/>
        </w:rPr>
        <w:t>it would be desirable that the composition of the judiciary reflects the composition of the population as a whole.”</w:t>
      </w:r>
      <w:r w:rsidR="00F06282" w:rsidRPr="0024642A">
        <w:rPr>
          <w:rStyle w:val="FootnoteReference"/>
          <w:rFonts w:ascii="Times New Roman" w:hAnsi="Times New Roman"/>
          <w:color w:val="000000" w:themeColor="text1"/>
          <w:sz w:val="24"/>
          <w:szCs w:val="24"/>
        </w:rPr>
        <w:footnoteReference w:id="5"/>
      </w:r>
    </w:p>
    <w:p w:rsidR="0000011B" w:rsidRPr="0024642A" w:rsidRDefault="0000011B" w:rsidP="0024642A">
      <w:pPr>
        <w:jc w:val="both"/>
        <w:rPr>
          <w:rFonts w:ascii="Times New Roman" w:hAnsi="Times New Roman"/>
          <w:color w:val="000000" w:themeColor="text1"/>
          <w:sz w:val="24"/>
          <w:szCs w:val="24"/>
          <w:lang w:val="en-AU"/>
        </w:rPr>
      </w:pPr>
    </w:p>
    <w:p w:rsidR="0000011B" w:rsidRPr="0024642A" w:rsidRDefault="0000011B" w:rsidP="0024642A">
      <w:pPr>
        <w:jc w:val="both"/>
        <w:rPr>
          <w:rFonts w:ascii="Times New Roman" w:hAnsi="Times New Roman"/>
          <w:color w:val="000000" w:themeColor="text1"/>
          <w:sz w:val="24"/>
          <w:szCs w:val="24"/>
        </w:rPr>
      </w:pPr>
      <w:r w:rsidRPr="0024642A">
        <w:rPr>
          <w:rFonts w:ascii="Times New Roman" w:hAnsi="Times New Roman"/>
          <w:color w:val="000000" w:themeColor="text1"/>
          <w:sz w:val="24"/>
          <w:szCs w:val="24"/>
        </w:rPr>
        <w:t xml:space="preserve">Therefore, ODIHR generally welcomes attempts or recommends </w:t>
      </w:r>
      <w:r w:rsidR="00A757CE" w:rsidRPr="0024642A">
        <w:rPr>
          <w:rFonts w:ascii="Times New Roman" w:hAnsi="Times New Roman"/>
          <w:color w:val="000000" w:themeColor="text1"/>
          <w:sz w:val="24"/>
          <w:szCs w:val="24"/>
        </w:rPr>
        <w:t>introducing</w:t>
      </w:r>
      <w:r w:rsidRPr="0024642A">
        <w:rPr>
          <w:rFonts w:ascii="Times New Roman" w:hAnsi="Times New Roman"/>
          <w:color w:val="000000" w:themeColor="text1"/>
          <w:sz w:val="24"/>
          <w:szCs w:val="24"/>
        </w:rPr>
        <w:t xml:space="preserve"> provisions, such as gender balance requirements, to selected legislation to achieve a more balanced representation of women and men in political offices or other publicly appointed functions, or more generally within public bodies/institutions, such as the judiciary and security services, including the police.</w:t>
      </w:r>
      <w:r w:rsidRPr="0024642A">
        <w:rPr>
          <w:rStyle w:val="FootnoteReference"/>
          <w:rFonts w:ascii="Times New Roman" w:hAnsi="Times New Roman"/>
          <w:color w:val="000000" w:themeColor="text1"/>
          <w:sz w:val="24"/>
          <w:szCs w:val="24"/>
        </w:rPr>
        <w:footnoteReference w:id="6"/>
      </w:r>
      <w:r w:rsidRPr="0024642A">
        <w:rPr>
          <w:rFonts w:ascii="Times New Roman" w:hAnsi="Times New Roman"/>
          <w:color w:val="000000" w:themeColor="text1"/>
          <w:sz w:val="24"/>
          <w:szCs w:val="24"/>
        </w:rPr>
        <w:t xml:space="preserve"> At the same time, ODIHR often notes that proposed legislative provisions are unlikely to be implemented and generally provides, when this is applicable, the following recommendations to enhance their effectiveness:</w:t>
      </w:r>
    </w:p>
    <w:p w:rsidR="0000011B" w:rsidRPr="0024642A" w:rsidRDefault="0000011B" w:rsidP="0024642A">
      <w:pPr>
        <w:pStyle w:val="ListParagraph"/>
        <w:numPr>
          <w:ilvl w:val="0"/>
          <w:numId w:val="2"/>
        </w:numPr>
        <w:ind w:left="284" w:hanging="284"/>
        <w:jc w:val="both"/>
        <w:rPr>
          <w:rFonts w:ascii="Times New Roman" w:hAnsi="Times New Roman"/>
          <w:color w:val="000000" w:themeColor="text1"/>
          <w:sz w:val="24"/>
          <w:szCs w:val="24"/>
        </w:rPr>
      </w:pPr>
      <w:r w:rsidRPr="0024642A">
        <w:rPr>
          <w:rFonts w:ascii="Times New Roman" w:hAnsi="Times New Roman"/>
          <w:color w:val="000000" w:themeColor="text1"/>
          <w:sz w:val="24"/>
          <w:szCs w:val="24"/>
        </w:rPr>
        <w:t>to ensure that the requirement for gender balance is introduced, as appropriate, in both the nomination process to propose candidates for the positions as well as in the rules and procedures governing designation/appointment/election to the said positions;</w:t>
      </w:r>
      <w:r w:rsidRPr="0024642A">
        <w:rPr>
          <w:rStyle w:val="FootnoteReference"/>
          <w:rFonts w:ascii="Times New Roman" w:hAnsi="Times New Roman"/>
          <w:color w:val="000000" w:themeColor="text1"/>
          <w:sz w:val="24"/>
          <w:szCs w:val="24"/>
        </w:rPr>
        <w:footnoteReference w:id="7"/>
      </w:r>
    </w:p>
    <w:p w:rsidR="0000011B" w:rsidRPr="0024642A" w:rsidRDefault="0000011B" w:rsidP="0024642A">
      <w:pPr>
        <w:pStyle w:val="ListParagraph"/>
        <w:numPr>
          <w:ilvl w:val="0"/>
          <w:numId w:val="2"/>
        </w:numPr>
        <w:ind w:left="284" w:hanging="284"/>
        <w:jc w:val="both"/>
        <w:rPr>
          <w:rFonts w:ascii="Times New Roman" w:hAnsi="Times New Roman"/>
          <w:color w:val="000000" w:themeColor="text1"/>
          <w:sz w:val="24"/>
          <w:szCs w:val="24"/>
        </w:rPr>
      </w:pPr>
      <w:r w:rsidRPr="0024642A">
        <w:rPr>
          <w:rFonts w:ascii="Times New Roman" w:hAnsi="Times New Roman"/>
          <w:color w:val="000000" w:themeColor="text1"/>
          <w:sz w:val="24"/>
          <w:szCs w:val="24"/>
        </w:rPr>
        <w:t xml:space="preserve">to indicate the consequences for infringement of the gender balance requirement and provide for some specific, effective, </w:t>
      </w:r>
      <w:r w:rsidR="0082353D" w:rsidRPr="0024642A">
        <w:rPr>
          <w:rFonts w:ascii="Times New Roman" w:hAnsi="Times New Roman"/>
          <w:color w:val="000000" w:themeColor="text1"/>
          <w:sz w:val="24"/>
          <w:szCs w:val="24"/>
        </w:rPr>
        <w:t xml:space="preserve">dissuasive </w:t>
      </w:r>
      <w:r w:rsidRPr="0024642A">
        <w:rPr>
          <w:rFonts w:ascii="Times New Roman" w:hAnsi="Times New Roman"/>
          <w:color w:val="000000" w:themeColor="text1"/>
          <w:sz w:val="24"/>
          <w:szCs w:val="24"/>
        </w:rPr>
        <w:t>and proportionate sanctions in case of violation of the gender balance requirements;</w:t>
      </w:r>
      <w:r w:rsidRPr="0024642A">
        <w:rPr>
          <w:rStyle w:val="FootnoteReference"/>
          <w:rFonts w:ascii="Times New Roman" w:hAnsi="Times New Roman"/>
          <w:color w:val="000000" w:themeColor="text1"/>
          <w:sz w:val="24"/>
          <w:szCs w:val="24"/>
        </w:rPr>
        <w:footnoteReference w:id="8"/>
      </w:r>
      <w:r w:rsidRPr="0024642A">
        <w:rPr>
          <w:rFonts w:ascii="Times New Roman" w:hAnsi="Times New Roman"/>
          <w:color w:val="000000" w:themeColor="text1"/>
          <w:sz w:val="24"/>
          <w:szCs w:val="24"/>
        </w:rPr>
        <w:t xml:space="preserve"> and</w:t>
      </w:r>
    </w:p>
    <w:p w:rsidR="0000011B" w:rsidRPr="0024642A" w:rsidRDefault="0000011B" w:rsidP="0024642A">
      <w:pPr>
        <w:pStyle w:val="ListParagraph"/>
        <w:numPr>
          <w:ilvl w:val="0"/>
          <w:numId w:val="2"/>
        </w:numPr>
        <w:ind w:left="284" w:hanging="284"/>
        <w:jc w:val="both"/>
        <w:rPr>
          <w:rFonts w:ascii="Times New Roman" w:hAnsi="Times New Roman"/>
          <w:color w:val="FF0000"/>
          <w:sz w:val="24"/>
          <w:szCs w:val="24"/>
        </w:rPr>
      </w:pPr>
      <w:r w:rsidRPr="0024642A">
        <w:rPr>
          <w:rFonts w:ascii="Times New Roman" w:hAnsi="Times New Roman"/>
          <w:sz w:val="24"/>
          <w:szCs w:val="24"/>
          <w:lang w:val="en-US" w:eastAsia="en-GB"/>
        </w:rPr>
        <w:lastRenderedPageBreak/>
        <w:t xml:space="preserve">to address the risk of creating a “glass ceiling” for representatives of a certain under-represented gender where low quotas (for instance below 40%) are mandated (and thus </w:t>
      </w:r>
      <w:r w:rsidRPr="0024642A">
        <w:rPr>
          <w:rFonts w:ascii="Times New Roman" w:hAnsi="Times New Roman"/>
          <w:color w:val="000000"/>
          <w:sz w:val="24"/>
          <w:szCs w:val="24"/>
        </w:rPr>
        <w:t>the perpetuation of gender inequality)</w:t>
      </w:r>
      <w:r w:rsidRPr="0024642A">
        <w:rPr>
          <w:rFonts w:ascii="Times New Roman" w:hAnsi="Times New Roman"/>
          <w:sz w:val="24"/>
          <w:szCs w:val="24"/>
          <w:lang w:val="en-US" w:eastAsia="en-GB"/>
        </w:rPr>
        <w:t>,</w:t>
      </w:r>
      <w:r w:rsidRPr="0024642A">
        <w:rPr>
          <w:rFonts w:ascii="Times New Roman" w:hAnsi="Times New Roman"/>
          <w:sz w:val="24"/>
          <w:szCs w:val="24"/>
        </w:rPr>
        <w:t xml:space="preserve"> </w:t>
      </w:r>
      <w:r w:rsidRPr="0024642A">
        <w:rPr>
          <w:rFonts w:ascii="Times New Roman" w:hAnsi="Times New Roman"/>
          <w:color w:val="000000"/>
          <w:sz w:val="24"/>
          <w:szCs w:val="24"/>
        </w:rPr>
        <w:t>to introduce a staggered timeline attached to a gradual increase of the target quote, in order to create proper incentives to gradually, over time, reach greater gender balance.</w:t>
      </w:r>
      <w:r w:rsidRPr="0024642A">
        <w:rPr>
          <w:rStyle w:val="FootnoteReference"/>
          <w:rFonts w:ascii="Times New Roman" w:hAnsi="Times New Roman"/>
          <w:color w:val="000000"/>
          <w:sz w:val="24"/>
          <w:szCs w:val="24"/>
        </w:rPr>
        <w:footnoteReference w:id="9"/>
      </w:r>
      <w:r w:rsidRPr="0024642A">
        <w:rPr>
          <w:rFonts w:ascii="Times New Roman" w:hAnsi="Times New Roman"/>
          <w:sz w:val="24"/>
          <w:szCs w:val="24"/>
          <w:lang w:val="en-US" w:eastAsia="en-GB"/>
        </w:rPr>
        <w:t xml:space="preserve"> </w:t>
      </w:r>
    </w:p>
    <w:p w:rsidR="00E27F67" w:rsidRDefault="00E27F67" w:rsidP="0024642A">
      <w:pPr>
        <w:jc w:val="both"/>
        <w:rPr>
          <w:rFonts w:ascii="Times New Roman" w:hAnsi="Times New Roman"/>
          <w:sz w:val="24"/>
          <w:szCs w:val="24"/>
        </w:rPr>
      </w:pPr>
    </w:p>
    <w:p w:rsidR="00E77BE7" w:rsidRPr="0024642A" w:rsidRDefault="00E77BE7" w:rsidP="0024642A">
      <w:pPr>
        <w:jc w:val="both"/>
        <w:rPr>
          <w:rFonts w:ascii="Times New Roman" w:hAnsi="Times New Roman"/>
          <w:sz w:val="24"/>
          <w:szCs w:val="24"/>
        </w:rPr>
      </w:pPr>
      <w:r w:rsidRPr="0024642A">
        <w:rPr>
          <w:rFonts w:ascii="Times New Roman" w:hAnsi="Times New Roman"/>
          <w:sz w:val="24"/>
          <w:szCs w:val="24"/>
        </w:rPr>
        <w:t xml:space="preserve">ODIHR also encourages political parties to </w:t>
      </w:r>
      <w:r w:rsidR="00360AA5" w:rsidRPr="0024642A">
        <w:rPr>
          <w:rFonts w:ascii="Times New Roman" w:hAnsi="Times New Roman"/>
          <w:sz w:val="24"/>
          <w:szCs w:val="24"/>
        </w:rPr>
        <w:t xml:space="preserve">consider introducing </w:t>
      </w:r>
      <w:r w:rsidRPr="0024642A">
        <w:rPr>
          <w:rFonts w:ascii="Times New Roman" w:hAnsi="Times New Roman"/>
          <w:sz w:val="24"/>
          <w:szCs w:val="24"/>
        </w:rPr>
        <w:t xml:space="preserve">voluntary measures to address </w:t>
      </w:r>
      <w:r w:rsidR="00E47BA0" w:rsidRPr="0024642A">
        <w:rPr>
          <w:rFonts w:ascii="Times New Roman" w:hAnsi="Times New Roman"/>
          <w:sz w:val="24"/>
          <w:szCs w:val="24"/>
        </w:rPr>
        <w:t xml:space="preserve">the issue of women’s </w:t>
      </w:r>
      <w:r w:rsidRPr="0024642A">
        <w:rPr>
          <w:rFonts w:ascii="Times New Roman" w:hAnsi="Times New Roman"/>
          <w:sz w:val="24"/>
          <w:szCs w:val="24"/>
        </w:rPr>
        <w:t xml:space="preserve">underrepresentation </w:t>
      </w:r>
      <w:r w:rsidR="00360AA5" w:rsidRPr="0024642A">
        <w:rPr>
          <w:rFonts w:ascii="Times New Roman" w:hAnsi="Times New Roman"/>
          <w:sz w:val="24"/>
          <w:szCs w:val="24"/>
        </w:rPr>
        <w:t>in party structures through its political party gender audit</w:t>
      </w:r>
      <w:r w:rsidR="004B632F" w:rsidRPr="0024642A">
        <w:rPr>
          <w:rFonts w:ascii="Times New Roman" w:hAnsi="Times New Roman"/>
          <w:sz w:val="24"/>
          <w:szCs w:val="24"/>
        </w:rPr>
        <w:t xml:space="preserve"> methodology.</w:t>
      </w:r>
      <w:r w:rsidR="00962879" w:rsidRPr="0024642A">
        <w:rPr>
          <w:rStyle w:val="FootnoteReference"/>
          <w:rFonts w:ascii="Times New Roman" w:hAnsi="Times New Roman"/>
          <w:sz w:val="24"/>
          <w:szCs w:val="24"/>
        </w:rPr>
        <w:footnoteReference w:id="10"/>
      </w:r>
      <w:r w:rsidR="004B632F" w:rsidRPr="0024642A">
        <w:rPr>
          <w:rFonts w:ascii="Times New Roman" w:hAnsi="Times New Roman"/>
          <w:sz w:val="24"/>
          <w:szCs w:val="24"/>
        </w:rPr>
        <w:t xml:space="preserve"> The gender audit exercise allows for an assessment of i</w:t>
      </w:r>
      <w:r w:rsidR="00360AA5" w:rsidRPr="0024642A">
        <w:rPr>
          <w:rFonts w:ascii="Times New Roman" w:hAnsi="Times New Roman"/>
          <w:sz w:val="24"/>
          <w:szCs w:val="24"/>
        </w:rPr>
        <w:t xml:space="preserve">nternal political party processes, procedures, structures, culture, and activities from a gender perspective, with the aim of identifying discriminatory practices – whether direct or indirect, formal or informal – that can perpetuate gender inequality and hinder women’s participation in politics. The Gender Audit process </w:t>
      </w:r>
      <w:r w:rsidR="00E47BA0" w:rsidRPr="0024642A">
        <w:rPr>
          <w:rFonts w:ascii="Times New Roman" w:hAnsi="Times New Roman"/>
          <w:sz w:val="24"/>
          <w:szCs w:val="24"/>
        </w:rPr>
        <w:t xml:space="preserve">also </w:t>
      </w:r>
      <w:r w:rsidR="00360AA5" w:rsidRPr="0024642A">
        <w:rPr>
          <w:rFonts w:ascii="Times New Roman" w:hAnsi="Times New Roman"/>
          <w:sz w:val="24"/>
          <w:szCs w:val="24"/>
        </w:rPr>
        <w:t>equips political party leadership with the necessary information to adjust political party policies, programs, and campaign strategies as regards to gender equality.</w:t>
      </w:r>
      <w:r w:rsidR="0064428F" w:rsidRPr="0024642A">
        <w:rPr>
          <w:rStyle w:val="FootnoteReference"/>
          <w:rFonts w:ascii="Times New Roman" w:hAnsi="Times New Roman"/>
          <w:sz w:val="24"/>
          <w:szCs w:val="24"/>
        </w:rPr>
        <w:footnoteReference w:id="11"/>
      </w:r>
      <w:r w:rsidR="00360AA5" w:rsidRPr="0024642A">
        <w:rPr>
          <w:rFonts w:ascii="Times New Roman" w:hAnsi="Times New Roman"/>
          <w:sz w:val="24"/>
          <w:szCs w:val="24"/>
        </w:rPr>
        <w:t xml:space="preserve"> </w:t>
      </w:r>
    </w:p>
    <w:p w:rsidR="00597B39" w:rsidRPr="0024642A" w:rsidRDefault="00597B39" w:rsidP="0024642A">
      <w:pPr>
        <w:jc w:val="both"/>
        <w:rPr>
          <w:rFonts w:ascii="Times New Roman" w:hAnsi="Times New Roman"/>
          <w:sz w:val="24"/>
          <w:szCs w:val="24"/>
        </w:rPr>
      </w:pPr>
    </w:p>
    <w:p w:rsidR="00597B39" w:rsidRPr="0024642A" w:rsidRDefault="00597B39" w:rsidP="0024642A">
      <w:pPr>
        <w:jc w:val="both"/>
        <w:rPr>
          <w:rFonts w:ascii="Times New Roman" w:hAnsi="Times New Roman"/>
          <w:color w:val="FF0000"/>
          <w:sz w:val="24"/>
          <w:szCs w:val="24"/>
        </w:rPr>
      </w:pPr>
      <w:r w:rsidRPr="0024642A">
        <w:rPr>
          <w:rFonts w:ascii="Times New Roman" w:hAnsi="Times New Roman"/>
          <w:sz w:val="24"/>
          <w:szCs w:val="24"/>
        </w:rPr>
        <w:t>Similarly, ODIHR invites OSCE parti</w:t>
      </w:r>
      <w:r w:rsidR="00AB0276" w:rsidRPr="0024642A">
        <w:rPr>
          <w:rFonts w:ascii="Times New Roman" w:hAnsi="Times New Roman"/>
          <w:sz w:val="24"/>
          <w:szCs w:val="24"/>
        </w:rPr>
        <w:t>cipating States to collect data, measure and create support for</w:t>
      </w:r>
      <w:r w:rsidRPr="0024642A">
        <w:rPr>
          <w:rFonts w:ascii="Times New Roman" w:hAnsi="Times New Roman"/>
          <w:sz w:val="24"/>
          <w:szCs w:val="24"/>
        </w:rPr>
        <w:t xml:space="preserve"> the political participation and representation of persons with disabilities in </w:t>
      </w:r>
      <w:r w:rsidR="000855ED" w:rsidRPr="0024642A">
        <w:rPr>
          <w:rFonts w:ascii="Times New Roman" w:hAnsi="Times New Roman"/>
          <w:sz w:val="24"/>
          <w:szCs w:val="24"/>
        </w:rPr>
        <w:t xml:space="preserve">political parties, </w:t>
      </w:r>
      <w:r w:rsidRPr="0024642A">
        <w:rPr>
          <w:rFonts w:ascii="Times New Roman" w:hAnsi="Times New Roman"/>
          <w:sz w:val="24"/>
          <w:szCs w:val="24"/>
        </w:rPr>
        <w:t xml:space="preserve">elected positions and decision-making structures. </w:t>
      </w:r>
      <w:r w:rsidR="00BB7EAB" w:rsidRPr="0024642A">
        <w:rPr>
          <w:rFonts w:ascii="Times New Roman" w:hAnsi="Times New Roman"/>
          <w:sz w:val="24"/>
          <w:szCs w:val="24"/>
        </w:rPr>
        <w:t>Persons with disabilities form approximately one billion of the world population.</w:t>
      </w:r>
      <w:r w:rsidR="00BB7EAB" w:rsidRPr="0024642A">
        <w:rPr>
          <w:rStyle w:val="FootnoteReference"/>
          <w:rFonts w:ascii="Times New Roman" w:hAnsi="Times New Roman"/>
          <w:sz w:val="24"/>
          <w:szCs w:val="24"/>
        </w:rPr>
        <w:footnoteReference w:id="12"/>
      </w:r>
      <w:r w:rsidR="00BB7EAB" w:rsidRPr="0024642A">
        <w:rPr>
          <w:rFonts w:ascii="Times New Roman" w:hAnsi="Times New Roman"/>
          <w:sz w:val="24"/>
          <w:szCs w:val="24"/>
        </w:rPr>
        <w:t xml:space="preserve"> Historically this significant part of the society has been predominantly seen as service receivers and patients, rather than active members of their communities, capable of contributing to the society and representing their own interests. While the recent years have marked a paradigm shift in the way persons with disabilities are seen, their representation in political and public life remains disproportionately low across the OSCE region due to legal</w:t>
      </w:r>
      <w:r w:rsidR="00BB7EAB" w:rsidRPr="0024642A">
        <w:rPr>
          <w:rFonts w:ascii="Times New Roman" w:hAnsi="Times New Roman"/>
          <w:sz w:val="24"/>
          <w:szCs w:val="24"/>
          <w:lang w:val="en-US"/>
        </w:rPr>
        <w:t xml:space="preserve">, social, economic, physical and other barriers which continue to prevent many citizens from exercising their democratic rights. </w:t>
      </w:r>
      <w:r w:rsidR="00A502A7" w:rsidRPr="0024642A">
        <w:rPr>
          <w:rFonts w:ascii="Times New Roman" w:hAnsi="Times New Roman"/>
          <w:sz w:val="24"/>
          <w:szCs w:val="24"/>
          <w:lang w:val="en-US"/>
        </w:rPr>
        <w:t>To address these barriers, ODIHR collects and promotes good practice examples from the OSCE region and will compile these in the Guidelines on Political Participation of Persons with Disabilities to be finalized in early 2019.</w:t>
      </w:r>
    </w:p>
    <w:p w:rsidR="00E77BE7" w:rsidRPr="0024642A" w:rsidRDefault="00E77BE7" w:rsidP="0024642A">
      <w:pPr>
        <w:jc w:val="both"/>
        <w:rPr>
          <w:rFonts w:ascii="Times New Roman" w:hAnsi="Times New Roman"/>
          <w:b/>
          <w:bCs/>
          <w:color w:val="000000" w:themeColor="text1"/>
          <w:sz w:val="24"/>
          <w:szCs w:val="24"/>
        </w:rPr>
      </w:pPr>
    </w:p>
    <w:p w:rsidR="0000011B" w:rsidRPr="0024642A" w:rsidRDefault="00556A0E" w:rsidP="0024642A">
      <w:pPr>
        <w:jc w:val="both"/>
        <w:rPr>
          <w:rFonts w:ascii="Times New Roman" w:hAnsi="Times New Roman"/>
          <w:color w:val="000000" w:themeColor="text1"/>
          <w:sz w:val="24"/>
          <w:szCs w:val="24"/>
        </w:rPr>
      </w:pPr>
      <w:r w:rsidRPr="0024642A">
        <w:rPr>
          <w:rFonts w:ascii="Times New Roman" w:hAnsi="Times New Roman"/>
          <w:b/>
          <w:bCs/>
          <w:color w:val="000000" w:themeColor="text1"/>
          <w:sz w:val="24"/>
          <w:szCs w:val="24"/>
        </w:rPr>
        <w:t>Public participation in policy making and law</w:t>
      </w:r>
      <w:r w:rsidR="0000011B" w:rsidRPr="0024642A">
        <w:rPr>
          <w:rFonts w:ascii="Times New Roman" w:hAnsi="Times New Roman"/>
          <w:b/>
          <w:bCs/>
          <w:color w:val="000000" w:themeColor="text1"/>
          <w:sz w:val="24"/>
          <w:szCs w:val="24"/>
        </w:rPr>
        <w:t>making processes</w:t>
      </w:r>
      <w:r w:rsidR="0000011B" w:rsidRPr="0024642A">
        <w:rPr>
          <w:rFonts w:ascii="Times New Roman" w:hAnsi="Times New Roman"/>
          <w:color w:val="000000" w:themeColor="text1"/>
          <w:sz w:val="24"/>
          <w:szCs w:val="24"/>
        </w:rPr>
        <w:t xml:space="preserve"> </w:t>
      </w:r>
    </w:p>
    <w:p w:rsidR="0000011B" w:rsidRPr="0024642A" w:rsidRDefault="0000011B" w:rsidP="0024642A">
      <w:pPr>
        <w:jc w:val="both"/>
        <w:rPr>
          <w:rFonts w:ascii="Times New Roman" w:hAnsi="Times New Roman"/>
          <w:color w:val="000000" w:themeColor="text1"/>
          <w:sz w:val="24"/>
          <w:szCs w:val="24"/>
        </w:rPr>
      </w:pPr>
    </w:p>
    <w:p w:rsidR="0000011B" w:rsidRPr="0024642A" w:rsidRDefault="0000011B" w:rsidP="0024642A">
      <w:pPr>
        <w:jc w:val="both"/>
        <w:rPr>
          <w:rFonts w:ascii="Times New Roman" w:hAnsi="Times New Roman"/>
          <w:color w:val="000000" w:themeColor="text1"/>
          <w:sz w:val="24"/>
          <w:szCs w:val="24"/>
        </w:rPr>
      </w:pPr>
      <w:r w:rsidRPr="0024642A">
        <w:rPr>
          <w:rFonts w:ascii="Times New Roman" w:hAnsi="Times New Roman"/>
          <w:color w:val="000000" w:themeColor="text1"/>
          <w:sz w:val="24"/>
          <w:szCs w:val="24"/>
        </w:rPr>
        <w:t>Key OSCE commit</w:t>
      </w:r>
      <w:r w:rsidR="00556A0E" w:rsidRPr="0024642A">
        <w:rPr>
          <w:rFonts w:ascii="Times New Roman" w:hAnsi="Times New Roman"/>
          <w:color w:val="000000" w:themeColor="text1"/>
          <w:sz w:val="24"/>
          <w:szCs w:val="24"/>
        </w:rPr>
        <w:t>ments related to democratic law</w:t>
      </w:r>
      <w:r w:rsidRPr="0024642A">
        <w:rPr>
          <w:rFonts w:ascii="Times New Roman" w:hAnsi="Times New Roman"/>
          <w:color w:val="000000" w:themeColor="text1"/>
          <w:sz w:val="24"/>
          <w:szCs w:val="24"/>
        </w:rPr>
        <w:t>making, such as the 1990 Copenhagen Document and the 1991 Moscow Document, provide that legislation should be adopted at the end of a “public procedure” through open, inclusive and transparent legislative processes</w:t>
      </w:r>
      <w:r w:rsidRPr="0024642A">
        <w:rPr>
          <w:rFonts w:ascii="Times New Roman" w:eastAsia="Times New Roman" w:hAnsi="Times New Roman"/>
          <w:color w:val="000000" w:themeColor="text1"/>
          <w:sz w:val="24"/>
          <w:szCs w:val="24"/>
          <w:lang w:eastAsia="en-GB"/>
        </w:rPr>
        <w:t>.</w:t>
      </w:r>
      <w:r w:rsidRPr="0024642A">
        <w:rPr>
          <w:rFonts w:ascii="Times New Roman" w:eastAsia="Times New Roman" w:hAnsi="Times New Roman"/>
          <w:color w:val="000000" w:themeColor="text1"/>
          <w:sz w:val="24"/>
          <w:szCs w:val="24"/>
          <w:vertAlign w:val="superscript"/>
          <w:lang w:eastAsia="en-GB"/>
        </w:rPr>
        <w:footnoteReference w:id="13"/>
      </w:r>
      <w:r w:rsidRPr="0024642A">
        <w:rPr>
          <w:rFonts w:ascii="Times New Roman" w:eastAsia="Times New Roman" w:hAnsi="Times New Roman"/>
          <w:color w:val="000000" w:themeColor="text1"/>
          <w:sz w:val="24"/>
          <w:szCs w:val="24"/>
          <w:lang w:eastAsia="en-GB"/>
        </w:rPr>
        <w:t xml:space="preserve"> </w:t>
      </w:r>
      <w:r w:rsidRPr="0024642A">
        <w:rPr>
          <w:rFonts w:ascii="Times New Roman" w:hAnsi="Times New Roman"/>
          <w:color w:val="000000" w:themeColor="text1"/>
          <w:sz w:val="24"/>
          <w:szCs w:val="24"/>
        </w:rPr>
        <w:t>To assi</w:t>
      </w:r>
      <w:r w:rsidR="00556A0E" w:rsidRPr="0024642A">
        <w:rPr>
          <w:rFonts w:ascii="Times New Roman" w:hAnsi="Times New Roman"/>
          <w:color w:val="000000" w:themeColor="text1"/>
          <w:sz w:val="24"/>
          <w:szCs w:val="24"/>
        </w:rPr>
        <w:t>st OSCE participating States in improving their law</w:t>
      </w:r>
      <w:r w:rsidRPr="0024642A">
        <w:rPr>
          <w:rFonts w:ascii="Times New Roman" w:hAnsi="Times New Roman"/>
          <w:color w:val="000000" w:themeColor="text1"/>
          <w:sz w:val="24"/>
          <w:szCs w:val="24"/>
        </w:rPr>
        <w:t xml:space="preserve">making, ODIHR </w:t>
      </w:r>
      <w:r w:rsidR="0087495E" w:rsidRPr="0024642A">
        <w:rPr>
          <w:rFonts w:ascii="Times New Roman" w:hAnsi="Times New Roman"/>
          <w:color w:val="000000" w:themeColor="text1"/>
          <w:sz w:val="24"/>
          <w:szCs w:val="24"/>
        </w:rPr>
        <w:t>conducts</w:t>
      </w:r>
      <w:r w:rsidR="005F7D7E" w:rsidRPr="0024642A">
        <w:rPr>
          <w:rFonts w:ascii="Times New Roman" w:hAnsi="Times New Roman"/>
          <w:color w:val="000000" w:themeColor="text1"/>
          <w:sz w:val="24"/>
          <w:szCs w:val="24"/>
        </w:rPr>
        <w:t xml:space="preserve"> </w:t>
      </w:r>
      <w:r w:rsidRPr="0024642A">
        <w:rPr>
          <w:rFonts w:ascii="Times New Roman" w:hAnsi="Times New Roman"/>
          <w:color w:val="000000" w:themeColor="text1"/>
          <w:sz w:val="24"/>
          <w:szCs w:val="24"/>
        </w:rPr>
        <w:t xml:space="preserve">comprehensive assessments </w:t>
      </w:r>
      <w:r w:rsidR="005F7D7E" w:rsidRPr="0024642A">
        <w:rPr>
          <w:rFonts w:ascii="Times New Roman" w:hAnsi="Times New Roman"/>
          <w:color w:val="000000" w:themeColor="text1"/>
          <w:sz w:val="24"/>
          <w:szCs w:val="24"/>
        </w:rPr>
        <w:t xml:space="preserve">of </w:t>
      </w:r>
      <w:r w:rsidR="00556A0E" w:rsidRPr="0024642A">
        <w:rPr>
          <w:rFonts w:ascii="Times New Roman" w:hAnsi="Times New Roman"/>
          <w:color w:val="000000" w:themeColor="text1"/>
          <w:sz w:val="24"/>
          <w:szCs w:val="24"/>
        </w:rPr>
        <w:t>legislative process</w:t>
      </w:r>
      <w:r w:rsidR="00657A94" w:rsidRPr="0024642A">
        <w:rPr>
          <w:rFonts w:ascii="Times New Roman" w:hAnsi="Times New Roman"/>
          <w:color w:val="000000" w:themeColor="text1"/>
          <w:sz w:val="24"/>
          <w:szCs w:val="24"/>
        </w:rPr>
        <w:t>es</w:t>
      </w:r>
      <w:r w:rsidRPr="0024642A">
        <w:rPr>
          <w:rFonts w:ascii="Times New Roman" w:hAnsi="Times New Roman"/>
          <w:color w:val="000000" w:themeColor="text1"/>
          <w:sz w:val="24"/>
          <w:szCs w:val="24"/>
        </w:rPr>
        <w:t xml:space="preserve"> </w:t>
      </w:r>
      <w:r w:rsidR="005F7D7E" w:rsidRPr="0024642A">
        <w:rPr>
          <w:rFonts w:ascii="Times New Roman" w:hAnsi="Times New Roman"/>
          <w:color w:val="000000" w:themeColor="text1"/>
          <w:sz w:val="24"/>
          <w:szCs w:val="24"/>
        </w:rPr>
        <w:t>in individual OSCE participating States</w:t>
      </w:r>
      <w:r w:rsidRPr="0024642A">
        <w:rPr>
          <w:rStyle w:val="FootnoteReference"/>
          <w:rFonts w:ascii="Times New Roman" w:hAnsi="Times New Roman"/>
          <w:color w:val="000000" w:themeColor="text1"/>
          <w:sz w:val="24"/>
          <w:szCs w:val="24"/>
        </w:rPr>
        <w:footnoteReference w:id="14"/>
      </w:r>
      <w:r w:rsidR="0087495E" w:rsidRPr="0024642A">
        <w:rPr>
          <w:rFonts w:ascii="Times New Roman" w:hAnsi="Times New Roman"/>
          <w:color w:val="000000" w:themeColor="text1"/>
          <w:sz w:val="24"/>
          <w:szCs w:val="24"/>
        </w:rPr>
        <w:t xml:space="preserve"> and strengthens the capacity of national lawmakers and policy makers through knowledge-sharing events and guidelines.</w:t>
      </w:r>
    </w:p>
    <w:p w:rsidR="0000011B" w:rsidRPr="0024642A" w:rsidRDefault="0000011B" w:rsidP="0024642A">
      <w:pPr>
        <w:autoSpaceDE w:val="0"/>
        <w:autoSpaceDN w:val="0"/>
        <w:adjustRightInd w:val="0"/>
        <w:jc w:val="both"/>
        <w:rPr>
          <w:rFonts w:ascii="Times New Roman" w:hAnsi="Times New Roman"/>
          <w:color w:val="000000" w:themeColor="text1"/>
          <w:sz w:val="24"/>
          <w:szCs w:val="24"/>
        </w:rPr>
      </w:pPr>
    </w:p>
    <w:p w:rsidR="0000011B" w:rsidRPr="0024642A" w:rsidRDefault="0000011B" w:rsidP="0024642A">
      <w:pPr>
        <w:autoSpaceDE w:val="0"/>
        <w:autoSpaceDN w:val="0"/>
        <w:adjustRightInd w:val="0"/>
        <w:jc w:val="both"/>
        <w:rPr>
          <w:rFonts w:ascii="Times New Roman" w:hAnsi="Times New Roman"/>
          <w:color w:val="000000" w:themeColor="text1"/>
          <w:sz w:val="24"/>
          <w:szCs w:val="24"/>
        </w:rPr>
      </w:pPr>
      <w:r w:rsidRPr="0024642A">
        <w:rPr>
          <w:rFonts w:ascii="Times New Roman" w:hAnsi="Times New Roman"/>
          <w:color w:val="000000" w:themeColor="text1"/>
          <w:sz w:val="24"/>
          <w:szCs w:val="24"/>
        </w:rPr>
        <w:t xml:space="preserve">ODIHR considers that a successful lawmaking process includes the following components: a proper policy discussion and analysis; an impact assessment of the proposed legislation (including gender impact assessment); </w:t>
      </w:r>
      <w:r w:rsidR="00EB7ABC" w:rsidRPr="0024642A">
        <w:rPr>
          <w:rFonts w:ascii="Times New Roman" w:hAnsi="Times New Roman"/>
          <w:color w:val="000000" w:themeColor="text1"/>
          <w:sz w:val="24"/>
          <w:szCs w:val="24"/>
        </w:rPr>
        <w:t>legislative planning</w:t>
      </w:r>
      <w:r w:rsidRPr="0024642A">
        <w:rPr>
          <w:rFonts w:ascii="Times New Roman" w:hAnsi="Times New Roman"/>
          <w:color w:val="000000" w:themeColor="text1"/>
          <w:sz w:val="24"/>
          <w:szCs w:val="24"/>
        </w:rPr>
        <w:t xml:space="preserve">; clear and standardized drafting techniques; </w:t>
      </w:r>
      <w:r w:rsidR="00EB7ABC" w:rsidRPr="0024642A">
        <w:rPr>
          <w:rFonts w:ascii="Times New Roman" w:hAnsi="Times New Roman"/>
          <w:color w:val="000000" w:themeColor="text1"/>
          <w:sz w:val="24"/>
          <w:szCs w:val="24"/>
        </w:rPr>
        <w:t xml:space="preserve">meaningful </w:t>
      </w:r>
      <w:r w:rsidR="007257A7" w:rsidRPr="0024642A">
        <w:rPr>
          <w:rFonts w:ascii="Times New Roman" w:hAnsi="Times New Roman"/>
          <w:color w:val="000000" w:themeColor="text1"/>
          <w:sz w:val="24"/>
          <w:szCs w:val="24"/>
        </w:rPr>
        <w:t>consultations</w:t>
      </w:r>
      <w:r w:rsidR="00EB7ABC" w:rsidRPr="0024642A">
        <w:rPr>
          <w:rFonts w:ascii="Times New Roman" w:hAnsi="Times New Roman"/>
          <w:color w:val="000000" w:themeColor="text1"/>
          <w:sz w:val="24"/>
          <w:szCs w:val="24"/>
        </w:rPr>
        <w:t xml:space="preserve"> with</w:t>
      </w:r>
      <w:r w:rsidRPr="0024642A">
        <w:rPr>
          <w:rFonts w:ascii="Times New Roman" w:hAnsi="Times New Roman"/>
          <w:color w:val="000000" w:themeColor="text1"/>
          <w:sz w:val="24"/>
          <w:szCs w:val="24"/>
        </w:rPr>
        <w:t xml:space="preserve"> all those who may be affected by proposed legislation; and </w:t>
      </w:r>
      <w:r w:rsidR="00417A7B" w:rsidRPr="0024642A">
        <w:rPr>
          <w:rFonts w:ascii="Times New Roman" w:hAnsi="Times New Roman"/>
          <w:color w:val="000000" w:themeColor="text1"/>
          <w:sz w:val="24"/>
          <w:szCs w:val="24"/>
        </w:rPr>
        <w:t>regular</w:t>
      </w:r>
      <w:r w:rsidRPr="0024642A">
        <w:rPr>
          <w:rFonts w:ascii="Times New Roman" w:hAnsi="Times New Roman"/>
          <w:color w:val="000000" w:themeColor="text1"/>
          <w:sz w:val="24"/>
          <w:szCs w:val="24"/>
        </w:rPr>
        <w:t xml:space="preserve"> monitor</w:t>
      </w:r>
      <w:r w:rsidR="00DA3D1E" w:rsidRPr="0024642A">
        <w:rPr>
          <w:rFonts w:ascii="Times New Roman" w:hAnsi="Times New Roman"/>
          <w:color w:val="000000" w:themeColor="text1"/>
          <w:sz w:val="24"/>
          <w:szCs w:val="24"/>
        </w:rPr>
        <w:t xml:space="preserve">ing </w:t>
      </w:r>
      <w:r w:rsidRPr="0024642A">
        <w:rPr>
          <w:rFonts w:ascii="Times New Roman" w:hAnsi="Times New Roman"/>
          <w:color w:val="000000" w:themeColor="text1"/>
          <w:sz w:val="24"/>
          <w:szCs w:val="24"/>
        </w:rPr>
        <w:t xml:space="preserve">of </w:t>
      </w:r>
      <w:r w:rsidR="00417A7B" w:rsidRPr="0024642A">
        <w:rPr>
          <w:rFonts w:ascii="Times New Roman" w:hAnsi="Times New Roman"/>
          <w:color w:val="000000" w:themeColor="text1"/>
          <w:sz w:val="24"/>
          <w:szCs w:val="24"/>
        </w:rPr>
        <w:t xml:space="preserve">the </w:t>
      </w:r>
      <w:r w:rsidRPr="0024642A">
        <w:rPr>
          <w:rFonts w:ascii="Times New Roman" w:hAnsi="Times New Roman"/>
          <w:color w:val="000000" w:themeColor="text1"/>
          <w:sz w:val="24"/>
          <w:szCs w:val="24"/>
        </w:rPr>
        <w:t xml:space="preserve">implementation of </w:t>
      </w:r>
      <w:r w:rsidR="00417A7B" w:rsidRPr="0024642A">
        <w:rPr>
          <w:rFonts w:ascii="Times New Roman" w:hAnsi="Times New Roman"/>
          <w:color w:val="000000" w:themeColor="text1"/>
          <w:sz w:val="24"/>
          <w:szCs w:val="24"/>
        </w:rPr>
        <w:t xml:space="preserve">existing </w:t>
      </w:r>
      <w:r w:rsidRPr="0024642A">
        <w:rPr>
          <w:rFonts w:ascii="Times New Roman" w:hAnsi="Times New Roman"/>
          <w:color w:val="000000" w:themeColor="text1"/>
          <w:sz w:val="24"/>
          <w:szCs w:val="24"/>
        </w:rPr>
        <w:t>legislation.</w:t>
      </w:r>
      <w:r w:rsidRPr="0024642A">
        <w:rPr>
          <w:rStyle w:val="FootnoteReference"/>
          <w:rFonts w:ascii="Times New Roman" w:hAnsi="Times New Roman"/>
          <w:color w:val="000000" w:themeColor="text1"/>
          <w:sz w:val="24"/>
          <w:szCs w:val="24"/>
        </w:rPr>
        <w:footnoteReference w:id="15"/>
      </w:r>
      <w:r w:rsidRPr="0024642A">
        <w:rPr>
          <w:rFonts w:ascii="Times New Roman" w:hAnsi="Times New Roman"/>
          <w:color w:val="000000" w:themeColor="text1"/>
          <w:sz w:val="24"/>
          <w:szCs w:val="24"/>
        </w:rPr>
        <w:t xml:space="preserve"> </w:t>
      </w:r>
      <w:r w:rsidR="00C4071D" w:rsidRPr="0024642A">
        <w:rPr>
          <w:rFonts w:ascii="Times New Roman" w:hAnsi="Times New Roman"/>
          <w:color w:val="000000" w:themeColor="text1"/>
          <w:sz w:val="24"/>
          <w:szCs w:val="24"/>
        </w:rPr>
        <w:t>To achieve policies and laws that are both effective and human rights compliant, t</w:t>
      </w:r>
      <w:r w:rsidR="001C4DAF" w:rsidRPr="0024642A">
        <w:rPr>
          <w:rFonts w:ascii="Times New Roman" w:hAnsi="Times New Roman"/>
          <w:color w:val="000000" w:themeColor="text1"/>
          <w:sz w:val="24"/>
          <w:szCs w:val="24"/>
        </w:rPr>
        <w:t>he public</w:t>
      </w:r>
      <w:r w:rsidR="00E95CEF" w:rsidRPr="0024642A">
        <w:rPr>
          <w:rFonts w:ascii="Times New Roman" w:hAnsi="Times New Roman"/>
          <w:color w:val="000000" w:themeColor="text1"/>
          <w:sz w:val="24"/>
          <w:szCs w:val="24"/>
        </w:rPr>
        <w:t xml:space="preserve"> –</w:t>
      </w:r>
      <w:r w:rsidR="00820C66" w:rsidRPr="0024642A">
        <w:rPr>
          <w:rFonts w:ascii="Times New Roman" w:hAnsi="Times New Roman"/>
          <w:color w:val="000000" w:themeColor="text1"/>
          <w:sz w:val="24"/>
          <w:szCs w:val="24"/>
        </w:rPr>
        <w:t xml:space="preserve"> </w:t>
      </w:r>
      <w:r w:rsidR="00B74AE5" w:rsidRPr="0024642A">
        <w:rPr>
          <w:rFonts w:ascii="Times New Roman" w:hAnsi="Times New Roman"/>
          <w:color w:val="000000" w:themeColor="text1"/>
          <w:sz w:val="24"/>
          <w:szCs w:val="24"/>
        </w:rPr>
        <w:t xml:space="preserve">in full diversity and without any form of discrimination based on race, gender, ethnicity, religion and, given its pertinence to politics, age  </w:t>
      </w:r>
      <w:r w:rsidR="00E95CEF" w:rsidRPr="0024642A">
        <w:rPr>
          <w:rFonts w:ascii="Times New Roman" w:hAnsi="Times New Roman"/>
          <w:color w:val="000000" w:themeColor="text1"/>
          <w:sz w:val="24"/>
          <w:szCs w:val="24"/>
        </w:rPr>
        <w:t xml:space="preserve">– </w:t>
      </w:r>
      <w:r w:rsidR="001C4DAF" w:rsidRPr="0024642A">
        <w:rPr>
          <w:rFonts w:ascii="Times New Roman" w:hAnsi="Times New Roman"/>
          <w:color w:val="000000" w:themeColor="text1"/>
          <w:sz w:val="24"/>
          <w:szCs w:val="24"/>
        </w:rPr>
        <w:t>should</w:t>
      </w:r>
      <w:r w:rsidR="00E95CEF" w:rsidRPr="0024642A">
        <w:rPr>
          <w:rFonts w:ascii="Times New Roman" w:hAnsi="Times New Roman"/>
          <w:color w:val="000000" w:themeColor="text1"/>
          <w:sz w:val="24"/>
          <w:szCs w:val="24"/>
        </w:rPr>
        <w:t xml:space="preserve"> </w:t>
      </w:r>
      <w:r w:rsidR="001C4DAF" w:rsidRPr="0024642A">
        <w:rPr>
          <w:rFonts w:ascii="Times New Roman" w:hAnsi="Times New Roman"/>
          <w:color w:val="000000" w:themeColor="text1"/>
          <w:sz w:val="24"/>
          <w:szCs w:val="24"/>
        </w:rPr>
        <w:t xml:space="preserve">be provided with </w:t>
      </w:r>
      <w:r w:rsidRPr="0024642A">
        <w:rPr>
          <w:rFonts w:ascii="Times New Roman" w:hAnsi="Times New Roman"/>
          <w:color w:val="000000" w:themeColor="text1"/>
          <w:sz w:val="24"/>
          <w:szCs w:val="24"/>
        </w:rPr>
        <w:t xml:space="preserve">realistic opportunities to contribute to the </w:t>
      </w:r>
      <w:r w:rsidR="00F47254" w:rsidRPr="0024642A">
        <w:rPr>
          <w:rFonts w:ascii="Times New Roman" w:hAnsi="Times New Roman"/>
          <w:color w:val="000000" w:themeColor="text1"/>
          <w:sz w:val="24"/>
          <w:szCs w:val="24"/>
        </w:rPr>
        <w:t>development and drafting of policies and legislation</w:t>
      </w:r>
      <w:r w:rsidR="00DA3D1E" w:rsidRPr="0024642A">
        <w:rPr>
          <w:rFonts w:ascii="Times New Roman" w:hAnsi="Times New Roman"/>
          <w:color w:val="000000" w:themeColor="text1"/>
          <w:sz w:val="24"/>
          <w:szCs w:val="24"/>
        </w:rPr>
        <w:t>.</w:t>
      </w:r>
      <w:r w:rsidR="003F7F27" w:rsidRPr="0024642A">
        <w:rPr>
          <w:rFonts w:ascii="Times New Roman" w:hAnsi="Times New Roman"/>
          <w:sz w:val="24"/>
          <w:szCs w:val="24"/>
        </w:rPr>
        <w:t xml:space="preserve"> </w:t>
      </w:r>
      <w:r w:rsidR="00B72E3B" w:rsidRPr="0024642A">
        <w:rPr>
          <w:rFonts w:ascii="Times New Roman" w:hAnsi="Times New Roman"/>
          <w:sz w:val="24"/>
          <w:szCs w:val="24"/>
        </w:rPr>
        <w:t>For instance</w:t>
      </w:r>
      <w:r w:rsidR="004417AF" w:rsidRPr="0024642A">
        <w:rPr>
          <w:rFonts w:ascii="Times New Roman" w:hAnsi="Times New Roman"/>
          <w:sz w:val="24"/>
          <w:szCs w:val="24"/>
        </w:rPr>
        <w:t xml:space="preserve">, </w:t>
      </w:r>
      <w:r w:rsidR="00B72E3B" w:rsidRPr="0024642A">
        <w:rPr>
          <w:rFonts w:ascii="Times New Roman" w:hAnsi="Times New Roman"/>
          <w:sz w:val="24"/>
          <w:szCs w:val="24"/>
        </w:rPr>
        <w:t xml:space="preserve">with </w:t>
      </w:r>
      <w:r w:rsidR="004417AF" w:rsidRPr="0024642A">
        <w:rPr>
          <w:rFonts w:ascii="Times New Roman" w:hAnsi="Times New Roman"/>
          <w:sz w:val="24"/>
          <w:szCs w:val="24"/>
        </w:rPr>
        <w:t>t</w:t>
      </w:r>
      <w:r w:rsidR="003F7F27" w:rsidRPr="0024642A">
        <w:rPr>
          <w:rFonts w:ascii="Times New Roman" w:hAnsi="Times New Roman"/>
          <w:sz w:val="24"/>
          <w:szCs w:val="24"/>
        </w:rPr>
        <w:t xml:space="preserve">he 2013 OSCE Ministerial Council </w:t>
      </w:r>
      <w:r w:rsidR="004417AF" w:rsidRPr="0024642A">
        <w:rPr>
          <w:rFonts w:ascii="Times New Roman" w:hAnsi="Times New Roman"/>
          <w:sz w:val="24"/>
          <w:szCs w:val="24"/>
        </w:rPr>
        <w:t>D</w:t>
      </w:r>
      <w:r w:rsidR="003F7F27" w:rsidRPr="0024642A">
        <w:rPr>
          <w:rFonts w:ascii="Times New Roman" w:hAnsi="Times New Roman"/>
          <w:sz w:val="24"/>
          <w:szCs w:val="24"/>
        </w:rPr>
        <w:t xml:space="preserve">ecision 4/13 </w:t>
      </w:r>
      <w:r w:rsidR="00B72E3B" w:rsidRPr="0024642A">
        <w:rPr>
          <w:rFonts w:ascii="Times New Roman" w:hAnsi="Times New Roman"/>
          <w:sz w:val="24"/>
          <w:szCs w:val="24"/>
        </w:rPr>
        <w:t>the</w:t>
      </w:r>
      <w:r w:rsidR="003F7F27" w:rsidRPr="0024642A">
        <w:rPr>
          <w:rFonts w:ascii="Times New Roman" w:hAnsi="Times New Roman"/>
          <w:sz w:val="24"/>
          <w:szCs w:val="24"/>
        </w:rPr>
        <w:t xml:space="preserve"> participati</w:t>
      </w:r>
      <w:r w:rsidR="00B72E3B" w:rsidRPr="0024642A">
        <w:rPr>
          <w:rFonts w:ascii="Times New Roman" w:hAnsi="Times New Roman"/>
          <w:sz w:val="24"/>
          <w:szCs w:val="24"/>
        </w:rPr>
        <w:t>ng</w:t>
      </w:r>
      <w:r w:rsidR="003F7F27" w:rsidRPr="0024642A">
        <w:rPr>
          <w:rFonts w:ascii="Times New Roman" w:hAnsi="Times New Roman"/>
          <w:sz w:val="24"/>
          <w:szCs w:val="24"/>
        </w:rPr>
        <w:t xml:space="preserve"> States </w:t>
      </w:r>
      <w:r w:rsidR="00B72E3B" w:rsidRPr="0024642A">
        <w:rPr>
          <w:rFonts w:ascii="Times New Roman" w:hAnsi="Times New Roman"/>
          <w:sz w:val="24"/>
          <w:szCs w:val="24"/>
        </w:rPr>
        <w:t>committed themselves to</w:t>
      </w:r>
      <w:r w:rsidR="003F7F27" w:rsidRPr="0024642A">
        <w:rPr>
          <w:rFonts w:ascii="Times New Roman" w:hAnsi="Times New Roman"/>
          <w:sz w:val="24"/>
          <w:szCs w:val="24"/>
        </w:rPr>
        <w:t xml:space="preserve"> “enhancing the participation of Roma and Sinti in the elaboration, implementation and evaluation of the policies that affect them, including by fostering Roma and Sinti political participation</w:t>
      </w:r>
      <w:r w:rsidR="004417AF" w:rsidRPr="0024642A">
        <w:rPr>
          <w:rFonts w:ascii="Times New Roman" w:hAnsi="Times New Roman"/>
          <w:sz w:val="24"/>
          <w:szCs w:val="24"/>
        </w:rPr>
        <w:t>.</w:t>
      </w:r>
      <w:r w:rsidR="003F7F27" w:rsidRPr="0024642A">
        <w:rPr>
          <w:rFonts w:ascii="Times New Roman" w:hAnsi="Times New Roman"/>
          <w:sz w:val="24"/>
          <w:szCs w:val="24"/>
        </w:rPr>
        <w:t>”</w:t>
      </w:r>
      <w:r w:rsidR="003F7F27" w:rsidRPr="0024642A">
        <w:rPr>
          <w:rStyle w:val="FootnoteReference"/>
          <w:rFonts w:ascii="Times New Roman" w:hAnsi="Times New Roman"/>
          <w:sz w:val="24"/>
          <w:szCs w:val="24"/>
        </w:rPr>
        <w:footnoteReference w:id="16"/>
      </w:r>
      <w:r w:rsidR="003F7F27" w:rsidRPr="0024642A">
        <w:rPr>
          <w:rFonts w:ascii="Times New Roman" w:hAnsi="Times New Roman"/>
          <w:sz w:val="24"/>
          <w:szCs w:val="24"/>
        </w:rPr>
        <w:t xml:space="preserve"> </w:t>
      </w:r>
      <w:r w:rsidR="00DA3D1E" w:rsidRPr="0024642A">
        <w:rPr>
          <w:rFonts w:ascii="Times New Roman" w:hAnsi="Times New Roman"/>
          <w:color w:val="000000" w:themeColor="text1"/>
          <w:sz w:val="24"/>
          <w:szCs w:val="24"/>
        </w:rPr>
        <w:t xml:space="preserve"> </w:t>
      </w:r>
      <w:r w:rsidR="00DA3D1E" w:rsidRPr="0024642A">
        <w:rPr>
          <w:rFonts w:ascii="Times New Roman" w:hAnsi="Times New Roman"/>
          <w:color w:val="000000" w:themeColor="text1"/>
          <w:sz w:val="24"/>
          <w:szCs w:val="24"/>
          <w:lang w:val="en-US"/>
        </w:rPr>
        <w:t>Public consultation</w:t>
      </w:r>
      <w:r w:rsidR="00D25EE5" w:rsidRPr="0024642A">
        <w:rPr>
          <w:rFonts w:ascii="Times New Roman" w:hAnsi="Times New Roman"/>
          <w:color w:val="000000" w:themeColor="text1"/>
          <w:sz w:val="24"/>
          <w:szCs w:val="24"/>
          <w:lang w:val="en-US"/>
        </w:rPr>
        <w:t>s have proven</w:t>
      </w:r>
      <w:r w:rsidR="00DA3D1E" w:rsidRPr="0024642A">
        <w:rPr>
          <w:rFonts w:ascii="Times New Roman" w:hAnsi="Times New Roman"/>
          <w:color w:val="000000" w:themeColor="text1"/>
          <w:sz w:val="24"/>
          <w:szCs w:val="24"/>
          <w:lang w:val="en-US"/>
        </w:rPr>
        <w:t xml:space="preserve"> to be a highly effective mechanism for </w:t>
      </w:r>
      <w:r w:rsidR="00346551" w:rsidRPr="0024642A">
        <w:rPr>
          <w:rFonts w:ascii="Times New Roman" w:hAnsi="Times New Roman"/>
          <w:color w:val="000000" w:themeColor="text1"/>
          <w:sz w:val="24"/>
          <w:szCs w:val="24"/>
          <w:lang w:val="en-US"/>
        </w:rPr>
        <w:t>ensuring</w:t>
      </w:r>
      <w:r w:rsidR="00DA3D1E" w:rsidRPr="0024642A">
        <w:rPr>
          <w:rFonts w:ascii="Times New Roman" w:hAnsi="Times New Roman"/>
          <w:color w:val="000000" w:themeColor="text1"/>
          <w:sz w:val="24"/>
          <w:szCs w:val="24"/>
          <w:lang w:val="en-US"/>
        </w:rPr>
        <w:t xml:space="preserve"> </w:t>
      </w:r>
      <w:r w:rsidR="00E95CEF" w:rsidRPr="0024642A">
        <w:rPr>
          <w:rFonts w:ascii="Times New Roman" w:hAnsi="Times New Roman"/>
          <w:color w:val="000000" w:themeColor="text1"/>
          <w:sz w:val="24"/>
          <w:szCs w:val="24"/>
          <w:lang w:val="en-US"/>
        </w:rPr>
        <w:t xml:space="preserve">such </w:t>
      </w:r>
      <w:r w:rsidR="00C4071D" w:rsidRPr="0024642A">
        <w:rPr>
          <w:rFonts w:ascii="Times New Roman" w:hAnsi="Times New Roman"/>
          <w:color w:val="000000" w:themeColor="text1"/>
          <w:sz w:val="24"/>
          <w:szCs w:val="24"/>
          <w:lang w:val="en-US"/>
        </w:rPr>
        <w:t xml:space="preserve">public </w:t>
      </w:r>
      <w:r w:rsidR="00DA3D1E" w:rsidRPr="0024642A">
        <w:rPr>
          <w:rFonts w:ascii="Times New Roman" w:hAnsi="Times New Roman"/>
          <w:color w:val="000000" w:themeColor="text1"/>
          <w:sz w:val="24"/>
          <w:szCs w:val="24"/>
          <w:lang w:val="en-US"/>
        </w:rPr>
        <w:t xml:space="preserve">participation and are </w:t>
      </w:r>
      <w:r w:rsidR="00E95CEF" w:rsidRPr="0024642A">
        <w:rPr>
          <w:rFonts w:ascii="Times New Roman" w:hAnsi="Times New Roman"/>
          <w:color w:val="000000" w:themeColor="text1"/>
          <w:sz w:val="24"/>
          <w:szCs w:val="24"/>
          <w:lang w:val="en-US"/>
        </w:rPr>
        <w:t>increasingly</w:t>
      </w:r>
      <w:r w:rsidR="00D25EE5" w:rsidRPr="0024642A">
        <w:rPr>
          <w:rFonts w:ascii="Times New Roman" w:hAnsi="Times New Roman"/>
          <w:color w:val="000000" w:themeColor="text1"/>
          <w:sz w:val="24"/>
          <w:szCs w:val="24"/>
          <w:lang w:val="en-US"/>
        </w:rPr>
        <w:t xml:space="preserve"> </w:t>
      </w:r>
      <w:r w:rsidR="00DA3D1E" w:rsidRPr="0024642A">
        <w:rPr>
          <w:rFonts w:ascii="Times New Roman" w:hAnsi="Times New Roman"/>
          <w:color w:val="000000" w:themeColor="text1"/>
          <w:sz w:val="24"/>
          <w:szCs w:val="24"/>
          <w:lang w:val="en-US"/>
        </w:rPr>
        <w:t xml:space="preserve">used by public authorities </w:t>
      </w:r>
      <w:r w:rsidR="0083462F" w:rsidRPr="0024642A">
        <w:rPr>
          <w:rFonts w:ascii="Times New Roman" w:hAnsi="Times New Roman"/>
          <w:color w:val="000000" w:themeColor="text1"/>
          <w:sz w:val="24"/>
          <w:szCs w:val="24"/>
          <w:lang w:val="en-US"/>
        </w:rPr>
        <w:t>in the OSCE region</w:t>
      </w:r>
      <w:r w:rsidR="00D25EE5" w:rsidRPr="0024642A">
        <w:rPr>
          <w:rFonts w:ascii="Times New Roman" w:hAnsi="Times New Roman"/>
          <w:color w:val="000000" w:themeColor="text1"/>
          <w:sz w:val="24"/>
          <w:szCs w:val="24"/>
          <w:lang w:val="en-US"/>
        </w:rPr>
        <w:t xml:space="preserve">. ODIHR believes that all important laws and public policies should undergo genuine and inclusive consultations with every potentially affected </w:t>
      </w:r>
      <w:r w:rsidR="00346551" w:rsidRPr="0024642A">
        <w:rPr>
          <w:rFonts w:ascii="Times New Roman" w:hAnsi="Times New Roman"/>
          <w:color w:val="000000" w:themeColor="text1"/>
          <w:sz w:val="24"/>
          <w:szCs w:val="24"/>
          <w:lang w:val="en-US"/>
        </w:rPr>
        <w:t>section of society</w:t>
      </w:r>
      <w:r w:rsidR="00D25EE5" w:rsidRPr="0024642A">
        <w:rPr>
          <w:rFonts w:ascii="Times New Roman" w:hAnsi="Times New Roman"/>
          <w:color w:val="000000" w:themeColor="text1"/>
          <w:sz w:val="24"/>
          <w:szCs w:val="24"/>
          <w:lang w:val="en-US"/>
        </w:rPr>
        <w:t xml:space="preserve"> before they get adopted</w:t>
      </w:r>
      <w:r w:rsidR="00346551" w:rsidRPr="0024642A">
        <w:rPr>
          <w:rFonts w:ascii="Times New Roman" w:hAnsi="Times New Roman"/>
          <w:color w:val="000000" w:themeColor="text1"/>
          <w:sz w:val="24"/>
          <w:szCs w:val="24"/>
          <w:lang w:val="en-US"/>
        </w:rPr>
        <w:t xml:space="preserve">. </w:t>
      </w:r>
    </w:p>
    <w:p w:rsidR="0000011B" w:rsidRPr="0024642A" w:rsidRDefault="0000011B" w:rsidP="0024642A">
      <w:pPr>
        <w:autoSpaceDE w:val="0"/>
        <w:autoSpaceDN w:val="0"/>
        <w:adjustRightInd w:val="0"/>
        <w:jc w:val="both"/>
        <w:rPr>
          <w:rFonts w:ascii="Times New Roman" w:hAnsi="Times New Roman"/>
          <w:color w:val="000000" w:themeColor="text1"/>
          <w:sz w:val="24"/>
          <w:szCs w:val="24"/>
        </w:rPr>
      </w:pPr>
    </w:p>
    <w:p w:rsidR="007257A7" w:rsidRPr="0024642A" w:rsidRDefault="0083462F" w:rsidP="0024642A">
      <w:pPr>
        <w:autoSpaceDE w:val="0"/>
        <w:autoSpaceDN w:val="0"/>
        <w:adjustRightInd w:val="0"/>
        <w:jc w:val="both"/>
        <w:rPr>
          <w:rFonts w:ascii="Times New Roman" w:hAnsi="Times New Roman"/>
          <w:color w:val="000000" w:themeColor="text1"/>
          <w:sz w:val="24"/>
          <w:szCs w:val="24"/>
          <w:lang w:val="en-US"/>
        </w:rPr>
      </w:pPr>
      <w:r w:rsidRPr="0024642A">
        <w:rPr>
          <w:rFonts w:ascii="Times New Roman" w:hAnsi="Times New Roman"/>
          <w:color w:val="000000" w:themeColor="text1"/>
          <w:sz w:val="24"/>
          <w:szCs w:val="24"/>
          <w:lang w:val="en-US"/>
        </w:rPr>
        <w:t>P</w:t>
      </w:r>
      <w:r w:rsidR="007257A7" w:rsidRPr="0024642A">
        <w:rPr>
          <w:rFonts w:ascii="Times New Roman" w:hAnsi="Times New Roman"/>
          <w:color w:val="000000" w:themeColor="text1"/>
          <w:sz w:val="24"/>
          <w:szCs w:val="24"/>
          <w:lang w:val="en-US"/>
        </w:rPr>
        <w:t xml:space="preserve">ublic consultations </w:t>
      </w:r>
      <w:r w:rsidRPr="0024642A">
        <w:rPr>
          <w:rFonts w:ascii="Times New Roman" w:hAnsi="Times New Roman"/>
          <w:color w:val="000000" w:themeColor="text1"/>
          <w:sz w:val="24"/>
          <w:szCs w:val="24"/>
          <w:lang w:val="en-US"/>
        </w:rPr>
        <w:t>can be defined</w:t>
      </w:r>
      <w:r w:rsidR="007257A7" w:rsidRPr="0024642A">
        <w:rPr>
          <w:rFonts w:ascii="Times New Roman" w:hAnsi="Times New Roman"/>
          <w:color w:val="000000" w:themeColor="text1"/>
          <w:sz w:val="24"/>
          <w:szCs w:val="24"/>
          <w:lang w:val="en-US"/>
        </w:rPr>
        <w:t xml:space="preserve"> as a formal process which public authorities use to seek information and views from individuals and o</w:t>
      </w:r>
      <w:r w:rsidRPr="0024642A">
        <w:rPr>
          <w:rFonts w:ascii="Times New Roman" w:hAnsi="Times New Roman"/>
          <w:color w:val="000000" w:themeColor="text1"/>
          <w:sz w:val="24"/>
          <w:szCs w:val="24"/>
          <w:lang w:val="en-US"/>
        </w:rPr>
        <w:t>rganiz</w:t>
      </w:r>
      <w:r w:rsidR="007257A7" w:rsidRPr="0024642A">
        <w:rPr>
          <w:rFonts w:ascii="Times New Roman" w:hAnsi="Times New Roman"/>
          <w:color w:val="000000" w:themeColor="text1"/>
          <w:sz w:val="24"/>
          <w:szCs w:val="24"/>
          <w:lang w:val="en-US"/>
        </w:rPr>
        <w:t xml:space="preserve">ations on an existing or proposed policy, law or decision. </w:t>
      </w:r>
      <w:r w:rsidRPr="0024642A">
        <w:rPr>
          <w:rFonts w:ascii="Times New Roman" w:hAnsi="Times New Roman"/>
          <w:color w:val="000000" w:themeColor="text1"/>
          <w:sz w:val="24"/>
          <w:szCs w:val="24"/>
          <w:lang w:val="en-US"/>
        </w:rPr>
        <w:t xml:space="preserve">Public consultations </w:t>
      </w:r>
      <w:r w:rsidR="007257A7" w:rsidRPr="0024642A">
        <w:rPr>
          <w:rFonts w:ascii="Times New Roman" w:hAnsi="Times New Roman"/>
          <w:color w:val="000000" w:themeColor="text1"/>
          <w:sz w:val="24"/>
          <w:szCs w:val="24"/>
          <w:lang w:val="en-US"/>
        </w:rPr>
        <w:t>involve a two-way flow of communication between public authorities and the public</w:t>
      </w:r>
      <w:r w:rsidRPr="0024642A">
        <w:rPr>
          <w:rFonts w:ascii="Times New Roman" w:hAnsi="Times New Roman"/>
          <w:color w:val="000000" w:themeColor="text1"/>
          <w:sz w:val="24"/>
          <w:szCs w:val="24"/>
          <w:lang w:val="en-US"/>
        </w:rPr>
        <w:t xml:space="preserve"> and imply</w:t>
      </w:r>
      <w:r w:rsidR="007257A7" w:rsidRPr="0024642A">
        <w:rPr>
          <w:rFonts w:ascii="Times New Roman" w:hAnsi="Times New Roman"/>
          <w:color w:val="000000" w:themeColor="text1"/>
          <w:sz w:val="24"/>
          <w:szCs w:val="24"/>
          <w:lang w:val="en-US"/>
        </w:rPr>
        <w:t xml:space="preserve"> an active effort on the part of public authorities to reach out to, and engage with, all potentially affected parties. </w:t>
      </w:r>
      <w:r w:rsidR="00F9164C" w:rsidRPr="0024642A">
        <w:rPr>
          <w:rFonts w:ascii="Times New Roman" w:hAnsi="Times New Roman"/>
          <w:color w:val="000000" w:themeColor="text1"/>
          <w:sz w:val="24"/>
          <w:szCs w:val="24"/>
          <w:lang w:val="en-US"/>
        </w:rPr>
        <w:t>M</w:t>
      </w:r>
      <w:r w:rsidR="007257A7" w:rsidRPr="0024642A">
        <w:rPr>
          <w:rFonts w:ascii="Times New Roman" w:hAnsi="Times New Roman"/>
          <w:color w:val="000000" w:themeColor="text1"/>
          <w:sz w:val="24"/>
          <w:szCs w:val="24"/>
          <w:lang w:val="en-US"/>
        </w:rPr>
        <w:t xml:space="preserve">eaningful public consultations </w:t>
      </w:r>
      <w:r w:rsidR="00F9164C" w:rsidRPr="0024642A">
        <w:rPr>
          <w:rFonts w:ascii="Times New Roman" w:hAnsi="Times New Roman"/>
          <w:color w:val="000000" w:themeColor="text1"/>
          <w:sz w:val="24"/>
          <w:szCs w:val="24"/>
          <w:lang w:val="en-US"/>
        </w:rPr>
        <w:t xml:space="preserve">in the course of </w:t>
      </w:r>
      <w:r w:rsidR="007257A7" w:rsidRPr="0024642A">
        <w:rPr>
          <w:rFonts w:ascii="Times New Roman" w:hAnsi="Times New Roman"/>
          <w:color w:val="000000" w:themeColor="text1"/>
          <w:sz w:val="24"/>
          <w:szCs w:val="24"/>
          <w:lang w:val="en-US"/>
        </w:rPr>
        <w:t xml:space="preserve">developing new legislation </w:t>
      </w:r>
      <w:r w:rsidR="00F9164C" w:rsidRPr="0024642A">
        <w:rPr>
          <w:rFonts w:ascii="Times New Roman" w:hAnsi="Times New Roman"/>
          <w:color w:val="000000" w:themeColor="text1"/>
          <w:sz w:val="24"/>
          <w:szCs w:val="24"/>
          <w:lang w:val="en-US"/>
        </w:rPr>
        <w:t>bring a number of important benefits. They deepen the</w:t>
      </w:r>
      <w:r w:rsidR="007257A7" w:rsidRPr="0024642A">
        <w:rPr>
          <w:rFonts w:ascii="Times New Roman" w:hAnsi="Times New Roman"/>
          <w:color w:val="000000" w:themeColor="text1"/>
          <w:sz w:val="24"/>
          <w:szCs w:val="24"/>
          <w:lang w:val="en-US"/>
        </w:rPr>
        <w:t xml:space="preserve"> understanding of </w:t>
      </w:r>
      <w:r w:rsidR="00C419A8" w:rsidRPr="0024642A">
        <w:rPr>
          <w:rFonts w:ascii="Times New Roman" w:hAnsi="Times New Roman"/>
          <w:color w:val="000000" w:themeColor="text1"/>
          <w:sz w:val="24"/>
          <w:szCs w:val="24"/>
          <w:lang w:val="en-US"/>
        </w:rPr>
        <w:t xml:space="preserve">specific </w:t>
      </w:r>
      <w:r w:rsidR="00F9164C" w:rsidRPr="0024642A">
        <w:rPr>
          <w:rFonts w:ascii="Times New Roman" w:hAnsi="Times New Roman"/>
          <w:color w:val="000000" w:themeColor="text1"/>
          <w:sz w:val="24"/>
          <w:szCs w:val="24"/>
          <w:lang w:val="en-US"/>
        </w:rPr>
        <w:t xml:space="preserve">issues the lawmakers are </w:t>
      </w:r>
      <w:r w:rsidR="007257A7" w:rsidRPr="0024642A">
        <w:rPr>
          <w:rFonts w:ascii="Times New Roman" w:hAnsi="Times New Roman"/>
          <w:color w:val="000000" w:themeColor="text1"/>
          <w:sz w:val="24"/>
          <w:szCs w:val="24"/>
          <w:lang w:val="en-US"/>
        </w:rPr>
        <w:t>seeking to address</w:t>
      </w:r>
      <w:r w:rsidR="00C419A8" w:rsidRPr="0024642A">
        <w:rPr>
          <w:rFonts w:ascii="Times New Roman" w:hAnsi="Times New Roman"/>
          <w:color w:val="000000" w:themeColor="text1"/>
          <w:sz w:val="24"/>
          <w:szCs w:val="24"/>
          <w:lang w:val="en-US"/>
        </w:rPr>
        <w:t>; help</w:t>
      </w:r>
      <w:r w:rsidR="007257A7" w:rsidRPr="0024642A">
        <w:rPr>
          <w:rFonts w:ascii="Times New Roman" w:hAnsi="Times New Roman"/>
          <w:color w:val="000000" w:themeColor="text1"/>
          <w:sz w:val="24"/>
          <w:szCs w:val="24"/>
          <w:lang w:val="en-US"/>
        </w:rPr>
        <w:t xml:space="preserve"> identify available policy options/solutions and assess their </w:t>
      </w:r>
      <w:r w:rsidR="00C419A8" w:rsidRPr="0024642A">
        <w:rPr>
          <w:rFonts w:ascii="Times New Roman" w:hAnsi="Times New Roman"/>
          <w:color w:val="000000" w:themeColor="text1"/>
          <w:sz w:val="24"/>
          <w:szCs w:val="24"/>
          <w:lang w:val="en-US"/>
        </w:rPr>
        <w:t>relative</w:t>
      </w:r>
      <w:r w:rsidR="007257A7" w:rsidRPr="0024642A">
        <w:rPr>
          <w:rFonts w:ascii="Times New Roman" w:hAnsi="Times New Roman"/>
          <w:color w:val="000000" w:themeColor="text1"/>
          <w:sz w:val="24"/>
          <w:szCs w:val="24"/>
          <w:lang w:val="en-US"/>
        </w:rPr>
        <w:t xml:space="preserve"> costs and benefits</w:t>
      </w:r>
      <w:r w:rsidR="00C419A8" w:rsidRPr="0024642A">
        <w:rPr>
          <w:rFonts w:ascii="Times New Roman" w:hAnsi="Times New Roman"/>
          <w:color w:val="000000" w:themeColor="text1"/>
          <w:sz w:val="24"/>
          <w:szCs w:val="24"/>
          <w:lang w:val="en-US"/>
        </w:rPr>
        <w:t xml:space="preserve">; help find </w:t>
      </w:r>
      <w:r w:rsidR="007257A7" w:rsidRPr="0024642A">
        <w:rPr>
          <w:rFonts w:ascii="Times New Roman" w:hAnsi="Times New Roman"/>
          <w:color w:val="000000" w:themeColor="text1"/>
          <w:sz w:val="24"/>
          <w:szCs w:val="24"/>
          <w:lang w:val="en-US"/>
        </w:rPr>
        <w:t>the right balance between conflicting/opposing interests</w:t>
      </w:r>
      <w:r w:rsidR="00C419A8" w:rsidRPr="0024642A">
        <w:rPr>
          <w:rFonts w:ascii="Times New Roman" w:hAnsi="Times New Roman"/>
          <w:color w:val="000000" w:themeColor="text1"/>
          <w:sz w:val="24"/>
          <w:szCs w:val="24"/>
          <w:lang w:val="en-US"/>
        </w:rPr>
        <w:t xml:space="preserve">; and help </w:t>
      </w:r>
      <w:r w:rsidR="007257A7" w:rsidRPr="0024642A">
        <w:rPr>
          <w:rFonts w:ascii="Times New Roman" w:hAnsi="Times New Roman"/>
          <w:color w:val="000000" w:themeColor="text1"/>
          <w:sz w:val="24"/>
          <w:szCs w:val="24"/>
          <w:lang w:val="en-US"/>
        </w:rPr>
        <w:t>understand the full impact of proposed law</w:t>
      </w:r>
      <w:r w:rsidR="00E95CEF" w:rsidRPr="0024642A">
        <w:rPr>
          <w:rFonts w:ascii="Times New Roman" w:hAnsi="Times New Roman"/>
          <w:color w:val="000000" w:themeColor="text1"/>
          <w:sz w:val="24"/>
          <w:szCs w:val="24"/>
          <w:lang w:val="en-US"/>
        </w:rPr>
        <w:t>s</w:t>
      </w:r>
      <w:r w:rsidR="007257A7" w:rsidRPr="0024642A">
        <w:rPr>
          <w:rFonts w:ascii="Times New Roman" w:hAnsi="Times New Roman"/>
          <w:color w:val="000000" w:themeColor="text1"/>
          <w:sz w:val="24"/>
          <w:szCs w:val="24"/>
          <w:lang w:val="en-US"/>
        </w:rPr>
        <w:t>, including impact on different socia</w:t>
      </w:r>
      <w:r w:rsidR="00C419A8" w:rsidRPr="0024642A">
        <w:rPr>
          <w:rFonts w:ascii="Times New Roman" w:hAnsi="Times New Roman"/>
          <w:color w:val="000000" w:themeColor="text1"/>
          <w:sz w:val="24"/>
          <w:szCs w:val="24"/>
          <w:lang w:val="en-US"/>
        </w:rPr>
        <w:t>l groups and their human rights</w:t>
      </w:r>
      <w:r w:rsidR="007257A7" w:rsidRPr="0024642A">
        <w:rPr>
          <w:rFonts w:ascii="Times New Roman" w:hAnsi="Times New Roman"/>
          <w:color w:val="000000" w:themeColor="text1"/>
          <w:sz w:val="24"/>
          <w:szCs w:val="24"/>
          <w:lang w:val="en-US"/>
        </w:rPr>
        <w:t>.</w:t>
      </w:r>
      <w:r w:rsidR="0093436E" w:rsidRPr="0024642A">
        <w:rPr>
          <w:rFonts w:ascii="Times New Roman" w:hAnsi="Times New Roman"/>
          <w:color w:val="000000" w:themeColor="text1"/>
          <w:sz w:val="24"/>
          <w:szCs w:val="24"/>
          <w:lang w:val="en-US"/>
        </w:rPr>
        <w:t xml:space="preserve"> Meaningful public consultations improve voluntary compliance with adopted laws and policies </w:t>
      </w:r>
      <w:r w:rsidR="002033D3" w:rsidRPr="0024642A">
        <w:rPr>
          <w:rFonts w:ascii="Times New Roman" w:hAnsi="Times New Roman"/>
          <w:color w:val="000000" w:themeColor="text1"/>
          <w:sz w:val="24"/>
          <w:szCs w:val="24"/>
          <w:lang w:val="en-US"/>
        </w:rPr>
        <w:t>by creating</w:t>
      </w:r>
      <w:r w:rsidR="0093436E" w:rsidRPr="0024642A">
        <w:rPr>
          <w:rFonts w:ascii="Times New Roman" w:hAnsi="Times New Roman"/>
          <w:color w:val="000000" w:themeColor="text1"/>
          <w:sz w:val="24"/>
          <w:szCs w:val="24"/>
          <w:lang w:val="en-US"/>
        </w:rPr>
        <w:t xml:space="preserve"> a sense of ownership among all relevant stakeholders. </w:t>
      </w:r>
    </w:p>
    <w:p w:rsidR="002033D3" w:rsidRPr="0024642A" w:rsidRDefault="002033D3" w:rsidP="0024642A">
      <w:pPr>
        <w:jc w:val="both"/>
        <w:rPr>
          <w:rFonts w:ascii="Times New Roman" w:hAnsi="Times New Roman"/>
          <w:color w:val="000000" w:themeColor="text1"/>
          <w:sz w:val="24"/>
          <w:szCs w:val="24"/>
        </w:rPr>
      </w:pPr>
    </w:p>
    <w:p w:rsidR="0000011B" w:rsidRPr="0024642A" w:rsidRDefault="002033D3" w:rsidP="0024642A">
      <w:pPr>
        <w:jc w:val="both"/>
        <w:rPr>
          <w:rFonts w:ascii="Times New Roman" w:hAnsi="Times New Roman"/>
          <w:color w:val="000000" w:themeColor="text1"/>
          <w:sz w:val="24"/>
          <w:szCs w:val="24"/>
        </w:rPr>
      </w:pPr>
      <w:r w:rsidRPr="0024642A">
        <w:rPr>
          <w:rFonts w:ascii="Times New Roman" w:hAnsi="Times New Roman"/>
          <w:color w:val="000000" w:themeColor="text1"/>
          <w:sz w:val="24"/>
          <w:szCs w:val="24"/>
        </w:rPr>
        <w:t>Equal</w:t>
      </w:r>
      <w:r w:rsidR="0000011B" w:rsidRPr="0024642A">
        <w:rPr>
          <w:rFonts w:ascii="Times New Roman" w:hAnsi="Times New Roman"/>
          <w:color w:val="000000" w:themeColor="text1"/>
          <w:sz w:val="24"/>
          <w:szCs w:val="24"/>
          <w:lang w:val="en-US"/>
        </w:rPr>
        <w:t xml:space="preserve"> participation in political and public affairs </w:t>
      </w:r>
      <w:r w:rsidR="0052657C" w:rsidRPr="0024642A">
        <w:rPr>
          <w:rFonts w:ascii="Times New Roman" w:hAnsi="Times New Roman"/>
          <w:color w:val="000000" w:themeColor="text1"/>
          <w:sz w:val="24"/>
          <w:szCs w:val="24"/>
          <w:lang w:val="en-US"/>
        </w:rPr>
        <w:t>also requires</w:t>
      </w:r>
      <w:r w:rsidR="0000011B" w:rsidRPr="0024642A">
        <w:rPr>
          <w:rFonts w:ascii="Times New Roman" w:hAnsi="Times New Roman"/>
          <w:color w:val="000000" w:themeColor="text1"/>
          <w:sz w:val="24"/>
          <w:szCs w:val="24"/>
          <w:lang w:val="en-US"/>
        </w:rPr>
        <w:t xml:space="preserve"> adequate mechanisms </w:t>
      </w:r>
      <w:r w:rsidR="00C57440" w:rsidRPr="0024642A">
        <w:rPr>
          <w:rFonts w:ascii="Times New Roman" w:hAnsi="Times New Roman"/>
          <w:color w:val="000000" w:themeColor="text1"/>
          <w:sz w:val="24"/>
          <w:szCs w:val="24"/>
          <w:lang w:val="en-US"/>
        </w:rPr>
        <w:t xml:space="preserve">for </w:t>
      </w:r>
      <w:r w:rsidR="0000011B" w:rsidRPr="0024642A">
        <w:rPr>
          <w:rFonts w:ascii="Times New Roman" w:hAnsi="Times New Roman"/>
          <w:color w:val="000000" w:themeColor="text1"/>
          <w:sz w:val="24"/>
          <w:szCs w:val="24"/>
          <w:lang w:val="en-US"/>
        </w:rPr>
        <w:t>ensuring that diversity and gender aspects are integrated throughout policy</w:t>
      </w:r>
      <w:r w:rsidR="0052657C" w:rsidRPr="0024642A">
        <w:rPr>
          <w:rFonts w:ascii="Times New Roman" w:hAnsi="Times New Roman"/>
          <w:color w:val="000000" w:themeColor="text1"/>
          <w:sz w:val="24"/>
          <w:szCs w:val="24"/>
          <w:lang w:val="en-US"/>
        </w:rPr>
        <w:t xml:space="preserve"> making</w:t>
      </w:r>
      <w:r w:rsidR="0000011B" w:rsidRPr="0024642A">
        <w:rPr>
          <w:rFonts w:ascii="Times New Roman" w:hAnsi="Times New Roman"/>
          <w:color w:val="000000" w:themeColor="text1"/>
          <w:sz w:val="24"/>
          <w:szCs w:val="24"/>
          <w:lang w:val="en-US"/>
        </w:rPr>
        <w:t xml:space="preserve"> and lawmaking processes. Based on </w:t>
      </w:r>
      <w:r w:rsidR="00C57440" w:rsidRPr="0024642A">
        <w:rPr>
          <w:rFonts w:ascii="Times New Roman" w:hAnsi="Times New Roman"/>
          <w:color w:val="000000" w:themeColor="text1"/>
          <w:sz w:val="24"/>
          <w:szCs w:val="24"/>
          <w:lang w:val="en-US"/>
        </w:rPr>
        <w:t>ODIHR’s</w:t>
      </w:r>
      <w:r w:rsidR="0000011B" w:rsidRPr="0024642A">
        <w:rPr>
          <w:rFonts w:ascii="Times New Roman" w:hAnsi="Times New Roman"/>
          <w:color w:val="000000" w:themeColor="text1"/>
          <w:sz w:val="24"/>
          <w:szCs w:val="24"/>
          <w:lang w:val="en-US"/>
        </w:rPr>
        <w:t xml:space="preserve"> assessments of lawmaking processes</w:t>
      </w:r>
      <w:r w:rsidR="00C57440" w:rsidRPr="0024642A">
        <w:rPr>
          <w:rFonts w:ascii="Times New Roman" w:hAnsi="Times New Roman"/>
          <w:color w:val="000000" w:themeColor="text1"/>
          <w:sz w:val="24"/>
          <w:szCs w:val="24"/>
          <w:lang w:val="en-US"/>
        </w:rPr>
        <w:t xml:space="preserve"> on OSCE participating States</w:t>
      </w:r>
      <w:r w:rsidR="0000011B" w:rsidRPr="0024642A">
        <w:rPr>
          <w:rFonts w:ascii="Times New Roman" w:hAnsi="Times New Roman"/>
          <w:color w:val="000000" w:themeColor="text1"/>
          <w:sz w:val="24"/>
          <w:szCs w:val="24"/>
          <w:lang w:val="en-US"/>
        </w:rPr>
        <w:t xml:space="preserve">, the following elements have been identified as being essential </w:t>
      </w:r>
      <w:r w:rsidR="00C57440" w:rsidRPr="0024642A">
        <w:rPr>
          <w:rFonts w:ascii="Times New Roman" w:hAnsi="Times New Roman"/>
          <w:color w:val="000000" w:themeColor="text1"/>
          <w:sz w:val="24"/>
          <w:szCs w:val="24"/>
          <w:lang w:val="en-US"/>
        </w:rPr>
        <w:t xml:space="preserve">to </w:t>
      </w:r>
      <w:r w:rsidR="0000011B" w:rsidRPr="0024642A">
        <w:rPr>
          <w:rFonts w:ascii="Times New Roman" w:hAnsi="Times New Roman"/>
          <w:color w:val="000000" w:themeColor="text1"/>
          <w:sz w:val="24"/>
          <w:szCs w:val="24"/>
        </w:rPr>
        <w:t>d</w:t>
      </w:r>
      <w:r w:rsidR="0000011B" w:rsidRPr="0024642A">
        <w:rPr>
          <w:rFonts w:ascii="Times New Roman" w:hAnsi="Times New Roman"/>
          <w:bCs/>
          <w:color w:val="000000" w:themeColor="text1"/>
          <w:sz w:val="24"/>
          <w:szCs w:val="24"/>
        </w:rPr>
        <w:t xml:space="preserve">iversity and gender mainstreaming in policy </w:t>
      </w:r>
      <w:r w:rsidR="00C57440" w:rsidRPr="0024642A">
        <w:rPr>
          <w:rFonts w:ascii="Times New Roman" w:hAnsi="Times New Roman"/>
          <w:bCs/>
          <w:color w:val="000000" w:themeColor="text1"/>
          <w:sz w:val="24"/>
          <w:szCs w:val="24"/>
        </w:rPr>
        <w:t xml:space="preserve">making </w:t>
      </w:r>
      <w:r w:rsidR="0000011B" w:rsidRPr="0024642A">
        <w:rPr>
          <w:rFonts w:ascii="Times New Roman" w:hAnsi="Times New Roman"/>
          <w:bCs/>
          <w:color w:val="000000" w:themeColor="text1"/>
          <w:sz w:val="24"/>
          <w:szCs w:val="24"/>
        </w:rPr>
        <w:t>and law</w:t>
      </w:r>
      <w:r w:rsidR="00C57440" w:rsidRPr="0024642A">
        <w:rPr>
          <w:rFonts w:ascii="Times New Roman" w:hAnsi="Times New Roman"/>
          <w:bCs/>
          <w:color w:val="000000" w:themeColor="text1"/>
          <w:sz w:val="24"/>
          <w:szCs w:val="24"/>
        </w:rPr>
        <w:t>making</w:t>
      </w:r>
      <w:r w:rsidR="0000011B" w:rsidRPr="0024642A">
        <w:rPr>
          <w:rFonts w:ascii="Times New Roman" w:hAnsi="Times New Roman"/>
          <w:bCs/>
          <w:color w:val="000000" w:themeColor="text1"/>
          <w:sz w:val="24"/>
          <w:szCs w:val="24"/>
        </w:rPr>
        <w:t xml:space="preserve">: (i) the existence of an overall equality and gender mainstreaming strategy which addresses the issue of gender mainstreaming in policy </w:t>
      </w:r>
      <w:r w:rsidR="00C57440" w:rsidRPr="0024642A">
        <w:rPr>
          <w:rFonts w:ascii="Times New Roman" w:hAnsi="Times New Roman"/>
          <w:bCs/>
          <w:color w:val="000000" w:themeColor="text1"/>
          <w:sz w:val="24"/>
          <w:szCs w:val="24"/>
        </w:rPr>
        <w:t xml:space="preserve">making </w:t>
      </w:r>
      <w:r w:rsidR="0000011B" w:rsidRPr="0024642A">
        <w:rPr>
          <w:rFonts w:ascii="Times New Roman" w:hAnsi="Times New Roman"/>
          <w:bCs/>
          <w:color w:val="000000" w:themeColor="text1"/>
          <w:sz w:val="24"/>
          <w:szCs w:val="24"/>
        </w:rPr>
        <w:t xml:space="preserve">and lawmaking; (ii) an institutional framework for </w:t>
      </w:r>
      <w:r w:rsidR="0000011B" w:rsidRPr="0024642A">
        <w:rPr>
          <w:rFonts w:ascii="Times New Roman" w:hAnsi="Times New Roman"/>
          <w:color w:val="000000" w:themeColor="text1"/>
          <w:sz w:val="24"/>
          <w:szCs w:val="24"/>
        </w:rPr>
        <w:t xml:space="preserve">gender mainstreaming in policy </w:t>
      </w:r>
      <w:r w:rsidR="009D4BEE" w:rsidRPr="0024642A">
        <w:rPr>
          <w:rFonts w:ascii="Times New Roman" w:hAnsi="Times New Roman"/>
          <w:color w:val="000000" w:themeColor="text1"/>
          <w:sz w:val="24"/>
          <w:szCs w:val="24"/>
        </w:rPr>
        <w:t>making and law</w:t>
      </w:r>
      <w:r w:rsidR="0000011B" w:rsidRPr="0024642A">
        <w:rPr>
          <w:rFonts w:ascii="Times New Roman" w:hAnsi="Times New Roman"/>
          <w:color w:val="000000" w:themeColor="text1"/>
          <w:sz w:val="24"/>
          <w:szCs w:val="24"/>
        </w:rPr>
        <w:t>making; (iii)</w:t>
      </w:r>
      <w:r w:rsidR="009D4BEE" w:rsidRPr="0024642A">
        <w:rPr>
          <w:rFonts w:ascii="Times New Roman" w:hAnsi="Times New Roman"/>
          <w:bCs/>
          <w:color w:val="000000" w:themeColor="text1"/>
          <w:sz w:val="24"/>
          <w:szCs w:val="24"/>
        </w:rPr>
        <w:t xml:space="preserve"> a legal obligation</w:t>
      </w:r>
      <w:r w:rsidR="0000011B" w:rsidRPr="0024642A">
        <w:rPr>
          <w:rFonts w:ascii="Times New Roman" w:hAnsi="Times New Roman"/>
          <w:bCs/>
          <w:color w:val="000000" w:themeColor="text1"/>
          <w:sz w:val="24"/>
          <w:szCs w:val="24"/>
        </w:rPr>
        <w:t xml:space="preserve"> for drafters to conduct a gender analysis as part of regulatory impact assessment;</w:t>
      </w:r>
      <w:r w:rsidR="0000011B" w:rsidRPr="0024642A">
        <w:rPr>
          <w:rStyle w:val="FootnoteReference"/>
          <w:rFonts w:ascii="Times New Roman" w:eastAsia="Times New Roman" w:hAnsi="Times New Roman"/>
          <w:sz w:val="24"/>
          <w:szCs w:val="24"/>
          <w:lang w:eastAsia="en-GB"/>
        </w:rPr>
        <w:footnoteReference w:id="17"/>
      </w:r>
      <w:r w:rsidR="0000011B" w:rsidRPr="0024642A">
        <w:rPr>
          <w:rFonts w:ascii="Times New Roman" w:hAnsi="Times New Roman"/>
          <w:bCs/>
          <w:color w:val="000000" w:themeColor="text1"/>
          <w:sz w:val="24"/>
          <w:szCs w:val="24"/>
        </w:rPr>
        <w:t xml:space="preserve"> (iv) </w:t>
      </w:r>
      <w:r w:rsidR="009D4BEE" w:rsidRPr="0024642A">
        <w:rPr>
          <w:rFonts w:ascii="Times New Roman" w:hAnsi="Times New Roman"/>
          <w:bCs/>
          <w:color w:val="000000" w:themeColor="text1"/>
          <w:sz w:val="24"/>
          <w:szCs w:val="24"/>
        </w:rPr>
        <w:t>auxiliary</w:t>
      </w:r>
      <w:r w:rsidR="0000011B" w:rsidRPr="0024642A">
        <w:rPr>
          <w:rFonts w:ascii="Times New Roman" w:hAnsi="Times New Roman"/>
          <w:bCs/>
          <w:color w:val="000000" w:themeColor="text1"/>
          <w:sz w:val="24"/>
          <w:szCs w:val="24"/>
        </w:rPr>
        <w:t xml:space="preserve"> tools such </w:t>
      </w:r>
      <w:r w:rsidR="009D4BEE" w:rsidRPr="0024642A">
        <w:rPr>
          <w:rFonts w:ascii="Times New Roman" w:hAnsi="Times New Roman"/>
          <w:bCs/>
          <w:color w:val="000000" w:themeColor="text1"/>
          <w:sz w:val="24"/>
          <w:szCs w:val="24"/>
        </w:rPr>
        <w:t>as guidelines, t</w:t>
      </w:r>
      <w:r w:rsidR="0000011B" w:rsidRPr="0024642A">
        <w:rPr>
          <w:rFonts w:ascii="Times New Roman" w:hAnsi="Times New Roman"/>
          <w:bCs/>
          <w:color w:val="000000" w:themeColor="text1"/>
          <w:sz w:val="24"/>
          <w:szCs w:val="24"/>
        </w:rPr>
        <w:t xml:space="preserve">oolkits </w:t>
      </w:r>
      <w:r w:rsidR="009D4BEE" w:rsidRPr="0024642A">
        <w:rPr>
          <w:rFonts w:ascii="Times New Roman" w:hAnsi="Times New Roman"/>
          <w:bCs/>
          <w:color w:val="000000" w:themeColor="text1"/>
          <w:sz w:val="24"/>
          <w:szCs w:val="24"/>
        </w:rPr>
        <w:t xml:space="preserve">and </w:t>
      </w:r>
      <w:r w:rsidR="0000011B" w:rsidRPr="0024642A">
        <w:rPr>
          <w:rFonts w:ascii="Times New Roman" w:hAnsi="Times New Roman"/>
          <w:bCs/>
          <w:color w:val="000000" w:themeColor="text1"/>
          <w:sz w:val="24"/>
          <w:szCs w:val="24"/>
        </w:rPr>
        <w:t>checklists  for gender sensitive drafting of legislation and comprehensive trainings of legal drafters;</w:t>
      </w:r>
      <w:r w:rsidR="0000011B" w:rsidRPr="0024642A">
        <w:rPr>
          <w:rStyle w:val="FootnoteReference"/>
          <w:rFonts w:ascii="Times New Roman" w:hAnsi="Times New Roman"/>
          <w:bCs/>
          <w:color w:val="000000" w:themeColor="text1"/>
          <w:sz w:val="24"/>
          <w:szCs w:val="24"/>
        </w:rPr>
        <w:footnoteReference w:id="18"/>
      </w:r>
      <w:r w:rsidR="0000011B" w:rsidRPr="0024642A">
        <w:rPr>
          <w:rFonts w:ascii="Times New Roman" w:hAnsi="Times New Roman"/>
          <w:bCs/>
          <w:color w:val="000000" w:themeColor="text1"/>
          <w:sz w:val="24"/>
          <w:szCs w:val="24"/>
        </w:rPr>
        <w:t xml:space="preserve"> (v) procedures </w:t>
      </w:r>
      <w:r w:rsidR="0000011B" w:rsidRPr="0024642A">
        <w:rPr>
          <w:rFonts w:ascii="Times New Roman" w:hAnsi="Times New Roman"/>
          <w:iCs/>
          <w:color w:val="000000" w:themeColor="text1"/>
          <w:sz w:val="24"/>
          <w:szCs w:val="24"/>
        </w:rPr>
        <w:t xml:space="preserve">providing </w:t>
      </w:r>
      <w:r w:rsidR="00A132E3" w:rsidRPr="0024642A">
        <w:rPr>
          <w:rFonts w:ascii="Times New Roman" w:hAnsi="Times New Roman"/>
          <w:iCs/>
          <w:color w:val="000000" w:themeColor="text1"/>
          <w:sz w:val="24"/>
          <w:szCs w:val="24"/>
        </w:rPr>
        <w:t xml:space="preserve">the public, including men and women, minorities and other social groups, with </w:t>
      </w:r>
      <w:r w:rsidR="0000011B" w:rsidRPr="0024642A">
        <w:rPr>
          <w:rFonts w:ascii="Times New Roman" w:hAnsi="Times New Roman"/>
          <w:iCs/>
          <w:color w:val="000000" w:themeColor="text1"/>
          <w:sz w:val="24"/>
          <w:szCs w:val="24"/>
        </w:rPr>
        <w:t xml:space="preserve">a genuine opportunity to engage in the legislative </w:t>
      </w:r>
      <w:r w:rsidR="00A132E3" w:rsidRPr="0024642A">
        <w:rPr>
          <w:rFonts w:ascii="Times New Roman" w:hAnsi="Times New Roman"/>
          <w:iCs/>
          <w:color w:val="000000" w:themeColor="text1"/>
          <w:sz w:val="24"/>
          <w:szCs w:val="24"/>
        </w:rPr>
        <w:t xml:space="preserve">process </w:t>
      </w:r>
      <w:r w:rsidR="0000011B" w:rsidRPr="0024642A">
        <w:rPr>
          <w:rFonts w:ascii="Times New Roman" w:hAnsi="Times New Roman"/>
          <w:iCs/>
          <w:color w:val="000000" w:themeColor="text1"/>
          <w:sz w:val="24"/>
          <w:szCs w:val="24"/>
        </w:rPr>
        <w:t>in a meaningful way;</w:t>
      </w:r>
      <w:r w:rsidR="0000011B" w:rsidRPr="0024642A">
        <w:rPr>
          <w:rStyle w:val="FootnoteReference"/>
          <w:rFonts w:ascii="Times New Roman" w:hAnsi="Times New Roman"/>
          <w:iCs/>
          <w:color w:val="000000" w:themeColor="text1"/>
          <w:sz w:val="24"/>
          <w:szCs w:val="24"/>
        </w:rPr>
        <w:footnoteReference w:id="19"/>
      </w:r>
      <w:r w:rsidR="0000011B" w:rsidRPr="0024642A">
        <w:rPr>
          <w:rFonts w:ascii="Times New Roman" w:hAnsi="Times New Roman"/>
          <w:iCs/>
          <w:color w:val="000000" w:themeColor="text1"/>
          <w:sz w:val="24"/>
          <w:szCs w:val="24"/>
        </w:rPr>
        <w:t xml:space="preserve"> (vii) a gender responsive budgeting approach; (viii) adequate data collection, monitoring and evaluation mechanisms.</w:t>
      </w:r>
      <w:r w:rsidR="00270A2F" w:rsidRPr="0024642A">
        <w:rPr>
          <w:rFonts w:ascii="Times New Roman" w:hAnsi="Times New Roman"/>
          <w:iCs/>
          <w:color w:val="000000" w:themeColor="text1"/>
          <w:sz w:val="24"/>
          <w:szCs w:val="24"/>
        </w:rPr>
        <w:t xml:space="preserve"> To this e</w:t>
      </w:r>
      <w:r w:rsidR="00E47BA0" w:rsidRPr="0024642A">
        <w:rPr>
          <w:rFonts w:ascii="Times New Roman" w:hAnsi="Times New Roman"/>
          <w:iCs/>
          <w:color w:val="000000" w:themeColor="text1"/>
          <w:sz w:val="24"/>
          <w:szCs w:val="24"/>
        </w:rPr>
        <w:t>nd, ODIHR prepar</w:t>
      </w:r>
      <w:r w:rsidR="00270A2F" w:rsidRPr="0024642A">
        <w:rPr>
          <w:rFonts w:ascii="Times New Roman" w:hAnsi="Times New Roman"/>
          <w:iCs/>
          <w:color w:val="000000" w:themeColor="text1"/>
          <w:sz w:val="24"/>
          <w:szCs w:val="24"/>
        </w:rPr>
        <w:t xml:space="preserve">ed </w:t>
      </w:r>
      <w:hyperlink r:id="rId11" w:history="1">
        <w:r w:rsidR="00270A2F" w:rsidRPr="0024642A">
          <w:rPr>
            <w:rStyle w:val="Hyperlink"/>
            <w:rFonts w:ascii="Times New Roman" w:hAnsi="Times New Roman"/>
            <w:i/>
            <w:iCs/>
            <w:sz w:val="24"/>
            <w:szCs w:val="24"/>
          </w:rPr>
          <w:t>Making Laws Work for Women and Men: A Practical Guide to Gender-Sensitive Legislation</w:t>
        </w:r>
      </w:hyperlink>
      <w:r w:rsidR="00270A2F" w:rsidRPr="0024642A">
        <w:rPr>
          <w:rFonts w:ascii="Times New Roman" w:hAnsi="Times New Roman"/>
          <w:iCs/>
          <w:color w:val="000000" w:themeColor="text1"/>
          <w:sz w:val="24"/>
          <w:szCs w:val="24"/>
        </w:rPr>
        <w:t xml:space="preserve"> primarily intended for members of parl</w:t>
      </w:r>
      <w:r w:rsidR="00505205" w:rsidRPr="0024642A">
        <w:rPr>
          <w:rFonts w:ascii="Times New Roman" w:hAnsi="Times New Roman"/>
          <w:iCs/>
          <w:color w:val="000000" w:themeColor="text1"/>
          <w:sz w:val="24"/>
          <w:szCs w:val="24"/>
        </w:rPr>
        <w:t xml:space="preserve">iament and parliamentary staff. </w:t>
      </w:r>
      <w:r w:rsidR="00270A2F" w:rsidRPr="0024642A">
        <w:rPr>
          <w:rFonts w:ascii="Times New Roman" w:hAnsi="Times New Roman"/>
          <w:iCs/>
          <w:color w:val="000000" w:themeColor="text1"/>
          <w:sz w:val="24"/>
          <w:szCs w:val="24"/>
        </w:rPr>
        <w:t>It includes recommendations on how to conduct a gender needs analysis in a given sector, how to assess the gender implications of specific laws, how to integrate gender-focused activities in new legislative acts, and how to develop gender-sensitive indicators that can facilitate the monitoring of a law’s implementation.</w:t>
      </w:r>
    </w:p>
    <w:p w:rsidR="007C1B25" w:rsidRPr="0024642A" w:rsidRDefault="007C1B25" w:rsidP="0024642A">
      <w:pPr>
        <w:jc w:val="both"/>
        <w:rPr>
          <w:rFonts w:ascii="Times New Roman" w:hAnsi="Times New Roman"/>
          <w:color w:val="000000" w:themeColor="text1"/>
          <w:sz w:val="24"/>
          <w:szCs w:val="24"/>
        </w:rPr>
      </w:pPr>
    </w:p>
    <w:p w:rsidR="00D45DAB" w:rsidRPr="0024642A" w:rsidRDefault="002B1086" w:rsidP="0024642A">
      <w:pPr>
        <w:jc w:val="both"/>
        <w:rPr>
          <w:rFonts w:ascii="Times New Roman" w:hAnsi="Times New Roman"/>
          <w:b/>
          <w:sz w:val="24"/>
          <w:szCs w:val="24"/>
        </w:rPr>
      </w:pPr>
      <w:r w:rsidRPr="0024642A">
        <w:rPr>
          <w:rFonts w:ascii="Times New Roman" w:hAnsi="Times New Roman"/>
          <w:b/>
          <w:sz w:val="24"/>
          <w:szCs w:val="24"/>
        </w:rPr>
        <w:t xml:space="preserve">Participation in political or public life and the right to freedom of peaceful assembly </w:t>
      </w:r>
    </w:p>
    <w:p w:rsidR="00161FFD" w:rsidRPr="0024642A" w:rsidRDefault="00161FFD" w:rsidP="0024642A">
      <w:pPr>
        <w:jc w:val="both"/>
        <w:rPr>
          <w:rFonts w:ascii="Times New Roman" w:hAnsi="Times New Roman"/>
          <w:sz w:val="24"/>
          <w:szCs w:val="24"/>
        </w:rPr>
      </w:pPr>
    </w:p>
    <w:p w:rsidR="002B1086" w:rsidRPr="0024642A" w:rsidRDefault="00332BD3" w:rsidP="0024642A">
      <w:pPr>
        <w:jc w:val="both"/>
        <w:rPr>
          <w:rFonts w:ascii="Times New Roman" w:hAnsi="Times New Roman"/>
          <w:sz w:val="24"/>
          <w:szCs w:val="24"/>
        </w:rPr>
      </w:pPr>
      <w:r w:rsidRPr="0024642A">
        <w:rPr>
          <w:rFonts w:ascii="Times New Roman" w:hAnsi="Times New Roman"/>
          <w:sz w:val="24"/>
          <w:szCs w:val="24"/>
        </w:rPr>
        <w:t xml:space="preserve">The right to participate in the conduct of public affairs is interlinked with a range of other rights, including </w:t>
      </w:r>
      <w:r w:rsidR="004F4810" w:rsidRPr="0024642A">
        <w:rPr>
          <w:rFonts w:ascii="Times New Roman" w:hAnsi="Times New Roman"/>
          <w:sz w:val="24"/>
          <w:szCs w:val="24"/>
        </w:rPr>
        <w:t xml:space="preserve">the </w:t>
      </w:r>
      <w:r w:rsidRPr="0024642A">
        <w:rPr>
          <w:rFonts w:ascii="Times New Roman" w:hAnsi="Times New Roman"/>
          <w:sz w:val="24"/>
          <w:szCs w:val="24"/>
        </w:rPr>
        <w:t>right to freedom of peaceful assembly</w:t>
      </w:r>
      <w:r w:rsidR="004F4810" w:rsidRPr="0024642A">
        <w:rPr>
          <w:rFonts w:ascii="Times New Roman" w:hAnsi="Times New Roman"/>
          <w:sz w:val="24"/>
          <w:szCs w:val="24"/>
        </w:rPr>
        <w:t xml:space="preserve"> as the p</w:t>
      </w:r>
      <w:r w:rsidR="002B1086" w:rsidRPr="0024642A">
        <w:rPr>
          <w:rFonts w:ascii="Times New Roman" w:hAnsi="Times New Roman"/>
          <w:sz w:val="24"/>
          <w:szCs w:val="24"/>
        </w:rPr>
        <w:t>articipation in political and public affairs is often realised through organising or participating in assemblies.</w:t>
      </w:r>
      <w:r w:rsidR="004F4810" w:rsidRPr="0024642A">
        <w:rPr>
          <w:rFonts w:ascii="Times New Roman" w:hAnsi="Times New Roman"/>
          <w:sz w:val="24"/>
          <w:szCs w:val="24"/>
        </w:rPr>
        <w:t xml:space="preserve"> </w:t>
      </w:r>
      <w:r w:rsidR="00161FFD" w:rsidRPr="0024642A">
        <w:rPr>
          <w:rFonts w:ascii="Times New Roman" w:hAnsi="Times New Roman"/>
          <w:sz w:val="24"/>
          <w:szCs w:val="24"/>
        </w:rPr>
        <w:t>The freedom of peaceful assembly is a fundamental freedom that has been recognized as one of the foundations of a functioning democracy. The ability to assemble and act collectively is vital to democratic, economic and social development and to foster an engaged citizenry.</w:t>
      </w:r>
      <w:r w:rsidR="00161FFD" w:rsidRPr="0024642A">
        <w:rPr>
          <w:rStyle w:val="FootnoteReference"/>
          <w:rFonts w:ascii="Times New Roman" w:hAnsi="Times New Roman"/>
          <w:sz w:val="24"/>
          <w:szCs w:val="24"/>
        </w:rPr>
        <w:footnoteReference w:id="20"/>
      </w:r>
      <w:r w:rsidR="00161FFD" w:rsidRPr="0024642A">
        <w:rPr>
          <w:rFonts w:ascii="Times New Roman" w:hAnsi="Times New Roman"/>
          <w:sz w:val="24"/>
          <w:szCs w:val="24"/>
        </w:rPr>
        <w:t xml:space="preserve">  Facilitating participation in peaceful assemblies helps ensure that all people in a society have the opportunity to express opinions that they hold in common with others.  As affirmed by the Human Rights Council “everyone must be able to express their grievances or aspirations in a peaceful manner, including through public protests without fear of reprisals or of being intimidated, harassed, injured, sexually assaulted, beaten, arbitrarily arrested and detained, tortured, killed or subjected to enforced disappearance.”</w:t>
      </w:r>
      <w:r w:rsidR="00161FFD" w:rsidRPr="0024642A">
        <w:rPr>
          <w:rStyle w:val="FootnoteReference"/>
          <w:rFonts w:ascii="Times New Roman" w:hAnsi="Times New Roman"/>
          <w:sz w:val="24"/>
          <w:szCs w:val="24"/>
        </w:rPr>
        <w:footnoteReference w:id="21"/>
      </w:r>
    </w:p>
    <w:p w:rsidR="00B56224" w:rsidRPr="0024642A" w:rsidRDefault="00B56224" w:rsidP="0024642A">
      <w:pPr>
        <w:jc w:val="both"/>
        <w:rPr>
          <w:rFonts w:ascii="Times New Roman" w:hAnsi="Times New Roman"/>
          <w:sz w:val="24"/>
          <w:szCs w:val="24"/>
        </w:rPr>
      </w:pPr>
    </w:p>
    <w:p w:rsidR="00C14BAE" w:rsidRPr="0024642A" w:rsidRDefault="00C14BAE" w:rsidP="0024642A">
      <w:pPr>
        <w:jc w:val="both"/>
        <w:rPr>
          <w:rFonts w:ascii="Times New Roman" w:eastAsia="SimSun" w:hAnsi="Times New Roman"/>
          <w:kern w:val="2"/>
          <w:sz w:val="24"/>
          <w:szCs w:val="24"/>
          <w:lang w:val="en-US" w:eastAsia="hi-IN" w:bidi="hi-IN"/>
        </w:rPr>
      </w:pPr>
      <w:r w:rsidRPr="0024642A">
        <w:rPr>
          <w:rFonts w:ascii="Times New Roman" w:eastAsia="SimSun" w:hAnsi="Times New Roman"/>
          <w:kern w:val="2"/>
          <w:sz w:val="24"/>
          <w:szCs w:val="24"/>
          <w:lang w:val="en-US" w:eastAsia="hi-IN" w:bidi="hi-IN"/>
        </w:rPr>
        <w:t>Despite the international legal framework and the strong OSCE commitments,</w:t>
      </w:r>
      <w:r w:rsidRPr="0024642A">
        <w:rPr>
          <w:rFonts w:ascii="Times New Roman" w:eastAsia="SimSun" w:hAnsi="Times New Roman"/>
          <w:kern w:val="2"/>
          <w:sz w:val="24"/>
          <w:szCs w:val="24"/>
          <w:vertAlign w:val="superscript"/>
          <w:lang w:val="en-US" w:eastAsia="hi-IN" w:bidi="hi-IN"/>
        </w:rPr>
        <w:footnoteReference w:id="22"/>
      </w:r>
      <w:r w:rsidRPr="0024642A">
        <w:rPr>
          <w:rFonts w:ascii="Times New Roman" w:eastAsia="SimSun" w:hAnsi="Times New Roman"/>
          <w:kern w:val="2"/>
          <w:sz w:val="24"/>
          <w:szCs w:val="24"/>
          <w:lang w:val="en-US" w:eastAsia="hi-IN" w:bidi="hi-IN"/>
        </w:rPr>
        <w:t xml:space="preserve"> undue restrictions of freedom of peaceful assembly (both in the area of legislation as well as in practice) still persists around the globe and the OSCE region. </w:t>
      </w:r>
      <w:r w:rsidRPr="0024642A">
        <w:rPr>
          <w:rFonts w:ascii="Times New Roman" w:eastAsia="SimSun" w:hAnsi="Times New Roman"/>
          <w:kern w:val="2"/>
          <w:sz w:val="24"/>
          <w:szCs w:val="24"/>
          <w:lang w:val="hu-HU" w:eastAsia="hi-IN" w:bidi="hi-IN"/>
        </w:rPr>
        <w:t>Therefore ODIHR</w:t>
      </w:r>
      <w:r w:rsidR="00F406AC" w:rsidRPr="0024642A">
        <w:rPr>
          <w:rFonts w:ascii="Times New Roman" w:eastAsia="SimSun" w:hAnsi="Times New Roman"/>
          <w:kern w:val="2"/>
          <w:sz w:val="24"/>
          <w:szCs w:val="24"/>
          <w:lang w:val="hu-HU" w:eastAsia="hi-IN" w:bidi="hi-IN"/>
        </w:rPr>
        <w:t xml:space="preserve"> </w:t>
      </w:r>
      <w:r w:rsidRPr="0024642A">
        <w:rPr>
          <w:rFonts w:ascii="Times New Roman" w:eastAsia="SimSun" w:hAnsi="Times New Roman"/>
          <w:kern w:val="2"/>
          <w:sz w:val="24"/>
          <w:szCs w:val="24"/>
          <w:lang w:val="hu-HU" w:eastAsia="hi-IN" w:bidi="hi-IN"/>
        </w:rPr>
        <w:t xml:space="preserve">has </w:t>
      </w:r>
      <w:r w:rsidR="00F406AC" w:rsidRPr="0024642A">
        <w:rPr>
          <w:rFonts w:ascii="Times New Roman" w:eastAsia="SimSun" w:hAnsi="Times New Roman"/>
          <w:kern w:val="2"/>
          <w:sz w:val="24"/>
          <w:szCs w:val="24"/>
          <w:lang w:val="hu-HU" w:eastAsia="hi-IN" w:bidi="hi-IN"/>
        </w:rPr>
        <w:t xml:space="preserve">established a comprehensive toolbox </w:t>
      </w:r>
      <w:r w:rsidRPr="0024642A">
        <w:rPr>
          <w:rFonts w:ascii="Times New Roman" w:eastAsia="SimSun" w:hAnsi="Times New Roman"/>
          <w:kern w:val="2"/>
          <w:sz w:val="24"/>
          <w:szCs w:val="24"/>
          <w:lang w:val="en-US" w:eastAsia="hi-IN" w:bidi="hi-IN"/>
        </w:rPr>
        <w:t xml:space="preserve"> to assist the OSCE participating States in the implementation of their relevant human dimension commitments</w:t>
      </w:r>
      <w:r w:rsidR="00F406AC" w:rsidRPr="0024642A">
        <w:rPr>
          <w:rFonts w:ascii="Times New Roman" w:eastAsia="SimSun" w:hAnsi="Times New Roman"/>
          <w:kern w:val="2"/>
          <w:sz w:val="24"/>
          <w:szCs w:val="24"/>
          <w:lang w:val="en-US" w:eastAsia="hi-IN" w:bidi="hi-IN"/>
        </w:rPr>
        <w:t>.</w:t>
      </w:r>
      <w:r w:rsidRPr="0024642A">
        <w:rPr>
          <w:rFonts w:ascii="Times New Roman" w:eastAsia="SimSun" w:hAnsi="Times New Roman"/>
          <w:kern w:val="2"/>
          <w:sz w:val="24"/>
          <w:szCs w:val="24"/>
          <w:lang w:val="en-US" w:eastAsia="hi-IN" w:bidi="hi-IN"/>
        </w:rPr>
        <w:t xml:space="preserve"> </w:t>
      </w:r>
    </w:p>
    <w:p w:rsidR="00C14BAE" w:rsidRPr="0024642A" w:rsidRDefault="00C14BAE" w:rsidP="0024642A">
      <w:pPr>
        <w:jc w:val="both"/>
        <w:rPr>
          <w:rFonts w:ascii="Times New Roman" w:eastAsia="SimSun" w:hAnsi="Times New Roman"/>
          <w:color w:val="1F497D"/>
          <w:kern w:val="2"/>
          <w:sz w:val="24"/>
          <w:szCs w:val="24"/>
          <w:lang w:val="en-US" w:eastAsia="hi-IN" w:bidi="hi-IN"/>
        </w:rPr>
      </w:pPr>
    </w:p>
    <w:p w:rsidR="00381938" w:rsidRPr="0024642A" w:rsidRDefault="00C14BAE" w:rsidP="0024642A">
      <w:pPr>
        <w:jc w:val="both"/>
        <w:rPr>
          <w:rFonts w:ascii="Times New Roman" w:eastAsia="SimSun" w:hAnsi="Times New Roman"/>
          <w:kern w:val="2"/>
          <w:sz w:val="24"/>
          <w:szCs w:val="24"/>
          <w:lang w:val="en-US" w:eastAsia="hi-IN" w:bidi="hi-IN"/>
        </w:rPr>
      </w:pPr>
      <w:r w:rsidRPr="0024642A">
        <w:rPr>
          <w:rFonts w:ascii="Times New Roman" w:eastAsia="SimSun" w:hAnsi="Times New Roman"/>
          <w:kern w:val="2"/>
          <w:sz w:val="24"/>
          <w:szCs w:val="24"/>
          <w:lang w:val="en-US" w:eastAsia="hi-IN" w:bidi="hi-IN"/>
        </w:rPr>
        <w:t xml:space="preserve">In order to assist in </w:t>
      </w:r>
      <w:r w:rsidRPr="0024642A">
        <w:rPr>
          <w:rFonts w:ascii="Times New Roman" w:eastAsia="SimSun" w:hAnsi="Times New Roman"/>
          <w:bCs/>
          <w:kern w:val="2"/>
          <w:sz w:val="24"/>
          <w:szCs w:val="24"/>
          <w:lang w:val="en-US" w:eastAsia="hi-IN" w:bidi="hi-IN"/>
        </w:rPr>
        <w:t>monitoring</w:t>
      </w:r>
      <w:r w:rsidRPr="0024642A">
        <w:rPr>
          <w:rFonts w:ascii="Times New Roman" w:eastAsia="SimSun" w:hAnsi="Times New Roman"/>
          <w:b/>
          <w:bCs/>
          <w:kern w:val="2"/>
          <w:sz w:val="24"/>
          <w:szCs w:val="24"/>
          <w:lang w:val="en-US" w:eastAsia="hi-IN" w:bidi="hi-IN"/>
        </w:rPr>
        <w:t xml:space="preserve"> </w:t>
      </w:r>
      <w:r w:rsidRPr="0024642A">
        <w:rPr>
          <w:rFonts w:ascii="Times New Roman" w:eastAsia="SimSun" w:hAnsi="Times New Roman"/>
          <w:kern w:val="2"/>
          <w:sz w:val="24"/>
          <w:szCs w:val="24"/>
          <w:lang w:val="en-US" w:eastAsia="hi-IN" w:bidi="hi-IN"/>
        </w:rPr>
        <w:t>the implementation of human dimension commitments in the area of freedom of peaceful assembly ODIHR has been conducting assembly monitoring activities since 2011, in the course of which ODIHR has monitored assemblies in 27 OSCE participating States</w:t>
      </w:r>
      <w:r w:rsidRPr="0024642A">
        <w:rPr>
          <w:rFonts w:ascii="Times New Roman" w:eastAsia="SimSun" w:hAnsi="Times New Roman"/>
          <w:kern w:val="2"/>
          <w:sz w:val="24"/>
          <w:szCs w:val="24"/>
          <w:vertAlign w:val="superscript"/>
          <w:lang w:val="en-US" w:eastAsia="hi-IN" w:bidi="hi-IN"/>
        </w:rPr>
        <w:footnoteReference w:id="23"/>
      </w:r>
      <w:r w:rsidRPr="0024642A">
        <w:rPr>
          <w:rFonts w:ascii="Times New Roman" w:eastAsia="SimSun" w:hAnsi="Times New Roman"/>
          <w:kern w:val="2"/>
          <w:sz w:val="24"/>
          <w:szCs w:val="24"/>
          <w:lang w:val="en-US" w:eastAsia="hi-IN" w:bidi="hi-IN"/>
        </w:rPr>
        <w:t xml:space="preserve">  and published three thematic reports.</w:t>
      </w:r>
      <w:r w:rsidRPr="0024642A">
        <w:rPr>
          <w:rStyle w:val="FootnoteReference"/>
          <w:rFonts w:ascii="Times New Roman" w:eastAsia="SimSun" w:hAnsi="Times New Roman"/>
          <w:kern w:val="2"/>
          <w:sz w:val="24"/>
          <w:szCs w:val="24"/>
          <w:lang w:val="en-US" w:eastAsia="hi-IN" w:bidi="hi-IN"/>
        </w:rPr>
        <w:footnoteReference w:id="24"/>
      </w:r>
      <w:r w:rsidR="00F406AC" w:rsidRPr="0024642A">
        <w:rPr>
          <w:rFonts w:ascii="Times New Roman" w:eastAsia="SimSun" w:hAnsi="Times New Roman"/>
          <w:kern w:val="2"/>
          <w:sz w:val="24"/>
          <w:szCs w:val="24"/>
          <w:lang w:val="en-US" w:eastAsia="hi-IN" w:bidi="hi-IN"/>
        </w:rPr>
        <w:t xml:space="preserve"> </w:t>
      </w:r>
      <w:r w:rsidR="00381938" w:rsidRPr="0024642A">
        <w:rPr>
          <w:rFonts w:ascii="Times New Roman" w:eastAsia="SimSun" w:hAnsi="Times New Roman"/>
          <w:kern w:val="2"/>
          <w:sz w:val="24"/>
          <w:szCs w:val="24"/>
          <w:lang w:val="en-US" w:eastAsia="hi-IN" w:bidi="hi-IN"/>
        </w:rPr>
        <w:t>ODIHR promotes the recognition of the important role independent monitoring of assemblies plays in the full realization of the right to freedom of peaceful assembly and advocates for creating an enabling environment for this work</w:t>
      </w:r>
      <w:r w:rsidR="00F67BB0" w:rsidRPr="0024642A">
        <w:rPr>
          <w:rFonts w:ascii="Times New Roman" w:eastAsia="SimSun" w:hAnsi="Times New Roman"/>
          <w:kern w:val="2"/>
          <w:sz w:val="24"/>
          <w:szCs w:val="24"/>
          <w:lang w:val="en-US" w:eastAsia="hi-IN" w:bidi="hi-IN"/>
        </w:rPr>
        <w:t xml:space="preserve"> </w:t>
      </w:r>
      <w:r w:rsidR="00566365" w:rsidRPr="0024642A">
        <w:rPr>
          <w:rFonts w:ascii="Times New Roman" w:eastAsia="SimSun" w:hAnsi="Times New Roman"/>
          <w:kern w:val="2"/>
          <w:sz w:val="24"/>
          <w:szCs w:val="24"/>
          <w:lang w:val="en-US" w:eastAsia="hi-IN" w:bidi="hi-IN"/>
        </w:rPr>
        <w:t xml:space="preserve">by the </w:t>
      </w:r>
      <w:r w:rsidR="00F67BB0" w:rsidRPr="0024642A">
        <w:rPr>
          <w:rFonts w:ascii="Times New Roman" w:eastAsia="SimSun" w:hAnsi="Times New Roman"/>
          <w:kern w:val="2"/>
          <w:sz w:val="24"/>
          <w:szCs w:val="24"/>
          <w:lang w:val="en-US" w:eastAsia="hi-IN" w:bidi="hi-IN"/>
        </w:rPr>
        <w:t xml:space="preserve">OSCE </w:t>
      </w:r>
      <w:r w:rsidR="00566365" w:rsidRPr="0024642A">
        <w:rPr>
          <w:rFonts w:ascii="Times New Roman" w:eastAsia="SimSun" w:hAnsi="Times New Roman"/>
          <w:kern w:val="2"/>
          <w:sz w:val="24"/>
          <w:szCs w:val="24"/>
          <w:lang w:val="en-US" w:eastAsia="hi-IN" w:bidi="hi-IN"/>
        </w:rPr>
        <w:t xml:space="preserve">participating States, refraining from unnecessary restrictions on assembly monitoring activities and giving </w:t>
      </w:r>
      <w:r w:rsidR="00F67BB0" w:rsidRPr="0024642A">
        <w:rPr>
          <w:rFonts w:ascii="Times New Roman" w:eastAsia="SimSun" w:hAnsi="Times New Roman"/>
          <w:kern w:val="2"/>
          <w:sz w:val="24"/>
          <w:szCs w:val="24"/>
          <w:lang w:val="en-US" w:eastAsia="hi-IN" w:bidi="hi-IN"/>
        </w:rPr>
        <w:t>due consideration to their findings and recommendations resulting from their assessment of the facilitation of assemblies so as to inform institutional learning and, more broadly, in the drafting</w:t>
      </w:r>
      <w:r w:rsidR="00566365" w:rsidRPr="0024642A">
        <w:rPr>
          <w:rFonts w:ascii="Times New Roman" w:eastAsia="SimSun" w:hAnsi="Times New Roman"/>
          <w:kern w:val="2"/>
          <w:sz w:val="24"/>
          <w:szCs w:val="24"/>
          <w:lang w:val="en-US" w:eastAsia="hi-IN" w:bidi="hi-IN"/>
        </w:rPr>
        <w:t xml:space="preserve"> </w:t>
      </w:r>
      <w:r w:rsidR="00F67BB0" w:rsidRPr="0024642A">
        <w:rPr>
          <w:rFonts w:ascii="Times New Roman" w:eastAsia="SimSun" w:hAnsi="Times New Roman"/>
          <w:kern w:val="2"/>
          <w:sz w:val="24"/>
          <w:szCs w:val="24"/>
          <w:lang w:val="en-US" w:eastAsia="hi-IN" w:bidi="hi-IN"/>
        </w:rPr>
        <w:t>of legislation and policies affecting the enjoyment of freedom of peaceful assembly</w:t>
      </w:r>
      <w:r w:rsidR="00566365" w:rsidRPr="0024642A">
        <w:rPr>
          <w:rFonts w:ascii="Times New Roman" w:eastAsia="SimSun" w:hAnsi="Times New Roman"/>
          <w:kern w:val="2"/>
          <w:sz w:val="24"/>
          <w:szCs w:val="24"/>
          <w:lang w:val="en-US" w:eastAsia="hi-IN" w:bidi="hi-IN"/>
        </w:rPr>
        <w:t xml:space="preserve">. </w:t>
      </w:r>
      <w:r w:rsidR="00381938" w:rsidRPr="0024642A">
        <w:rPr>
          <w:rFonts w:ascii="Times New Roman" w:eastAsia="SimSun" w:hAnsi="Times New Roman"/>
          <w:kern w:val="2"/>
          <w:sz w:val="24"/>
          <w:szCs w:val="24"/>
          <w:lang w:val="en-US" w:eastAsia="hi-IN" w:bidi="hi-IN"/>
        </w:rPr>
        <w:t xml:space="preserve"> </w:t>
      </w:r>
    </w:p>
    <w:p w:rsidR="00381938" w:rsidRPr="0024642A" w:rsidRDefault="00381938" w:rsidP="0024642A">
      <w:pPr>
        <w:jc w:val="both"/>
        <w:rPr>
          <w:rFonts w:ascii="Times New Roman" w:eastAsia="SimSun" w:hAnsi="Times New Roman"/>
          <w:kern w:val="2"/>
          <w:sz w:val="24"/>
          <w:szCs w:val="24"/>
          <w:lang w:val="en-US" w:eastAsia="hi-IN" w:bidi="hi-IN"/>
        </w:rPr>
      </w:pPr>
    </w:p>
    <w:p w:rsidR="00C14BAE" w:rsidRPr="0024642A" w:rsidRDefault="00F406AC" w:rsidP="0024642A">
      <w:pPr>
        <w:jc w:val="both"/>
        <w:rPr>
          <w:rFonts w:ascii="Times New Roman" w:eastAsia="SimSun" w:hAnsi="Times New Roman"/>
          <w:kern w:val="2"/>
          <w:sz w:val="24"/>
          <w:szCs w:val="24"/>
          <w:lang w:val="en-US" w:eastAsia="hi-IN" w:bidi="hi-IN"/>
        </w:rPr>
      </w:pPr>
      <w:r w:rsidRPr="0024642A">
        <w:rPr>
          <w:rFonts w:ascii="Times New Roman" w:eastAsia="SimSun" w:hAnsi="Times New Roman"/>
          <w:kern w:val="2"/>
          <w:sz w:val="24"/>
          <w:szCs w:val="24"/>
          <w:lang w:val="en-US" w:eastAsia="hi-IN" w:bidi="hi-IN"/>
        </w:rPr>
        <w:t xml:space="preserve">ODIHR’s </w:t>
      </w:r>
      <w:r w:rsidR="00C14BAE" w:rsidRPr="0024642A">
        <w:rPr>
          <w:rFonts w:ascii="Times New Roman" w:eastAsia="SimSun" w:hAnsi="Times New Roman"/>
          <w:i/>
          <w:kern w:val="2"/>
          <w:sz w:val="24"/>
          <w:szCs w:val="24"/>
          <w:lang w:val="en-US" w:eastAsia="hi-IN" w:bidi="hi-IN"/>
        </w:rPr>
        <w:t>Guidelines on Freedom of Peaceful Assembly</w:t>
      </w:r>
      <w:r w:rsidRPr="0024642A">
        <w:rPr>
          <w:rStyle w:val="FootnoteReference"/>
          <w:rFonts w:ascii="Times New Roman" w:eastAsia="SimSun" w:hAnsi="Times New Roman"/>
          <w:kern w:val="2"/>
          <w:sz w:val="24"/>
          <w:szCs w:val="24"/>
          <w:lang w:val="en-US" w:eastAsia="hi-IN" w:bidi="hi-IN"/>
        </w:rPr>
        <w:footnoteReference w:id="25"/>
      </w:r>
      <w:r w:rsidR="00C14BAE" w:rsidRPr="0024642A">
        <w:rPr>
          <w:rFonts w:ascii="Times New Roman" w:eastAsia="SimSun" w:hAnsi="Times New Roman"/>
          <w:kern w:val="2"/>
          <w:sz w:val="24"/>
          <w:szCs w:val="24"/>
          <w:lang w:val="en-US" w:eastAsia="hi-IN" w:bidi="hi-IN"/>
        </w:rPr>
        <w:t xml:space="preserve"> (published jointly with the Co</w:t>
      </w:r>
      <w:r w:rsidR="00566365" w:rsidRPr="0024642A">
        <w:rPr>
          <w:rFonts w:ascii="Times New Roman" w:eastAsia="SimSun" w:hAnsi="Times New Roman"/>
          <w:kern w:val="2"/>
          <w:sz w:val="24"/>
          <w:szCs w:val="24"/>
          <w:lang w:val="en-US" w:eastAsia="hi-IN" w:bidi="hi-IN"/>
        </w:rPr>
        <w:t xml:space="preserve">uncil of </w:t>
      </w:r>
      <w:r w:rsidR="00C14BAE" w:rsidRPr="0024642A">
        <w:rPr>
          <w:rFonts w:ascii="Times New Roman" w:eastAsia="SimSun" w:hAnsi="Times New Roman"/>
          <w:kern w:val="2"/>
          <w:sz w:val="24"/>
          <w:szCs w:val="24"/>
          <w:lang w:val="en-US" w:eastAsia="hi-IN" w:bidi="hi-IN"/>
        </w:rPr>
        <w:t>E</w:t>
      </w:r>
      <w:r w:rsidR="00566365" w:rsidRPr="0024642A">
        <w:rPr>
          <w:rFonts w:ascii="Times New Roman" w:eastAsia="SimSun" w:hAnsi="Times New Roman"/>
          <w:kern w:val="2"/>
          <w:sz w:val="24"/>
          <w:szCs w:val="24"/>
          <w:lang w:val="en-US" w:eastAsia="hi-IN" w:bidi="hi-IN"/>
        </w:rPr>
        <w:t>urope</w:t>
      </w:r>
      <w:r w:rsidR="00C14BAE" w:rsidRPr="0024642A">
        <w:rPr>
          <w:rFonts w:ascii="Times New Roman" w:eastAsia="SimSun" w:hAnsi="Times New Roman"/>
          <w:kern w:val="2"/>
          <w:sz w:val="24"/>
          <w:szCs w:val="24"/>
          <w:lang w:val="en-US" w:eastAsia="hi-IN" w:bidi="hi-IN"/>
        </w:rPr>
        <w:t xml:space="preserve"> Venice Commission) serves as a key benchmark and reference point to assess compliance with international human rights standards and has been often cited by the European Court of Human Rights as well as relevant mandate holders within the United Nations. ODIHR has been engaged in reviewing draft and existing laws against these benchmarks - upon request - to support OSCE participating States in their efforts to bring their legislation into line with key OSCE commitments.</w:t>
      </w:r>
      <w:r w:rsidR="00381938" w:rsidRPr="0024642A">
        <w:rPr>
          <w:rStyle w:val="FootnoteReference"/>
          <w:rFonts w:ascii="Times New Roman" w:eastAsia="SimSun" w:hAnsi="Times New Roman"/>
          <w:kern w:val="2"/>
          <w:sz w:val="24"/>
          <w:szCs w:val="24"/>
          <w:lang w:val="en-US" w:eastAsia="hi-IN" w:bidi="hi-IN"/>
        </w:rPr>
        <w:footnoteReference w:id="26"/>
      </w:r>
      <w:r w:rsidR="00C14BAE" w:rsidRPr="0024642A">
        <w:rPr>
          <w:rFonts w:ascii="Times New Roman" w:eastAsia="SimSun" w:hAnsi="Times New Roman"/>
          <w:kern w:val="2"/>
          <w:sz w:val="24"/>
          <w:szCs w:val="24"/>
          <w:lang w:val="en-US" w:eastAsia="hi-IN" w:bidi="hi-IN"/>
        </w:rPr>
        <w:t xml:space="preserve"> </w:t>
      </w:r>
    </w:p>
    <w:p w:rsidR="00C14BAE" w:rsidRPr="0024642A" w:rsidRDefault="00C14BAE" w:rsidP="0024642A">
      <w:pPr>
        <w:jc w:val="both"/>
        <w:rPr>
          <w:rFonts w:ascii="Times New Roman" w:hAnsi="Times New Roman"/>
          <w:sz w:val="24"/>
          <w:szCs w:val="24"/>
        </w:rPr>
      </w:pPr>
    </w:p>
    <w:p w:rsidR="0024642A" w:rsidRPr="0024642A" w:rsidRDefault="0024642A" w:rsidP="0024642A">
      <w:pPr>
        <w:widowControl w:val="0"/>
        <w:autoSpaceDE w:val="0"/>
        <w:autoSpaceDN w:val="0"/>
        <w:adjustRightInd w:val="0"/>
        <w:jc w:val="center"/>
        <w:rPr>
          <w:rFonts w:ascii="Times New Roman" w:eastAsia="Calibri" w:hAnsi="Times New Roman"/>
          <w:sz w:val="24"/>
          <w:szCs w:val="24"/>
          <w:lang w:val="en-US"/>
        </w:rPr>
      </w:pPr>
      <w:r w:rsidRPr="0024642A">
        <w:rPr>
          <w:rFonts w:ascii="Times New Roman" w:eastAsia="Calibri" w:hAnsi="Times New Roman"/>
          <w:sz w:val="24"/>
          <w:szCs w:val="24"/>
          <w:lang w:val="en-US"/>
        </w:rPr>
        <w:t>***</w:t>
      </w: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The following submission from ODIHR is guided by the specific elements outlined in Para. 10 of the Human Rights Council Resolution 33/22 with the aim to respond to specific points of enquiry posed by the Resolution to the OHCHR.</w:t>
      </w:r>
    </w:p>
    <w:p w:rsidR="0024642A" w:rsidRPr="0024642A" w:rsidRDefault="0024642A" w:rsidP="0024642A">
      <w:pPr>
        <w:jc w:val="both"/>
        <w:rPr>
          <w:rFonts w:ascii="Times New Roman" w:eastAsia="Calibri" w:hAnsi="Times New Roman"/>
          <w:sz w:val="24"/>
          <w:szCs w:val="24"/>
          <w:lang w:val="en-US"/>
        </w:rPr>
      </w:pPr>
      <w:r w:rsidRPr="0024642A">
        <w:rPr>
          <w:rFonts w:ascii="Times New Roman" w:eastAsia="Calibri" w:hAnsi="Times New Roman"/>
          <w:sz w:val="24"/>
          <w:szCs w:val="24"/>
          <w:lang w:val="en-US"/>
        </w:rPr>
        <w:t xml:space="preserve">HRC Resolution Paragraph 10: </w:t>
      </w:r>
      <w:r w:rsidRPr="0024642A">
        <w:rPr>
          <w:rFonts w:ascii="Times New Roman" w:eastAsia="Calibri" w:hAnsi="Times New Roman"/>
          <w:i/>
          <w:sz w:val="24"/>
          <w:szCs w:val="24"/>
          <w:lang w:val="en-US"/>
        </w:rPr>
        <w:t>Invites the Office of the High Commissioner to consider examining in the draft guidelines, inter alia:</w:t>
      </w:r>
    </w:p>
    <w:p w:rsidR="0024642A" w:rsidRPr="0024642A" w:rsidRDefault="0024642A" w:rsidP="0024642A">
      <w:pPr>
        <w:widowControl w:val="0"/>
        <w:autoSpaceDE w:val="0"/>
        <w:autoSpaceDN w:val="0"/>
        <w:adjustRightInd w:val="0"/>
        <w:jc w:val="both"/>
        <w:rPr>
          <w:rFonts w:ascii="Times New Roman" w:eastAsia="Calibri" w:hAnsi="Times New Roman"/>
          <w:b/>
          <w:sz w:val="24"/>
          <w:szCs w:val="24"/>
          <w:lang w:val="en-US"/>
        </w:rPr>
      </w:pPr>
      <w:r w:rsidRPr="0024642A">
        <w:rPr>
          <w:rFonts w:ascii="Times New Roman" w:eastAsia="Calibri" w:hAnsi="Times New Roman"/>
          <w:b/>
          <w:sz w:val="24"/>
          <w:szCs w:val="24"/>
          <w:lang w:val="en-US"/>
        </w:rPr>
        <w:t xml:space="preserve">(a) Basic principles underpinning the effective implementation of the right to participate in public affairs; </w:t>
      </w: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ODIHR would recommend exploring the following basic principles:</w:t>
      </w:r>
    </w:p>
    <w:p w:rsidR="0024642A" w:rsidRPr="0024642A" w:rsidRDefault="0024642A" w:rsidP="0024642A">
      <w:pPr>
        <w:widowControl w:val="0"/>
        <w:numPr>
          <w:ilvl w:val="0"/>
          <w:numId w:val="6"/>
        </w:numPr>
        <w:autoSpaceDE w:val="0"/>
        <w:autoSpaceDN w:val="0"/>
        <w:adjustRightInd w:val="0"/>
        <w:contextualSpacing/>
        <w:jc w:val="both"/>
        <w:rPr>
          <w:rFonts w:ascii="Times New Roman" w:eastAsia="Calibri" w:hAnsi="Times New Roman"/>
          <w:sz w:val="24"/>
          <w:szCs w:val="24"/>
          <w:lang w:val="en-US"/>
        </w:rPr>
      </w:pPr>
      <w:r w:rsidRPr="0024642A">
        <w:rPr>
          <w:rFonts w:ascii="Times New Roman" w:eastAsia="Calibri" w:hAnsi="Times New Roman"/>
          <w:sz w:val="24"/>
          <w:szCs w:val="24"/>
          <w:lang w:val="en-US"/>
        </w:rPr>
        <w:t>universal and equal suffrage, both with regard to the right to vote and the right to stand;</w:t>
      </w:r>
      <w:r w:rsidRPr="0024642A">
        <w:rPr>
          <w:rFonts w:ascii="Times New Roman" w:eastAsia="Calibri" w:hAnsi="Times New Roman"/>
          <w:sz w:val="24"/>
          <w:szCs w:val="24"/>
          <w:vertAlign w:val="superscript"/>
          <w:lang w:val="en-US"/>
        </w:rPr>
        <w:footnoteReference w:id="27"/>
      </w:r>
    </w:p>
    <w:p w:rsidR="0024642A" w:rsidRPr="0024642A" w:rsidRDefault="0024642A" w:rsidP="0024642A">
      <w:pPr>
        <w:widowControl w:val="0"/>
        <w:numPr>
          <w:ilvl w:val="0"/>
          <w:numId w:val="6"/>
        </w:numPr>
        <w:autoSpaceDE w:val="0"/>
        <w:autoSpaceDN w:val="0"/>
        <w:adjustRightInd w:val="0"/>
        <w:contextualSpacing/>
        <w:jc w:val="both"/>
        <w:rPr>
          <w:rFonts w:ascii="Times New Roman" w:eastAsia="Calibri" w:hAnsi="Times New Roman"/>
          <w:sz w:val="24"/>
          <w:szCs w:val="24"/>
          <w:lang w:val="en-US"/>
        </w:rPr>
      </w:pPr>
      <w:r w:rsidRPr="0024642A">
        <w:rPr>
          <w:rFonts w:ascii="Times New Roman" w:eastAsia="Calibri" w:hAnsi="Times New Roman"/>
          <w:sz w:val="24"/>
          <w:szCs w:val="24"/>
          <w:lang w:val="en-US"/>
        </w:rPr>
        <w:t>the right of citizens to seek political or public office, individually or as representatives of political parties or organizations, without discrimination;</w:t>
      </w:r>
      <w:r w:rsidRPr="0024642A">
        <w:rPr>
          <w:rFonts w:ascii="Times New Roman" w:eastAsia="Calibri" w:hAnsi="Times New Roman"/>
          <w:sz w:val="24"/>
          <w:szCs w:val="24"/>
          <w:vertAlign w:val="superscript"/>
          <w:lang w:val="en-US"/>
        </w:rPr>
        <w:footnoteReference w:id="28"/>
      </w:r>
    </w:p>
    <w:p w:rsidR="0024642A" w:rsidRPr="0024642A" w:rsidRDefault="0024642A" w:rsidP="0024642A">
      <w:pPr>
        <w:widowControl w:val="0"/>
        <w:numPr>
          <w:ilvl w:val="0"/>
          <w:numId w:val="6"/>
        </w:numPr>
        <w:autoSpaceDE w:val="0"/>
        <w:autoSpaceDN w:val="0"/>
        <w:adjustRightInd w:val="0"/>
        <w:contextualSpacing/>
        <w:jc w:val="both"/>
        <w:rPr>
          <w:rFonts w:ascii="Times New Roman" w:eastAsia="Calibri" w:hAnsi="Times New Roman"/>
          <w:sz w:val="24"/>
          <w:szCs w:val="24"/>
          <w:lang w:val="en-US"/>
        </w:rPr>
      </w:pPr>
      <w:r w:rsidRPr="0024642A">
        <w:rPr>
          <w:rFonts w:ascii="Times New Roman" w:eastAsia="Calibri" w:hAnsi="Times New Roman"/>
          <w:sz w:val="24"/>
          <w:szCs w:val="24"/>
          <w:lang w:val="en-US"/>
        </w:rPr>
        <w:t>equal treatment of all candidates in the elections by the law and authorities;</w:t>
      </w:r>
      <w:r w:rsidRPr="0024642A">
        <w:rPr>
          <w:rFonts w:ascii="Times New Roman" w:eastAsia="Calibri" w:hAnsi="Times New Roman"/>
          <w:sz w:val="24"/>
          <w:szCs w:val="24"/>
          <w:vertAlign w:val="superscript"/>
          <w:lang w:val="en-US"/>
        </w:rPr>
        <w:footnoteReference w:id="29"/>
      </w:r>
    </w:p>
    <w:p w:rsidR="0024642A" w:rsidRPr="0024642A" w:rsidRDefault="0024642A" w:rsidP="0024642A">
      <w:pPr>
        <w:widowControl w:val="0"/>
        <w:numPr>
          <w:ilvl w:val="0"/>
          <w:numId w:val="6"/>
        </w:numPr>
        <w:autoSpaceDE w:val="0"/>
        <w:autoSpaceDN w:val="0"/>
        <w:adjustRightInd w:val="0"/>
        <w:contextualSpacing/>
        <w:jc w:val="both"/>
        <w:rPr>
          <w:rFonts w:ascii="Times New Roman" w:eastAsia="Calibri" w:hAnsi="Times New Roman"/>
          <w:sz w:val="24"/>
          <w:szCs w:val="24"/>
          <w:lang w:val="en-US"/>
        </w:rPr>
      </w:pPr>
      <w:r w:rsidRPr="0024642A">
        <w:rPr>
          <w:rFonts w:ascii="Times New Roman" w:eastAsia="Calibri" w:hAnsi="Times New Roman"/>
          <w:sz w:val="24"/>
          <w:szCs w:val="24"/>
          <w:lang w:val="en-US"/>
        </w:rPr>
        <w:t>effective ability to conduct campaign in a fair and free atmosphere in which neither administrative action, violence nor intimidation bars the parties and the candidates from freely presenting their views and qualifications, or prevents the voters from learning and discussing them or from casting their vote free of fear of retribution;</w:t>
      </w:r>
      <w:r w:rsidRPr="0024642A">
        <w:rPr>
          <w:rFonts w:ascii="Times New Roman" w:eastAsia="Calibri" w:hAnsi="Times New Roman"/>
          <w:sz w:val="24"/>
          <w:szCs w:val="24"/>
          <w:vertAlign w:val="superscript"/>
          <w:lang w:val="en-US"/>
        </w:rPr>
        <w:footnoteReference w:id="30"/>
      </w:r>
    </w:p>
    <w:p w:rsidR="0024642A" w:rsidRPr="0024642A" w:rsidRDefault="0024642A" w:rsidP="0024642A">
      <w:pPr>
        <w:widowControl w:val="0"/>
        <w:numPr>
          <w:ilvl w:val="0"/>
          <w:numId w:val="6"/>
        </w:numPr>
        <w:autoSpaceDE w:val="0"/>
        <w:autoSpaceDN w:val="0"/>
        <w:adjustRightInd w:val="0"/>
        <w:contextualSpacing/>
        <w:jc w:val="both"/>
        <w:rPr>
          <w:rFonts w:ascii="Times New Roman" w:eastAsia="Calibri" w:hAnsi="Times New Roman"/>
          <w:sz w:val="24"/>
          <w:szCs w:val="24"/>
          <w:lang w:val="en-US"/>
        </w:rPr>
      </w:pPr>
      <w:r w:rsidRPr="0024642A">
        <w:rPr>
          <w:rFonts w:ascii="Times New Roman" w:eastAsia="Calibri" w:hAnsi="Times New Roman"/>
          <w:sz w:val="24"/>
          <w:szCs w:val="24"/>
          <w:lang w:val="en-US"/>
        </w:rPr>
        <w:t>the right to access the media (and exercise the freedom of expression) in the campaign on a non-discriminatory basis without legal or administrative impediment;</w:t>
      </w:r>
      <w:r w:rsidRPr="0024642A">
        <w:rPr>
          <w:rFonts w:ascii="Times New Roman" w:eastAsia="Calibri" w:hAnsi="Times New Roman"/>
          <w:sz w:val="24"/>
          <w:szCs w:val="24"/>
          <w:vertAlign w:val="superscript"/>
          <w:lang w:val="en-US"/>
        </w:rPr>
        <w:footnoteReference w:id="31"/>
      </w:r>
    </w:p>
    <w:p w:rsidR="0024642A" w:rsidRPr="0024642A" w:rsidRDefault="0024642A" w:rsidP="0024642A">
      <w:pPr>
        <w:widowControl w:val="0"/>
        <w:numPr>
          <w:ilvl w:val="0"/>
          <w:numId w:val="6"/>
        </w:numPr>
        <w:autoSpaceDE w:val="0"/>
        <w:autoSpaceDN w:val="0"/>
        <w:adjustRightInd w:val="0"/>
        <w:contextualSpacing/>
        <w:jc w:val="both"/>
        <w:rPr>
          <w:rFonts w:ascii="Times New Roman" w:eastAsia="Calibri" w:hAnsi="Times New Roman"/>
          <w:sz w:val="24"/>
          <w:szCs w:val="24"/>
          <w:lang w:val="en-US"/>
        </w:rPr>
      </w:pPr>
      <w:r w:rsidRPr="0024642A">
        <w:rPr>
          <w:rFonts w:ascii="Times New Roman" w:eastAsia="Calibri" w:hAnsi="Times New Roman"/>
          <w:sz w:val="24"/>
          <w:szCs w:val="24"/>
          <w:lang w:val="en-US"/>
        </w:rPr>
        <w:t>effective remedies in the electoral dispute resolution process, including the possibility on judicial review of administrative decisions and the principle of proportionality;</w:t>
      </w:r>
      <w:r w:rsidRPr="0024642A">
        <w:rPr>
          <w:rFonts w:ascii="Times New Roman" w:eastAsia="Calibri" w:hAnsi="Times New Roman"/>
          <w:sz w:val="24"/>
          <w:szCs w:val="24"/>
          <w:vertAlign w:val="superscript"/>
          <w:lang w:val="en-US"/>
        </w:rPr>
        <w:footnoteReference w:id="32"/>
      </w:r>
    </w:p>
    <w:p w:rsidR="0024642A" w:rsidRPr="0024642A" w:rsidRDefault="0024642A" w:rsidP="0024642A">
      <w:pPr>
        <w:widowControl w:val="0"/>
        <w:numPr>
          <w:ilvl w:val="0"/>
          <w:numId w:val="6"/>
        </w:numPr>
        <w:autoSpaceDE w:val="0"/>
        <w:autoSpaceDN w:val="0"/>
        <w:adjustRightInd w:val="0"/>
        <w:contextualSpacing/>
        <w:jc w:val="both"/>
        <w:rPr>
          <w:rFonts w:ascii="Times New Roman" w:eastAsia="Calibri" w:hAnsi="Times New Roman"/>
          <w:sz w:val="24"/>
          <w:szCs w:val="24"/>
          <w:lang w:val="en-US"/>
        </w:rPr>
      </w:pPr>
      <w:r w:rsidRPr="0024642A">
        <w:rPr>
          <w:rFonts w:ascii="Times New Roman" w:eastAsia="Calibri" w:hAnsi="Times New Roman"/>
          <w:sz w:val="24"/>
          <w:szCs w:val="24"/>
          <w:lang w:val="en-US"/>
        </w:rPr>
        <w:t>the right to take the mandate based on obtaining the necessary votes and to exercise the mandate until the term expires or is brought to end in a legal manner.</w:t>
      </w:r>
      <w:r w:rsidRPr="0024642A">
        <w:rPr>
          <w:rFonts w:ascii="Times New Roman" w:eastAsia="Calibri" w:hAnsi="Times New Roman"/>
          <w:sz w:val="24"/>
          <w:szCs w:val="24"/>
          <w:vertAlign w:val="superscript"/>
          <w:lang w:val="en-US"/>
        </w:rPr>
        <w:footnoteReference w:id="33"/>
      </w: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These are the basic principles outlined in the OSCE 1990 Copenhagen Document (paras 6-7). These basic principles, outlined in the OSCE documents, reflect upon provisions of the universal documents, such as the UDHR and ICCPR, which state the core principles that create the foundation for the right to democratic elections. Importantly, a number of OSCE documents promote participating States’ adherence to universal – as well as to some regional – human rights instruments. For example, the 1975 Helsinki Final Act commits states to “act in conformity with the UDHR” and to “fulfil their obligations set forth in the international declarations and agreements in the field, including inter alia the International Covenants on Human Rights, by which they may be bound”.</w:t>
      </w:r>
    </w:p>
    <w:p w:rsidR="00E27F67" w:rsidRDefault="00E27F67" w:rsidP="0024642A">
      <w:pPr>
        <w:widowControl w:val="0"/>
        <w:autoSpaceDE w:val="0"/>
        <w:autoSpaceDN w:val="0"/>
        <w:adjustRightInd w:val="0"/>
        <w:jc w:val="both"/>
        <w:rPr>
          <w:rFonts w:ascii="Times New Roman" w:eastAsia="Calibri" w:hAnsi="Times New Roman"/>
          <w:b/>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b/>
          <w:sz w:val="24"/>
          <w:szCs w:val="24"/>
          <w:lang w:val="en-US"/>
        </w:rPr>
      </w:pPr>
      <w:r w:rsidRPr="0024642A">
        <w:rPr>
          <w:rFonts w:ascii="Times New Roman" w:eastAsia="Calibri" w:hAnsi="Times New Roman"/>
          <w:b/>
          <w:sz w:val="24"/>
          <w:szCs w:val="24"/>
          <w:lang w:val="en-US"/>
        </w:rPr>
        <w:t xml:space="preserve">(b) The effective implementation of all dimensions of the right to participate in public affairs for all rights holders, without discrimination or distinction of any kind, including at the national level, in all phases of the electoral process, between elections, outside the political process in the conduct of public affairs, and in access to public service, and on the participation of citizens, individually and in association with others, at the supranational level, including within international organizations; </w:t>
      </w:r>
    </w:p>
    <w:p w:rsidR="00E27F67" w:rsidRDefault="00E27F67" w:rsidP="0024642A">
      <w:pPr>
        <w:widowControl w:val="0"/>
        <w:autoSpaceDE w:val="0"/>
        <w:autoSpaceDN w:val="0"/>
        <w:adjustRightInd w:val="0"/>
        <w:jc w:val="both"/>
        <w:rPr>
          <w:rFonts w:ascii="Times New Roman" w:eastAsia="Calibri" w:hAnsi="Times New Roman"/>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Apart from was highlighted for (a) above, it is worth noting that the principle of non-discrimination applies in a particularly salient manner to the electoral field. Indeed, electoral practices and procedures are often structured by the need to comply with the underlying principles of non-discrimination, universal and equal suffrage, secret ballot, due process of law, and the will of the people – as a whole – as the basis of government authority.</w:t>
      </w: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Women, however, often face barriers to fair and effective representation due to generalized discrimination, including with respect to their participation in public life. Election observation reports of the ODIHR show that, often, women are particularly vulnerable to violations of secrecy and undue influence connected with the practice of group, family, and proxy voting.</w:t>
      </w:r>
      <w:r w:rsidRPr="0024642A">
        <w:rPr>
          <w:rFonts w:ascii="Times New Roman" w:eastAsia="Calibri" w:hAnsi="Times New Roman"/>
          <w:sz w:val="24"/>
          <w:szCs w:val="24"/>
          <w:vertAlign w:val="superscript"/>
          <w:lang w:val="en-US"/>
        </w:rPr>
        <w:footnoteReference w:id="34"/>
      </w:r>
    </w:p>
    <w:p w:rsidR="00E27F67" w:rsidRDefault="00E27F67" w:rsidP="0024642A">
      <w:pPr>
        <w:widowControl w:val="0"/>
        <w:autoSpaceDE w:val="0"/>
        <w:autoSpaceDN w:val="0"/>
        <w:adjustRightInd w:val="0"/>
        <w:jc w:val="both"/>
        <w:rPr>
          <w:rFonts w:ascii="Times New Roman" w:eastAsia="Calibri" w:hAnsi="Times New Roman"/>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 xml:space="preserve">Representatives of national minorities also often face specific barriers to effective participation in public affairs, including in elections. ODIHR observation reports noted that legal impediments to national minorities’ effective political participation, including the lack of legal recognition of specific minorities, the prohibition of minority based parties, language requirements preventing election campaigning in minority languages, or electoral district delimitations which negatively impacted on minority representation. ODIHR has published a </w:t>
      </w:r>
      <w:r w:rsidRPr="0024642A">
        <w:rPr>
          <w:rFonts w:ascii="Times New Roman" w:eastAsia="Calibri" w:hAnsi="Times New Roman"/>
          <w:i/>
          <w:sz w:val="24"/>
          <w:szCs w:val="24"/>
          <w:lang w:val="en-US"/>
        </w:rPr>
        <w:t>Handbook on Observing and Promoting the Participation of National Minorities in Electoral Processes</w:t>
      </w:r>
      <w:r w:rsidRPr="0024642A">
        <w:rPr>
          <w:rFonts w:ascii="Times New Roman" w:eastAsia="Calibri" w:hAnsi="Times New Roman"/>
          <w:sz w:val="24"/>
          <w:szCs w:val="24"/>
          <w:lang w:val="en-US"/>
        </w:rPr>
        <w:t>, in which it outlined the applicable OSCE commitments and other international obligations and standards with a specific focus on how they apply to the national minorities.</w:t>
      </w:r>
      <w:r w:rsidRPr="0024642A">
        <w:rPr>
          <w:rFonts w:ascii="Times New Roman" w:eastAsia="Calibri" w:hAnsi="Times New Roman"/>
          <w:sz w:val="24"/>
          <w:szCs w:val="24"/>
          <w:vertAlign w:val="superscript"/>
          <w:lang w:val="en-US"/>
        </w:rPr>
        <w:footnoteReference w:id="35"/>
      </w: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 xml:space="preserve">Electoral participation of persons with disabilities has been the subject of increasing attention in the recent years, largely due to the widening adoption of the CRPD as the set of guiding principles. ODIHR has recently published a </w:t>
      </w:r>
      <w:r w:rsidRPr="0024642A">
        <w:rPr>
          <w:rFonts w:ascii="Times New Roman" w:eastAsia="Calibri" w:hAnsi="Times New Roman"/>
          <w:i/>
          <w:sz w:val="24"/>
          <w:szCs w:val="24"/>
          <w:lang w:val="en-US"/>
        </w:rPr>
        <w:t>Handbook on Observing and Promoting the Electoral Participation of Persons with Disabilities</w:t>
      </w:r>
      <w:r w:rsidRPr="0024642A">
        <w:rPr>
          <w:rFonts w:ascii="Times New Roman" w:eastAsia="Calibri" w:hAnsi="Times New Roman"/>
          <w:sz w:val="24"/>
          <w:szCs w:val="24"/>
          <w:lang w:val="en-US"/>
        </w:rPr>
        <w:t>.</w:t>
      </w:r>
      <w:r w:rsidRPr="0024642A">
        <w:rPr>
          <w:rFonts w:ascii="Times New Roman" w:eastAsia="Calibri" w:hAnsi="Times New Roman"/>
          <w:sz w:val="24"/>
          <w:szCs w:val="24"/>
          <w:vertAlign w:val="superscript"/>
          <w:lang w:val="en-US"/>
        </w:rPr>
        <w:footnoteReference w:id="36"/>
      </w:r>
    </w:p>
    <w:p w:rsidR="00E27F67" w:rsidRDefault="00E27F67" w:rsidP="0024642A">
      <w:pPr>
        <w:widowControl w:val="0"/>
        <w:autoSpaceDE w:val="0"/>
        <w:autoSpaceDN w:val="0"/>
        <w:adjustRightInd w:val="0"/>
        <w:jc w:val="both"/>
        <w:rPr>
          <w:rFonts w:ascii="Times New Roman" w:eastAsia="Calibri" w:hAnsi="Times New Roman"/>
          <w:b/>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b/>
          <w:sz w:val="24"/>
          <w:szCs w:val="24"/>
          <w:lang w:val="en-US"/>
        </w:rPr>
      </w:pPr>
      <w:r w:rsidRPr="0024642A">
        <w:rPr>
          <w:rFonts w:ascii="Times New Roman" w:eastAsia="Calibri" w:hAnsi="Times New Roman"/>
          <w:b/>
          <w:sz w:val="24"/>
          <w:szCs w:val="24"/>
          <w:lang w:val="en-US"/>
        </w:rPr>
        <w:t xml:space="preserve">(c) Cooperation and assistance aimed at the effective implementation of the right to participate in public affairs, including through electoral assistance and observation; </w:t>
      </w: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 xml:space="preserve">ODIHR encourages OHCHR to consult the ODIHR </w:t>
      </w:r>
      <w:r w:rsidRPr="0024642A">
        <w:rPr>
          <w:rFonts w:ascii="Times New Roman" w:eastAsia="Calibri" w:hAnsi="Times New Roman"/>
          <w:i/>
          <w:sz w:val="24"/>
          <w:szCs w:val="24"/>
          <w:lang w:val="en-US"/>
        </w:rPr>
        <w:t>Handbook on the Follow-up of Electoral Recommendations</w:t>
      </w:r>
      <w:r w:rsidRPr="0024642A">
        <w:rPr>
          <w:rFonts w:ascii="Times New Roman" w:eastAsia="Calibri" w:hAnsi="Times New Roman"/>
          <w:sz w:val="24"/>
          <w:szCs w:val="24"/>
          <w:lang w:val="en-US"/>
        </w:rPr>
        <w:t>,</w:t>
      </w:r>
      <w:r w:rsidRPr="0024642A">
        <w:rPr>
          <w:rFonts w:ascii="Times New Roman" w:eastAsia="Calibri" w:hAnsi="Times New Roman"/>
          <w:sz w:val="24"/>
          <w:szCs w:val="24"/>
          <w:vertAlign w:val="superscript"/>
          <w:lang w:val="en-US"/>
        </w:rPr>
        <w:footnoteReference w:id="37"/>
      </w:r>
      <w:r w:rsidRPr="0024642A">
        <w:rPr>
          <w:rFonts w:ascii="Times New Roman" w:eastAsia="Calibri" w:hAnsi="Times New Roman"/>
          <w:sz w:val="24"/>
          <w:szCs w:val="24"/>
          <w:lang w:val="en-US"/>
        </w:rPr>
        <w:t xml:space="preserve"> which sets out ODIHR’s approach and practices in assisting participating States in the follow-up of electoral recommendations. While ODIHR has conducted follow-up activities for several years, this handbook aims to establish a more systematic approach that provides clarity and consistency and promotes greater attention to the implementation of recommendations. ODIHR calls on the OHCHR to consult the Action Plan developed in the context of the Human Rights and Election Standards initiative co-led by the OHCHR and The Carter Center, and to which ODIHR has contributed. Especially important for ODIHR are Paras. 22, 23, 24, 29 (with all sub-points a. to g.), 34 of the Action Plan. </w:t>
      </w:r>
    </w:p>
    <w:p w:rsidR="00E27F67" w:rsidRDefault="00E27F67" w:rsidP="0024642A">
      <w:pPr>
        <w:widowControl w:val="0"/>
        <w:autoSpaceDE w:val="0"/>
        <w:autoSpaceDN w:val="0"/>
        <w:adjustRightInd w:val="0"/>
        <w:jc w:val="both"/>
        <w:rPr>
          <w:rFonts w:ascii="Times New Roman" w:eastAsia="Calibri" w:hAnsi="Times New Roman"/>
          <w:b/>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b/>
          <w:sz w:val="24"/>
          <w:szCs w:val="24"/>
          <w:lang w:val="en-US"/>
        </w:rPr>
      </w:pPr>
      <w:r w:rsidRPr="0024642A">
        <w:rPr>
          <w:rFonts w:ascii="Times New Roman" w:eastAsia="Calibri" w:hAnsi="Times New Roman"/>
          <w:b/>
          <w:sz w:val="24"/>
          <w:szCs w:val="24"/>
          <w:lang w:val="en-US"/>
        </w:rPr>
        <w:t xml:space="preserve">(d) Model standards advancing the effective implementation of the right to participate in public affairs based on examples of best practices; </w:t>
      </w:r>
    </w:p>
    <w:p w:rsidR="00E27F67" w:rsidRDefault="00E27F67" w:rsidP="0024642A">
      <w:pPr>
        <w:widowControl w:val="0"/>
        <w:autoSpaceDE w:val="0"/>
        <w:autoSpaceDN w:val="0"/>
        <w:adjustRightInd w:val="0"/>
        <w:jc w:val="both"/>
        <w:rPr>
          <w:rFonts w:ascii="Times New Roman" w:eastAsia="Calibri" w:hAnsi="Times New Roman"/>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ODIHR encourages the OHCHR to consult the body of emerging good practice in electoral matters, as embodied in the Council of Europe Venice Commission’s “Code of Good Practice in Electoral Matters”</w:t>
      </w:r>
      <w:r w:rsidRPr="0024642A">
        <w:rPr>
          <w:rFonts w:ascii="Times New Roman" w:eastAsia="Calibri" w:hAnsi="Times New Roman"/>
          <w:sz w:val="24"/>
          <w:szCs w:val="24"/>
          <w:vertAlign w:val="superscript"/>
          <w:lang w:val="en-US"/>
        </w:rPr>
        <w:footnoteReference w:id="38"/>
      </w:r>
      <w:r w:rsidRPr="0024642A">
        <w:rPr>
          <w:rFonts w:ascii="Times New Roman" w:eastAsia="Calibri" w:hAnsi="Times New Roman"/>
          <w:sz w:val="24"/>
          <w:szCs w:val="24"/>
          <w:lang w:val="en-US"/>
        </w:rPr>
        <w:t xml:space="preserve"> along with the body of interpretative declarations to the Code. Both documents are being updated in the consultative process through the Council for Democratic Elections, under the auspices of the Venice Commission, and of which ODIHR is part. OHCHR could find it useful to consult the ODIHR </w:t>
      </w:r>
      <w:r w:rsidRPr="0024642A">
        <w:rPr>
          <w:rFonts w:ascii="Times New Roman" w:eastAsia="Calibri" w:hAnsi="Times New Roman"/>
          <w:i/>
          <w:sz w:val="24"/>
          <w:szCs w:val="24"/>
          <w:lang w:val="en-US"/>
        </w:rPr>
        <w:t>Review of Electoral Legislation and Practice in OSCE Participating States</w:t>
      </w:r>
      <w:r w:rsidRPr="0024642A">
        <w:rPr>
          <w:rFonts w:ascii="Times New Roman" w:eastAsia="Calibri" w:hAnsi="Times New Roman"/>
          <w:sz w:val="24"/>
          <w:szCs w:val="24"/>
          <w:lang w:val="en-US"/>
        </w:rPr>
        <w:t>.</w:t>
      </w:r>
      <w:r w:rsidRPr="0024642A">
        <w:rPr>
          <w:rFonts w:ascii="Times New Roman" w:eastAsia="Calibri" w:hAnsi="Times New Roman"/>
          <w:sz w:val="24"/>
          <w:szCs w:val="24"/>
          <w:vertAlign w:val="superscript"/>
          <w:lang w:val="en-US"/>
        </w:rPr>
        <w:footnoteReference w:id="39"/>
      </w:r>
    </w:p>
    <w:p w:rsidR="00E27F67" w:rsidRDefault="00E27F67" w:rsidP="0024642A">
      <w:pPr>
        <w:widowControl w:val="0"/>
        <w:autoSpaceDE w:val="0"/>
        <w:autoSpaceDN w:val="0"/>
        <w:adjustRightInd w:val="0"/>
        <w:jc w:val="both"/>
        <w:rPr>
          <w:rFonts w:ascii="Times New Roman" w:eastAsia="Calibri" w:hAnsi="Times New Roman"/>
          <w:b/>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b/>
          <w:sz w:val="24"/>
          <w:szCs w:val="24"/>
          <w:lang w:val="en-US"/>
        </w:rPr>
      </w:pPr>
      <w:r w:rsidRPr="0024642A">
        <w:rPr>
          <w:rFonts w:ascii="Times New Roman" w:eastAsia="Calibri" w:hAnsi="Times New Roman"/>
          <w:b/>
          <w:sz w:val="24"/>
          <w:szCs w:val="24"/>
          <w:lang w:val="en-US"/>
        </w:rPr>
        <w:t xml:space="preserve">(e) Emerging and new forms of participation, in particular through new information and communications technology and social media; </w:t>
      </w:r>
    </w:p>
    <w:p w:rsidR="00E27F67" w:rsidRDefault="00E27F67" w:rsidP="0024642A">
      <w:pPr>
        <w:widowControl w:val="0"/>
        <w:autoSpaceDE w:val="0"/>
        <w:autoSpaceDN w:val="0"/>
        <w:adjustRightInd w:val="0"/>
        <w:jc w:val="both"/>
        <w:rPr>
          <w:rFonts w:ascii="Times New Roman" w:eastAsia="Calibri" w:hAnsi="Times New Roman"/>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 xml:space="preserve">The use of information and communication technologies in elections has increased considerably in recent years. Almost all electoral processes make some use of new technologies (from voter registration to tabulation of results). New technologies have also been utilized in the voting and counting of votes in some countries, which has raised certain questions about the extent to which such applications comply with international obligations, standards and good practice for democratic elections. ODIHR has published a </w:t>
      </w:r>
      <w:r w:rsidRPr="0024642A">
        <w:rPr>
          <w:rFonts w:ascii="Times New Roman" w:eastAsia="Calibri" w:hAnsi="Times New Roman"/>
          <w:i/>
          <w:sz w:val="24"/>
          <w:szCs w:val="24"/>
          <w:lang w:val="en-US"/>
        </w:rPr>
        <w:t>Handbook for the Observation of New Voting Technologies (NVT)</w:t>
      </w:r>
      <w:r w:rsidRPr="0024642A">
        <w:rPr>
          <w:rFonts w:ascii="Times New Roman" w:eastAsia="Calibri" w:hAnsi="Times New Roman"/>
          <w:sz w:val="24"/>
          <w:szCs w:val="24"/>
          <w:lang w:val="en-US"/>
        </w:rPr>
        <w:t>, which is designed to assist election practitioners and observers in identifying and assessing the various elements of NVT that may impact the conduct of democratic elections.</w:t>
      </w:r>
      <w:r w:rsidRPr="0024642A">
        <w:rPr>
          <w:rFonts w:ascii="Times New Roman" w:eastAsia="Calibri" w:hAnsi="Times New Roman"/>
          <w:sz w:val="24"/>
          <w:szCs w:val="24"/>
          <w:vertAlign w:val="superscript"/>
          <w:lang w:val="en-US"/>
        </w:rPr>
        <w:footnoteReference w:id="40"/>
      </w:r>
    </w:p>
    <w:p w:rsidR="00E27F67" w:rsidRDefault="00E27F67" w:rsidP="0024642A">
      <w:pPr>
        <w:widowControl w:val="0"/>
        <w:autoSpaceDE w:val="0"/>
        <w:autoSpaceDN w:val="0"/>
        <w:adjustRightInd w:val="0"/>
        <w:jc w:val="both"/>
        <w:rPr>
          <w:rFonts w:ascii="Times New Roman" w:eastAsia="Calibri" w:hAnsi="Times New Roman"/>
          <w:sz w:val="24"/>
          <w:szCs w:val="24"/>
          <w:lang w:val="en-US"/>
        </w:rPr>
      </w:pPr>
    </w:p>
    <w:p w:rsidR="0024642A" w:rsidRPr="0024642A" w:rsidRDefault="0024642A" w:rsidP="0024642A">
      <w:pPr>
        <w:widowControl w:val="0"/>
        <w:autoSpaceDE w:val="0"/>
        <w:autoSpaceDN w:val="0"/>
        <w:adjustRightInd w:val="0"/>
        <w:jc w:val="both"/>
        <w:rPr>
          <w:rFonts w:ascii="Times New Roman" w:eastAsia="Calibri" w:hAnsi="Times New Roman"/>
          <w:sz w:val="24"/>
          <w:szCs w:val="24"/>
          <w:lang w:val="en-US"/>
        </w:rPr>
      </w:pPr>
      <w:r w:rsidRPr="0024642A">
        <w:rPr>
          <w:rFonts w:ascii="Times New Roman" w:eastAsia="Calibri" w:hAnsi="Times New Roman"/>
          <w:sz w:val="24"/>
          <w:szCs w:val="24"/>
          <w:lang w:val="en-US"/>
        </w:rPr>
        <w:t>There is yet no consensus among the OSCE participating States as to whether media-specific OSCE commitments apply to the online domain. At the same time, the OSCE Representative on Freedom of the Media highlighted that “basic human rights, including freedom of expression and freedom of the media, should apply as much to the online as to the offline world.”</w:t>
      </w:r>
      <w:r w:rsidRPr="0024642A">
        <w:rPr>
          <w:rFonts w:ascii="Times New Roman" w:eastAsia="Calibri" w:hAnsi="Times New Roman"/>
          <w:sz w:val="24"/>
          <w:szCs w:val="24"/>
          <w:vertAlign w:val="superscript"/>
          <w:lang w:val="en-US"/>
        </w:rPr>
        <w:footnoteReference w:id="41"/>
      </w:r>
      <w:r w:rsidRPr="0024642A">
        <w:rPr>
          <w:rFonts w:ascii="Times New Roman" w:eastAsia="Calibri" w:hAnsi="Times New Roman"/>
          <w:sz w:val="24"/>
          <w:szCs w:val="24"/>
          <w:lang w:val="en-US"/>
        </w:rPr>
        <w:t xml:space="preserve"> </w:t>
      </w:r>
    </w:p>
    <w:p w:rsidR="00E27F67" w:rsidRDefault="00E27F67" w:rsidP="0024642A">
      <w:pPr>
        <w:widowControl w:val="0"/>
        <w:autoSpaceDE w:val="0"/>
        <w:autoSpaceDN w:val="0"/>
        <w:adjustRightInd w:val="0"/>
        <w:jc w:val="both"/>
        <w:rPr>
          <w:rFonts w:ascii="Times New Roman" w:eastAsia="Calibri" w:hAnsi="Times New Roman"/>
          <w:sz w:val="24"/>
          <w:szCs w:val="24"/>
          <w:lang w:val="en-US"/>
        </w:rPr>
      </w:pPr>
    </w:p>
    <w:p w:rsidR="00381938" w:rsidRPr="0024642A" w:rsidRDefault="0024642A" w:rsidP="00E27F67">
      <w:pPr>
        <w:widowControl w:val="0"/>
        <w:autoSpaceDE w:val="0"/>
        <w:autoSpaceDN w:val="0"/>
        <w:adjustRightInd w:val="0"/>
        <w:jc w:val="both"/>
        <w:rPr>
          <w:rFonts w:ascii="Times New Roman" w:hAnsi="Times New Roman"/>
          <w:sz w:val="24"/>
          <w:szCs w:val="24"/>
          <w:lang w:val="en-US"/>
        </w:rPr>
      </w:pPr>
      <w:r w:rsidRPr="0024642A">
        <w:rPr>
          <w:rFonts w:ascii="Times New Roman" w:eastAsia="Calibri" w:hAnsi="Times New Roman"/>
          <w:sz w:val="24"/>
          <w:szCs w:val="24"/>
          <w:lang w:val="en-US"/>
        </w:rPr>
        <w:t>ODIHR is currently exploring possible avenues for monitoring campaign coverage on the internet, including in social media. Currently, however, it is observing the campaign coverage on the internet in a non-systematic manner, focusing on most prominent online platforms in a given participating State and paying close attention to hate speech, xenophobic rhetoric and incitement of violence.</w:t>
      </w:r>
      <w:r w:rsidR="00E27F67" w:rsidRPr="0024642A">
        <w:rPr>
          <w:rFonts w:ascii="Times New Roman" w:hAnsi="Times New Roman"/>
          <w:sz w:val="24"/>
          <w:szCs w:val="24"/>
          <w:lang w:val="en-US"/>
        </w:rPr>
        <w:t xml:space="preserve"> </w:t>
      </w:r>
    </w:p>
    <w:sectPr w:rsidR="00381938" w:rsidRPr="002464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65" w:rsidRDefault="00991965" w:rsidP="0000011B">
      <w:r>
        <w:separator/>
      </w:r>
    </w:p>
  </w:endnote>
  <w:endnote w:type="continuationSeparator" w:id="0">
    <w:p w:rsidR="00991965" w:rsidRDefault="00991965" w:rsidP="0000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65" w:rsidRDefault="00991965" w:rsidP="0000011B">
      <w:r>
        <w:separator/>
      </w:r>
    </w:p>
  </w:footnote>
  <w:footnote w:type="continuationSeparator" w:id="0">
    <w:p w:rsidR="00991965" w:rsidRDefault="00991965" w:rsidP="0000011B">
      <w:r>
        <w:continuationSeparator/>
      </w:r>
    </w:p>
  </w:footnote>
  <w:footnote w:id="1">
    <w:p w:rsidR="0000011B" w:rsidRPr="00777BD0" w:rsidRDefault="0000011B" w:rsidP="0000011B">
      <w:pPr>
        <w:pStyle w:val="FootnoteText"/>
        <w:jc w:val="both"/>
        <w:rPr>
          <w:rFonts w:ascii="Times New Roman" w:hAnsi="Times New Roman" w:cs="Times New Roman"/>
          <w:sz w:val="16"/>
          <w:szCs w:val="16"/>
          <w:lang w:val="en-US"/>
        </w:rPr>
      </w:pPr>
    </w:p>
  </w:footnote>
  <w:footnote w:id="2">
    <w:p w:rsidR="0000011B" w:rsidRPr="000445CD" w:rsidRDefault="0000011B" w:rsidP="0000011B">
      <w:pPr>
        <w:pStyle w:val="FootnoteText"/>
        <w:tabs>
          <w:tab w:val="left" w:pos="284"/>
        </w:tabs>
        <w:jc w:val="both"/>
        <w:rPr>
          <w:rFonts w:ascii="Times New Roman" w:hAnsi="Times New Roman" w:cs="Times New Roman"/>
          <w:color w:val="000000" w:themeColor="text1"/>
          <w:sz w:val="16"/>
          <w:szCs w:val="16"/>
        </w:rPr>
      </w:pPr>
      <w:r w:rsidRPr="000445CD">
        <w:rPr>
          <w:rStyle w:val="FootnoteReference"/>
          <w:rFonts w:ascii="Times New Roman" w:hAnsi="Times New Roman" w:cs="Times New Roman"/>
          <w:color w:val="000000" w:themeColor="text1"/>
          <w:sz w:val="16"/>
          <w:szCs w:val="16"/>
        </w:rPr>
        <w:footnoteRef/>
      </w:r>
      <w:r w:rsidRPr="000445CD">
        <w:rPr>
          <w:rFonts w:ascii="Times New Roman" w:hAnsi="Times New Roman" w:cs="Times New Roman"/>
          <w:color w:val="000000" w:themeColor="text1"/>
          <w:sz w:val="16"/>
          <w:szCs w:val="16"/>
        </w:rPr>
        <w:t xml:space="preserve"> OSCE Ministerial Council Decision MC DEC/7/09 on Women’s Participation in Political and Public Life, 2 December 2009, pars 1-2.</w:t>
      </w:r>
    </w:p>
  </w:footnote>
  <w:footnote w:id="3">
    <w:p w:rsidR="003F7F27" w:rsidRPr="003F7F27" w:rsidRDefault="003F7F27">
      <w:pPr>
        <w:pStyle w:val="FootnoteText"/>
        <w:rPr>
          <w:rFonts w:ascii="Times New Roman" w:hAnsi="Times New Roman" w:cs="Times New Roman"/>
          <w:sz w:val="16"/>
          <w:szCs w:val="16"/>
          <w:lang w:val="en-US"/>
        </w:rPr>
      </w:pPr>
      <w:r w:rsidRPr="003F7F27">
        <w:rPr>
          <w:rStyle w:val="FootnoteReference"/>
          <w:rFonts w:ascii="Times New Roman" w:hAnsi="Times New Roman" w:cs="Times New Roman"/>
          <w:sz w:val="16"/>
          <w:szCs w:val="16"/>
        </w:rPr>
        <w:footnoteRef/>
      </w:r>
      <w:r w:rsidRPr="003F7F27">
        <w:rPr>
          <w:rFonts w:ascii="Times New Roman" w:hAnsi="Times New Roman" w:cs="Times New Roman"/>
          <w:sz w:val="16"/>
          <w:szCs w:val="16"/>
        </w:rPr>
        <w:t xml:space="preserve"> OSCE Ministerial Council</w:t>
      </w:r>
      <w:r w:rsidR="004417AF">
        <w:rPr>
          <w:rFonts w:ascii="Times New Roman" w:hAnsi="Times New Roman" w:cs="Times New Roman"/>
          <w:sz w:val="16"/>
          <w:szCs w:val="16"/>
        </w:rPr>
        <w:t>,</w:t>
      </w:r>
      <w:r w:rsidRPr="003F7F27">
        <w:rPr>
          <w:rFonts w:ascii="Times New Roman" w:hAnsi="Times New Roman" w:cs="Times New Roman"/>
          <w:sz w:val="16"/>
          <w:szCs w:val="16"/>
        </w:rPr>
        <w:t xml:space="preserve"> Decision </w:t>
      </w:r>
      <w:r w:rsidR="004417AF">
        <w:rPr>
          <w:rFonts w:ascii="Times New Roman" w:hAnsi="Times New Roman" w:cs="Times New Roman"/>
          <w:sz w:val="16"/>
          <w:szCs w:val="16"/>
        </w:rPr>
        <w:t xml:space="preserve">No. </w:t>
      </w:r>
      <w:r w:rsidRPr="003F7F27">
        <w:rPr>
          <w:rFonts w:ascii="Times New Roman" w:hAnsi="Times New Roman" w:cs="Times New Roman"/>
          <w:sz w:val="16"/>
          <w:szCs w:val="16"/>
        </w:rPr>
        <w:t>4/13 on Enhancing OSCE Efforts to Implement the Action Plan on Improving the Situation of Roma and Sinti within the OSCE Area, with a particular focus on Roma and Sinti women, youth and children, par 4.2</w:t>
      </w:r>
      <w:r w:rsidR="004417AF">
        <w:rPr>
          <w:rFonts w:ascii="Times New Roman" w:hAnsi="Times New Roman" w:cs="Times New Roman"/>
          <w:sz w:val="16"/>
          <w:szCs w:val="16"/>
        </w:rPr>
        <w:t>, &lt;</w:t>
      </w:r>
      <w:r w:rsidR="004417AF" w:rsidRPr="004417AF">
        <w:rPr>
          <w:rFonts w:ascii="Times New Roman" w:hAnsi="Times New Roman" w:cs="Times New Roman"/>
          <w:sz w:val="16"/>
          <w:szCs w:val="16"/>
        </w:rPr>
        <w:t>http://www.</w:t>
      </w:r>
      <w:r w:rsidR="004417AF">
        <w:rPr>
          <w:rFonts w:ascii="Times New Roman" w:hAnsi="Times New Roman" w:cs="Times New Roman"/>
          <w:sz w:val="16"/>
          <w:szCs w:val="16"/>
        </w:rPr>
        <w:t>osce.org/mc/109340&gt;.</w:t>
      </w:r>
    </w:p>
  </w:footnote>
  <w:footnote w:id="4">
    <w:p w:rsidR="009930F3" w:rsidRPr="00CF5D05" w:rsidRDefault="009930F3">
      <w:pPr>
        <w:pStyle w:val="FootnoteText"/>
        <w:rPr>
          <w:rFonts w:ascii="Times New Roman" w:hAnsi="Times New Roman" w:cs="Times New Roman"/>
          <w:sz w:val="16"/>
          <w:szCs w:val="16"/>
        </w:rPr>
      </w:pPr>
      <w:r w:rsidRPr="00CF5D05">
        <w:rPr>
          <w:rStyle w:val="FootnoteReference"/>
          <w:rFonts w:ascii="Times New Roman" w:hAnsi="Times New Roman" w:cs="Times New Roman"/>
          <w:sz w:val="16"/>
          <w:szCs w:val="16"/>
        </w:rPr>
        <w:footnoteRef/>
      </w:r>
      <w:r w:rsidR="008C54D4" w:rsidRPr="00CF5D05">
        <w:rPr>
          <w:rFonts w:ascii="Times New Roman" w:hAnsi="Times New Roman" w:cs="Times New Roman"/>
          <w:sz w:val="16"/>
          <w:szCs w:val="16"/>
        </w:rPr>
        <w:t>OSCE</w:t>
      </w:r>
      <w:r w:rsidRPr="00CF5D05">
        <w:rPr>
          <w:rFonts w:ascii="Times New Roman" w:hAnsi="Times New Roman" w:cs="Times New Roman"/>
          <w:sz w:val="16"/>
          <w:szCs w:val="16"/>
        </w:rPr>
        <w:t xml:space="preserve"> </w:t>
      </w:r>
      <w:r w:rsidR="008C54D4" w:rsidRPr="00CF5D05">
        <w:rPr>
          <w:rFonts w:ascii="Times New Roman" w:hAnsi="Times New Roman" w:cs="Times New Roman"/>
          <w:sz w:val="16"/>
          <w:szCs w:val="16"/>
        </w:rPr>
        <w:t xml:space="preserve">Moscow Meeting Commitments 1991. p </w:t>
      </w:r>
      <w:r w:rsidR="008C54D4" w:rsidRPr="00CF5D05">
        <w:rPr>
          <w:rFonts w:ascii="Times New Roman" w:hAnsi="Times New Roman" w:cs="Times New Roman"/>
          <w:sz w:val="16"/>
          <w:szCs w:val="16"/>
          <w:lang w:val="en-US"/>
        </w:rPr>
        <w:t>41.2, 41.3</w:t>
      </w:r>
    </w:p>
  </w:footnote>
  <w:footnote w:id="5">
    <w:p w:rsidR="00F06282" w:rsidRPr="00F06282" w:rsidRDefault="00F06282">
      <w:pPr>
        <w:pStyle w:val="FootnoteText"/>
        <w:rPr>
          <w:rFonts w:ascii="Times New Roman" w:hAnsi="Times New Roman" w:cs="Times New Roman"/>
          <w:sz w:val="16"/>
          <w:szCs w:val="16"/>
        </w:rPr>
      </w:pPr>
      <w:r w:rsidRPr="00F06282">
        <w:rPr>
          <w:rStyle w:val="FootnoteReference"/>
          <w:rFonts w:ascii="Times New Roman" w:hAnsi="Times New Roman" w:cs="Times New Roman"/>
          <w:sz w:val="16"/>
          <w:szCs w:val="16"/>
        </w:rPr>
        <w:footnoteRef/>
      </w:r>
      <w:r w:rsidRPr="00F06282">
        <w:rPr>
          <w:rFonts w:ascii="Times New Roman" w:hAnsi="Times New Roman" w:cs="Times New Roman"/>
          <w:sz w:val="16"/>
          <w:szCs w:val="16"/>
        </w:rPr>
        <w:t xml:space="preserve"> Kyiv Recommendations on Judicial Independence in Eastern Europe, South Caucasus and Central Asia (June 2010)</w:t>
      </w:r>
      <w:r w:rsidR="0082353D">
        <w:rPr>
          <w:rFonts w:ascii="Times New Roman" w:hAnsi="Times New Roman" w:cs="Times New Roman"/>
          <w:sz w:val="16"/>
          <w:szCs w:val="16"/>
        </w:rPr>
        <w:t xml:space="preserve">, available at </w:t>
      </w:r>
      <w:r w:rsidR="0082353D" w:rsidRPr="0082353D">
        <w:rPr>
          <w:rFonts w:ascii="Times New Roman" w:hAnsi="Times New Roman" w:cs="Times New Roman"/>
          <w:sz w:val="16"/>
          <w:szCs w:val="16"/>
        </w:rPr>
        <w:t>http://www.osce.org/odihr/kyivrec?download=true</w:t>
      </w:r>
      <w:r w:rsidR="0082353D">
        <w:rPr>
          <w:rFonts w:ascii="Times New Roman" w:hAnsi="Times New Roman" w:cs="Times New Roman"/>
          <w:sz w:val="16"/>
          <w:szCs w:val="16"/>
        </w:rPr>
        <w:t>.</w:t>
      </w:r>
    </w:p>
  </w:footnote>
  <w:footnote w:id="6">
    <w:p w:rsidR="0000011B" w:rsidRPr="000445CD" w:rsidRDefault="0000011B" w:rsidP="00962879">
      <w:pPr>
        <w:pStyle w:val="FootnoteText"/>
        <w:jc w:val="both"/>
        <w:rPr>
          <w:rFonts w:ascii="Times New Roman" w:hAnsi="Times New Roman" w:cs="Times New Roman"/>
          <w:color w:val="000000" w:themeColor="text1"/>
          <w:sz w:val="16"/>
          <w:szCs w:val="16"/>
        </w:rPr>
      </w:pPr>
      <w:r w:rsidRPr="000445CD">
        <w:rPr>
          <w:rStyle w:val="FootnoteReference"/>
          <w:rFonts w:ascii="Times New Roman" w:hAnsi="Times New Roman" w:cs="Times New Roman"/>
          <w:color w:val="000000" w:themeColor="text1"/>
          <w:sz w:val="16"/>
          <w:szCs w:val="16"/>
        </w:rPr>
        <w:footnoteRef/>
      </w:r>
      <w:r w:rsidRPr="000445CD">
        <w:rPr>
          <w:rFonts w:ascii="Times New Roman" w:hAnsi="Times New Roman" w:cs="Times New Roman"/>
          <w:color w:val="000000" w:themeColor="text1"/>
          <w:sz w:val="16"/>
          <w:szCs w:val="16"/>
        </w:rPr>
        <w:t xml:space="preserve"> See </w:t>
      </w:r>
      <w:r w:rsidRPr="000445CD">
        <w:rPr>
          <w:rFonts w:ascii="Times New Roman" w:hAnsi="Times New Roman" w:cs="Times New Roman"/>
          <w:color w:val="000000" w:themeColor="text1"/>
          <w:sz w:val="16"/>
          <w:szCs w:val="16"/>
          <w:lang w:val="en"/>
        </w:rPr>
        <w:t xml:space="preserve">pars 36-41 of OSCE/ODIHR </w:t>
      </w:r>
      <w:hyperlink r:id="rId1" w:history="1">
        <w:r w:rsidRPr="000445CD">
          <w:rPr>
            <w:rFonts w:ascii="Times New Roman" w:hAnsi="Times New Roman" w:cs="Times New Roman"/>
            <w:color w:val="000000" w:themeColor="text1"/>
            <w:sz w:val="16"/>
            <w:szCs w:val="16"/>
            <w:lang w:val="en"/>
          </w:rPr>
          <w:t>Opinion on the Law of Mongolia on the Promotion of Gender Equality</w:t>
        </w:r>
      </w:hyperlink>
      <w:r w:rsidRPr="000445CD">
        <w:rPr>
          <w:rFonts w:ascii="Times New Roman" w:hAnsi="Times New Roman" w:cs="Times New Roman"/>
          <w:color w:val="000000" w:themeColor="text1"/>
          <w:sz w:val="16"/>
          <w:szCs w:val="16"/>
          <w:lang w:val="en"/>
        </w:rPr>
        <w:t xml:space="preserve"> (30 September 2013), available at </w:t>
      </w:r>
      <w:hyperlink r:id="rId2" w:history="1">
        <w:r w:rsidRPr="000445CD">
          <w:rPr>
            <w:rStyle w:val="Hyperlink"/>
            <w:rFonts w:ascii="Times New Roman" w:hAnsi="Times New Roman" w:cs="Times New Roman"/>
            <w:color w:val="000000" w:themeColor="text1"/>
            <w:sz w:val="16"/>
            <w:szCs w:val="16"/>
            <w:lang w:val="en"/>
          </w:rPr>
          <w:t>http://www.legislationline.org/documents/id/18349</w:t>
        </w:r>
      </w:hyperlink>
      <w:r w:rsidRPr="000445CD">
        <w:rPr>
          <w:rFonts w:ascii="Times New Roman" w:hAnsi="Times New Roman" w:cs="Times New Roman"/>
          <w:color w:val="000000" w:themeColor="text1"/>
          <w:sz w:val="16"/>
          <w:szCs w:val="16"/>
          <w:lang w:val="en"/>
        </w:rPr>
        <w:t xml:space="preserve">; </w:t>
      </w:r>
      <w:r w:rsidRPr="000445CD">
        <w:rPr>
          <w:rFonts w:ascii="Times New Roman" w:hAnsi="Times New Roman" w:cs="Times New Roman"/>
          <w:color w:val="000000" w:themeColor="text1"/>
          <w:sz w:val="16"/>
          <w:szCs w:val="16"/>
        </w:rPr>
        <w:t xml:space="preserve">see the OSCE/ODIHR </w:t>
      </w:r>
      <w:hyperlink r:id="rId3" w:history="1">
        <w:r w:rsidRPr="000445CD">
          <w:rPr>
            <w:rStyle w:val="Hyperlink"/>
            <w:rFonts w:ascii="Times New Roman" w:hAnsi="Times New Roman" w:cs="Times New Roman"/>
            <w:iCs/>
            <w:color w:val="000000" w:themeColor="text1"/>
            <w:sz w:val="16"/>
            <w:szCs w:val="16"/>
            <w:u w:val="none"/>
            <w:lang w:val="en"/>
          </w:rPr>
          <w:t>Opinion on Draft Amendments to Ensure Equal Rights and Opportunities for Women and Men in Political Appointments in Ukraine</w:t>
        </w:r>
      </w:hyperlink>
      <w:r w:rsidRPr="000445CD">
        <w:rPr>
          <w:rFonts w:ascii="Times New Roman" w:hAnsi="Times New Roman" w:cs="Times New Roman"/>
          <w:iCs/>
          <w:color w:val="000000" w:themeColor="text1"/>
          <w:sz w:val="16"/>
          <w:szCs w:val="16"/>
          <w:lang w:val="en"/>
        </w:rPr>
        <w:t xml:space="preserve"> (19 December 2013), available at </w:t>
      </w:r>
      <w:hyperlink r:id="rId4" w:history="1">
        <w:r w:rsidRPr="000445CD">
          <w:rPr>
            <w:rStyle w:val="Hyperlink"/>
            <w:rFonts w:ascii="Times New Roman" w:hAnsi="Times New Roman" w:cs="Times New Roman"/>
            <w:iCs/>
            <w:color w:val="000000" w:themeColor="text1"/>
            <w:sz w:val="16"/>
            <w:szCs w:val="16"/>
            <w:lang w:val="en"/>
          </w:rPr>
          <w:t>http://www.legislationline.org/documents/id/18598</w:t>
        </w:r>
      </w:hyperlink>
      <w:r w:rsidRPr="000445CD">
        <w:rPr>
          <w:rFonts w:ascii="Times New Roman" w:hAnsi="Times New Roman" w:cs="Times New Roman"/>
          <w:iCs/>
          <w:color w:val="000000" w:themeColor="text1"/>
          <w:sz w:val="16"/>
          <w:szCs w:val="16"/>
          <w:lang w:val="en"/>
        </w:rPr>
        <w:t xml:space="preserve">; </w:t>
      </w:r>
      <w:r w:rsidRPr="000445CD">
        <w:rPr>
          <w:rFonts w:ascii="Times New Roman" w:hAnsi="Times New Roman" w:cs="Times New Roman"/>
          <w:color w:val="000000" w:themeColor="text1"/>
          <w:sz w:val="16"/>
          <w:szCs w:val="16"/>
        </w:rPr>
        <w:t xml:space="preserve">pars 71-75 of the </w:t>
      </w:r>
      <w:r w:rsidRPr="000445CD">
        <w:rPr>
          <w:rFonts w:ascii="Times New Roman" w:hAnsi="Times New Roman" w:cs="Times New Roman"/>
          <w:iCs/>
          <w:color w:val="000000" w:themeColor="text1"/>
          <w:sz w:val="16"/>
          <w:szCs w:val="16"/>
          <w:lang w:val="en"/>
        </w:rPr>
        <w:t xml:space="preserve">Joint OSCE/ODIHR-Venice Commission Opinion on the Draft Amendments to the Legal Framework on the Disciplinary Responsibility of Judges in the Kyrgyz Republic (16 June 2014), available at  </w:t>
      </w:r>
      <w:hyperlink r:id="rId5" w:history="1">
        <w:r w:rsidRPr="000445CD">
          <w:rPr>
            <w:rStyle w:val="Hyperlink"/>
            <w:rFonts w:ascii="Times New Roman" w:hAnsi="Times New Roman" w:cs="Times New Roman"/>
            <w:color w:val="000000" w:themeColor="text1"/>
            <w:sz w:val="16"/>
            <w:szCs w:val="16"/>
          </w:rPr>
          <w:t>http://www.legislationline.org/documents/id/19099</w:t>
        </w:r>
      </w:hyperlink>
      <w:r w:rsidRPr="000445CD">
        <w:rPr>
          <w:rFonts w:ascii="Times New Roman" w:hAnsi="Times New Roman" w:cs="Times New Roman"/>
          <w:color w:val="000000" w:themeColor="text1"/>
          <w:sz w:val="16"/>
          <w:szCs w:val="16"/>
        </w:rPr>
        <w:t xml:space="preserve">; pars 35-38 of </w:t>
      </w:r>
      <w:r w:rsidRPr="000445CD">
        <w:rPr>
          <w:rFonts w:ascii="Times New Roman" w:hAnsi="Times New Roman" w:cs="Times New Roman"/>
          <w:iCs/>
          <w:color w:val="000000" w:themeColor="text1"/>
          <w:sz w:val="16"/>
          <w:szCs w:val="16"/>
          <w:lang w:val="en"/>
        </w:rPr>
        <w:t xml:space="preserve">the </w:t>
      </w:r>
      <w:r w:rsidRPr="000445CD">
        <w:rPr>
          <w:rFonts w:ascii="Times New Roman" w:hAnsi="Times New Roman" w:cs="Times New Roman"/>
          <w:iCs/>
          <w:color w:val="000000" w:themeColor="text1"/>
          <w:sz w:val="16"/>
          <w:szCs w:val="16"/>
        </w:rPr>
        <w:t xml:space="preserve">OSCE/ODIHR Opinion on the Impact of the Ratification of the Council of Europe Convention on Preventing and Combating Violence against Women and Domestic Violence on Legislation in Montenegro (10 September 2014), available at  </w:t>
      </w:r>
      <w:hyperlink r:id="rId6" w:history="1">
        <w:r w:rsidRPr="000445CD">
          <w:rPr>
            <w:rStyle w:val="Hyperlink"/>
            <w:rFonts w:ascii="Times New Roman" w:hAnsi="Times New Roman" w:cs="Times New Roman"/>
            <w:color w:val="000000" w:themeColor="text1"/>
            <w:sz w:val="16"/>
            <w:szCs w:val="16"/>
          </w:rPr>
          <w:t>http://www.legislationline.org/documents/id/19349</w:t>
        </w:r>
      </w:hyperlink>
      <w:r w:rsidRPr="000445CD">
        <w:rPr>
          <w:rFonts w:ascii="Times New Roman" w:hAnsi="Times New Roman" w:cs="Times New Roman"/>
          <w:color w:val="000000" w:themeColor="text1"/>
          <w:sz w:val="16"/>
          <w:szCs w:val="16"/>
        </w:rPr>
        <w:t xml:space="preserve">; pars 25-28 of the </w:t>
      </w:r>
      <w:r w:rsidRPr="000445CD">
        <w:rPr>
          <w:rFonts w:ascii="Times New Roman" w:hAnsi="Times New Roman" w:cs="Times New Roman"/>
          <w:iCs/>
          <w:color w:val="000000" w:themeColor="text1"/>
          <w:sz w:val="16"/>
          <w:szCs w:val="16"/>
        </w:rPr>
        <w:t xml:space="preserve">OSCE/ODIHR Opinion on the Draft Law of Ukraine on Police and Police Activities (1 December 2014), available at </w:t>
      </w:r>
      <w:hyperlink r:id="rId7" w:history="1">
        <w:r w:rsidRPr="000445CD">
          <w:rPr>
            <w:rStyle w:val="Hyperlink"/>
            <w:rFonts w:ascii="Times New Roman" w:hAnsi="Times New Roman" w:cs="Times New Roman"/>
            <w:iCs/>
            <w:color w:val="000000" w:themeColor="text1"/>
            <w:sz w:val="16"/>
            <w:szCs w:val="16"/>
          </w:rPr>
          <w:t>http://www.legislationline.org/documents/id/19505</w:t>
        </w:r>
      </w:hyperlink>
      <w:r w:rsidRPr="000445CD">
        <w:rPr>
          <w:rFonts w:ascii="Times New Roman" w:hAnsi="Times New Roman" w:cs="Times New Roman"/>
          <w:iCs/>
          <w:color w:val="000000" w:themeColor="text1"/>
          <w:sz w:val="16"/>
          <w:szCs w:val="16"/>
        </w:rPr>
        <w:t>.  </w:t>
      </w:r>
    </w:p>
  </w:footnote>
  <w:footnote w:id="7">
    <w:p w:rsidR="0000011B" w:rsidRPr="000445CD" w:rsidRDefault="0000011B" w:rsidP="0064428F">
      <w:pPr>
        <w:pStyle w:val="FootnoteText"/>
        <w:jc w:val="both"/>
        <w:rPr>
          <w:rFonts w:ascii="Times New Roman" w:hAnsi="Times New Roman" w:cs="Times New Roman"/>
          <w:color w:val="000000" w:themeColor="text1"/>
          <w:sz w:val="16"/>
          <w:szCs w:val="16"/>
        </w:rPr>
      </w:pPr>
      <w:r w:rsidRPr="00777BD0">
        <w:rPr>
          <w:rStyle w:val="FootnoteReference"/>
          <w:rFonts w:ascii="Times New Roman" w:hAnsi="Times New Roman" w:cs="Times New Roman"/>
          <w:sz w:val="16"/>
          <w:szCs w:val="16"/>
        </w:rPr>
        <w:footnoteRef/>
      </w:r>
      <w:r w:rsidRPr="00777BD0">
        <w:rPr>
          <w:rFonts w:ascii="Times New Roman" w:hAnsi="Times New Roman" w:cs="Times New Roman"/>
          <w:sz w:val="16"/>
          <w:szCs w:val="16"/>
        </w:rPr>
        <w:t xml:space="preserve"> </w:t>
      </w:r>
      <w:r w:rsidRPr="000445CD">
        <w:rPr>
          <w:rFonts w:ascii="Times New Roman" w:hAnsi="Times New Roman" w:cs="Times New Roman"/>
          <w:color w:val="000000" w:themeColor="text1"/>
          <w:sz w:val="16"/>
          <w:szCs w:val="16"/>
        </w:rPr>
        <w:t xml:space="preserve">See par 27 of the OSCE/ODIHR </w:t>
      </w:r>
      <w:hyperlink r:id="rId8" w:history="1">
        <w:r w:rsidRPr="000445CD">
          <w:rPr>
            <w:rStyle w:val="Hyperlink"/>
            <w:rFonts w:ascii="Times New Roman" w:hAnsi="Times New Roman" w:cs="Times New Roman"/>
            <w:iCs/>
            <w:color w:val="000000" w:themeColor="text1"/>
            <w:sz w:val="16"/>
            <w:szCs w:val="16"/>
            <w:u w:val="none"/>
            <w:lang w:val="en"/>
          </w:rPr>
          <w:t>Opinion on Draft Amendments to Ensure Equal Rights and Opportunities for Women and Men in Political Appointments in Ukraine</w:t>
        </w:r>
      </w:hyperlink>
      <w:r w:rsidRPr="000445CD">
        <w:rPr>
          <w:rFonts w:ascii="Times New Roman" w:hAnsi="Times New Roman" w:cs="Times New Roman"/>
          <w:iCs/>
          <w:color w:val="000000" w:themeColor="text1"/>
          <w:sz w:val="16"/>
          <w:szCs w:val="16"/>
          <w:lang w:val="en"/>
        </w:rPr>
        <w:t xml:space="preserve"> (19 December 2013), available at </w:t>
      </w:r>
      <w:hyperlink r:id="rId9" w:history="1">
        <w:r w:rsidRPr="000445CD">
          <w:rPr>
            <w:rStyle w:val="Hyperlink"/>
            <w:rFonts w:ascii="Times New Roman" w:hAnsi="Times New Roman" w:cs="Times New Roman"/>
            <w:iCs/>
            <w:color w:val="000000" w:themeColor="text1"/>
            <w:sz w:val="16"/>
            <w:szCs w:val="16"/>
            <w:lang w:val="en"/>
          </w:rPr>
          <w:t>http://www.legislationline.org/documents/id/18598</w:t>
        </w:r>
      </w:hyperlink>
      <w:r w:rsidRPr="000445CD">
        <w:rPr>
          <w:rFonts w:ascii="Times New Roman" w:hAnsi="Times New Roman" w:cs="Times New Roman"/>
          <w:iCs/>
          <w:color w:val="000000" w:themeColor="text1"/>
          <w:sz w:val="16"/>
          <w:szCs w:val="16"/>
          <w:lang w:val="en"/>
        </w:rPr>
        <w:t xml:space="preserve">; </w:t>
      </w:r>
      <w:r w:rsidRPr="000445CD">
        <w:rPr>
          <w:rFonts w:ascii="Times New Roman" w:hAnsi="Times New Roman" w:cs="Times New Roman"/>
          <w:color w:val="000000" w:themeColor="text1"/>
          <w:sz w:val="16"/>
          <w:szCs w:val="16"/>
        </w:rPr>
        <w:t xml:space="preserve">par 73 of the </w:t>
      </w:r>
      <w:r w:rsidRPr="000445CD">
        <w:rPr>
          <w:rFonts w:ascii="Times New Roman" w:hAnsi="Times New Roman" w:cs="Times New Roman"/>
          <w:iCs/>
          <w:color w:val="000000" w:themeColor="text1"/>
          <w:sz w:val="16"/>
          <w:szCs w:val="16"/>
          <w:lang w:val="en"/>
        </w:rPr>
        <w:t xml:space="preserve">Joint OSCE/ODIHR-Venice Commission Opinion on the Draft Amendments to the Legal Framework on the Disciplinary Responsibility of Judges in the Kyrgyz Republic (16 June 2014), available at  </w:t>
      </w:r>
      <w:hyperlink r:id="rId10" w:history="1">
        <w:r w:rsidRPr="000445CD">
          <w:rPr>
            <w:rStyle w:val="Hyperlink"/>
            <w:rFonts w:ascii="Times New Roman" w:hAnsi="Times New Roman" w:cs="Times New Roman"/>
            <w:color w:val="000000" w:themeColor="text1"/>
            <w:sz w:val="16"/>
            <w:szCs w:val="16"/>
          </w:rPr>
          <w:t>http://www.legislationline.org/documents/id/19099</w:t>
        </w:r>
      </w:hyperlink>
      <w:r w:rsidRPr="000445CD">
        <w:rPr>
          <w:rFonts w:ascii="Times New Roman" w:hAnsi="Times New Roman" w:cs="Times New Roman"/>
          <w:color w:val="000000" w:themeColor="text1"/>
          <w:sz w:val="16"/>
          <w:szCs w:val="16"/>
        </w:rPr>
        <w:t xml:space="preserve">; par 37 of </w:t>
      </w:r>
      <w:r w:rsidRPr="000445CD">
        <w:rPr>
          <w:rFonts w:ascii="Times New Roman" w:hAnsi="Times New Roman" w:cs="Times New Roman"/>
          <w:iCs/>
          <w:color w:val="000000" w:themeColor="text1"/>
          <w:sz w:val="16"/>
          <w:szCs w:val="16"/>
          <w:lang w:val="en"/>
        </w:rPr>
        <w:t xml:space="preserve">the </w:t>
      </w:r>
      <w:r w:rsidRPr="000445CD">
        <w:rPr>
          <w:rFonts w:ascii="Times New Roman" w:hAnsi="Times New Roman" w:cs="Times New Roman"/>
          <w:iCs/>
          <w:color w:val="000000" w:themeColor="text1"/>
          <w:sz w:val="16"/>
          <w:szCs w:val="16"/>
        </w:rPr>
        <w:t xml:space="preserve">OSCE/ODIHR Opinion on the Impact of the Ratification of the Council of Europe Convention on Preventing and Combating Violence against Women and Domestic Violence on Legislation in Montenegro (10 September 2014), available at  </w:t>
      </w:r>
      <w:hyperlink r:id="rId11" w:history="1">
        <w:r w:rsidRPr="000445CD">
          <w:rPr>
            <w:rStyle w:val="Hyperlink"/>
            <w:rFonts w:ascii="Times New Roman" w:hAnsi="Times New Roman" w:cs="Times New Roman"/>
            <w:color w:val="000000" w:themeColor="text1"/>
            <w:sz w:val="16"/>
            <w:szCs w:val="16"/>
          </w:rPr>
          <w:t>http://www.legislationline.org/documents/id/19349</w:t>
        </w:r>
      </w:hyperlink>
      <w:r w:rsidRPr="000445CD">
        <w:rPr>
          <w:rFonts w:ascii="Times New Roman" w:hAnsi="Times New Roman" w:cs="Times New Roman"/>
          <w:color w:val="000000" w:themeColor="text1"/>
          <w:sz w:val="16"/>
          <w:szCs w:val="16"/>
        </w:rPr>
        <w:t xml:space="preserve">; par 27 of the </w:t>
      </w:r>
      <w:r w:rsidRPr="000445CD">
        <w:rPr>
          <w:rFonts w:ascii="Times New Roman" w:hAnsi="Times New Roman" w:cs="Times New Roman"/>
          <w:iCs/>
          <w:color w:val="000000" w:themeColor="text1"/>
          <w:sz w:val="16"/>
          <w:szCs w:val="16"/>
        </w:rPr>
        <w:t xml:space="preserve">OSCE/ODIHR Opinion on the Draft Law of Ukraine on Police and Police Activities (1 December 2014), available at </w:t>
      </w:r>
      <w:hyperlink r:id="rId12" w:history="1">
        <w:r w:rsidRPr="000445CD">
          <w:rPr>
            <w:rStyle w:val="Hyperlink"/>
            <w:rFonts w:ascii="Times New Roman" w:hAnsi="Times New Roman" w:cs="Times New Roman"/>
            <w:iCs/>
            <w:color w:val="000000" w:themeColor="text1"/>
            <w:sz w:val="16"/>
            <w:szCs w:val="16"/>
          </w:rPr>
          <w:t>http://www.legislationline.org/documents/id/19505</w:t>
        </w:r>
      </w:hyperlink>
      <w:r w:rsidRPr="000445CD">
        <w:rPr>
          <w:rFonts w:ascii="Times New Roman" w:hAnsi="Times New Roman" w:cs="Times New Roman"/>
          <w:iCs/>
          <w:color w:val="000000" w:themeColor="text1"/>
          <w:sz w:val="16"/>
          <w:szCs w:val="16"/>
        </w:rPr>
        <w:t>.  </w:t>
      </w:r>
    </w:p>
  </w:footnote>
  <w:footnote w:id="8">
    <w:p w:rsidR="0000011B" w:rsidRPr="000445CD" w:rsidRDefault="0000011B" w:rsidP="0064428F">
      <w:pPr>
        <w:pStyle w:val="FootnoteText"/>
        <w:jc w:val="both"/>
        <w:rPr>
          <w:rFonts w:ascii="Times New Roman" w:hAnsi="Times New Roman" w:cs="Times New Roman"/>
          <w:color w:val="000000" w:themeColor="text1"/>
          <w:sz w:val="16"/>
          <w:szCs w:val="16"/>
        </w:rPr>
      </w:pPr>
      <w:r w:rsidRPr="000445CD">
        <w:rPr>
          <w:rStyle w:val="FootnoteReference"/>
          <w:rFonts w:ascii="Times New Roman" w:hAnsi="Times New Roman" w:cs="Times New Roman"/>
          <w:color w:val="000000" w:themeColor="text1"/>
          <w:sz w:val="16"/>
          <w:szCs w:val="16"/>
        </w:rPr>
        <w:footnoteRef/>
      </w:r>
      <w:r w:rsidRPr="000445CD">
        <w:rPr>
          <w:rFonts w:ascii="Times New Roman" w:hAnsi="Times New Roman" w:cs="Times New Roman"/>
          <w:color w:val="000000" w:themeColor="text1"/>
          <w:sz w:val="16"/>
          <w:szCs w:val="16"/>
        </w:rPr>
        <w:t xml:space="preserve"> See pars 32-35 of the OSCE/ODIHR </w:t>
      </w:r>
      <w:hyperlink r:id="rId13" w:history="1">
        <w:r w:rsidRPr="000445CD">
          <w:rPr>
            <w:rStyle w:val="Hyperlink"/>
            <w:rFonts w:ascii="Times New Roman" w:hAnsi="Times New Roman" w:cs="Times New Roman"/>
            <w:iCs/>
            <w:color w:val="000000" w:themeColor="text1"/>
            <w:sz w:val="16"/>
            <w:szCs w:val="16"/>
            <w:u w:val="none"/>
            <w:lang w:val="en"/>
          </w:rPr>
          <w:t>Opinion on Draft Amendments to Ensure Equal Rights and Opportunities for Women and Men in Political Appointments in Ukraine</w:t>
        </w:r>
      </w:hyperlink>
      <w:r w:rsidRPr="000445CD">
        <w:rPr>
          <w:rFonts w:ascii="Times New Roman" w:hAnsi="Times New Roman" w:cs="Times New Roman"/>
          <w:iCs/>
          <w:color w:val="000000" w:themeColor="text1"/>
          <w:sz w:val="16"/>
          <w:szCs w:val="16"/>
          <w:lang w:val="en"/>
        </w:rPr>
        <w:t xml:space="preserve"> (19 December 2013), available at </w:t>
      </w:r>
      <w:hyperlink r:id="rId14" w:history="1">
        <w:r w:rsidRPr="000445CD">
          <w:rPr>
            <w:rStyle w:val="Hyperlink"/>
            <w:rFonts w:ascii="Times New Roman" w:hAnsi="Times New Roman" w:cs="Times New Roman"/>
            <w:iCs/>
            <w:color w:val="000000" w:themeColor="text1"/>
            <w:sz w:val="16"/>
            <w:szCs w:val="16"/>
            <w:lang w:val="en"/>
          </w:rPr>
          <w:t>http://www.legislationline.org/documents/id/18598</w:t>
        </w:r>
      </w:hyperlink>
      <w:r w:rsidRPr="000445CD">
        <w:rPr>
          <w:rFonts w:ascii="Times New Roman" w:hAnsi="Times New Roman" w:cs="Times New Roman"/>
          <w:iCs/>
          <w:color w:val="000000" w:themeColor="text1"/>
          <w:sz w:val="16"/>
          <w:szCs w:val="16"/>
          <w:lang w:val="en"/>
        </w:rPr>
        <w:t xml:space="preserve">; </w:t>
      </w:r>
      <w:r w:rsidRPr="000445CD">
        <w:rPr>
          <w:rFonts w:ascii="Times New Roman" w:hAnsi="Times New Roman" w:cs="Times New Roman"/>
          <w:color w:val="000000" w:themeColor="text1"/>
          <w:sz w:val="16"/>
          <w:szCs w:val="16"/>
        </w:rPr>
        <w:t xml:space="preserve">par 74 of the </w:t>
      </w:r>
      <w:r w:rsidRPr="000445CD">
        <w:rPr>
          <w:rFonts w:ascii="Times New Roman" w:hAnsi="Times New Roman" w:cs="Times New Roman"/>
          <w:iCs/>
          <w:color w:val="000000" w:themeColor="text1"/>
          <w:sz w:val="16"/>
          <w:szCs w:val="16"/>
          <w:lang w:val="en"/>
        </w:rPr>
        <w:t xml:space="preserve">Joint OSCE/ODIHR-Venice Commission Opinion on the Draft Amendments to the Legal Framework on the Disciplinary Responsibility of Judges in the Kyrgyz Republic (16 June 2014), available at  </w:t>
      </w:r>
      <w:hyperlink r:id="rId15" w:history="1">
        <w:r w:rsidRPr="000445CD">
          <w:rPr>
            <w:rStyle w:val="Hyperlink"/>
            <w:rFonts w:ascii="Times New Roman" w:hAnsi="Times New Roman" w:cs="Times New Roman"/>
            <w:color w:val="000000" w:themeColor="text1"/>
            <w:sz w:val="16"/>
            <w:szCs w:val="16"/>
          </w:rPr>
          <w:t>http://www.legislationline.org/documents/id/19099</w:t>
        </w:r>
      </w:hyperlink>
      <w:r w:rsidRPr="000445CD">
        <w:rPr>
          <w:rFonts w:ascii="Times New Roman" w:hAnsi="Times New Roman" w:cs="Times New Roman"/>
          <w:color w:val="000000" w:themeColor="text1"/>
          <w:sz w:val="16"/>
          <w:szCs w:val="16"/>
        </w:rPr>
        <w:t xml:space="preserve">; par 37 of </w:t>
      </w:r>
      <w:r w:rsidRPr="000445CD">
        <w:rPr>
          <w:rFonts w:ascii="Times New Roman" w:hAnsi="Times New Roman" w:cs="Times New Roman"/>
          <w:iCs/>
          <w:color w:val="000000" w:themeColor="text1"/>
          <w:sz w:val="16"/>
          <w:szCs w:val="16"/>
          <w:lang w:val="en"/>
        </w:rPr>
        <w:t xml:space="preserve">the </w:t>
      </w:r>
      <w:r w:rsidRPr="000445CD">
        <w:rPr>
          <w:rFonts w:ascii="Times New Roman" w:hAnsi="Times New Roman" w:cs="Times New Roman"/>
          <w:iCs/>
          <w:color w:val="000000" w:themeColor="text1"/>
          <w:sz w:val="16"/>
          <w:szCs w:val="16"/>
        </w:rPr>
        <w:t xml:space="preserve">OSCE/ODIHR Opinion on the Impact of the Ratification of the Council of Europe Convention on Preventing and Combating Violence against Women and Domestic Violence on Legislation in Montenegro (10 September 2014), available at  </w:t>
      </w:r>
      <w:hyperlink r:id="rId16" w:history="1">
        <w:r w:rsidRPr="000445CD">
          <w:rPr>
            <w:rStyle w:val="Hyperlink"/>
            <w:rFonts w:ascii="Times New Roman" w:hAnsi="Times New Roman" w:cs="Times New Roman"/>
            <w:color w:val="000000" w:themeColor="text1"/>
            <w:sz w:val="16"/>
            <w:szCs w:val="16"/>
          </w:rPr>
          <w:t>http://www.legislationline.org/documents/id/19349</w:t>
        </w:r>
      </w:hyperlink>
      <w:r w:rsidRPr="000445CD">
        <w:rPr>
          <w:rFonts w:ascii="Times New Roman" w:hAnsi="Times New Roman" w:cs="Times New Roman"/>
          <w:color w:val="000000" w:themeColor="text1"/>
          <w:sz w:val="16"/>
          <w:szCs w:val="16"/>
        </w:rPr>
        <w:t xml:space="preserve">; par 27 of the </w:t>
      </w:r>
      <w:r w:rsidRPr="000445CD">
        <w:rPr>
          <w:rFonts w:ascii="Times New Roman" w:hAnsi="Times New Roman" w:cs="Times New Roman"/>
          <w:iCs/>
          <w:color w:val="000000" w:themeColor="text1"/>
          <w:sz w:val="16"/>
          <w:szCs w:val="16"/>
        </w:rPr>
        <w:t xml:space="preserve">OSCE/ODIHR Opinion on the Draft Law of Ukraine on Police and Police Activities (1 December 2014), available at </w:t>
      </w:r>
      <w:hyperlink r:id="rId17" w:history="1">
        <w:r w:rsidRPr="000445CD">
          <w:rPr>
            <w:rStyle w:val="Hyperlink"/>
            <w:rFonts w:ascii="Times New Roman" w:hAnsi="Times New Roman" w:cs="Times New Roman"/>
            <w:iCs/>
            <w:color w:val="000000" w:themeColor="text1"/>
            <w:sz w:val="16"/>
            <w:szCs w:val="16"/>
          </w:rPr>
          <w:t>http://www.legislationline.org/documents/id/19505</w:t>
        </w:r>
      </w:hyperlink>
      <w:r w:rsidRPr="000445CD">
        <w:rPr>
          <w:rFonts w:ascii="Times New Roman" w:hAnsi="Times New Roman" w:cs="Times New Roman"/>
          <w:iCs/>
          <w:color w:val="000000" w:themeColor="text1"/>
          <w:sz w:val="16"/>
          <w:szCs w:val="16"/>
        </w:rPr>
        <w:t>.  </w:t>
      </w:r>
    </w:p>
  </w:footnote>
  <w:footnote w:id="9">
    <w:p w:rsidR="0000011B" w:rsidRPr="00962879" w:rsidRDefault="0000011B">
      <w:pPr>
        <w:pStyle w:val="FootnoteText"/>
        <w:jc w:val="both"/>
        <w:rPr>
          <w:rFonts w:ascii="Times New Roman" w:hAnsi="Times New Roman" w:cs="Times New Roman"/>
          <w:color w:val="000000" w:themeColor="text1"/>
          <w:sz w:val="16"/>
          <w:szCs w:val="16"/>
        </w:rPr>
      </w:pPr>
      <w:r w:rsidRPr="000445CD">
        <w:rPr>
          <w:rStyle w:val="FootnoteReference"/>
          <w:rFonts w:ascii="Times New Roman" w:hAnsi="Times New Roman" w:cs="Times New Roman"/>
          <w:color w:val="000000" w:themeColor="text1"/>
          <w:sz w:val="16"/>
          <w:szCs w:val="16"/>
        </w:rPr>
        <w:footnoteRef/>
      </w:r>
      <w:r w:rsidRPr="000445CD">
        <w:rPr>
          <w:rFonts w:ascii="Times New Roman" w:hAnsi="Times New Roman" w:cs="Times New Roman"/>
          <w:color w:val="000000" w:themeColor="text1"/>
          <w:sz w:val="16"/>
          <w:szCs w:val="16"/>
        </w:rPr>
        <w:t xml:space="preserve"> See pars 30-31 of the OSCE/ODIHR </w:t>
      </w:r>
      <w:hyperlink r:id="rId18" w:history="1">
        <w:r w:rsidRPr="000445CD">
          <w:rPr>
            <w:rStyle w:val="Hyperlink"/>
            <w:rFonts w:ascii="Times New Roman" w:hAnsi="Times New Roman" w:cs="Times New Roman"/>
            <w:iCs/>
            <w:color w:val="000000" w:themeColor="text1"/>
            <w:sz w:val="16"/>
            <w:szCs w:val="16"/>
            <w:u w:val="none"/>
            <w:lang w:val="en"/>
          </w:rPr>
          <w:t>Opinion on Draft Amendments to Ensure Equal Rights and Opportunities for Women and Men in Political Appointments in Ukraine</w:t>
        </w:r>
      </w:hyperlink>
      <w:r w:rsidRPr="000445CD">
        <w:rPr>
          <w:rFonts w:ascii="Times New Roman" w:hAnsi="Times New Roman" w:cs="Times New Roman"/>
          <w:iCs/>
          <w:color w:val="000000" w:themeColor="text1"/>
          <w:sz w:val="16"/>
          <w:szCs w:val="16"/>
          <w:lang w:val="en"/>
        </w:rPr>
        <w:t xml:space="preserve"> (19 December 2013), available at </w:t>
      </w:r>
      <w:hyperlink r:id="rId19" w:history="1">
        <w:r w:rsidRPr="000445CD">
          <w:rPr>
            <w:rStyle w:val="Hyperlink"/>
            <w:rFonts w:ascii="Times New Roman" w:hAnsi="Times New Roman" w:cs="Times New Roman"/>
            <w:iCs/>
            <w:color w:val="000000" w:themeColor="text1"/>
            <w:sz w:val="16"/>
            <w:szCs w:val="16"/>
            <w:lang w:val="en"/>
          </w:rPr>
          <w:t>http://www.legislationline.org/documents/id/18598</w:t>
        </w:r>
      </w:hyperlink>
      <w:r w:rsidRPr="000445CD">
        <w:rPr>
          <w:rFonts w:ascii="Times New Roman" w:hAnsi="Times New Roman" w:cs="Times New Roman"/>
          <w:iCs/>
          <w:color w:val="000000" w:themeColor="text1"/>
          <w:sz w:val="16"/>
          <w:szCs w:val="16"/>
          <w:lang w:val="en"/>
        </w:rPr>
        <w:t xml:space="preserve">; </w:t>
      </w:r>
      <w:r w:rsidRPr="000445CD">
        <w:rPr>
          <w:rFonts w:ascii="Times New Roman" w:hAnsi="Times New Roman" w:cs="Times New Roman"/>
          <w:color w:val="000000" w:themeColor="text1"/>
          <w:sz w:val="16"/>
          <w:szCs w:val="16"/>
          <w:lang w:val="en"/>
        </w:rPr>
        <w:t xml:space="preserve">par 37 of OSCE/ODIHR </w:t>
      </w:r>
      <w:hyperlink r:id="rId20" w:history="1">
        <w:r w:rsidRPr="000445CD">
          <w:rPr>
            <w:rFonts w:ascii="Times New Roman" w:hAnsi="Times New Roman" w:cs="Times New Roman"/>
            <w:color w:val="000000" w:themeColor="text1"/>
            <w:sz w:val="16"/>
            <w:szCs w:val="16"/>
            <w:lang w:val="en"/>
          </w:rPr>
          <w:t>Opinion on the Law of Mongolia on the Promotion of Gender Equality</w:t>
        </w:r>
      </w:hyperlink>
      <w:r w:rsidRPr="000445CD">
        <w:rPr>
          <w:rFonts w:ascii="Times New Roman" w:hAnsi="Times New Roman" w:cs="Times New Roman"/>
          <w:color w:val="000000" w:themeColor="text1"/>
          <w:sz w:val="16"/>
          <w:szCs w:val="16"/>
          <w:lang w:val="en"/>
        </w:rPr>
        <w:t xml:space="preserve"> (30 September 2013), available at </w:t>
      </w:r>
      <w:hyperlink r:id="rId21" w:history="1">
        <w:r w:rsidRPr="000445CD">
          <w:rPr>
            <w:rStyle w:val="Hyperlink"/>
            <w:rFonts w:ascii="Times New Roman" w:hAnsi="Times New Roman" w:cs="Times New Roman"/>
            <w:color w:val="000000" w:themeColor="text1"/>
            <w:sz w:val="16"/>
            <w:szCs w:val="16"/>
            <w:lang w:val="en"/>
          </w:rPr>
          <w:t>http://www.legislationline.org/documents/id/18349</w:t>
        </w:r>
      </w:hyperlink>
      <w:r w:rsidRPr="000445CD">
        <w:rPr>
          <w:rFonts w:ascii="Times New Roman" w:hAnsi="Times New Roman" w:cs="Times New Roman"/>
          <w:color w:val="000000" w:themeColor="text1"/>
          <w:sz w:val="16"/>
          <w:szCs w:val="16"/>
          <w:lang w:val="en"/>
        </w:rPr>
        <w:t xml:space="preserve">; </w:t>
      </w:r>
      <w:r w:rsidRPr="000445CD">
        <w:rPr>
          <w:rFonts w:ascii="Times New Roman" w:hAnsi="Times New Roman" w:cs="Times New Roman"/>
          <w:color w:val="000000" w:themeColor="text1"/>
          <w:sz w:val="16"/>
          <w:szCs w:val="16"/>
        </w:rPr>
        <w:t xml:space="preserve">par 72 of the </w:t>
      </w:r>
      <w:r w:rsidRPr="000445CD">
        <w:rPr>
          <w:rFonts w:ascii="Times New Roman" w:hAnsi="Times New Roman" w:cs="Times New Roman"/>
          <w:iCs/>
          <w:color w:val="000000" w:themeColor="text1"/>
          <w:sz w:val="16"/>
          <w:szCs w:val="16"/>
          <w:lang w:val="en"/>
        </w:rPr>
        <w:t xml:space="preserve">Joint OSCE/ODIHR-Venice Commission Opinion on the Draft Amendments to the Legal Framework on the Disciplinary Responsibility of Judges in the Kyrgyz Republic (16 June 2014), available at  </w:t>
      </w:r>
      <w:hyperlink r:id="rId22" w:history="1">
        <w:r w:rsidRPr="000445CD">
          <w:rPr>
            <w:rStyle w:val="Hyperlink"/>
            <w:rFonts w:ascii="Times New Roman" w:hAnsi="Times New Roman" w:cs="Times New Roman"/>
            <w:color w:val="000000" w:themeColor="text1"/>
            <w:sz w:val="16"/>
            <w:szCs w:val="16"/>
          </w:rPr>
          <w:t>http://www.legislationline.org/documents/id/19099</w:t>
        </w:r>
      </w:hyperlink>
      <w:r w:rsidRPr="000445CD">
        <w:rPr>
          <w:rFonts w:ascii="Times New Roman" w:hAnsi="Times New Roman" w:cs="Times New Roman"/>
          <w:color w:val="000000" w:themeColor="text1"/>
          <w:sz w:val="16"/>
          <w:szCs w:val="16"/>
        </w:rPr>
        <w:t xml:space="preserve">; par 28 of the </w:t>
      </w:r>
      <w:r w:rsidRPr="000445CD">
        <w:rPr>
          <w:rFonts w:ascii="Times New Roman" w:hAnsi="Times New Roman" w:cs="Times New Roman"/>
          <w:iCs/>
          <w:color w:val="000000" w:themeColor="text1"/>
          <w:sz w:val="16"/>
          <w:szCs w:val="16"/>
        </w:rPr>
        <w:t xml:space="preserve">OSCE/ODIHR Opinion on the Draft Law of Ukraine on Police and Police </w:t>
      </w:r>
      <w:r w:rsidRPr="00962879">
        <w:rPr>
          <w:rFonts w:ascii="Times New Roman" w:hAnsi="Times New Roman" w:cs="Times New Roman"/>
          <w:iCs/>
          <w:color w:val="000000" w:themeColor="text1"/>
          <w:sz w:val="16"/>
          <w:szCs w:val="16"/>
        </w:rPr>
        <w:t xml:space="preserve">Activities (1 December 2014), available at </w:t>
      </w:r>
      <w:hyperlink r:id="rId23" w:history="1">
        <w:r w:rsidRPr="00962879">
          <w:rPr>
            <w:rStyle w:val="Hyperlink"/>
            <w:rFonts w:ascii="Times New Roman" w:hAnsi="Times New Roman" w:cs="Times New Roman"/>
            <w:iCs/>
            <w:color w:val="000000" w:themeColor="text1"/>
            <w:sz w:val="16"/>
            <w:szCs w:val="16"/>
          </w:rPr>
          <w:t>http://www.legislationline.org/documents/id/19505</w:t>
        </w:r>
      </w:hyperlink>
      <w:r w:rsidRPr="00962879">
        <w:rPr>
          <w:rFonts w:ascii="Times New Roman" w:hAnsi="Times New Roman" w:cs="Times New Roman"/>
          <w:iCs/>
          <w:color w:val="000000" w:themeColor="text1"/>
          <w:sz w:val="16"/>
          <w:szCs w:val="16"/>
        </w:rPr>
        <w:t>.  </w:t>
      </w:r>
    </w:p>
  </w:footnote>
  <w:footnote w:id="10">
    <w:p w:rsidR="00962879" w:rsidRPr="00080C7C" w:rsidRDefault="00962879" w:rsidP="00080C7C">
      <w:pPr>
        <w:pStyle w:val="FootnoteText"/>
        <w:jc w:val="both"/>
        <w:rPr>
          <w:rFonts w:ascii="Times New Roman" w:hAnsi="Times New Roman" w:cs="Times New Roman"/>
          <w:sz w:val="16"/>
          <w:szCs w:val="16"/>
          <w:lang w:val="en-US"/>
        </w:rPr>
      </w:pPr>
      <w:r w:rsidRPr="00080C7C">
        <w:rPr>
          <w:rStyle w:val="FootnoteReference"/>
          <w:rFonts w:ascii="Times New Roman" w:hAnsi="Times New Roman" w:cs="Times New Roman"/>
          <w:sz w:val="16"/>
          <w:szCs w:val="16"/>
        </w:rPr>
        <w:footnoteRef/>
      </w:r>
      <w:r w:rsidRPr="00080C7C">
        <w:rPr>
          <w:rFonts w:ascii="Times New Roman" w:hAnsi="Times New Roman" w:cs="Times New Roman"/>
          <w:sz w:val="16"/>
          <w:szCs w:val="16"/>
        </w:rPr>
        <w:t xml:space="preserve"> ODIHR’s </w:t>
      </w:r>
      <w:hyperlink r:id="rId24" w:history="1">
        <w:r w:rsidRPr="00080C7C">
          <w:rPr>
            <w:rStyle w:val="Hyperlink"/>
            <w:rFonts w:ascii="Times New Roman" w:hAnsi="Times New Roman" w:cs="Times New Roman"/>
            <w:i/>
            <w:sz w:val="16"/>
            <w:szCs w:val="16"/>
          </w:rPr>
          <w:t>Handbook on Promoting Women’s Participation in Political Parties</w:t>
        </w:r>
      </w:hyperlink>
      <w:r w:rsidRPr="00080C7C">
        <w:rPr>
          <w:rFonts w:ascii="Times New Roman" w:hAnsi="Times New Roman" w:cs="Times New Roman"/>
          <w:sz w:val="16"/>
          <w:szCs w:val="16"/>
        </w:rPr>
        <w:t xml:space="preserve"> </w:t>
      </w:r>
      <w:r w:rsidR="0064428F">
        <w:rPr>
          <w:rFonts w:ascii="Times New Roman" w:hAnsi="Times New Roman" w:cs="Times New Roman"/>
          <w:sz w:val="16"/>
          <w:szCs w:val="16"/>
        </w:rPr>
        <w:t xml:space="preserve">(2014) </w:t>
      </w:r>
      <w:r w:rsidRPr="00080C7C">
        <w:rPr>
          <w:rFonts w:ascii="Times New Roman" w:hAnsi="Times New Roman" w:cs="Times New Roman"/>
          <w:sz w:val="16"/>
          <w:szCs w:val="16"/>
        </w:rPr>
        <w:t>provides an overview of voluntary measures that political parties can adopt to enhance gender equality within party structures, processes, policies and activities, as a means to provide both women and men equal opportunities to participate meaningfully in the political life of OSCE participating States.</w:t>
      </w:r>
    </w:p>
  </w:footnote>
  <w:footnote w:id="11">
    <w:p w:rsidR="0064428F" w:rsidRPr="00080C7C" w:rsidRDefault="0064428F">
      <w:pPr>
        <w:pStyle w:val="FootnoteText"/>
        <w:rPr>
          <w:rFonts w:ascii="Times New Roman" w:hAnsi="Times New Roman" w:cs="Times New Roman"/>
          <w:sz w:val="16"/>
          <w:szCs w:val="16"/>
          <w:lang w:val="en-US"/>
        </w:rPr>
      </w:pPr>
      <w:r w:rsidRPr="00080C7C">
        <w:rPr>
          <w:rStyle w:val="FootnoteReference"/>
          <w:rFonts w:ascii="Times New Roman" w:hAnsi="Times New Roman" w:cs="Times New Roman"/>
          <w:sz w:val="16"/>
          <w:szCs w:val="16"/>
        </w:rPr>
        <w:footnoteRef/>
      </w:r>
      <w:r w:rsidRPr="00080C7C">
        <w:rPr>
          <w:rFonts w:ascii="Times New Roman" w:hAnsi="Times New Roman" w:cs="Times New Roman"/>
          <w:sz w:val="16"/>
          <w:szCs w:val="16"/>
        </w:rPr>
        <w:t xml:space="preserve"> </w:t>
      </w:r>
      <w:r>
        <w:rPr>
          <w:rFonts w:ascii="Times New Roman" w:hAnsi="Times New Roman" w:cs="Times New Roman"/>
          <w:sz w:val="16"/>
          <w:szCs w:val="16"/>
        </w:rPr>
        <w:t xml:space="preserve">In the period of 2015- 2017, </w:t>
      </w:r>
      <w:r w:rsidRPr="00E47BA0">
        <w:rPr>
          <w:rFonts w:ascii="Times New Roman" w:hAnsi="Times New Roman" w:cs="Times New Roman"/>
          <w:sz w:val="16"/>
          <w:szCs w:val="16"/>
          <w:lang w:val="en-US"/>
        </w:rPr>
        <w:t xml:space="preserve">ODIHR </w:t>
      </w:r>
      <w:r w:rsidRPr="00080C7C">
        <w:rPr>
          <w:rFonts w:ascii="Times New Roman" w:hAnsi="Times New Roman" w:cs="Times New Roman"/>
          <w:sz w:val="16"/>
          <w:szCs w:val="16"/>
          <w:lang w:val="en-US"/>
        </w:rPr>
        <w:t xml:space="preserve">conducted gender audit of interested political parties in Armenia, Georgia, Tajikistan, Moldova and Bosnia and Herzegovina. </w:t>
      </w:r>
    </w:p>
  </w:footnote>
  <w:footnote w:id="12">
    <w:p w:rsidR="00BB7EAB" w:rsidRDefault="00BB7EAB" w:rsidP="00BB7EAB">
      <w:pPr>
        <w:pStyle w:val="FootnoteText"/>
      </w:pPr>
      <w:r w:rsidRPr="00175F1F">
        <w:rPr>
          <w:rStyle w:val="FootnoteReference"/>
          <w:rFonts w:ascii="Times New Roman" w:hAnsi="Times New Roman"/>
          <w:sz w:val="18"/>
          <w:szCs w:val="18"/>
        </w:rPr>
        <w:footnoteRef/>
      </w:r>
      <w:r w:rsidRPr="00175F1F">
        <w:rPr>
          <w:rFonts w:ascii="Times New Roman" w:hAnsi="Times New Roman"/>
          <w:sz w:val="18"/>
          <w:szCs w:val="18"/>
        </w:rPr>
        <w:t xml:space="preserve"> W</w:t>
      </w:r>
      <w:r w:rsidR="00080C7C">
        <w:rPr>
          <w:rFonts w:ascii="Times New Roman" w:hAnsi="Times New Roman"/>
          <w:sz w:val="18"/>
          <w:szCs w:val="18"/>
        </w:rPr>
        <w:t xml:space="preserve">orld Report on Disability </w:t>
      </w:r>
      <w:r w:rsidRPr="00175F1F">
        <w:rPr>
          <w:rFonts w:ascii="Times New Roman" w:hAnsi="Times New Roman"/>
          <w:sz w:val="18"/>
          <w:szCs w:val="18"/>
        </w:rPr>
        <w:t>WHO Library Cataloguing-in-Publication Data, World report on disability 2011.</w:t>
      </w:r>
    </w:p>
  </w:footnote>
  <w:footnote w:id="13">
    <w:p w:rsidR="0000011B" w:rsidRPr="0064428F" w:rsidRDefault="0000011B" w:rsidP="0000011B">
      <w:pPr>
        <w:pStyle w:val="FootnoteText"/>
        <w:jc w:val="both"/>
        <w:rPr>
          <w:rFonts w:ascii="Times New Roman" w:hAnsi="Times New Roman" w:cs="Times New Roman"/>
          <w:sz w:val="16"/>
          <w:szCs w:val="16"/>
        </w:rPr>
      </w:pPr>
      <w:r w:rsidRPr="0064428F">
        <w:rPr>
          <w:rStyle w:val="FootnoteReference"/>
          <w:rFonts w:ascii="Times New Roman" w:hAnsi="Times New Roman" w:cs="Times New Roman"/>
          <w:sz w:val="16"/>
          <w:szCs w:val="16"/>
        </w:rPr>
        <w:footnoteRef/>
      </w:r>
      <w:r w:rsidRPr="0064428F">
        <w:rPr>
          <w:rFonts w:ascii="Times New Roman" w:hAnsi="Times New Roman" w:cs="Times New Roman"/>
          <w:sz w:val="16"/>
          <w:szCs w:val="16"/>
        </w:rPr>
        <w:t xml:space="preserve"> Document of the Copenhagen Meeting of the Conference on the Human Dimension of the CSCE (1990); [“Copenhagen 1990” thereafter]; para. (5.8) – “legislation, adopted at the end of a public procedure, and regulations will be published, that being the condition for their applicability. Those texts will be accessible to everyone”; and Document of the Moscow Meeting of the Conference on the Human Dimension of the CSCE (1991); [“Moscow 1991” thereafter]; para. (18.1) “Legislation will be formulated and adopted as the result of an open process reflecting the will of the people, either directly or through their elected representatives.”   </w:t>
      </w:r>
    </w:p>
  </w:footnote>
  <w:footnote w:id="14">
    <w:p w:rsidR="0000011B" w:rsidRPr="0064428F" w:rsidRDefault="0000011B" w:rsidP="0000011B">
      <w:pPr>
        <w:pStyle w:val="FootnoteText"/>
        <w:jc w:val="both"/>
        <w:rPr>
          <w:rFonts w:ascii="Times New Roman" w:hAnsi="Times New Roman" w:cs="Times New Roman"/>
          <w:sz w:val="16"/>
          <w:szCs w:val="16"/>
        </w:rPr>
      </w:pPr>
      <w:r w:rsidRPr="0064428F">
        <w:rPr>
          <w:rStyle w:val="FootnoteReference"/>
          <w:rFonts w:ascii="Times New Roman" w:hAnsi="Times New Roman" w:cs="Times New Roman"/>
          <w:sz w:val="16"/>
          <w:szCs w:val="16"/>
        </w:rPr>
        <w:footnoteRef/>
      </w:r>
      <w:r w:rsidRPr="0064428F">
        <w:rPr>
          <w:rFonts w:ascii="Times New Roman" w:hAnsi="Times New Roman" w:cs="Times New Roman"/>
          <w:sz w:val="16"/>
          <w:szCs w:val="16"/>
        </w:rPr>
        <w:t xml:space="preserve"> All OSCE/ODIHR publications and reports relating to democratic lawmaking are available at </w:t>
      </w:r>
      <w:hyperlink r:id="rId25" w:history="1">
        <w:r w:rsidRPr="0064428F">
          <w:rPr>
            <w:rStyle w:val="Hyperlink"/>
            <w:rFonts w:ascii="Times New Roman" w:hAnsi="Times New Roman" w:cs="Times New Roman"/>
            <w:sz w:val="16"/>
            <w:szCs w:val="16"/>
          </w:rPr>
          <w:t>http://www.legislationline.org/lawmaking</w:t>
        </w:r>
      </w:hyperlink>
      <w:r w:rsidRPr="0064428F">
        <w:rPr>
          <w:rFonts w:ascii="Times New Roman" w:hAnsi="Times New Roman" w:cs="Times New Roman"/>
          <w:sz w:val="16"/>
          <w:szCs w:val="16"/>
        </w:rPr>
        <w:t xml:space="preserve">. </w:t>
      </w:r>
    </w:p>
  </w:footnote>
  <w:footnote w:id="15">
    <w:p w:rsidR="0000011B" w:rsidRPr="00777BD0" w:rsidRDefault="0000011B" w:rsidP="0000011B">
      <w:pPr>
        <w:pStyle w:val="FootnoteText"/>
        <w:jc w:val="both"/>
        <w:rPr>
          <w:rFonts w:ascii="Times New Roman" w:hAnsi="Times New Roman" w:cs="Times New Roman"/>
          <w:sz w:val="16"/>
          <w:szCs w:val="16"/>
        </w:rPr>
      </w:pPr>
      <w:r w:rsidRPr="0064428F">
        <w:rPr>
          <w:rStyle w:val="FootnoteReference"/>
          <w:rFonts w:ascii="Times New Roman" w:hAnsi="Times New Roman" w:cs="Times New Roman"/>
          <w:sz w:val="16"/>
          <w:szCs w:val="16"/>
        </w:rPr>
        <w:footnoteRef/>
      </w:r>
      <w:r w:rsidRPr="0064428F">
        <w:rPr>
          <w:rFonts w:ascii="Times New Roman" w:hAnsi="Times New Roman" w:cs="Times New Roman"/>
          <w:sz w:val="16"/>
          <w:szCs w:val="16"/>
        </w:rPr>
        <w:t xml:space="preserve"> See Annex 4 to the 2015 Report on the Assessment of the Legislative Process of Georgia, available at </w:t>
      </w:r>
      <w:hyperlink r:id="rId26" w:history="1">
        <w:r w:rsidRPr="0064428F">
          <w:rPr>
            <w:rStyle w:val="Hyperlink"/>
            <w:rFonts w:ascii="Times New Roman" w:hAnsi="Times New Roman" w:cs="Times New Roman"/>
            <w:sz w:val="16"/>
            <w:szCs w:val="16"/>
          </w:rPr>
          <w:t>http://www.legislationline.org/download/action/download/id/5843/file/256_Legis_Assessment_GEO_Jan_2015_en.pdf</w:t>
        </w:r>
      </w:hyperlink>
      <w:r w:rsidRPr="0064428F">
        <w:rPr>
          <w:rFonts w:ascii="Times New Roman" w:hAnsi="Times New Roman" w:cs="Times New Roman"/>
          <w:sz w:val="16"/>
          <w:szCs w:val="16"/>
        </w:rPr>
        <w:t>.</w:t>
      </w:r>
    </w:p>
  </w:footnote>
  <w:footnote w:id="16">
    <w:p w:rsidR="003F7F27" w:rsidRPr="003F7F27" w:rsidRDefault="003F7F27">
      <w:pPr>
        <w:pStyle w:val="FootnoteText"/>
        <w:rPr>
          <w:rFonts w:ascii="Times New Roman" w:hAnsi="Times New Roman" w:cs="Times New Roman"/>
          <w:sz w:val="16"/>
          <w:szCs w:val="16"/>
          <w:lang w:val="en-US"/>
        </w:rPr>
      </w:pPr>
      <w:r w:rsidRPr="003F7F27">
        <w:rPr>
          <w:rStyle w:val="FootnoteReference"/>
          <w:rFonts w:ascii="Times New Roman" w:hAnsi="Times New Roman" w:cs="Times New Roman"/>
          <w:sz w:val="16"/>
          <w:szCs w:val="16"/>
        </w:rPr>
        <w:footnoteRef/>
      </w:r>
      <w:r w:rsidRPr="003F7F27">
        <w:rPr>
          <w:rFonts w:ascii="Times New Roman" w:hAnsi="Times New Roman" w:cs="Times New Roman"/>
          <w:sz w:val="16"/>
          <w:szCs w:val="16"/>
        </w:rPr>
        <w:t xml:space="preserve"> OSCE Ministerial Council Decision MC DEC/4/13 on Enhancing OSCE Efforts to Implement the Action Plan on Improving the Situation of Roma and Sinti within the OSCE Area, with a particular focus on Roma and Sinti women, youth and children, par 2.7</w:t>
      </w:r>
    </w:p>
  </w:footnote>
  <w:footnote w:id="17">
    <w:p w:rsidR="0000011B" w:rsidRPr="00777BD0" w:rsidRDefault="0000011B" w:rsidP="0000011B">
      <w:pPr>
        <w:pStyle w:val="FootnoteText"/>
        <w:jc w:val="both"/>
        <w:rPr>
          <w:rFonts w:ascii="Times New Roman" w:hAnsi="Times New Roman" w:cs="Times New Roman"/>
          <w:sz w:val="16"/>
          <w:szCs w:val="16"/>
          <w:lang w:val="en-US"/>
        </w:rPr>
      </w:pPr>
      <w:r w:rsidRPr="00777BD0">
        <w:rPr>
          <w:rStyle w:val="FootnoteReference"/>
          <w:rFonts w:ascii="Times New Roman" w:hAnsi="Times New Roman" w:cs="Times New Roman"/>
          <w:sz w:val="16"/>
          <w:szCs w:val="16"/>
        </w:rPr>
        <w:footnoteRef/>
      </w:r>
      <w:r w:rsidRPr="00777BD0">
        <w:rPr>
          <w:rFonts w:ascii="Times New Roman" w:hAnsi="Times New Roman" w:cs="Times New Roman"/>
          <w:sz w:val="16"/>
          <w:szCs w:val="16"/>
        </w:rPr>
        <w:t xml:space="preserve"> See par 80-81 of the 2015 Report on the Assessment of the Legislative Process of Georgia, available at </w:t>
      </w:r>
      <w:hyperlink r:id="rId27" w:history="1">
        <w:r w:rsidRPr="00777BD0">
          <w:rPr>
            <w:rStyle w:val="Hyperlink"/>
            <w:rFonts w:ascii="Times New Roman" w:hAnsi="Times New Roman" w:cs="Times New Roman"/>
            <w:sz w:val="16"/>
            <w:szCs w:val="16"/>
          </w:rPr>
          <w:t>http://www.legislationline.org/download/action/download/id/5843/file/256_Legis_Assessment_GEO_Jan_2015_en.pdf</w:t>
        </w:r>
      </w:hyperlink>
      <w:r w:rsidRPr="00777BD0">
        <w:rPr>
          <w:rFonts w:ascii="Times New Roman" w:hAnsi="Times New Roman" w:cs="Times New Roman"/>
          <w:sz w:val="16"/>
          <w:szCs w:val="16"/>
        </w:rPr>
        <w:t>.</w:t>
      </w:r>
    </w:p>
  </w:footnote>
  <w:footnote w:id="18">
    <w:p w:rsidR="0000011B" w:rsidRPr="00777BD0" w:rsidRDefault="0000011B" w:rsidP="0000011B">
      <w:pPr>
        <w:pStyle w:val="FootnoteText"/>
        <w:jc w:val="both"/>
        <w:rPr>
          <w:rFonts w:ascii="Times New Roman" w:hAnsi="Times New Roman" w:cs="Times New Roman"/>
          <w:sz w:val="16"/>
          <w:szCs w:val="16"/>
        </w:rPr>
      </w:pPr>
      <w:r w:rsidRPr="00777BD0">
        <w:rPr>
          <w:rStyle w:val="FootnoteReference"/>
          <w:rFonts w:ascii="Times New Roman" w:hAnsi="Times New Roman" w:cs="Times New Roman"/>
          <w:sz w:val="16"/>
          <w:szCs w:val="16"/>
        </w:rPr>
        <w:footnoteRef/>
      </w:r>
      <w:r w:rsidRPr="00777BD0">
        <w:rPr>
          <w:rFonts w:ascii="Times New Roman" w:hAnsi="Times New Roman" w:cs="Times New Roman"/>
          <w:sz w:val="16"/>
          <w:szCs w:val="16"/>
        </w:rPr>
        <w:t xml:space="preserve"> See Recommendation H on page 56 and par 64 of the 2015 Report on the Assessment of the Legislative Process of Georgia, available at </w:t>
      </w:r>
      <w:hyperlink r:id="rId28" w:history="1">
        <w:r w:rsidRPr="00777BD0">
          <w:rPr>
            <w:rStyle w:val="Hyperlink"/>
            <w:rFonts w:ascii="Times New Roman" w:hAnsi="Times New Roman" w:cs="Times New Roman"/>
            <w:sz w:val="16"/>
            <w:szCs w:val="16"/>
          </w:rPr>
          <w:t>http://www.legislationline.org/download/action/download/id/5843/file/256_Legis_Assessment_GEO_Jan_2015_en.pdf</w:t>
        </w:r>
      </w:hyperlink>
      <w:r w:rsidRPr="00777BD0">
        <w:rPr>
          <w:rFonts w:ascii="Times New Roman" w:hAnsi="Times New Roman" w:cs="Times New Roman"/>
          <w:color w:val="000000" w:themeColor="text1"/>
          <w:sz w:val="16"/>
          <w:szCs w:val="16"/>
        </w:rPr>
        <w:t>.</w:t>
      </w:r>
    </w:p>
  </w:footnote>
  <w:footnote w:id="19">
    <w:p w:rsidR="0000011B" w:rsidRPr="00D510CB" w:rsidRDefault="0000011B" w:rsidP="0000011B">
      <w:pPr>
        <w:pStyle w:val="FootnoteText"/>
        <w:jc w:val="both"/>
        <w:rPr>
          <w:rFonts w:ascii="Times New Roman" w:hAnsi="Times New Roman" w:cs="Times New Roman"/>
          <w:sz w:val="16"/>
          <w:szCs w:val="16"/>
        </w:rPr>
      </w:pPr>
      <w:r w:rsidRPr="00777BD0">
        <w:rPr>
          <w:rStyle w:val="FootnoteReference"/>
          <w:rFonts w:ascii="Times New Roman" w:hAnsi="Times New Roman" w:cs="Times New Roman"/>
          <w:sz w:val="16"/>
          <w:szCs w:val="16"/>
        </w:rPr>
        <w:footnoteRef/>
      </w:r>
      <w:r w:rsidRPr="00777BD0">
        <w:rPr>
          <w:rFonts w:ascii="Times New Roman" w:hAnsi="Times New Roman" w:cs="Times New Roman"/>
          <w:sz w:val="16"/>
          <w:szCs w:val="16"/>
        </w:rPr>
        <w:t xml:space="preserve"> See Recommendation I and pars 33-47 of the 2015 Report on the Assessment of the Legislative Process of Georgia, available at </w:t>
      </w:r>
      <w:hyperlink r:id="rId29" w:history="1">
        <w:r w:rsidRPr="00D510CB">
          <w:rPr>
            <w:rStyle w:val="Hyperlink"/>
            <w:rFonts w:ascii="Times New Roman" w:hAnsi="Times New Roman" w:cs="Times New Roman"/>
            <w:sz w:val="16"/>
            <w:szCs w:val="16"/>
          </w:rPr>
          <w:t>http://www.legislationline.org/download/action/download/id/5843/file/256_Legis_Assessment_GEO_Jan_2015_en.pdf</w:t>
        </w:r>
      </w:hyperlink>
      <w:r w:rsidRPr="00D510CB">
        <w:rPr>
          <w:rFonts w:ascii="Times New Roman" w:hAnsi="Times New Roman" w:cs="Times New Roman"/>
          <w:sz w:val="16"/>
          <w:szCs w:val="16"/>
        </w:rPr>
        <w:t>.</w:t>
      </w:r>
    </w:p>
  </w:footnote>
  <w:footnote w:id="20">
    <w:p w:rsidR="00161FFD" w:rsidRPr="00D510CB" w:rsidRDefault="00161FFD" w:rsidP="00161FFD">
      <w:pPr>
        <w:pStyle w:val="FootnoteText"/>
        <w:rPr>
          <w:rFonts w:ascii="Times New Roman" w:hAnsi="Times New Roman" w:cs="Times New Roman"/>
          <w:sz w:val="16"/>
          <w:szCs w:val="16"/>
          <w:lang w:val="hu-HU"/>
        </w:rPr>
      </w:pPr>
      <w:r w:rsidRPr="00D510CB">
        <w:rPr>
          <w:rStyle w:val="FootnoteReference"/>
          <w:rFonts w:ascii="Times New Roman" w:hAnsi="Times New Roman" w:cs="Times New Roman"/>
          <w:sz w:val="16"/>
          <w:szCs w:val="16"/>
        </w:rPr>
        <w:footnoteRef/>
      </w:r>
      <w:r w:rsidRPr="00D510CB">
        <w:rPr>
          <w:rFonts w:ascii="Times New Roman" w:hAnsi="Times New Roman" w:cs="Times New Roman"/>
          <w:sz w:val="16"/>
          <w:szCs w:val="16"/>
        </w:rPr>
        <w:t xml:space="preserve"> A/HRC/31/66, 4 February 2016, Joint report of the Special Rapporteur on the rights to freedom of peaceful assembly and of association and the Special Rapporteur on extrajudicial, summary or arbitrary executions on the proper management of assemblies</w:t>
      </w:r>
      <w:r w:rsidRPr="00D510CB">
        <w:rPr>
          <w:rFonts w:ascii="Times New Roman" w:hAnsi="Times New Roman" w:cs="Times New Roman"/>
          <w:sz w:val="16"/>
          <w:szCs w:val="16"/>
        </w:rPr>
        <w:tab/>
      </w:r>
      <w:r>
        <w:t xml:space="preserve"> </w:t>
      </w:r>
      <w:r w:rsidRPr="00D510CB">
        <w:rPr>
          <w:rFonts w:ascii="Times New Roman" w:hAnsi="Times New Roman" w:cs="Times New Roman"/>
          <w:sz w:val="16"/>
          <w:szCs w:val="16"/>
        </w:rPr>
        <w:t>http://www.ohchr.org/EN/HRBodies/HRC/RegularSessions/Session31/Documents/A.HRC.31.66_E.docx  para. 5.</w:t>
      </w:r>
    </w:p>
  </w:footnote>
  <w:footnote w:id="21">
    <w:p w:rsidR="00161FFD" w:rsidRPr="00D510CB" w:rsidRDefault="00161FFD">
      <w:pPr>
        <w:pStyle w:val="FootnoteText"/>
        <w:rPr>
          <w:rFonts w:ascii="Times New Roman" w:hAnsi="Times New Roman" w:cs="Times New Roman"/>
          <w:sz w:val="16"/>
          <w:szCs w:val="16"/>
          <w:lang w:val="hu-HU"/>
        </w:rPr>
      </w:pPr>
      <w:r w:rsidRPr="00D510CB">
        <w:rPr>
          <w:rStyle w:val="FootnoteReference"/>
          <w:rFonts w:ascii="Times New Roman" w:hAnsi="Times New Roman" w:cs="Times New Roman"/>
          <w:sz w:val="16"/>
          <w:szCs w:val="16"/>
        </w:rPr>
        <w:footnoteRef/>
      </w:r>
      <w:r w:rsidRPr="00D510CB">
        <w:rPr>
          <w:rFonts w:ascii="Times New Roman" w:hAnsi="Times New Roman" w:cs="Times New Roman"/>
          <w:sz w:val="16"/>
          <w:szCs w:val="16"/>
        </w:rPr>
        <w:t xml:space="preserve"> Human Rights Council, Resolution 22/10, ‘The promotion and protection of human rights in the context of peaceful protests’, 21 March 2013, Preamble, §13</w:t>
      </w:r>
    </w:p>
  </w:footnote>
  <w:footnote w:id="22">
    <w:p w:rsidR="00C14BAE" w:rsidRPr="00D510CB" w:rsidRDefault="00C14BAE" w:rsidP="00C14BAE">
      <w:pPr>
        <w:pStyle w:val="FootnoteText"/>
        <w:rPr>
          <w:rFonts w:ascii="Times New Roman" w:eastAsia="Times New Roman" w:hAnsi="Times New Roman" w:cs="Times New Roman"/>
          <w:sz w:val="16"/>
          <w:szCs w:val="16"/>
          <w:lang w:eastAsia="ar-SA"/>
        </w:rPr>
      </w:pPr>
      <w:r w:rsidRPr="00D510CB">
        <w:rPr>
          <w:rStyle w:val="Lbjegyzet-karakterek"/>
          <w:rFonts w:ascii="Times New Roman" w:hAnsi="Times New Roman" w:cs="Times New Roman"/>
          <w:sz w:val="16"/>
          <w:szCs w:val="16"/>
        </w:rPr>
        <w:footnoteRef/>
      </w:r>
      <w:r w:rsidRPr="00D510CB">
        <w:rPr>
          <w:rFonts w:ascii="Times New Roman" w:hAnsi="Times New Roman" w:cs="Times New Roman"/>
          <w:sz w:val="16"/>
          <w:szCs w:val="16"/>
        </w:rPr>
        <w:t xml:space="preserve"> Commitment to guaranteeing freedom of peaceful assembly to every individual without discrimination (eg. Copenhagen 1990, Paris 1990)</w:t>
      </w:r>
    </w:p>
  </w:footnote>
  <w:footnote w:id="23">
    <w:p w:rsidR="00C14BAE" w:rsidRPr="00D510CB" w:rsidRDefault="00C14BAE" w:rsidP="00C14BAE">
      <w:pPr>
        <w:pStyle w:val="FootnoteText"/>
        <w:rPr>
          <w:rFonts w:ascii="Times New Roman" w:hAnsi="Times New Roman" w:cs="Times New Roman"/>
          <w:sz w:val="16"/>
          <w:szCs w:val="16"/>
        </w:rPr>
      </w:pPr>
      <w:r w:rsidRPr="00D510CB">
        <w:rPr>
          <w:rStyle w:val="Lbjegyzet-karakterek"/>
          <w:rFonts w:ascii="Times New Roman" w:hAnsi="Times New Roman" w:cs="Times New Roman"/>
          <w:sz w:val="16"/>
          <w:szCs w:val="16"/>
        </w:rPr>
        <w:footnoteRef/>
      </w:r>
      <w:r w:rsidRPr="00D510CB">
        <w:rPr>
          <w:rFonts w:ascii="Times New Roman" w:hAnsi="Times New Roman" w:cs="Times New Roman"/>
          <w:sz w:val="16"/>
          <w:szCs w:val="16"/>
        </w:rPr>
        <w:t xml:space="preserve"> Human dimension commitments of the right to freedom of assembly and speech (Helsinki 1992, Budapest 1994, Oslo 1998, Maastricht 2003), special role of ODIHR as a point of contact for information provided by participating States (Rome 1993), expression of determination by participating States to co-operate within the OSCE and with its institutions and representatives in a spirit of solidarity and partnership in a continuing review of implementation (Istanbul 1999)</w:t>
      </w:r>
    </w:p>
  </w:footnote>
  <w:footnote w:id="24">
    <w:p w:rsidR="00F406AC" w:rsidRPr="00D510CB" w:rsidRDefault="00C14BAE" w:rsidP="00F406AC">
      <w:pPr>
        <w:pStyle w:val="FootnoteText"/>
        <w:rPr>
          <w:rFonts w:ascii="Times New Roman" w:hAnsi="Times New Roman" w:cs="Times New Roman"/>
          <w:sz w:val="16"/>
          <w:szCs w:val="16"/>
        </w:rPr>
      </w:pPr>
      <w:r w:rsidRPr="00D510CB">
        <w:rPr>
          <w:rStyle w:val="FootnoteReference"/>
          <w:rFonts w:ascii="Times New Roman" w:hAnsi="Times New Roman" w:cs="Times New Roman"/>
          <w:sz w:val="16"/>
          <w:szCs w:val="16"/>
        </w:rPr>
        <w:footnoteRef/>
      </w:r>
      <w:r w:rsidRPr="00D510CB">
        <w:rPr>
          <w:rFonts w:ascii="Times New Roman" w:hAnsi="Times New Roman" w:cs="Times New Roman"/>
          <w:sz w:val="16"/>
          <w:szCs w:val="16"/>
        </w:rPr>
        <w:t xml:space="preserve"> </w:t>
      </w:r>
      <w:r w:rsidR="00F406AC" w:rsidRPr="00D510CB">
        <w:rPr>
          <w:rFonts w:ascii="Times New Roman" w:hAnsi="Times New Roman" w:cs="Times New Roman"/>
          <w:sz w:val="16"/>
          <w:szCs w:val="16"/>
        </w:rPr>
        <w:t>The report of the first three monitoring cycles were published in November 2012:</w:t>
      </w:r>
    </w:p>
    <w:p w:rsidR="00F406AC" w:rsidRPr="00D510CB" w:rsidRDefault="007E77F6" w:rsidP="00F406AC">
      <w:pPr>
        <w:pStyle w:val="FootnoteText"/>
        <w:rPr>
          <w:rFonts w:ascii="Times New Roman" w:hAnsi="Times New Roman" w:cs="Times New Roman"/>
          <w:sz w:val="16"/>
          <w:szCs w:val="16"/>
        </w:rPr>
      </w:pPr>
      <w:hyperlink r:id="rId30" w:history="1">
        <w:r w:rsidR="00F406AC" w:rsidRPr="00D510CB">
          <w:rPr>
            <w:rStyle w:val="Hyperlink"/>
            <w:rFonts w:ascii="Times New Roman" w:hAnsi="Times New Roman" w:cs="Times New Roman"/>
            <w:sz w:val="16"/>
            <w:szCs w:val="16"/>
          </w:rPr>
          <w:t>http://www.osce.org/odihr/97055 in December 2014</w:t>
        </w:r>
      </w:hyperlink>
      <w:r w:rsidR="00F406AC" w:rsidRPr="00D510CB">
        <w:rPr>
          <w:rFonts w:ascii="Times New Roman" w:hAnsi="Times New Roman" w:cs="Times New Roman"/>
          <w:sz w:val="16"/>
          <w:szCs w:val="16"/>
        </w:rPr>
        <w:t xml:space="preserve">: </w:t>
      </w:r>
      <w:hyperlink r:id="rId31" w:history="1">
        <w:r w:rsidR="00F406AC" w:rsidRPr="00D510CB">
          <w:rPr>
            <w:rStyle w:val="Hyperlink"/>
            <w:rFonts w:ascii="Times New Roman" w:hAnsi="Times New Roman" w:cs="Times New Roman"/>
            <w:sz w:val="16"/>
            <w:szCs w:val="16"/>
          </w:rPr>
          <w:t>http://www.osce.org/odihr/132281?download=true</w:t>
        </w:r>
      </w:hyperlink>
    </w:p>
    <w:p w:rsidR="00F406AC" w:rsidRPr="00D510CB" w:rsidRDefault="00F406AC" w:rsidP="00F406AC">
      <w:pPr>
        <w:pStyle w:val="FootnoteText"/>
        <w:rPr>
          <w:rFonts w:ascii="Times New Roman" w:hAnsi="Times New Roman" w:cs="Times New Roman"/>
          <w:sz w:val="16"/>
          <w:szCs w:val="16"/>
          <w:lang w:val="hu-HU"/>
        </w:rPr>
      </w:pPr>
      <w:r w:rsidRPr="00D510CB">
        <w:rPr>
          <w:rFonts w:ascii="Times New Roman" w:hAnsi="Times New Roman" w:cs="Times New Roman"/>
          <w:sz w:val="16"/>
          <w:szCs w:val="16"/>
        </w:rPr>
        <w:t xml:space="preserve">and in December 2016: </w:t>
      </w:r>
      <w:hyperlink r:id="rId32" w:history="1">
        <w:r w:rsidRPr="00D510CB">
          <w:rPr>
            <w:rStyle w:val="Hyperlink"/>
            <w:rFonts w:ascii="Times New Roman" w:hAnsi="Times New Roman" w:cs="Times New Roman"/>
            <w:sz w:val="16"/>
            <w:szCs w:val="16"/>
          </w:rPr>
          <w:t>http://www.osce.org/odihr/289721</w:t>
        </w:r>
      </w:hyperlink>
    </w:p>
  </w:footnote>
  <w:footnote w:id="25">
    <w:p w:rsidR="00F406AC" w:rsidRPr="00D510CB" w:rsidRDefault="00F406AC" w:rsidP="00F406AC">
      <w:pPr>
        <w:pStyle w:val="FootnoteText"/>
        <w:rPr>
          <w:rFonts w:ascii="Times New Roman" w:hAnsi="Times New Roman" w:cs="Times New Roman"/>
          <w:sz w:val="16"/>
          <w:szCs w:val="16"/>
        </w:rPr>
      </w:pPr>
      <w:r w:rsidRPr="00D510CB">
        <w:rPr>
          <w:rStyle w:val="FootnoteReference"/>
          <w:rFonts w:ascii="Times New Roman" w:hAnsi="Times New Roman" w:cs="Times New Roman"/>
          <w:sz w:val="16"/>
          <w:szCs w:val="16"/>
        </w:rPr>
        <w:footnoteRef/>
      </w:r>
      <w:r w:rsidRPr="00D510CB">
        <w:rPr>
          <w:rFonts w:ascii="Times New Roman" w:hAnsi="Times New Roman" w:cs="Times New Roman"/>
          <w:sz w:val="16"/>
          <w:szCs w:val="16"/>
        </w:rPr>
        <w:t xml:space="preserve"> The OSCE/ODIHR-Venice Commission Guidelines on Freedom of Peaceful Assembly, 2nd edition</w:t>
      </w:r>
    </w:p>
    <w:p w:rsidR="00F406AC" w:rsidRPr="00D510CB" w:rsidRDefault="00F406AC" w:rsidP="00F406AC">
      <w:pPr>
        <w:pStyle w:val="FootnoteText"/>
        <w:rPr>
          <w:rFonts w:ascii="Times New Roman" w:hAnsi="Times New Roman" w:cs="Times New Roman"/>
          <w:sz w:val="16"/>
          <w:szCs w:val="16"/>
          <w:lang w:val="hu-HU"/>
        </w:rPr>
      </w:pPr>
      <w:r w:rsidRPr="00D510CB">
        <w:rPr>
          <w:rFonts w:ascii="Times New Roman" w:hAnsi="Times New Roman" w:cs="Times New Roman"/>
          <w:sz w:val="16"/>
          <w:szCs w:val="16"/>
        </w:rPr>
        <w:t xml:space="preserve">(2010), </w:t>
      </w:r>
      <w:hyperlink r:id="rId33" w:history="1">
        <w:r w:rsidRPr="00D510CB">
          <w:rPr>
            <w:rStyle w:val="Hyperlink"/>
            <w:rFonts w:ascii="Times New Roman" w:hAnsi="Times New Roman" w:cs="Times New Roman"/>
            <w:sz w:val="16"/>
            <w:szCs w:val="16"/>
          </w:rPr>
          <w:t>http://www.osce.org/odihr/73405</w:t>
        </w:r>
      </w:hyperlink>
    </w:p>
  </w:footnote>
  <w:footnote w:id="26">
    <w:p w:rsidR="00381938" w:rsidRPr="00D510CB" w:rsidRDefault="00381938">
      <w:pPr>
        <w:pStyle w:val="FootnoteText"/>
        <w:rPr>
          <w:rFonts w:ascii="Times New Roman" w:hAnsi="Times New Roman" w:cs="Times New Roman"/>
          <w:sz w:val="16"/>
          <w:szCs w:val="16"/>
        </w:rPr>
      </w:pPr>
      <w:r w:rsidRPr="00D510CB">
        <w:rPr>
          <w:rStyle w:val="FootnoteReference"/>
          <w:rFonts w:ascii="Times New Roman" w:hAnsi="Times New Roman" w:cs="Times New Roman"/>
          <w:sz w:val="16"/>
          <w:szCs w:val="16"/>
        </w:rPr>
        <w:footnoteRef/>
      </w:r>
      <w:r w:rsidRPr="00D510CB">
        <w:rPr>
          <w:rFonts w:ascii="Times New Roman" w:hAnsi="Times New Roman" w:cs="Times New Roman"/>
          <w:sz w:val="16"/>
          <w:szCs w:val="16"/>
        </w:rPr>
        <w:t xml:space="preserve"> The opinions are available at: </w:t>
      </w:r>
      <w:hyperlink r:id="rId34" w:history="1">
        <w:r w:rsidRPr="00D510CB">
          <w:rPr>
            <w:rStyle w:val="Hyperlink"/>
            <w:rFonts w:ascii="Times New Roman" w:hAnsi="Times New Roman" w:cs="Times New Roman"/>
            <w:sz w:val="16"/>
            <w:szCs w:val="16"/>
          </w:rPr>
          <w:t>http://www.legislationline.org/topics/topic/15</w:t>
        </w:r>
      </w:hyperlink>
    </w:p>
    <w:p w:rsidR="00381938" w:rsidRPr="00D510CB" w:rsidRDefault="00381938">
      <w:pPr>
        <w:pStyle w:val="FootnoteText"/>
        <w:rPr>
          <w:rFonts w:ascii="Times New Roman" w:hAnsi="Times New Roman" w:cs="Times New Roman"/>
          <w:sz w:val="16"/>
          <w:szCs w:val="16"/>
          <w:lang w:val="hu-HU"/>
        </w:rPr>
      </w:pPr>
    </w:p>
  </w:footnote>
  <w:footnote w:id="27">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See Para. 7.3 of the OSCE 1990 Copenhagen Document.</w:t>
      </w:r>
    </w:p>
  </w:footnote>
  <w:footnote w:id="28">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See Para. 7.5 of the OSCE 1990 Copenhagen Document.</w:t>
      </w:r>
    </w:p>
  </w:footnote>
  <w:footnote w:id="29">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ab/>
        <w:t>See Para. 7.6 of the OSCE 1990 Copenhagen Document.</w:t>
      </w:r>
    </w:p>
  </w:footnote>
  <w:footnote w:id="30">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See Para. 7.7 of the OSCE 1990 Copenhagen Document.</w:t>
      </w:r>
    </w:p>
  </w:footnote>
  <w:footnote w:id="31">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See Para. 7.8 of the OSCE 1990 Copenhagen Document.</w:t>
      </w:r>
    </w:p>
  </w:footnote>
  <w:footnote w:id="32">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See Paras. 5.10 and 24 of the OSCE 1990 Copenhagen Document.</w:t>
      </w:r>
    </w:p>
  </w:footnote>
  <w:footnote w:id="33">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See Para. 7.9 of the OSCE 1990 Copenhagen Document.</w:t>
      </w:r>
    </w:p>
  </w:footnote>
  <w:footnote w:id="34">
    <w:p w:rsidR="0024642A" w:rsidRPr="00CD0E1E" w:rsidRDefault="0024642A" w:rsidP="0024642A">
      <w:pPr>
        <w:pStyle w:val="FootnoteText"/>
        <w:rPr>
          <w:rFonts w:ascii="Times New Roman" w:eastAsia="Times New Roman" w:hAnsi="Times New Roman" w:cs="Times New Roman"/>
          <w:color w:val="000000"/>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b/>
        </w:rPr>
        <w:tab/>
      </w:r>
      <w:r w:rsidRPr="00CD0E1E">
        <w:rPr>
          <w:rFonts w:ascii="Times New Roman" w:hAnsi="Times New Roman" w:cs="Times New Roman"/>
        </w:rPr>
        <w:t xml:space="preserve">See </w:t>
      </w:r>
      <w:r w:rsidRPr="00CD0E1E">
        <w:rPr>
          <w:rFonts w:ascii="Times New Roman" w:hAnsi="Times New Roman" w:cs="Times New Roman"/>
          <w:i/>
        </w:rPr>
        <w:t xml:space="preserve">ODIHR </w:t>
      </w:r>
      <w:r w:rsidRPr="00CD0E1E">
        <w:rPr>
          <w:rFonts w:ascii="Times New Roman" w:eastAsia="Times New Roman" w:hAnsi="Times New Roman" w:cs="Times New Roman"/>
          <w:i/>
          <w:color w:val="000000"/>
        </w:rPr>
        <w:t>Handbook for Monitoring Women's Participation in Elections</w:t>
      </w:r>
      <w:r w:rsidRPr="00CD0E1E">
        <w:rPr>
          <w:rFonts w:ascii="Times New Roman" w:eastAsia="Times New Roman" w:hAnsi="Times New Roman" w:cs="Times New Roman"/>
          <w:color w:val="000000"/>
        </w:rPr>
        <w:t>, available at</w:t>
      </w:r>
      <w:r w:rsidRPr="00CD0E1E">
        <w:rPr>
          <w:rFonts w:ascii="Times New Roman" w:eastAsia="Times New Roman" w:hAnsi="Times New Roman" w:cs="Times New Roman"/>
          <w:b/>
          <w:color w:val="000000"/>
        </w:rPr>
        <w:t xml:space="preserve"> </w:t>
      </w:r>
    </w:p>
    <w:p w:rsidR="0024642A" w:rsidRPr="00CD0E1E" w:rsidRDefault="007E77F6" w:rsidP="0024642A">
      <w:pPr>
        <w:pStyle w:val="FootnoteText"/>
        <w:ind w:left="709"/>
        <w:rPr>
          <w:rFonts w:ascii="Times New Roman" w:hAnsi="Times New Roman" w:cs="Times New Roman"/>
        </w:rPr>
      </w:pPr>
      <w:hyperlink r:id="rId35" w:history="1">
        <w:r w:rsidR="0024642A" w:rsidRPr="00CD0E1E">
          <w:rPr>
            <w:rStyle w:val="Hyperlink"/>
            <w:rFonts w:ascii="Times New Roman" w:hAnsi="Times New Roman" w:cs="Times New Roman"/>
          </w:rPr>
          <w:t>http://www.osce.org/odihr/elections/13938</w:t>
        </w:r>
      </w:hyperlink>
      <w:r w:rsidR="0024642A" w:rsidRPr="00CD0E1E">
        <w:rPr>
          <w:rFonts w:ascii="Times New Roman" w:hAnsi="Times New Roman" w:cs="Times New Roman"/>
        </w:rPr>
        <w:t xml:space="preserve">. </w:t>
      </w:r>
    </w:p>
  </w:footnote>
  <w:footnote w:id="35">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 xml:space="preserve">See </w:t>
      </w:r>
      <w:hyperlink r:id="rId36" w:history="1">
        <w:r w:rsidRPr="00CD0E1E">
          <w:rPr>
            <w:rStyle w:val="Hyperlink"/>
            <w:rFonts w:ascii="Times New Roman" w:hAnsi="Times New Roman" w:cs="Times New Roman"/>
          </w:rPr>
          <w:t>http://www.osce.org/odihr/elections/124067</w:t>
        </w:r>
      </w:hyperlink>
      <w:r w:rsidRPr="00CD0E1E">
        <w:rPr>
          <w:rFonts w:ascii="Times New Roman" w:hAnsi="Times New Roman" w:cs="Times New Roman"/>
        </w:rPr>
        <w:t xml:space="preserve">. </w:t>
      </w:r>
    </w:p>
  </w:footnote>
  <w:footnote w:id="36">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 xml:space="preserve">See </w:t>
      </w:r>
      <w:hyperlink r:id="rId37" w:history="1">
        <w:r w:rsidRPr="00CD0E1E">
          <w:rPr>
            <w:rStyle w:val="Hyperlink"/>
            <w:rFonts w:ascii="Times New Roman" w:hAnsi="Times New Roman" w:cs="Times New Roman"/>
          </w:rPr>
          <w:t>http://www.osce.org/odihr/elections/339571</w:t>
        </w:r>
      </w:hyperlink>
      <w:r w:rsidRPr="00CD0E1E">
        <w:rPr>
          <w:rFonts w:ascii="Times New Roman" w:hAnsi="Times New Roman" w:cs="Times New Roman"/>
        </w:rPr>
        <w:t>.</w:t>
      </w:r>
    </w:p>
  </w:footnote>
  <w:footnote w:id="37">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 xml:space="preserve">See </w:t>
      </w:r>
      <w:hyperlink r:id="rId38" w:history="1">
        <w:r w:rsidRPr="00CD0E1E">
          <w:rPr>
            <w:rStyle w:val="Hyperlink"/>
            <w:rFonts w:ascii="Times New Roman" w:hAnsi="Times New Roman" w:cs="Times New Roman"/>
          </w:rPr>
          <w:t>http://www.osce.org/odihr/elections/244941</w:t>
        </w:r>
      </w:hyperlink>
      <w:r w:rsidRPr="00CD0E1E">
        <w:rPr>
          <w:rFonts w:ascii="Times New Roman" w:hAnsi="Times New Roman" w:cs="Times New Roman"/>
        </w:rPr>
        <w:t xml:space="preserve">. </w:t>
      </w:r>
    </w:p>
  </w:footnote>
  <w:footnote w:id="38">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 xml:space="preserve">See </w:t>
      </w:r>
      <w:hyperlink r:id="rId39" w:history="1">
        <w:r w:rsidRPr="00CD0E1E">
          <w:rPr>
            <w:rStyle w:val="Hyperlink"/>
            <w:rFonts w:ascii="Times New Roman" w:hAnsi="Times New Roman" w:cs="Times New Roman"/>
          </w:rPr>
          <w:t>http://www.venice.coe.int/webforms/documents/default.aspx?pdffile=CDL-AD(2002)023rev-e</w:t>
        </w:r>
      </w:hyperlink>
    </w:p>
  </w:footnote>
  <w:footnote w:id="39">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 xml:space="preserve">See </w:t>
      </w:r>
      <w:hyperlink r:id="rId40" w:history="1">
        <w:r w:rsidRPr="00CD0E1E">
          <w:rPr>
            <w:rStyle w:val="Hyperlink"/>
            <w:rFonts w:ascii="Times New Roman" w:hAnsi="Times New Roman" w:cs="Times New Roman"/>
          </w:rPr>
          <w:t>http://www.osce.org/odihr/elections/107073</w:t>
        </w:r>
      </w:hyperlink>
    </w:p>
  </w:footnote>
  <w:footnote w:id="40">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 xml:space="preserve">See </w:t>
      </w:r>
      <w:hyperlink r:id="rId41" w:history="1">
        <w:r w:rsidRPr="00CD0E1E">
          <w:rPr>
            <w:rStyle w:val="Hyperlink"/>
            <w:rFonts w:ascii="Times New Roman" w:hAnsi="Times New Roman" w:cs="Times New Roman"/>
          </w:rPr>
          <w:t>http://www.osce.org/odihr/elections/104939</w:t>
        </w:r>
      </w:hyperlink>
      <w:r w:rsidRPr="00CD0E1E">
        <w:rPr>
          <w:rFonts w:ascii="Times New Roman" w:hAnsi="Times New Roman" w:cs="Times New Roman"/>
        </w:rPr>
        <w:t xml:space="preserve">. </w:t>
      </w:r>
    </w:p>
  </w:footnote>
  <w:footnote w:id="41">
    <w:p w:rsidR="0024642A" w:rsidRPr="00CD0E1E" w:rsidRDefault="0024642A" w:rsidP="0024642A">
      <w:pPr>
        <w:pStyle w:val="FootnoteText"/>
        <w:rPr>
          <w:rFonts w:ascii="Times New Roman" w:hAnsi="Times New Roman" w:cs="Times New Roman"/>
        </w:rPr>
      </w:pPr>
      <w:r w:rsidRPr="00CD0E1E">
        <w:rPr>
          <w:rStyle w:val="FootnoteReference"/>
          <w:rFonts w:ascii="Times New Roman" w:hAnsi="Times New Roman" w:cs="Times New Roman"/>
        </w:rPr>
        <w:footnoteRef/>
      </w:r>
      <w:r w:rsidRPr="00CD0E1E">
        <w:rPr>
          <w:rFonts w:ascii="Times New Roman" w:hAnsi="Times New Roman" w:cs="Times New Roman"/>
        </w:rPr>
        <w:t xml:space="preserve"> </w:t>
      </w:r>
      <w:r w:rsidRPr="00CD0E1E">
        <w:rPr>
          <w:rFonts w:ascii="Times New Roman" w:hAnsi="Times New Roman" w:cs="Times New Roman"/>
        </w:rPr>
        <w:tab/>
        <w:t xml:space="preserve">See </w:t>
      </w:r>
      <w:hyperlink r:id="rId42" w:history="1">
        <w:r w:rsidRPr="00CD0E1E">
          <w:rPr>
            <w:rStyle w:val="Hyperlink"/>
            <w:rFonts w:ascii="Times New Roman" w:hAnsi="Times New Roman" w:cs="Times New Roman"/>
          </w:rPr>
          <w:t>http://www.osce.org/netfreedom-guidebook?download=true</w:t>
        </w:r>
      </w:hyperlink>
      <w:r w:rsidRPr="00CD0E1E">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927"/>
        </w:tabs>
        <w:ind w:left="927" w:hanging="360"/>
      </w:pPr>
      <w:rPr>
        <w:rFonts w:ascii="Wingdings" w:hAnsi="Wingdings"/>
      </w:rPr>
    </w:lvl>
  </w:abstractNum>
  <w:abstractNum w:abstractNumId="1">
    <w:nsid w:val="30FC745A"/>
    <w:multiLevelType w:val="hybridMultilevel"/>
    <w:tmpl w:val="900CBD04"/>
    <w:lvl w:ilvl="0" w:tplc="64AC737A">
      <w:numFmt w:val="bullet"/>
      <w:lvlText w:val="-"/>
      <w:lvlJc w:val="left"/>
      <w:pPr>
        <w:ind w:left="720" w:hanging="360"/>
      </w:pPr>
      <w:rPr>
        <w:rFonts w:ascii="Trebuchet MS" w:eastAsia="Calibri" w:hAnsi="Trebuchet M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0DC73C1"/>
    <w:multiLevelType w:val="hybridMultilevel"/>
    <w:tmpl w:val="571C4D4A"/>
    <w:lvl w:ilvl="0" w:tplc="81C25EB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E232D91"/>
    <w:multiLevelType w:val="hybridMultilevel"/>
    <w:tmpl w:val="EC2CE774"/>
    <w:lvl w:ilvl="0" w:tplc="DD0E1C58">
      <w:start w:val="1"/>
      <w:numFmt w:val="bullet"/>
      <w:lvlText w:val="-"/>
      <w:lvlJc w:val="left"/>
      <w:pPr>
        <w:ind w:left="720" w:hanging="360"/>
      </w:pPr>
      <w:rPr>
        <w:rFonts w:ascii="Times New Roman" w:eastAsiaTheme="minorHAnsi"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1D38E3"/>
    <w:multiLevelType w:val="hybridMultilevel"/>
    <w:tmpl w:val="334C76FA"/>
    <w:lvl w:ilvl="0" w:tplc="FA949B8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53A15AB"/>
    <w:multiLevelType w:val="multilevel"/>
    <w:tmpl w:val="FFD07D2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1B"/>
    <w:rsid w:val="0000011B"/>
    <w:rsid w:val="00080C7C"/>
    <w:rsid w:val="000855ED"/>
    <w:rsid w:val="00095889"/>
    <w:rsid w:val="000A5CFD"/>
    <w:rsid w:val="00161FFD"/>
    <w:rsid w:val="001C4DAF"/>
    <w:rsid w:val="002033D3"/>
    <w:rsid w:val="0024642A"/>
    <w:rsid w:val="00270A2F"/>
    <w:rsid w:val="002B1086"/>
    <w:rsid w:val="00332BD3"/>
    <w:rsid w:val="00346551"/>
    <w:rsid w:val="00360AA5"/>
    <w:rsid w:val="00381938"/>
    <w:rsid w:val="0039495B"/>
    <w:rsid w:val="003F7F27"/>
    <w:rsid w:val="00417A7B"/>
    <w:rsid w:val="004417AF"/>
    <w:rsid w:val="00472755"/>
    <w:rsid w:val="004B632F"/>
    <w:rsid w:val="004C5705"/>
    <w:rsid w:val="004F4810"/>
    <w:rsid w:val="00505205"/>
    <w:rsid w:val="005225A2"/>
    <w:rsid w:val="0052657C"/>
    <w:rsid w:val="0053331A"/>
    <w:rsid w:val="00556A0E"/>
    <w:rsid w:val="00566365"/>
    <w:rsid w:val="005745CE"/>
    <w:rsid w:val="00594C93"/>
    <w:rsid w:val="00597B39"/>
    <w:rsid w:val="005F7D7E"/>
    <w:rsid w:val="0064428F"/>
    <w:rsid w:val="00657A94"/>
    <w:rsid w:val="006903A7"/>
    <w:rsid w:val="006A3DA1"/>
    <w:rsid w:val="00700FDF"/>
    <w:rsid w:val="007257A7"/>
    <w:rsid w:val="007374D8"/>
    <w:rsid w:val="00741155"/>
    <w:rsid w:val="0075365E"/>
    <w:rsid w:val="00756DA7"/>
    <w:rsid w:val="007C1B25"/>
    <w:rsid w:val="007E77F6"/>
    <w:rsid w:val="007F079B"/>
    <w:rsid w:val="00820C66"/>
    <w:rsid w:val="0082353D"/>
    <w:rsid w:val="008237E7"/>
    <w:rsid w:val="0083462F"/>
    <w:rsid w:val="00835E76"/>
    <w:rsid w:val="0087495E"/>
    <w:rsid w:val="008C54D4"/>
    <w:rsid w:val="00911C35"/>
    <w:rsid w:val="00926122"/>
    <w:rsid w:val="0093436E"/>
    <w:rsid w:val="00955A44"/>
    <w:rsid w:val="00962879"/>
    <w:rsid w:val="00991965"/>
    <w:rsid w:val="009930F3"/>
    <w:rsid w:val="009A368F"/>
    <w:rsid w:val="009D4BEE"/>
    <w:rsid w:val="00A132E3"/>
    <w:rsid w:val="00A34E3F"/>
    <w:rsid w:val="00A502A7"/>
    <w:rsid w:val="00A74CE6"/>
    <w:rsid w:val="00A757CE"/>
    <w:rsid w:val="00AB0276"/>
    <w:rsid w:val="00AF3DAC"/>
    <w:rsid w:val="00B26039"/>
    <w:rsid w:val="00B56224"/>
    <w:rsid w:val="00B72E3B"/>
    <w:rsid w:val="00B74AE5"/>
    <w:rsid w:val="00BB1F8B"/>
    <w:rsid w:val="00BB3B47"/>
    <w:rsid w:val="00BB7EAB"/>
    <w:rsid w:val="00C11FFC"/>
    <w:rsid w:val="00C14BAE"/>
    <w:rsid w:val="00C4071D"/>
    <w:rsid w:val="00C419A8"/>
    <w:rsid w:val="00C57440"/>
    <w:rsid w:val="00CF5011"/>
    <w:rsid w:val="00CF5D05"/>
    <w:rsid w:val="00D25EE5"/>
    <w:rsid w:val="00D510CB"/>
    <w:rsid w:val="00D96AEE"/>
    <w:rsid w:val="00DA3D1E"/>
    <w:rsid w:val="00E27F67"/>
    <w:rsid w:val="00E47BA0"/>
    <w:rsid w:val="00E62260"/>
    <w:rsid w:val="00E7131C"/>
    <w:rsid w:val="00E7286D"/>
    <w:rsid w:val="00E77BE7"/>
    <w:rsid w:val="00E95CEF"/>
    <w:rsid w:val="00EB7ABC"/>
    <w:rsid w:val="00EC0585"/>
    <w:rsid w:val="00ED1A5B"/>
    <w:rsid w:val="00F06282"/>
    <w:rsid w:val="00F3546F"/>
    <w:rsid w:val="00F406AC"/>
    <w:rsid w:val="00F4195B"/>
    <w:rsid w:val="00F47254"/>
    <w:rsid w:val="00F478E5"/>
    <w:rsid w:val="00F65B57"/>
    <w:rsid w:val="00F67BB0"/>
    <w:rsid w:val="00F9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A1A63-95AF-413F-8648-A4F74A77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11B"/>
    <w:rPr>
      <w:color w:val="0000FF"/>
      <w:u w:val="single"/>
    </w:rPr>
  </w:style>
  <w:style w:type="paragraph" w:styleId="ListParagraph">
    <w:name w:val="List Paragraph"/>
    <w:basedOn w:val="Normal"/>
    <w:uiPriority w:val="34"/>
    <w:qFormat/>
    <w:rsid w:val="0000011B"/>
    <w:pPr>
      <w:ind w:left="720"/>
    </w:pPr>
  </w:style>
  <w:style w:type="paragraph" w:styleId="FootnoteText">
    <w:name w:val="footnote text"/>
    <w:aliases w:val="Footnote Text Char2,Footnote Text Char1 Char,Footnote Text Char Char Char,Footnote Text Char1 Char Char Char Char Char,Footnote Text Char Char Char Char Char Char Char,Footnote Text Char Char1,FA Fu,Text poznámky pod čiarou 007,5_G, Char"/>
    <w:basedOn w:val="Normal"/>
    <w:link w:val="FootnoteTextChar"/>
    <w:uiPriority w:val="99"/>
    <w:unhideWhenUsed/>
    <w:rsid w:val="0000011B"/>
    <w:rPr>
      <w:rFonts w:asciiTheme="minorHAnsi" w:hAnsiTheme="minorHAnsi" w:cstheme="minorBidi"/>
      <w:sz w:val="20"/>
      <w:szCs w:val="20"/>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FA Fu Char"/>
    <w:basedOn w:val="DefaultParagraphFont"/>
    <w:link w:val="FootnoteText"/>
    <w:uiPriority w:val="99"/>
    <w:rsid w:val="0000011B"/>
    <w:rPr>
      <w:sz w:val="20"/>
      <w:szCs w:val="20"/>
    </w:rPr>
  </w:style>
  <w:style w:type="character" w:styleId="FootnoteReference">
    <w:name w:val="footnote reference"/>
    <w:aliases w:val="BVI fnr Carattere Char Char Char Char Char,BVI fnr Car Car Carattere Char Char Char Char Char,BVI fnr Car Carattere Char Char Char Char Char,ftref Char Char Char Char,Footnote Refernece Char Char Char Char,Footnotes refss,callout"/>
    <w:basedOn w:val="DefaultParagraphFont"/>
    <w:link w:val="BVIfnrCarattereCharCharCharChar"/>
    <w:uiPriority w:val="99"/>
    <w:unhideWhenUsed/>
    <w:qFormat/>
    <w:rsid w:val="0000011B"/>
    <w:rPr>
      <w:vertAlign w:val="superscript"/>
    </w:rPr>
  </w:style>
  <w:style w:type="paragraph" w:customStyle="1" w:styleId="BVIfnrCarattereCharCharCharChar">
    <w:name w:val="BVI fnr Carattere Char Char Char Char"/>
    <w:aliases w:val="BVI fnr Car Car Carattere Char Char Char Char,BVI fnr Car Carattere Char Char Char Char,BVI fnr Car Car Car Car Carattere Char Char Char Char Char, BVI fnr Car Car Carattere Char Char Char Char"/>
    <w:basedOn w:val="Normal"/>
    <w:link w:val="FootnoteReference"/>
    <w:rsid w:val="0000011B"/>
    <w:pPr>
      <w:spacing w:after="160" w:line="240" w:lineRule="exact"/>
    </w:pPr>
    <w:rPr>
      <w:rFonts w:asciiTheme="minorHAnsi" w:hAnsiTheme="minorHAnsi" w:cstheme="minorBidi"/>
      <w:vertAlign w:val="superscript"/>
    </w:rPr>
  </w:style>
  <w:style w:type="paragraph" w:styleId="BalloonText">
    <w:name w:val="Balloon Text"/>
    <w:basedOn w:val="Normal"/>
    <w:link w:val="BalloonTextChar"/>
    <w:uiPriority w:val="99"/>
    <w:semiHidden/>
    <w:unhideWhenUsed/>
    <w:rsid w:val="004C5705"/>
    <w:rPr>
      <w:rFonts w:ascii="Tahoma" w:hAnsi="Tahoma" w:cs="Tahoma"/>
      <w:sz w:val="16"/>
      <w:szCs w:val="16"/>
    </w:rPr>
  </w:style>
  <w:style w:type="character" w:customStyle="1" w:styleId="BalloonTextChar">
    <w:name w:val="Balloon Text Char"/>
    <w:basedOn w:val="DefaultParagraphFont"/>
    <w:link w:val="BalloonText"/>
    <w:uiPriority w:val="99"/>
    <w:semiHidden/>
    <w:rsid w:val="004C5705"/>
    <w:rPr>
      <w:rFonts w:ascii="Tahoma" w:hAnsi="Tahoma" w:cs="Tahoma"/>
      <w:sz w:val="16"/>
      <w:szCs w:val="16"/>
    </w:rPr>
  </w:style>
  <w:style w:type="character" w:styleId="FollowedHyperlink">
    <w:name w:val="FollowedHyperlink"/>
    <w:basedOn w:val="DefaultParagraphFont"/>
    <w:uiPriority w:val="99"/>
    <w:semiHidden/>
    <w:unhideWhenUsed/>
    <w:rsid w:val="00F65B57"/>
    <w:rPr>
      <w:color w:val="800080" w:themeColor="followedHyperlink"/>
      <w:u w:val="single"/>
    </w:rPr>
  </w:style>
  <w:style w:type="character" w:styleId="CommentReference">
    <w:name w:val="annotation reference"/>
    <w:basedOn w:val="DefaultParagraphFont"/>
    <w:uiPriority w:val="99"/>
    <w:semiHidden/>
    <w:unhideWhenUsed/>
    <w:rsid w:val="006A3DA1"/>
    <w:rPr>
      <w:sz w:val="16"/>
      <w:szCs w:val="16"/>
    </w:rPr>
  </w:style>
  <w:style w:type="paragraph" w:styleId="CommentText">
    <w:name w:val="annotation text"/>
    <w:basedOn w:val="Normal"/>
    <w:link w:val="CommentTextChar"/>
    <w:uiPriority w:val="99"/>
    <w:unhideWhenUsed/>
    <w:rsid w:val="006A3DA1"/>
    <w:rPr>
      <w:sz w:val="20"/>
      <w:szCs w:val="20"/>
    </w:rPr>
  </w:style>
  <w:style w:type="character" w:customStyle="1" w:styleId="CommentTextChar">
    <w:name w:val="Comment Text Char"/>
    <w:basedOn w:val="DefaultParagraphFont"/>
    <w:link w:val="CommentText"/>
    <w:uiPriority w:val="99"/>
    <w:rsid w:val="006A3DA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3DA1"/>
    <w:rPr>
      <w:b/>
      <w:bCs/>
    </w:rPr>
  </w:style>
  <w:style w:type="character" w:customStyle="1" w:styleId="CommentSubjectChar">
    <w:name w:val="Comment Subject Char"/>
    <w:basedOn w:val="CommentTextChar"/>
    <w:link w:val="CommentSubject"/>
    <w:uiPriority w:val="99"/>
    <w:semiHidden/>
    <w:rsid w:val="006A3DA1"/>
    <w:rPr>
      <w:rFonts w:ascii="Calibri" w:hAnsi="Calibri" w:cs="Times New Roman"/>
      <w:b/>
      <w:bCs/>
      <w:sz w:val="20"/>
      <w:szCs w:val="20"/>
    </w:rPr>
  </w:style>
  <w:style w:type="paragraph" w:customStyle="1" w:styleId="CharCharCharChar">
    <w:name w:val="Char Char Char Char"/>
    <w:aliases w:val="Car Char Car Char Car Char Char Char Char Char Char Char Char Char Zchn Char Char,Footnote Refernece Char Char1 Char Zchn Char Char Carattere"/>
    <w:basedOn w:val="Normal"/>
    <w:rsid w:val="00BB7EAB"/>
    <w:pPr>
      <w:autoSpaceDE w:val="0"/>
      <w:autoSpaceDN w:val="0"/>
      <w:spacing w:after="160" w:line="240" w:lineRule="exact"/>
      <w:jc w:val="both"/>
    </w:pPr>
    <w:rPr>
      <w:rFonts w:asciiTheme="minorHAnsi" w:hAnsiTheme="minorHAnsi" w:cstheme="minorBidi"/>
      <w:vertAlign w:val="superscript"/>
    </w:rPr>
  </w:style>
  <w:style w:type="character" w:customStyle="1" w:styleId="Lbjegyzet-karakterek">
    <w:name w:val="Lábjegyzet-karakterek"/>
    <w:rsid w:val="00C14BAE"/>
  </w:style>
  <w:style w:type="character" w:customStyle="1" w:styleId="UnresolvedMention">
    <w:name w:val="Unresolved Mention"/>
    <w:basedOn w:val="DefaultParagraphFont"/>
    <w:uiPriority w:val="99"/>
    <w:semiHidden/>
    <w:unhideWhenUsed/>
    <w:rsid w:val="00F406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e.org/odihr/327836"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legislationline.org/documents/id/16054" TargetMode="External"/><Relationship Id="rId4" Type="http://schemas.openxmlformats.org/officeDocument/2006/relationships/settings" Target="settings.xml"/><Relationship Id="rId9" Type="http://schemas.openxmlformats.org/officeDocument/2006/relationships/hyperlink" Target="http://www.osce.org/odihr/224206"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line.org/documents/id/18598" TargetMode="External"/><Relationship Id="rId13" Type="http://schemas.openxmlformats.org/officeDocument/2006/relationships/hyperlink" Target="http://www.legislationline.org/documents/id/18598" TargetMode="External"/><Relationship Id="rId18" Type="http://schemas.openxmlformats.org/officeDocument/2006/relationships/hyperlink" Target="http://www.legislationline.org/documents/id/18598" TargetMode="External"/><Relationship Id="rId26" Type="http://schemas.openxmlformats.org/officeDocument/2006/relationships/hyperlink" Target="http://www.legislationline.org/download/action/download/id/5843/file/256_Legis_Assessment_GEO_Jan_2015_en.pdf" TargetMode="External"/><Relationship Id="rId39" Type="http://schemas.openxmlformats.org/officeDocument/2006/relationships/hyperlink" Target="http://www.venice.coe.int/webforms/documents/default.aspx?pdffile=CDL-AD(2002)023rev-e" TargetMode="External"/><Relationship Id="rId3" Type="http://schemas.openxmlformats.org/officeDocument/2006/relationships/hyperlink" Target="http://www.legislationline.org/documents/id/18598" TargetMode="External"/><Relationship Id="rId21" Type="http://schemas.openxmlformats.org/officeDocument/2006/relationships/hyperlink" Target="http://www.legislationline.org/documents/id/18349" TargetMode="External"/><Relationship Id="rId34" Type="http://schemas.openxmlformats.org/officeDocument/2006/relationships/hyperlink" Target="http://www.legislationline.org/topics/topic/15" TargetMode="External"/><Relationship Id="rId42" Type="http://schemas.openxmlformats.org/officeDocument/2006/relationships/hyperlink" Target="http://www.osce.org/netfreedom-guidebook?download=true" TargetMode="External"/><Relationship Id="rId7" Type="http://schemas.openxmlformats.org/officeDocument/2006/relationships/hyperlink" Target="http://www.legislationline.org/documents/id/19505" TargetMode="External"/><Relationship Id="rId12" Type="http://schemas.openxmlformats.org/officeDocument/2006/relationships/hyperlink" Target="http://www.legislationline.org/documents/id/19505" TargetMode="External"/><Relationship Id="rId17" Type="http://schemas.openxmlformats.org/officeDocument/2006/relationships/hyperlink" Target="http://www.legislationline.org/documents/id/19505" TargetMode="External"/><Relationship Id="rId25" Type="http://schemas.openxmlformats.org/officeDocument/2006/relationships/hyperlink" Target="http://www.legislationline.org/lawmaking" TargetMode="External"/><Relationship Id="rId33" Type="http://schemas.openxmlformats.org/officeDocument/2006/relationships/hyperlink" Target="http://www.osce.org/odihr/73405" TargetMode="External"/><Relationship Id="rId38" Type="http://schemas.openxmlformats.org/officeDocument/2006/relationships/hyperlink" Target="http://www.osce.org/odihr/elections/244941" TargetMode="External"/><Relationship Id="rId2" Type="http://schemas.openxmlformats.org/officeDocument/2006/relationships/hyperlink" Target="http://www.legislationline.org/documents/id/18349" TargetMode="External"/><Relationship Id="rId16" Type="http://schemas.openxmlformats.org/officeDocument/2006/relationships/hyperlink" Target="http://www.legislationline.org/documents/id/19349" TargetMode="External"/><Relationship Id="rId20" Type="http://schemas.openxmlformats.org/officeDocument/2006/relationships/hyperlink" Target="http://www.legislationline.org/documents/id/18349" TargetMode="External"/><Relationship Id="rId29" Type="http://schemas.openxmlformats.org/officeDocument/2006/relationships/hyperlink" Target="http://www.legislationline.org/download/action/download/id/5843/file/256_Legis_Assessment_GEO_Jan_2015_en.pdf" TargetMode="External"/><Relationship Id="rId41" Type="http://schemas.openxmlformats.org/officeDocument/2006/relationships/hyperlink" Target="http://www.osce.org/odihr/elections/104939" TargetMode="External"/><Relationship Id="rId1" Type="http://schemas.openxmlformats.org/officeDocument/2006/relationships/hyperlink" Target="http://www.legislationline.org/documents/id/18349" TargetMode="External"/><Relationship Id="rId6" Type="http://schemas.openxmlformats.org/officeDocument/2006/relationships/hyperlink" Target="http://www.legislationline.org/documents/id/19349" TargetMode="External"/><Relationship Id="rId11" Type="http://schemas.openxmlformats.org/officeDocument/2006/relationships/hyperlink" Target="http://www.legislationline.org/documents/id/19349" TargetMode="External"/><Relationship Id="rId24" Type="http://schemas.openxmlformats.org/officeDocument/2006/relationships/hyperlink" Target="http://www.osce.org/odihr/120877" TargetMode="External"/><Relationship Id="rId32" Type="http://schemas.openxmlformats.org/officeDocument/2006/relationships/hyperlink" Target="http://www.osce.org/odihr/289721" TargetMode="External"/><Relationship Id="rId37" Type="http://schemas.openxmlformats.org/officeDocument/2006/relationships/hyperlink" Target="http://www.osce.org/odihr/elections/339571" TargetMode="External"/><Relationship Id="rId40" Type="http://schemas.openxmlformats.org/officeDocument/2006/relationships/hyperlink" Target="http://www.osce.org/odihr/elections/107073" TargetMode="External"/><Relationship Id="rId5" Type="http://schemas.openxmlformats.org/officeDocument/2006/relationships/hyperlink" Target="http://www.legislationline.org/documents/id/19099" TargetMode="External"/><Relationship Id="rId15" Type="http://schemas.openxmlformats.org/officeDocument/2006/relationships/hyperlink" Target="http://www.legislationline.org/documents/id/19099" TargetMode="External"/><Relationship Id="rId23" Type="http://schemas.openxmlformats.org/officeDocument/2006/relationships/hyperlink" Target="http://www.legislationline.org/documents/id/19505" TargetMode="External"/><Relationship Id="rId28" Type="http://schemas.openxmlformats.org/officeDocument/2006/relationships/hyperlink" Target="http://www.legislationline.org/download/action/download/id/5843/file/256_Legis_Assessment_GEO_Jan_2015_en.pdf" TargetMode="External"/><Relationship Id="rId36" Type="http://schemas.openxmlformats.org/officeDocument/2006/relationships/hyperlink" Target="http://www.osce.org/odihr/elections/124067" TargetMode="External"/><Relationship Id="rId10" Type="http://schemas.openxmlformats.org/officeDocument/2006/relationships/hyperlink" Target="http://www.legislationline.org/documents/id/19099" TargetMode="External"/><Relationship Id="rId19" Type="http://schemas.openxmlformats.org/officeDocument/2006/relationships/hyperlink" Target="http://www.legislationline.org/documents/id/18598" TargetMode="External"/><Relationship Id="rId31" Type="http://schemas.openxmlformats.org/officeDocument/2006/relationships/hyperlink" Target="http://www.osce.org/odihr/132281?download=true" TargetMode="External"/><Relationship Id="rId4" Type="http://schemas.openxmlformats.org/officeDocument/2006/relationships/hyperlink" Target="http://www.legislationline.org/documents/id/18598" TargetMode="External"/><Relationship Id="rId9" Type="http://schemas.openxmlformats.org/officeDocument/2006/relationships/hyperlink" Target="http://www.legislationline.org/documents/id/18598" TargetMode="External"/><Relationship Id="rId14" Type="http://schemas.openxmlformats.org/officeDocument/2006/relationships/hyperlink" Target="http://www.legislationline.org/documents/id/18598" TargetMode="External"/><Relationship Id="rId22" Type="http://schemas.openxmlformats.org/officeDocument/2006/relationships/hyperlink" Target="http://www.legislationline.org/documents/id/19099" TargetMode="External"/><Relationship Id="rId27" Type="http://schemas.openxmlformats.org/officeDocument/2006/relationships/hyperlink" Target="http://www.legislationline.org/download/action/download/id/5843/file/256_Legis_Assessment_GEO_Jan_2015_en.pdf" TargetMode="External"/><Relationship Id="rId30" Type="http://schemas.openxmlformats.org/officeDocument/2006/relationships/hyperlink" Target="http://www.osce.org/odihr/97055%20in%20December%202014" TargetMode="External"/><Relationship Id="rId35" Type="http://schemas.openxmlformats.org/officeDocument/2006/relationships/hyperlink" Target="http://www.osce.org/odihr/elections/13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63661-6AC5-4728-A0FC-412F835FFDAD}">
  <ds:schemaRefs>
    <ds:schemaRef ds:uri="http://schemas.openxmlformats.org/officeDocument/2006/bibliography"/>
  </ds:schemaRefs>
</ds:datastoreItem>
</file>

<file path=customXml/itemProps2.xml><?xml version="1.0" encoding="utf-8"?>
<ds:datastoreItem xmlns:ds="http://schemas.openxmlformats.org/officeDocument/2006/customXml" ds:itemID="{CD287086-0FCC-4571-9D1A-733D30161418}"/>
</file>

<file path=customXml/itemProps3.xml><?xml version="1.0" encoding="utf-8"?>
<ds:datastoreItem xmlns:ds="http://schemas.openxmlformats.org/officeDocument/2006/customXml" ds:itemID="{7CDB9BEF-D733-4292-9E5E-21080FAB4661}"/>
</file>

<file path=customXml/itemProps4.xml><?xml version="1.0" encoding="utf-8"?>
<ds:datastoreItem xmlns:ds="http://schemas.openxmlformats.org/officeDocument/2006/customXml" ds:itemID="{DE1C59F7-7557-4819-A400-0603E8BAD570}"/>
</file>

<file path=docProps/app.xml><?xml version="1.0" encoding="utf-8"?>
<Properties xmlns="http://schemas.openxmlformats.org/officeDocument/2006/extended-properties" xmlns:vt="http://schemas.openxmlformats.org/officeDocument/2006/docPropsVTypes">
  <Template>Normal.dotm</Template>
  <TotalTime>1</TotalTime>
  <Pages>34</Pages>
  <Words>3574</Words>
  <Characters>20376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OSCE</dc:title>
  <dc:creator>Julia Gebhard</dc:creator>
  <cp:lastModifiedBy>Federica Morvay</cp:lastModifiedBy>
  <cp:revision>2</cp:revision>
  <dcterms:created xsi:type="dcterms:W3CDTF">2018-04-06T10:28:00Z</dcterms:created>
  <dcterms:modified xsi:type="dcterms:W3CDTF">2018-04-06T10:28:00Z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