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7F861" w14:textId="77777777" w:rsidR="00E01F67" w:rsidRPr="00964994" w:rsidRDefault="00E01F67" w:rsidP="00E01F67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bookmarkStart w:id="0" w:name="_GoBack"/>
      <w:bookmarkEnd w:id="0"/>
      <w:r w:rsidRPr="0096499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freedom of expression and the telecommunications and internet access sector </w:t>
      </w:r>
    </w:p>
    <w:p w14:paraId="13109348" w14:textId="0354A3DA" w:rsidR="00E01F67" w:rsidRPr="00964994" w:rsidRDefault="00211E00" w:rsidP="00E01F67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Times New Roman" w:hAnsi="Times New Roman" w:cs="Times New Roman"/>
          <w:b/>
          <w:bCs/>
          <w:i/>
          <w:smallCaps/>
          <w:sz w:val="28"/>
          <w:szCs w:val="28"/>
        </w:rPr>
      </w:pPr>
      <w:r w:rsidRPr="00964994">
        <w:rPr>
          <w:rFonts w:ascii="Times New Roman" w:hAnsi="Times New Roman" w:cs="Times New Roman"/>
          <w:b/>
          <w:bCs/>
          <w:i/>
          <w:smallCaps/>
          <w:sz w:val="28"/>
          <w:szCs w:val="28"/>
        </w:rPr>
        <w:t>QUESTIONNAIRE FOR STATES</w:t>
      </w:r>
      <w:r w:rsidR="00E01F67" w:rsidRPr="00964994">
        <w:rPr>
          <w:rFonts w:ascii="Times New Roman" w:hAnsi="Times New Roman" w:cs="Times New Roman"/>
          <w:b/>
          <w:bCs/>
          <w:i/>
          <w:smallCaps/>
          <w:sz w:val="28"/>
          <w:szCs w:val="28"/>
        </w:rPr>
        <w:t xml:space="preserve"> </w:t>
      </w:r>
    </w:p>
    <w:p w14:paraId="536C4E00" w14:textId="721C3504" w:rsidR="00E01F67" w:rsidRDefault="00E01F67" w:rsidP="00964994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994">
        <w:rPr>
          <w:rFonts w:ascii="Times New Roman" w:hAnsi="Times New Roman" w:cs="Times New Roman"/>
          <w:b/>
          <w:bCs/>
          <w:sz w:val="28"/>
          <w:szCs w:val="28"/>
        </w:rPr>
        <w:t>August 2016</w:t>
      </w:r>
    </w:p>
    <w:p w14:paraId="3F2AC5AD" w14:textId="4A99E443" w:rsidR="0057276D" w:rsidRPr="00964994" w:rsidRDefault="0057276D" w:rsidP="00964994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76D">
        <w:rPr>
          <w:rFonts w:ascii="Times New Roman" w:hAnsi="Times New Roman" w:cs="Times New Roman"/>
          <w:b/>
          <w:bCs/>
          <w:sz w:val="28"/>
          <w:szCs w:val="28"/>
        </w:rPr>
        <w:t>Submission to study on freedom of expression and the telecommunications and Internet access sector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by Estonia</w:t>
      </w:r>
    </w:p>
    <w:p w14:paraId="7CF94869" w14:textId="77777777" w:rsidR="00E01F67" w:rsidRDefault="00BE4E78" w:rsidP="00BE4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9D2">
        <w:rPr>
          <w:rFonts w:ascii="Times New Roman" w:eastAsia="Times New Roman" w:hAnsi="Times New Roman" w:cs="Times New Roman"/>
          <w:color w:val="000000"/>
          <w:sz w:val="24"/>
          <w:szCs w:val="24"/>
        </w:rPr>
        <w:t>The UN Special Rapporteur on the protection of the right to fr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eedom of opinion and expression is conducting a study on freedom of expression in the telecommunications and </w:t>
      </w:r>
      <w:r w:rsidR="000264A5">
        <w:rPr>
          <w:rFonts w:ascii="Times New Roman" w:eastAsia="Times New Roman" w:hAnsi="Times New Roman" w:cs="Times New Roman"/>
          <w:color w:val="000000"/>
          <w:sz w:val="24"/>
          <w:szCs w:val="24"/>
        </w:rPr>
        <w:t>Internet access sector.</w:t>
      </w:r>
      <w:r w:rsidR="001F4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will examine </w:t>
      </w:r>
      <w:r w:rsidR="00E01F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regulation and action that affect access to telecommunications and Internet networks and services, particularly those provided by </w:t>
      </w:r>
      <w:r w:rsidR="001F41C6">
        <w:rPr>
          <w:rFonts w:ascii="Times New Roman" w:eastAsia="Times New Roman" w:hAnsi="Times New Roman" w:cs="Times New Roman"/>
          <w:color w:val="000000"/>
          <w:sz w:val="24"/>
          <w:szCs w:val="24"/>
        </w:rPr>
        <w:t>Telecommunications and Internet Service Providers (“</w:t>
      </w:r>
      <w:proofErr w:type="spellStart"/>
      <w:r w:rsidR="001F41C6">
        <w:rPr>
          <w:rFonts w:ascii="Times New Roman" w:eastAsia="Times New Roman" w:hAnsi="Times New Roman" w:cs="Times New Roman"/>
          <w:color w:val="000000"/>
          <w:sz w:val="24"/>
          <w:szCs w:val="24"/>
        </w:rPr>
        <w:t>Telcos</w:t>
      </w:r>
      <w:proofErr w:type="spellEnd"/>
      <w:r w:rsidR="001F4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ISPs”). He will also </w:t>
      </w:r>
      <w:r w:rsidR="00E01F67">
        <w:rPr>
          <w:rFonts w:ascii="Times New Roman" w:eastAsia="Times New Roman" w:hAnsi="Times New Roman" w:cs="Times New Roman"/>
          <w:color w:val="000000"/>
          <w:sz w:val="24"/>
          <w:szCs w:val="24"/>
        </w:rPr>
        <w:t>analyze the relevant</w:t>
      </w:r>
      <w:r w:rsidR="001F4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internal policies and practices of </w:t>
      </w:r>
      <w:proofErr w:type="spellStart"/>
      <w:r w:rsidR="001F41C6">
        <w:rPr>
          <w:rFonts w:ascii="Times New Roman" w:eastAsia="Times New Roman" w:hAnsi="Times New Roman" w:cs="Times New Roman"/>
          <w:color w:val="000000"/>
          <w:sz w:val="24"/>
          <w:szCs w:val="24"/>
        </w:rPr>
        <w:t>Telcos</w:t>
      </w:r>
      <w:proofErr w:type="spellEnd"/>
      <w:r w:rsidR="001F4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01F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ISPs and associated businesses. </w:t>
      </w:r>
    </w:p>
    <w:p w14:paraId="025BF25D" w14:textId="77777777" w:rsidR="001F41C6" w:rsidRDefault="001F41C6" w:rsidP="00BE4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6D83F9" w14:textId="77777777" w:rsidR="00006747" w:rsidRDefault="00006747" w:rsidP="00BE4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 findings </w:t>
      </w:r>
      <w:r w:rsidR="00E01F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recommendations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published in the June 2017 report to the Human Rights Council. </w:t>
      </w:r>
      <w:r w:rsidR="001F41C6">
        <w:rPr>
          <w:rFonts w:ascii="Times New Roman" w:eastAsia="Times New Roman" w:hAnsi="Times New Roman" w:cs="Times New Roman"/>
          <w:color w:val="000000"/>
          <w:sz w:val="24"/>
          <w:szCs w:val="24"/>
        </w:rPr>
        <w:t>For more information 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Special Rapporteur’s study, please see the concept note attached. </w:t>
      </w:r>
    </w:p>
    <w:p w14:paraId="306CA50D" w14:textId="77777777" w:rsidR="00BE4E78" w:rsidRDefault="00BE4E78" w:rsidP="00BE4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9831F" w14:textId="68A832DF" w:rsidR="00AD47FA" w:rsidRDefault="00AD47FA" w:rsidP="00BE4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7FA">
        <w:rPr>
          <w:rFonts w:ascii="Times New Roman" w:eastAsia="Times New Roman" w:hAnsi="Times New Roman" w:cs="Times New Roman"/>
          <w:color w:val="0070C0"/>
          <w:sz w:val="24"/>
          <w:szCs w:val="24"/>
        </w:rPr>
        <w:t>ESTONIA</w:t>
      </w:r>
    </w:p>
    <w:p w14:paraId="0F2E2621" w14:textId="77777777" w:rsidR="00AD47FA" w:rsidRDefault="00AD47FA" w:rsidP="00BE4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2E2892" w14:textId="690D2AFE" w:rsidR="009E165D" w:rsidRDefault="003D2BC5" w:rsidP="009E1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Special Rapporteur </w:t>
      </w:r>
      <w:r w:rsidR="009E1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calls on States to share information concerning: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716159" w14:textId="77777777" w:rsidR="00506CA5" w:rsidRDefault="00506CA5" w:rsidP="009E1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1F2F2A" w14:textId="13D9679E" w:rsidR="00506CA5" w:rsidRPr="00506CA5" w:rsidRDefault="00506CA5" w:rsidP="00506CA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Laws, </w:t>
      </w:r>
      <w:r w:rsidR="00E75851" w:rsidRPr="00506CA5">
        <w:rPr>
          <w:rFonts w:ascii="Times New Roman" w:hAnsi="Times New Roman" w:cs="Times New Roman"/>
          <w:bCs/>
          <w:sz w:val="24"/>
          <w:szCs w:val="24"/>
        </w:rPr>
        <w:t>regulations and other measures (including, where applicable, contractual arrangements and extralegal measures) that may permit authorities to require Telecommunications and Internet Service Providers to:</w:t>
      </w:r>
      <w:r w:rsidR="00E75851" w:rsidRPr="00506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A29A5" w14:textId="277F68B7" w:rsidR="00E75851" w:rsidRPr="00DF7463" w:rsidRDefault="00E75851" w:rsidP="00506CA5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A5">
        <w:rPr>
          <w:rFonts w:ascii="Times New Roman" w:hAnsi="Times New Roman" w:cs="Times New Roman"/>
          <w:bCs/>
          <w:sz w:val="24"/>
          <w:szCs w:val="24"/>
        </w:rPr>
        <w:t xml:space="preserve">suspend or restrict access to websites or Internet </w:t>
      </w:r>
      <w:r w:rsidR="005F64D6">
        <w:rPr>
          <w:rFonts w:ascii="Times New Roman" w:hAnsi="Times New Roman" w:cs="Times New Roman"/>
          <w:bCs/>
          <w:sz w:val="24"/>
          <w:szCs w:val="24"/>
        </w:rPr>
        <w:t>and telecommunications networks;</w:t>
      </w:r>
      <w:r w:rsidRPr="00506CA5">
        <w:rPr>
          <w:rFonts w:ascii="Times New Roman" w:hAnsi="Times New Roman" w:cs="Times New Roman"/>
          <w:bCs/>
          <w:sz w:val="24"/>
          <w:szCs w:val="24"/>
        </w:rPr>
        <w:t xml:space="preserve"> and </w:t>
      </w:r>
    </w:p>
    <w:p w14:paraId="472B4065" w14:textId="77777777" w:rsidR="00DF7463" w:rsidRPr="00DF7463" w:rsidRDefault="00DF7463" w:rsidP="00DF746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F746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Answer: </w:t>
      </w:r>
    </w:p>
    <w:p w14:paraId="0FFF6A85" w14:textId="1C76B6CC" w:rsidR="00DF7463" w:rsidRPr="00DF7463" w:rsidRDefault="00DF7463" w:rsidP="00DF746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>Gambling</w:t>
      </w:r>
      <w:r w:rsidRPr="00DF746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D81193">
        <w:rPr>
          <w:rFonts w:ascii="Times New Roman" w:hAnsi="Times New Roman" w:cs="Times New Roman"/>
          <w:bCs/>
          <w:color w:val="0070C0"/>
          <w:sz w:val="24"/>
          <w:szCs w:val="24"/>
        </w:rPr>
        <w:t>Act - I</w:t>
      </w:r>
      <w:r w:rsidRPr="00DF746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SP should block access to online casinos which do not pay gambling </w:t>
      </w:r>
      <w:r w:rsidR="00D81193">
        <w:rPr>
          <w:rFonts w:ascii="Times New Roman" w:hAnsi="Times New Roman" w:cs="Times New Roman"/>
          <w:bCs/>
          <w:color w:val="0070C0"/>
          <w:sz w:val="24"/>
          <w:szCs w:val="24"/>
        </w:rPr>
        <w:t>taxes to Estonia</w:t>
      </w:r>
    </w:p>
    <w:p w14:paraId="16ABFA86" w14:textId="6D8C9C78" w:rsidR="00DF7463" w:rsidRPr="00D81193" w:rsidRDefault="00D81193" w:rsidP="00DF746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8119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State </w:t>
      </w:r>
      <w:proofErr w:type="spellStart"/>
      <w:r w:rsidRPr="00D81193">
        <w:rPr>
          <w:rFonts w:ascii="Times New Roman" w:hAnsi="Times New Roman" w:cs="Times New Roman"/>
          <w:bCs/>
          <w:color w:val="0070C0"/>
          <w:sz w:val="24"/>
          <w:szCs w:val="24"/>
        </w:rPr>
        <w:t>Defence</w:t>
      </w:r>
      <w:proofErr w:type="spellEnd"/>
      <w:r w:rsidRPr="00D8119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Act – in wartime</w:t>
      </w:r>
    </w:p>
    <w:p w14:paraId="446CA7E9" w14:textId="0105FE6D" w:rsidR="00E75851" w:rsidRPr="00D81193" w:rsidRDefault="00E75851" w:rsidP="00506CA5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A5">
        <w:rPr>
          <w:rFonts w:ascii="Times New Roman" w:hAnsi="Times New Roman" w:cs="Times New Roman"/>
          <w:bCs/>
          <w:sz w:val="24"/>
          <w:szCs w:val="24"/>
        </w:rPr>
        <w:t>provide or facil</w:t>
      </w:r>
      <w:r w:rsidR="00D81193">
        <w:rPr>
          <w:rFonts w:ascii="Times New Roman" w:hAnsi="Times New Roman" w:cs="Times New Roman"/>
          <w:bCs/>
          <w:sz w:val="24"/>
          <w:szCs w:val="24"/>
        </w:rPr>
        <w:t>itate access to customer data;</w:t>
      </w:r>
    </w:p>
    <w:p w14:paraId="0FB72B54" w14:textId="01AE2382" w:rsidR="00D81193" w:rsidRPr="00D81193" w:rsidRDefault="00D81193" w:rsidP="00D8119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8119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Electronic Communications Act 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–</w:t>
      </w:r>
      <w:r w:rsidRPr="00D8119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for court, security </w:t>
      </w:r>
      <w:r w:rsidR="009C5B1F">
        <w:rPr>
          <w:rFonts w:ascii="Times New Roman" w:hAnsi="Times New Roman" w:cs="Times New Roman"/>
          <w:bCs/>
          <w:color w:val="0070C0"/>
          <w:sz w:val="24"/>
          <w:szCs w:val="24"/>
        </w:rPr>
        <w:t>organs and finance inspectorate.</w:t>
      </w:r>
    </w:p>
    <w:p w14:paraId="79223992" w14:textId="77777777" w:rsidR="00506CA5" w:rsidRDefault="00506CA5" w:rsidP="00506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53722" w14:textId="579E48D1" w:rsidR="00E75851" w:rsidRPr="009C5B1F" w:rsidRDefault="00E75851" w:rsidP="00506CA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A5">
        <w:rPr>
          <w:rFonts w:ascii="Times New Roman" w:hAnsi="Times New Roman" w:cs="Times New Roman"/>
          <w:bCs/>
          <w:sz w:val="24"/>
          <w:szCs w:val="24"/>
        </w:rPr>
        <w:t xml:space="preserve">Laws, regulations and other measures (including, where applicable, contractual arrangements and extralegal measures) governing/regulating the activities of private entities that provide network components or related technical support, such as network equipment providers, submarine cable providers, and Internet exchange points; </w:t>
      </w:r>
    </w:p>
    <w:p w14:paraId="1094E3D5" w14:textId="70E4FB57" w:rsidR="009C5B1F" w:rsidRPr="009C5B1F" w:rsidRDefault="009C5B1F" w:rsidP="009C5B1F">
      <w:pPr>
        <w:pStyle w:val="ListParagrap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9C5B1F">
        <w:rPr>
          <w:rFonts w:ascii="Times New Roman" w:hAnsi="Times New Roman" w:cs="Times New Roman"/>
          <w:bCs/>
          <w:color w:val="0070C0"/>
          <w:sz w:val="24"/>
          <w:szCs w:val="24"/>
        </w:rPr>
        <w:t>Answer: no special regulation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3FB2BB59" w14:textId="77777777" w:rsidR="00506CA5" w:rsidRPr="00506CA5" w:rsidRDefault="00506CA5" w:rsidP="00506CA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C8D14" w14:textId="3E725990" w:rsidR="00E75851" w:rsidRDefault="00870B02" w:rsidP="00506CA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A5">
        <w:rPr>
          <w:rFonts w:ascii="Times New Roman" w:hAnsi="Times New Roman" w:cs="Times New Roman"/>
          <w:bCs/>
          <w:sz w:val="24"/>
          <w:szCs w:val="24"/>
        </w:rPr>
        <w:t xml:space="preserve">Laws, regulations and other measures (including, where applicable, contractual arrangements and extralegal measures) </w:t>
      </w:r>
      <w:r w:rsidR="00E75851" w:rsidRPr="00506CA5">
        <w:rPr>
          <w:rFonts w:ascii="Times New Roman" w:hAnsi="Times New Roman" w:cs="Times New Roman"/>
          <w:bCs/>
          <w:sz w:val="24"/>
          <w:szCs w:val="24"/>
        </w:rPr>
        <w:t xml:space="preserve">on public disclosure of requests made or actions </w:t>
      </w:r>
      <w:r w:rsidR="00E75851" w:rsidRPr="00506C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taken </w:t>
      </w:r>
      <w:r w:rsidR="005F64D6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E75851" w:rsidRPr="00506CA5">
        <w:rPr>
          <w:rFonts w:ascii="Times New Roman" w:hAnsi="Times New Roman" w:cs="Times New Roman"/>
          <w:bCs/>
          <w:sz w:val="24"/>
          <w:szCs w:val="24"/>
        </w:rPr>
        <w:t>a) suspend or restrict access to websites or Internet and te</w:t>
      </w:r>
      <w:r w:rsidR="005F64D6">
        <w:rPr>
          <w:rFonts w:ascii="Times New Roman" w:hAnsi="Times New Roman" w:cs="Times New Roman"/>
          <w:bCs/>
          <w:sz w:val="24"/>
          <w:szCs w:val="24"/>
        </w:rPr>
        <w:t xml:space="preserve">lecommunications networks; and </w:t>
      </w:r>
      <w:r w:rsidR="00E75851" w:rsidRPr="00506CA5">
        <w:rPr>
          <w:rFonts w:ascii="Times New Roman" w:hAnsi="Times New Roman" w:cs="Times New Roman"/>
          <w:bCs/>
          <w:sz w:val="24"/>
          <w:szCs w:val="24"/>
        </w:rPr>
        <w:t>b) to provide or facilitate access to customer data;</w:t>
      </w:r>
      <w:r w:rsidR="00E75851" w:rsidRPr="00506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FED3E" w14:textId="77777777" w:rsidR="009C5B1F" w:rsidRPr="009C5B1F" w:rsidRDefault="009C5B1F" w:rsidP="009C5B1F">
      <w:pPr>
        <w:pStyle w:val="ListParagrap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9C5B1F">
        <w:rPr>
          <w:rFonts w:ascii="Times New Roman" w:hAnsi="Times New Roman" w:cs="Times New Roman"/>
          <w:bCs/>
          <w:color w:val="0070C0"/>
          <w:sz w:val="24"/>
          <w:szCs w:val="24"/>
        </w:rPr>
        <w:t>Answer: no special regulation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4AC03DA8" w14:textId="77777777" w:rsidR="00506CA5" w:rsidRPr="00506CA5" w:rsidRDefault="00506CA5" w:rsidP="00506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174EF" w14:textId="2491325D" w:rsidR="00E75851" w:rsidRDefault="00E75851" w:rsidP="00506CA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A5">
        <w:rPr>
          <w:rFonts w:ascii="Times New Roman" w:hAnsi="Times New Roman" w:cs="Times New Roman"/>
          <w:bCs/>
          <w:sz w:val="24"/>
          <w:szCs w:val="24"/>
        </w:rPr>
        <w:t>Remedies available in the event of undue restrictions on Internet and telecommunications access or undue access to customer data</w:t>
      </w:r>
      <w:r w:rsidR="009567A0" w:rsidRPr="00506CA5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002D37D2" w14:textId="0326CF2D" w:rsidR="009C5B1F" w:rsidRPr="00A62D2F" w:rsidRDefault="009C5B1F" w:rsidP="009C5B1F">
      <w:pPr>
        <w:pStyle w:val="ListParagraph"/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A62D2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Answer: </w:t>
      </w:r>
      <w:r w:rsidR="00A62D2F" w:rsidRPr="00A62D2F">
        <w:rPr>
          <w:rFonts w:ascii="Times New Roman" w:hAnsi="Times New Roman" w:cs="Times New Roman"/>
          <w:bCs/>
          <w:color w:val="0070C0"/>
          <w:sz w:val="24"/>
          <w:szCs w:val="24"/>
        </w:rPr>
        <w:t>In the event of undue restrictions on internet access National Regulatory Authority may impose penalty to ISP (net neutrality principle). When providing undue access to personal data a person is responsible according Data Protection Act or Penal Code.</w:t>
      </w:r>
    </w:p>
    <w:p w14:paraId="450811C5" w14:textId="77777777" w:rsidR="00506CA5" w:rsidRPr="00506CA5" w:rsidRDefault="00506CA5" w:rsidP="00506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68867" w14:textId="2E234347" w:rsidR="00006747" w:rsidRDefault="00E75851" w:rsidP="00506CA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A5">
        <w:rPr>
          <w:rFonts w:ascii="Times New Roman" w:hAnsi="Times New Roman" w:cs="Times New Roman"/>
          <w:bCs/>
          <w:sz w:val="24"/>
          <w:szCs w:val="24"/>
        </w:rPr>
        <w:t xml:space="preserve">Other relevant laws, policies or initiatives to promote or enhance Internet accessibility and connectivity, including measures to promote network neutrality. </w:t>
      </w:r>
      <w:r w:rsidRPr="00506CA5">
        <w:rPr>
          <w:rFonts w:ascii="Times New Roman" w:hAnsi="Times New Roman" w:cs="Times New Roman"/>
          <w:sz w:val="24"/>
          <w:szCs w:val="24"/>
        </w:rPr>
        <w:t> </w:t>
      </w:r>
    </w:p>
    <w:p w14:paraId="6D919D61" w14:textId="70E4CD83" w:rsidR="00A62D2F" w:rsidRPr="00A62D2F" w:rsidRDefault="00A62D2F" w:rsidP="00A62D2F">
      <w:pPr>
        <w:pStyle w:val="ListParagrap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A62D2F">
        <w:rPr>
          <w:rFonts w:ascii="Times New Roman" w:hAnsi="Times New Roman" w:cs="Times New Roman"/>
          <w:color w:val="0070C0"/>
          <w:sz w:val="24"/>
          <w:szCs w:val="24"/>
        </w:rPr>
        <w:t>Answer: Network neutr</w:t>
      </w:r>
      <w:r w:rsidR="00AD47FA">
        <w:rPr>
          <w:rFonts w:ascii="Times New Roman" w:hAnsi="Times New Roman" w:cs="Times New Roman"/>
          <w:color w:val="0070C0"/>
          <w:sz w:val="24"/>
          <w:szCs w:val="24"/>
        </w:rPr>
        <w:t>ality regulation is based on EU regulation 2015/2120</w:t>
      </w:r>
      <w:r w:rsidRPr="00A62D2F">
        <w:rPr>
          <w:rFonts w:ascii="Times New Roman" w:hAnsi="Times New Roman" w:cs="Times New Roman"/>
          <w:color w:val="0070C0"/>
          <w:sz w:val="24"/>
          <w:szCs w:val="24"/>
        </w:rPr>
        <w:t>. Promotion and development of connectivity is mainly based on national “Information Society development plan”</w:t>
      </w:r>
    </w:p>
    <w:p w14:paraId="58B561E5" w14:textId="77777777" w:rsidR="00E75851" w:rsidRPr="00E75851" w:rsidRDefault="00E75851" w:rsidP="00E75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FA7F66" w14:textId="666B6AAD" w:rsidR="00E01F67" w:rsidRPr="00DE3426" w:rsidRDefault="00006747" w:rsidP="00DE3426">
      <w:pPr>
        <w:spacing w:after="0" w:line="240" w:lineRule="auto"/>
        <w:rPr>
          <w:rFonts w:ascii="Times New Roman" w:hAnsi="Times New Roman" w:cs="Times New Roman"/>
        </w:rPr>
      </w:pPr>
      <w:r w:rsidRPr="00006747">
        <w:rPr>
          <w:rFonts w:ascii="Times New Roman" w:eastAsia="Times New Roman" w:hAnsi="Times New Roman" w:cs="Times New Roman"/>
          <w:color w:val="000000"/>
          <w:sz w:val="24"/>
          <w:szCs w:val="24"/>
        </w:rPr>
        <w:t>Submissions will be posted on the OHCHR website at the time of the report’s publication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06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send submissions no later than 1 November 2016 to freedex@ohchr.org using the email title: “Submission to study on freedom of expression and the telecommunications and Internet access sector.” </w:t>
      </w:r>
    </w:p>
    <w:sectPr w:rsidR="00E01F67" w:rsidRPr="00DE3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B2E"/>
    <w:multiLevelType w:val="multilevel"/>
    <w:tmpl w:val="CB422CF4"/>
    <w:lvl w:ilvl="0">
      <w:start w:val="1"/>
      <w:numFmt w:val="decimal"/>
      <w:lvlText w:val="%1."/>
      <w:lvlJc w:val="left"/>
      <w:pPr>
        <w:ind w:left="1040" w:hanging="6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243FC"/>
    <w:multiLevelType w:val="hybridMultilevel"/>
    <w:tmpl w:val="2DCC37AA"/>
    <w:lvl w:ilvl="0" w:tplc="5A026E70">
      <w:start w:val="1"/>
      <w:numFmt w:val="decimal"/>
      <w:lvlText w:val="%1."/>
      <w:lvlJc w:val="left"/>
      <w:pPr>
        <w:ind w:left="1040" w:hanging="680"/>
      </w:pPr>
      <w:rPr>
        <w:rFonts w:ascii="Times New Roman" w:eastAsia="Times New Roman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36EDE"/>
    <w:multiLevelType w:val="hybridMultilevel"/>
    <w:tmpl w:val="057CA4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C6AD6"/>
    <w:multiLevelType w:val="hybridMultilevel"/>
    <w:tmpl w:val="A6687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D2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1141687"/>
    <w:multiLevelType w:val="hybridMultilevel"/>
    <w:tmpl w:val="DE749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B482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3C6B13CA"/>
    <w:multiLevelType w:val="multilevel"/>
    <w:tmpl w:val="140098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EF7472C"/>
    <w:multiLevelType w:val="hybridMultilevel"/>
    <w:tmpl w:val="3FEE1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97290"/>
    <w:multiLevelType w:val="hybridMultilevel"/>
    <w:tmpl w:val="C2446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E4666"/>
    <w:multiLevelType w:val="hybridMultilevel"/>
    <w:tmpl w:val="005078BC"/>
    <w:lvl w:ilvl="0" w:tplc="042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1">
    <w:nsid w:val="4F082B4B"/>
    <w:multiLevelType w:val="hybridMultilevel"/>
    <w:tmpl w:val="08CE4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428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DFD7EA7"/>
    <w:multiLevelType w:val="hybridMultilevel"/>
    <w:tmpl w:val="33D85E1A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111625A"/>
    <w:multiLevelType w:val="hybridMultilevel"/>
    <w:tmpl w:val="F378C3B8"/>
    <w:lvl w:ilvl="0" w:tplc="CBC49942">
      <w:start w:val="1"/>
      <w:numFmt w:val="decimal"/>
      <w:lvlText w:val="%1)"/>
      <w:lvlJc w:val="left"/>
      <w:pPr>
        <w:ind w:left="1040" w:hanging="680"/>
      </w:pPr>
      <w:rPr>
        <w:rFonts w:hint="default"/>
      </w:rPr>
    </w:lvl>
    <w:lvl w:ilvl="1" w:tplc="EFA63CCE">
      <w:start w:val="1"/>
      <w:numFmt w:val="lowerLetter"/>
      <w:lvlText w:val="%2)"/>
      <w:lvlJc w:val="left"/>
      <w:pPr>
        <w:ind w:left="1740" w:hanging="6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4C20"/>
    <w:multiLevelType w:val="hybridMultilevel"/>
    <w:tmpl w:val="F7D07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5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78"/>
    <w:rsid w:val="00006747"/>
    <w:rsid w:val="000264A5"/>
    <w:rsid w:val="00052FAC"/>
    <w:rsid w:val="000902D8"/>
    <w:rsid w:val="0009259F"/>
    <w:rsid w:val="00094862"/>
    <w:rsid w:val="001F41C6"/>
    <w:rsid w:val="00211E00"/>
    <w:rsid w:val="003D2BC5"/>
    <w:rsid w:val="003F4325"/>
    <w:rsid w:val="00506CA5"/>
    <w:rsid w:val="0057276D"/>
    <w:rsid w:val="005D258E"/>
    <w:rsid w:val="005F64D6"/>
    <w:rsid w:val="00825EBE"/>
    <w:rsid w:val="00870B02"/>
    <w:rsid w:val="008D547B"/>
    <w:rsid w:val="0090107C"/>
    <w:rsid w:val="00932A06"/>
    <w:rsid w:val="009567A0"/>
    <w:rsid w:val="00964994"/>
    <w:rsid w:val="009C5B1F"/>
    <w:rsid w:val="009E165D"/>
    <w:rsid w:val="00A62D2F"/>
    <w:rsid w:val="00AD47FA"/>
    <w:rsid w:val="00B12CF9"/>
    <w:rsid w:val="00BB666F"/>
    <w:rsid w:val="00BE4E78"/>
    <w:rsid w:val="00CD387A"/>
    <w:rsid w:val="00D81193"/>
    <w:rsid w:val="00DE3426"/>
    <w:rsid w:val="00DF7463"/>
    <w:rsid w:val="00E01F67"/>
    <w:rsid w:val="00E60154"/>
    <w:rsid w:val="00E75851"/>
    <w:rsid w:val="00E84912"/>
    <w:rsid w:val="00F01786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B3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E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E7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7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7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E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E7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7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792CF-40D9-4CDF-89E4-4D69EA1046DF}"/>
</file>

<file path=customXml/itemProps2.xml><?xml version="1.0" encoding="utf-8"?>
<ds:datastoreItem xmlns:ds="http://schemas.openxmlformats.org/officeDocument/2006/customXml" ds:itemID="{3E1B97EE-778C-4BE8-92AC-AABDE56BD0B9}"/>
</file>

<file path=customXml/itemProps3.xml><?xml version="1.0" encoding="utf-8"?>
<ds:datastoreItem xmlns:ds="http://schemas.openxmlformats.org/officeDocument/2006/customXml" ds:itemID="{42D6A4EE-8364-44BE-9D54-9A28A449C6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 Toh</dc:creator>
  <cp:lastModifiedBy>Azin Tadjdini</cp:lastModifiedBy>
  <cp:revision>2</cp:revision>
  <dcterms:created xsi:type="dcterms:W3CDTF">2016-12-20T16:03:00Z</dcterms:created>
  <dcterms:modified xsi:type="dcterms:W3CDTF">2016-12-20T16:03:00Z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