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90" w:rsidRDefault="00C702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RESPONSES OF THE REPUBLIC OF TURKEY TO THE LETTER BY DAVID KAYE, SPECIAL RAPPORTEUR ON THE RIGHT TO FREEDOM OF OPINION AND EXPRESSION </w:t>
      </w:r>
    </w:p>
    <w:p w:rsidR="00C70290" w:rsidRDefault="00C70290" w:rsidP="00C7029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6416" w:rsidRDefault="00674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B86416">
        <w:rPr>
          <w:rFonts w:ascii="Times New Roman" w:hAnsi="Times New Roman" w:cs="Times New Roman"/>
          <w:sz w:val="24"/>
          <w:szCs w:val="24"/>
          <w:lang w:val="en-US"/>
        </w:rPr>
        <w:t>In Turkey, w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ith the Law numbered 5651 and dated 04.05.2007 on “Regulating Broadcasting in the Internet and Fighting Against Crimes Committed through Internet Broadcasting”, it is </w:t>
      </w:r>
      <w:r w:rsidR="00B86416">
        <w:rPr>
          <w:rFonts w:ascii="Times New Roman" w:hAnsi="Times New Roman" w:cs="Times New Roman"/>
          <w:sz w:val="24"/>
          <w:szCs w:val="24"/>
          <w:lang w:val="en-US"/>
        </w:rPr>
        <w:t>aimed to take necessary preven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tive measures for the </w:t>
      </w:r>
      <w:r w:rsidR="00B86416">
        <w:rPr>
          <w:rFonts w:ascii="Times New Roman" w:hAnsi="Times New Roman" w:cs="Times New Roman"/>
          <w:sz w:val="24"/>
          <w:szCs w:val="24"/>
          <w:lang w:val="en-US"/>
        </w:rPr>
        <w:t>protection of children and the adolescent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s from </w:t>
      </w:r>
      <w:r w:rsidR="00B86416">
        <w:rPr>
          <w:rFonts w:ascii="Times New Roman" w:hAnsi="Times New Roman" w:cs="Times New Roman"/>
          <w:sz w:val="24"/>
          <w:szCs w:val="24"/>
          <w:lang w:val="en-US"/>
        </w:rPr>
        <w:t>the abuse of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ele</w:t>
      </w:r>
      <w:r w:rsidR="00B86416">
        <w:rPr>
          <w:rFonts w:ascii="Times New Roman" w:hAnsi="Times New Roman" w:cs="Times New Roman"/>
          <w:sz w:val="24"/>
          <w:szCs w:val="24"/>
          <w:lang w:val="en-US"/>
        </w:rPr>
        <w:t>ctronic communication devices, through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the Internet</w:t>
      </w:r>
      <w:r w:rsidR="00B86416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broadcasts that </w:t>
      </w:r>
      <w:r w:rsidR="00B86416">
        <w:rPr>
          <w:rFonts w:ascii="Times New Roman" w:hAnsi="Times New Roman" w:cs="Times New Roman"/>
          <w:sz w:val="24"/>
          <w:szCs w:val="24"/>
          <w:lang w:val="en-US"/>
        </w:rPr>
        <w:t xml:space="preserve">include: </w:t>
      </w:r>
    </w:p>
    <w:p w:rsidR="00B86416" w:rsidRDefault="00B86416" w:rsidP="00B864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74A59"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sexual exploitation of children, </w:t>
      </w:r>
    </w:p>
    <w:p w:rsidR="00B86416" w:rsidRDefault="00B86416" w:rsidP="00B864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-promoting on the</w:t>
      </w:r>
      <w:r w:rsidR="00674A59"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facilitation of the use of drugs and stimulants, </w:t>
      </w:r>
    </w:p>
    <w:p w:rsidR="00B86416" w:rsidRDefault="00B86416" w:rsidP="00B864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74A59" w:rsidRPr="00633918">
        <w:rPr>
          <w:rFonts w:ascii="Times New Roman" w:hAnsi="Times New Roman" w:cs="Times New Roman"/>
          <w:sz w:val="24"/>
          <w:szCs w:val="24"/>
          <w:lang w:val="en-US"/>
        </w:rPr>
        <w:t>encouragement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and incitement to suicide,</w:t>
      </w:r>
    </w:p>
    <w:p w:rsidR="00CF4ADE" w:rsidRPr="00633918" w:rsidRDefault="00B86416" w:rsidP="00B8641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74A59" w:rsidRPr="00633918">
        <w:rPr>
          <w:rFonts w:ascii="Times New Roman" w:hAnsi="Times New Roman" w:cs="Times New Roman"/>
          <w:sz w:val="24"/>
          <w:szCs w:val="24"/>
          <w:lang w:val="en-US"/>
        </w:rPr>
        <w:t>gambling and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imilar bad habits. </w:t>
      </w:r>
    </w:p>
    <w:p w:rsidR="00CF4ADE" w:rsidRPr="00633918" w:rsidRDefault="00CF4A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ADE" w:rsidRPr="00633918" w:rsidRDefault="00674A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b) Information and Communication Technologies Authority doesn’t collect consumer data in this scope. </w:t>
      </w:r>
    </w:p>
    <w:p w:rsidR="00CF4ADE" w:rsidRPr="00633918" w:rsidRDefault="00CF4A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ADE" w:rsidRPr="00633918" w:rsidRDefault="00674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a) The proportional statistics about Internet content regulation are published periodically on </w:t>
      </w:r>
      <w:hyperlink r:id="rId9" w:history="1">
        <w:r w:rsidRPr="006339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www.guvenliweb.org.tr</w:t>
        </w:r>
      </w:hyperlink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for social and academic purpose</w:t>
      </w:r>
      <w:r w:rsidR="00D378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. Most countries just use “404 Error” for blocking </w:t>
      </w:r>
      <w:r w:rsidR="00D3788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website without any notification about the regulation. Contrary to this, </w:t>
      </w:r>
      <w:r w:rsidR="00D3788C">
        <w:rPr>
          <w:rFonts w:ascii="Times New Roman" w:hAnsi="Times New Roman" w:cs="Times New Roman"/>
          <w:sz w:val="24"/>
          <w:szCs w:val="24"/>
          <w:lang w:val="en-US"/>
        </w:rPr>
        <w:t>in Turkey for each measure taken, detailed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judicial and administrative information is sho</w:t>
      </w:r>
      <w:r w:rsidR="00D3788C">
        <w:rPr>
          <w:rFonts w:ascii="Times New Roman" w:hAnsi="Times New Roman" w:cs="Times New Roman"/>
          <w:sz w:val="24"/>
          <w:szCs w:val="24"/>
          <w:lang w:val="en-US"/>
        </w:rPr>
        <w:t>wn on the website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. In addition, internet.btk.gov.tr portal can be used for querying whether there </w:t>
      </w:r>
      <w:r w:rsidR="00D3788C">
        <w:rPr>
          <w:rFonts w:ascii="Times New Roman" w:hAnsi="Times New Roman" w:cs="Times New Roman"/>
          <w:sz w:val="24"/>
          <w:szCs w:val="24"/>
          <w:lang w:val="en-US"/>
        </w:rPr>
        <w:t xml:space="preserve">is a measure taken against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a website.</w:t>
      </w:r>
    </w:p>
    <w:p w:rsidR="00CF4ADE" w:rsidRPr="00633918" w:rsidRDefault="00674A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b) Regarding the responsibilities of Information and Communication Technologies Authority, there is no regulation that 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facilitate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access to customer data. .</w:t>
      </w:r>
    </w:p>
    <w:p w:rsidR="00CF4ADE" w:rsidRPr="00633918" w:rsidRDefault="00CF4A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ADE" w:rsidRDefault="00302CE3" w:rsidP="00302C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CE3">
        <w:rPr>
          <w:rFonts w:ascii="Times New Roman" w:hAnsi="Times New Roman" w:cs="Times New Roman"/>
          <w:sz w:val="24"/>
          <w:szCs w:val="24"/>
          <w:lang w:val="en-US"/>
        </w:rPr>
        <w:t>Internet exchange points are subject to “Infrastructure Operating Service” authorization, a service defined under “Services Under The Scope of Notification not Requiring Resource Allocation” part of “</w:t>
      </w:r>
      <w:r w:rsidRPr="00302CE3">
        <w:rPr>
          <w:rFonts w:ascii="Times New Roman" w:hAnsi="Times New Roman" w:cs="Times New Roman"/>
          <w:i/>
          <w:sz w:val="24"/>
          <w:szCs w:val="24"/>
          <w:lang w:val="en-US"/>
        </w:rPr>
        <w:t>Definition, Scope and Periods of Electronic Communication Service, Network and Infrastructure</w:t>
      </w:r>
      <w:r w:rsidRPr="00302CE3">
        <w:rPr>
          <w:rFonts w:ascii="Times New Roman" w:hAnsi="Times New Roman" w:cs="Times New Roman"/>
          <w:sz w:val="24"/>
          <w:szCs w:val="24"/>
          <w:lang w:val="en-US"/>
        </w:rPr>
        <w:t xml:space="preserve">” regulation that was published pursuant to </w:t>
      </w:r>
      <w:r>
        <w:rPr>
          <w:rFonts w:ascii="Times New Roman" w:hAnsi="Times New Roman" w:cs="Times New Roman"/>
          <w:sz w:val="24"/>
          <w:szCs w:val="24"/>
          <w:lang w:val="en-US"/>
        </w:rPr>
        <w:t>“By-Law on Authorization f</w:t>
      </w:r>
      <w:r w:rsidRPr="00302CE3">
        <w:rPr>
          <w:rFonts w:ascii="Times New Roman" w:hAnsi="Times New Roman" w:cs="Times New Roman"/>
          <w:sz w:val="24"/>
          <w:szCs w:val="24"/>
          <w:lang w:val="en-US"/>
        </w:rPr>
        <w:t>or Electronic Communications Sector</w:t>
      </w:r>
      <w:r>
        <w:rPr>
          <w:rFonts w:ascii="Times New Roman" w:hAnsi="Times New Roman" w:cs="Times New Roman"/>
          <w:sz w:val="24"/>
          <w:szCs w:val="24"/>
          <w:lang w:val="en-US"/>
        </w:rPr>
        <w:t>” dated 28/5/2009.</w:t>
      </w:r>
    </w:p>
    <w:p w:rsidR="00302CE3" w:rsidRPr="00302CE3" w:rsidRDefault="00302CE3" w:rsidP="00302CE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ADE" w:rsidRPr="00633918" w:rsidRDefault="00674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918">
        <w:rPr>
          <w:rFonts w:ascii="Times New Roman" w:hAnsi="Times New Roman" w:cs="Times New Roman"/>
          <w:sz w:val="24"/>
          <w:szCs w:val="24"/>
          <w:lang w:val="en-US"/>
        </w:rPr>
        <w:t>Administrative measures implemented after the technical and legal assessment are open to judicial review. Moreover, appeal against the judicial measures are also defined in the relevant legislation.</w:t>
      </w:r>
    </w:p>
    <w:p w:rsidR="00CF4ADE" w:rsidRPr="00633918" w:rsidRDefault="00CF4A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4ADE" w:rsidRPr="00633918" w:rsidRDefault="00674A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918">
        <w:rPr>
          <w:rFonts w:ascii="Times New Roman" w:hAnsi="Times New Roman" w:cs="Times New Roman"/>
          <w:sz w:val="24"/>
          <w:szCs w:val="24"/>
          <w:lang w:val="en-US"/>
        </w:rPr>
        <w:t>There are many policy documents and l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aws or regulations that promote or enhance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accessibility and connectivity. The 2015-2018 Information Soci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 xml:space="preserve">ety Strategy and Action Plan issued on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06.03.2015 de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termines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the political framework to promote 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information society and in this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 xml:space="preserve"> scope the measures are introduc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 xml:space="preserve">in order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to increase connectivity. The Strategy document requires the relevant inst</w:t>
      </w:r>
      <w:r w:rsidR="00DF294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utions among others; to prepare a program that promotes access to fiber, to 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national broadband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lastRenderedPageBreak/>
        <w:t>strategy, to authorize 4G mobile network operators (</w:t>
      </w:r>
      <w:r w:rsidRPr="006339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according to the authorizations in this scope the operators are required to use 4.5G Technologies in their mobile </w:t>
      </w:r>
      <w:r w:rsidR="00DF294B" w:rsidRPr="00633918">
        <w:rPr>
          <w:rFonts w:ascii="Times New Roman" w:hAnsi="Times New Roman" w:cs="Times New Roman"/>
          <w:i/>
          <w:sz w:val="24"/>
          <w:szCs w:val="24"/>
          <w:lang w:val="en-US"/>
        </w:rPr>
        <w:t>networks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) etc. The 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strategy document also sets a number of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targets to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 xml:space="preserve"> be achieved by 2018. For instanc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e, it is aimed that the internet users should be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 xml:space="preserve"> 75% of the population by 2018 and that 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the proportion of 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households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 xml:space="preserve"> which have broadband a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ccess should also 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be 75%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. On the other hand, to 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connectivity in rural area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“Universal Service F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is used within the scope of the 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Universal Service Law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” No.5369. The 65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th Government Program also hav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e targets to increase internet a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ccess. For example, the program 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to support lower income families 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for the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purpose of </w:t>
      </w:r>
      <w:r w:rsidR="00DF294B">
        <w:rPr>
          <w:rFonts w:ascii="Times New Roman" w:hAnsi="Times New Roman" w:cs="Times New Roman"/>
          <w:sz w:val="24"/>
          <w:szCs w:val="24"/>
          <w:lang w:val="en-US"/>
        </w:rPr>
        <w:t>increasing internet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usage am</w:t>
      </w:r>
      <w:r w:rsidR="00B63F26">
        <w:rPr>
          <w:rFonts w:ascii="Times New Roman" w:hAnsi="Times New Roman" w:cs="Times New Roman"/>
          <w:sz w:val="24"/>
          <w:szCs w:val="24"/>
          <w:lang w:val="en-US"/>
        </w:rPr>
        <w:t>ong this segment of the society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. The regulatory authority also promotes the connectivity by 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regulating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 wholesale </w:t>
      </w:r>
      <w:r w:rsidR="00DF294B" w:rsidRPr="00633918">
        <w:rPr>
          <w:rFonts w:ascii="Times New Roman" w:hAnsi="Times New Roman" w:cs="Times New Roman"/>
          <w:sz w:val="24"/>
          <w:szCs w:val="24"/>
          <w:lang w:val="en-US"/>
        </w:rPr>
        <w:t>tariffs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, forcing operators by coverage obligations etc.  </w:t>
      </w:r>
    </w:p>
    <w:p w:rsidR="00CF4ADE" w:rsidRDefault="00B25648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3918">
        <w:rPr>
          <w:rFonts w:ascii="Times New Roman" w:hAnsi="Times New Roman" w:cs="Times New Roman"/>
          <w:sz w:val="24"/>
          <w:szCs w:val="24"/>
          <w:lang w:val="en-US"/>
        </w:rPr>
        <w:t xml:space="preserve">Regarding the net neutrality issue, there is no regulation </w:t>
      </w:r>
      <w:r w:rsidR="00633918">
        <w:rPr>
          <w:rFonts w:ascii="Times New Roman" w:hAnsi="Times New Roman" w:cs="Times New Roman"/>
          <w:sz w:val="24"/>
          <w:szCs w:val="24"/>
          <w:lang w:val="en-US"/>
        </w:rPr>
        <w:t>as of yet</w:t>
      </w:r>
      <w:r w:rsidRPr="0063391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CF4ADE" w:rsidRDefault="00CF4AD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ED6" w:rsidRDefault="00120ED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20ED6" w:rsidSect="00B942A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5F" w:rsidRDefault="00FD115F" w:rsidP="00E92992">
      <w:pPr>
        <w:spacing w:after="0" w:line="240" w:lineRule="auto"/>
      </w:pPr>
      <w:r>
        <w:separator/>
      </w:r>
    </w:p>
  </w:endnote>
  <w:endnote w:type="continuationSeparator" w:id="0">
    <w:p w:rsidR="00FD115F" w:rsidRDefault="00FD115F" w:rsidP="00E9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5F" w:rsidRDefault="00FD115F" w:rsidP="00E92992">
      <w:pPr>
        <w:spacing w:after="0" w:line="240" w:lineRule="auto"/>
      </w:pPr>
      <w:r>
        <w:separator/>
      </w:r>
    </w:p>
  </w:footnote>
  <w:footnote w:type="continuationSeparator" w:id="0">
    <w:p w:rsidR="00FD115F" w:rsidRDefault="00FD115F" w:rsidP="00E9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DE" w:rsidRDefault="00CF4A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273FC"/>
    <w:multiLevelType w:val="hybridMultilevel"/>
    <w:tmpl w:val="97C83F78"/>
    <w:lvl w:ilvl="0" w:tplc="AF3E7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E1"/>
    <w:rsid w:val="000A360B"/>
    <w:rsid w:val="000C21E5"/>
    <w:rsid w:val="00120ED6"/>
    <w:rsid w:val="001B6B42"/>
    <w:rsid w:val="002009E1"/>
    <w:rsid w:val="00271A63"/>
    <w:rsid w:val="00302CE3"/>
    <w:rsid w:val="0034033B"/>
    <w:rsid w:val="003700FC"/>
    <w:rsid w:val="003814D9"/>
    <w:rsid w:val="004739E5"/>
    <w:rsid w:val="004D2C33"/>
    <w:rsid w:val="00554A27"/>
    <w:rsid w:val="005B3302"/>
    <w:rsid w:val="00607F47"/>
    <w:rsid w:val="00633918"/>
    <w:rsid w:val="00674A59"/>
    <w:rsid w:val="00677A11"/>
    <w:rsid w:val="006829C8"/>
    <w:rsid w:val="00762B75"/>
    <w:rsid w:val="00792665"/>
    <w:rsid w:val="007B20C3"/>
    <w:rsid w:val="007D7ADD"/>
    <w:rsid w:val="007E1E07"/>
    <w:rsid w:val="0083731B"/>
    <w:rsid w:val="00850DDB"/>
    <w:rsid w:val="00860027"/>
    <w:rsid w:val="00890B14"/>
    <w:rsid w:val="008B567F"/>
    <w:rsid w:val="008E6C1D"/>
    <w:rsid w:val="008E70A6"/>
    <w:rsid w:val="008F69F4"/>
    <w:rsid w:val="0097391D"/>
    <w:rsid w:val="00982FD3"/>
    <w:rsid w:val="00B20053"/>
    <w:rsid w:val="00B25648"/>
    <w:rsid w:val="00B63F26"/>
    <w:rsid w:val="00B86416"/>
    <w:rsid w:val="00B942AC"/>
    <w:rsid w:val="00BF00D4"/>
    <w:rsid w:val="00C70290"/>
    <w:rsid w:val="00CC153E"/>
    <w:rsid w:val="00CF4ADE"/>
    <w:rsid w:val="00D249DF"/>
    <w:rsid w:val="00D26F78"/>
    <w:rsid w:val="00D358F0"/>
    <w:rsid w:val="00D3788C"/>
    <w:rsid w:val="00D67791"/>
    <w:rsid w:val="00DA5269"/>
    <w:rsid w:val="00DD5AD6"/>
    <w:rsid w:val="00DF294B"/>
    <w:rsid w:val="00E036F7"/>
    <w:rsid w:val="00E329E8"/>
    <w:rsid w:val="00E37AC2"/>
    <w:rsid w:val="00E424ED"/>
    <w:rsid w:val="00E92992"/>
    <w:rsid w:val="00ED6F2C"/>
    <w:rsid w:val="00F51AA5"/>
    <w:rsid w:val="00F53791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92"/>
  </w:style>
  <w:style w:type="paragraph" w:styleId="Footer">
    <w:name w:val="footer"/>
    <w:basedOn w:val="Normal"/>
    <w:link w:val="FooterChar"/>
    <w:uiPriority w:val="99"/>
    <w:unhideWhenUsed/>
    <w:rsid w:val="00E9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92"/>
  </w:style>
  <w:style w:type="paragraph" w:styleId="BalloonText">
    <w:name w:val="Balloon Text"/>
    <w:basedOn w:val="Normal"/>
    <w:link w:val="BalloonTextChar"/>
    <w:uiPriority w:val="99"/>
    <w:semiHidden/>
    <w:unhideWhenUsed/>
    <w:rsid w:val="0063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92"/>
  </w:style>
  <w:style w:type="paragraph" w:styleId="Footer">
    <w:name w:val="footer"/>
    <w:basedOn w:val="Normal"/>
    <w:link w:val="FooterChar"/>
    <w:uiPriority w:val="99"/>
    <w:unhideWhenUsed/>
    <w:rsid w:val="00E9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992"/>
  </w:style>
  <w:style w:type="paragraph" w:styleId="BalloonText">
    <w:name w:val="Balloon Text"/>
    <w:basedOn w:val="Normal"/>
    <w:link w:val="BalloonTextChar"/>
    <w:uiPriority w:val="99"/>
    <w:semiHidden/>
    <w:unhideWhenUsed/>
    <w:rsid w:val="0063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uvenliweb.org.t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E81FD8-85C5-4451-A858-BA8C0240E34F}"/>
</file>

<file path=customXml/itemProps2.xml><?xml version="1.0" encoding="utf-8"?>
<ds:datastoreItem xmlns:ds="http://schemas.openxmlformats.org/officeDocument/2006/customXml" ds:itemID="{C6773B2B-B3E8-4731-A464-CECD4C7CE9DF}"/>
</file>

<file path=customXml/itemProps3.xml><?xml version="1.0" encoding="utf-8"?>
<ds:datastoreItem xmlns:ds="http://schemas.openxmlformats.org/officeDocument/2006/customXml" ds:itemID="{B7A6D82D-E3DC-404D-A264-8A597382030C}"/>
</file>

<file path=customXml/itemProps4.xml><?xml version="1.0" encoding="utf-8"?>
<ds:datastoreItem xmlns:ds="http://schemas.openxmlformats.org/officeDocument/2006/customXml" ds:itemID="{18895267-E436-4793-9796-A547ACA8C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Azin Tadjdini</cp:lastModifiedBy>
  <cp:revision>2</cp:revision>
  <dcterms:created xsi:type="dcterms:W3CDTF">2016-12-20T16:12:00Z</dcterms:created>
  <dcterms:modified xsi:type="dcterms:W3CDTF">2016-12-20T16:12:00Z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