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8"/>
      </w:tblGrid>
      <w:tr w:rsidR="005F3B11" w:rsidTr="005F3B11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F3B11" w:rsidRDefault="005F3B11" w:rsidP="00AB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603885" cy="681355"/>
                  <wp:effectExtent l="19050" t="0" r="5715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11" w:rsidTr="005F3B11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F3B11" w:rsidRDefault="005F3B11" w:rsidP="00AB545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REPUBLICA DE CUBA</w:t>
            </w:r>
          </w:p>
          <w:p w:rsidR="005F3B11" w:rsidRDefault="005F3B11" w:rsidP="00AB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ante la Oficina de las Naciones Unidas en Ginebra y los Organismos Internacionales con sede en Suiza</w:t>
            </w:r>
          </w:p>
          <w:p w:rsidR="005F3B11" w:rsidRDefault="005F3B11" w:rsidP="00AB5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3B11" w:rsidRDefault="005F3B11" w:rsidP="00AB5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64C16" w:rsidRPr="005F3B11" w:rsidRDefault="00664C16" w:rsidP="00664C16">
      <w:pPr>
        <w:spacing w:before="240" w:after="240" w:line="360" w:lineRule="auto"/>
        <w:jc w:val="both"/>
        <w:rPr>
          <w:rFonts w:ascii="Arial" w:hAnsi="Arial" w:cs="Arial"/>
          <w:b/>
          <w:lang w:val="es-ES"/>
        </w:rPr>
      </w:pPr>
      <w:r w:rsidRPr="005F3B11">
        <w:rPr>
          <w:rFonts w:ascii="Arial" w:hAnsi="Arial" w:cs="Arial"/>
          <w:b/>
          <w:lang w:val="es-ES"/>
        </w:rPr>
        <w:t>Nota No:</w:t>
      </w:r>
      <w:r w:rsidR="00501C8D">
        <w:rPr>
          <w:rFonts w:ascii="Arial" w:hAnsi="Arial" w:cs="Arial"/>
          <w:b/>
          <w:lang w:val="es-ES"/>
        </w:rPr>
        <w:t xml:space="preserve"> 173/2015</w:t>
      </w:r>
    </w:p>
    <w:p w:rsidR="00664C16" w:rsidRPr="00EB570C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 w:rsidRPr="00EB570C">
        <w:rPr>
          <w:rFonts w:ascii="Arial" w:hAnsi="Arial" w:cs="Arial"/>
          <w:lang w:val="es-ES"/>
        </w:rPr>
        <w:t xml:space="preserve">La Misión Permanente de Cuba ante </w:t>
      </w:r>
      <w:smartTag w:uri="urn:schemas-microsoft-com:office:smarttags" w:element="PersonName">
        <w:smartTagPr>
          <w:attr w:name="ProductID" w:val="la Oficina"/>
        </w:smartTagPr>
        <w:r w:rsidRPr="00EB570C">
          <w:rPr>
            <w:rFonts w:ascii="Arial" w:hAnsi="Arial" w:cs="Arial"/>
            <w:lang w:val="es-ES"/>
          </w:rPr>
          <w:t>la Oficina</w:t>
        </w:r>
      </w:smartTag>
      <w:r w:rsidRPr="00EB570C">
        <w:rPr>
          <w:rFonts w:ascii="Arial" w:hAnsi="Arial" w:cs="Arial"/>
          <w:lang w:val="es-ES"/>
        </w:rPr>
        <w:t xml:space="preserve"> de las Naciones Unidas y las Organi</w:t>
      </w:r>
      <w:r>
        <w:rPr>
          <w:rFonts w:ascii="Arial" w:hAnsi="Arial" w:cs="Arial"/>
          <w:lang w:val="es-ES"/>
        </w:rPr>
        <w:t>smos</w:t>
      </w:r>
      <w:r w:rsidRPr="00EB570C">
        <w:rPr>
          <w:rFonts w:ascii="Arial" w:hAnsi="Arial" w:cs="Arial"/>
          <w:lang w:val="es-ES"/>
        </w:rPr>
        <w:t xml:space="preserve"> Internacionales con sede en Suiza, saluda</w:t>
      </w:r>
      <w:r w:rsidRPr="00664C16">
        <w:rPr>
          <w:rFonts w:ascii="Arial" w:hAnsi="Arial" w:cs="Arial"/>
        </w:rPr>
        <w:t xml:space="preserve"> </w:t>
      </w:r>
      <w:r w:rsidRPr="00C55036">
        <w:rPr>
          <w:rFonts w:ascii="Arial" w:hAnsi="Arial" w:cs="Arial"/>
        </w:rPr>
        <w:t xml:space="preserve">atentamente </w:t>
      </w:r>
      <w:r w:rsidRPr="00EB570C">
        <w:rPr>
          <w:rFonts w:ascii="Arial" w:hAnsi="Arial" w:cs="Arial"/>
          <w:lang w:val="es-ES"/>
        </w:rPr>
        <w:t xml:space="preserve">a </w:t>
      </w:r>
      <w:smartTag w:uri="urn:schemas-microsoft-com:office:smarttags" w:element="PersonName">
        <w:smartTagPr>
          <w:attr w:name="ProductID" w:val="la Oficina"/>
        </w:smartTagPr>
        <w:r w:rsidRPr="00EB570C">
          <w:rPr>
            <w:rFonts w:ascii="Arial" w:hAnsi="Arial" w:cs="Arial"/>
            <w:lang w:val="es-ES"/>
          </w:rPr>
          <w:t>la Oficina</w:t>
        </w:r>
      </w:smartTag>
      <w:r w:rsidRPr="00EB570C">
        <w:rPr>
          <w:rFonts w:ascii="Arial" w:hAnsi="Arial" w:cs="Arial"/>
          <w:lang w:val="es-ES"/>
        </w:rPr>
        <w:t xml:space="preserve"> del Alto Comisionado de las Naciones Unidas para los Derechos Humanos y tiene el honor de referirse a la comunicación de </w:t>
      </w:r>
      <w:r>
        <w:rPr>
          <w:rFonts w:ascii="Arial" w:hAnsi="Arial" w:cs="Arial"/>
          <w:lang w:val="es-ES"/>
        </w:rPr>
        <w:t>17</w:t>
      </w:r>
      <w:r w:rsidRPr="00EB570C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diciembre </w:t>
      </w:r>
      <w:r w:rsidRPr="00EB570C">
        <w:rPr>
          <w:rFonts w:ascii="Arial" w:hAnsi="Arial" w:cs="Arial"/>
          <w:lang w:val="es-ES"/>
        </w:rPr>
        <w:t>de 2014 respecto al cuestionario del Relator Especial sobre los derechos a la libertad de reunión pacífica y de asociación.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 w:rsidRPr="00EB570C">
        <w:rPr>
          <w:rFonts w:ascii="Arial" w:hAnsi="Arial" w:cs="Arial"/>
          <w:lang w:val="es-ES"/>
        </w:rPr>
        <w:t xml:space="preserve">En este sentido, </w:t>
      </w:r>
      <w:smartTag w:uri="urn:schemas-microsoft-com:office:smarttags" w:element="PersonName">
        <w:smartTagPr>
          <w:attr w:name="ProductID" w:val="La Misi￳n"/>
        </w:smartTagPr>
        <w:r>
          <w:rPr>
            <w:rFonts w:ascii="Arial" w:hAnsi="Arial" w:cs="Arial"/>
            <w:lang w:val="es-ES"/>
          </w:rPr>
          <w:t>la</w:t>
        </w:r>
        <w:r w:rsidRPr="00EB570C">
          <w:rPr>
            <w:rFonts w:ascii="Arial" w:hAnsi="Arial" w:cs="Arial"/>
            <w:lang w:val="es-ES"/>
          </w:rPr>
          <w:t xml:space="preserve"> Misión</w:t>
        </w:r>
      </w:smartTag>
      <w:r w:rsidRPr="00EB570C">
        <w:rPr>
          <w:rFonts w:ascii="Arial" w:hAnsi="Arial" w:cs="Arial"/>
          <w:lang w:val="es-ES"/>
        </w:rPr>
        <w:t xml:space="preserve"> de Cuba </w:t>
      </w:r>
      <w:r>
        <w:rPr>
          <w:rFonts w:ascii="Arial" w:hAnsi="Arial" w:cs="Arial"/>
          <w:lang w:val="es-ES"/>
        </w:rPr>
        <w:t>tiene a bien trasladar los siguientes comentarios: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Cuba, como parte de su modelo genuinamente democrático, se reconoce, protege y garantiza plenamente el ejercicio de los derechos y libertades fundamentales; y, como ocurre en la mayoría de los países, incluidos los más desarrollados, el ejercicio estos derechos está regulado legalmente.</w:t>
      </w:r>
    </w:p>
    <w:p w:rsidR="00664C16" w:rsidRPr="00EB570C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este sentido, </w:t>
      </w:r>
      <w:smartTag w:uri="urn:schemas-microsoft-com:office:smarttags" w:element="PersonName">
        <w:smartTagPr>
          <w:attr w:name="ProductID" w:val="la Constituci￳n"/>
        </w:smartTagPr>
        <w:r>
          <w:rPr>
            <w:rFonts w:ascii="Arial" w:hAnsi="Arial" w:cs="Arial"/>
            <w:lang w:val="es-ES"/>
          </w:rPr>
          <w:t>la Constitución</w:t>
        </w:r>
      </w:smartTag>
      <w:r>
        <w:rPr>
          <w:rFonts w:ascii="Arial" w:hAnsi="Arial" w:cs="Arial"/>
          <w:lang w:val="es-ES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lang w:val="es-ES"/>
          </w:rPr>
          <w:t>la República</w:t>
        </w:r>
      </w:smartTag>
      <w:r>
        <w:rPr>
          <w:rFonts w:ascii="Arial" w:hAnsi="Arial" w:cs="Arial"/>
          <w:lang w:val="es-ES"/>
        </w:rPr>
        <w:t xml:space="preserve"> de Cuba reconoce expresamente en su Artículo 54 los derechos de reunión, manifestación y asociación, para lo cual el Estado dispone y garantiza los medios necesarios a tales fines.</w:t>
      </w:r>
    </w:p>
    <w:p w:rsidR="00664C16" w:rsidRPr="00EB570C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igual forma, </w:t>
      </w:r>
      <w:smartTag w:uri="urn:schemas-microsoft-com:office:smarttags" w:element="PersonName">
        <w:smartTagPr>
          <w:attr w:name="ProductID" w:val="la Ley No."/>
        </w:smartTagPr>
        <w:r>
          <w:rPr>
            <w:rFonts w:ascii="Arial" w:hAnsi="Arial" w:cs="Arial"/>
            <w:lang w:val="es-ES"/>
          </w:rPr>
          <w:t xml:space="preserve">la </w:t>
        </w:r>
        <w:r w:rsidRPr="00EB570C">
          <w:rPr>
            <w:rFonts w:ascii="Arial" w:hAnsi="Arial" w:cs="Arial"/>
            <w:lang w:val="es-ES"/>
          </w:rPr>
          <w:t>Ley No.</w:t>
        </w:r>
      </w:smartTag>
      <w:r w:rsidRPr="00EB570C">
        <w:rPr>
          <w:rFonts w:ascii="Arial" w:hAnsi="Arial" w:cs="Arial"/>
          <w:lang w:val="es-ES"/>
        </w:rPr>
        <w:t xml:space="preserve"> 54 de 1985, “Ley de asociaciones”</w:t>
      </w:r>
      <w:r>
        <w:rPr>
          <w:rFonts w:ascii="Arial" w:hAnsi="Arial" w:cs="Arial"/>
          <w:lang w:val="es-ES"/>
        </w:rPr>
        <w:t xml:space="preserve"> establece </w:t>
      </w:r>
      <w:r w:rsidRPr="00EB570C">
        <w:rPr>
          <w:rFonts w:ascii="Arial" w:hAnsi="Arial" w:cs="Arial"/>
          <w:lang w:val="es-ES"/>
        </w:rPr>
        <w:t xml:space="preserve"> los requisitos para el reconocimiento y el registro de las asociaciones, las cuales ejercen libremente sus funciones, eligen a sus representantes y directivos entre sus miembros, y mantienen </w:t>
      </w:r>
      <w:r>
        <w:rPr>
          <w:rFonts w:ascii="Arial" w:hAnsi="Arial" w:cs="Arial"/>
          <w:lang w:val="es-ES"/>
        </w:rPr>
        <w:t>relaciones</w:t>
      </w:r>
      <w:r w:rsidRPr="00EB570C">
        <w:rPr>
          <w:rFonts w:ascii="Arial" w:hAnsi="Arial" w:cs="Arial"/>
          <w:lang w:val="es-ES"/>
        </w:rPr>
        <w:t xml:space="preserve"> de colaboración</w:t>
      </w:r>
      <w:r>
        <w:rPr>
          <w:rFonts w:ascii="Arial" w:hAnsi="Arial" w:cs="Arial"/>
          <w:lang w:val="es-ES"/>
        </w:rPr>
        <w:t xml:space="preserve"> e intercambio </w:t>
      </w:r>
      <w:r w:rsidRPr="00EB570C">
        <w:rPr>
          <w:rFonts w:ascii="Arial" w:hAnsi="Arial" w:cs="Arial"/>
          <w:lang w:val="es-ES"/>
        </w:rPr>
        <w:t xml:space="preserve">con las autoridades </w:t>
      </w:r>
      <w:r>
        <w:rPr>
          <w:rFonts w:ascii="Arial" w:hAnsi="Arial" w:cs="Arial"/>
          <w:lang w:val="es-ES"/>
        </w:rPr>
        <w:t>gubernamentales</w:t>
      </w:r>
      <w:r w:rsidRPr="00EB570C">
        <w:rPr>
          <w:rFonts w:ascii="Arial" w:hAnsi="Arial" w:cs="Arial"/>
          <w:lang w:val="es-ES"/>
        </w:rPr>
        <w:t xml:space="preserve"> a todos los niveles.</w:t>
      </w:r>
    </w:p>
    <w:p w:rsidR="005F3B11" w:rsidRDefault="005F3B11" w:rsidP="005F3B11">
      <w:pPr>
        <w:autoSpaceDE w:val="0"/>
        <w:autoSpaceDN w:val="0"/>
        <w:ind w:left="-567"/>
        <w:jc w:val="both"/>
        <w:rPr>
          <w:rFonts w:ascii="Arial" w:hAnsi="Arial" w:cs="Arial"/>
          <w:b/>
          <w:i/>
          <w:color w:val="000000"/>
        </w:rPr>
      </w:pPr>
    </w:p>
    <w:p w:rsidR="005F3B11" w:rsidRDefault="005F3B11" w:rsidP="005F3B11">
      <w:pPr>
        <w:autoSpaceDE w:val="0"/>
        <w:autoSpaceDN w:val="0"/>
        <w:ind w:left="-567"/>
        <w:jc w:val="both"/>
        <w:rPr>
          <w:rFonts w:ascii="Arial" w:hAnsi="Arial" w:cs="Arial"/>
          <w:b/>
          <w:i/>
          <w:color w:val="000000"/>
        </w:rPr>
      </w:pPr>
    </w:p>
    <w:p w:rsidR="005F3B11" w:rsidRPr="000B67AF" w:rsidRDefault="005F3B11" w:rsidP="005F3B11">
      <w:pPr>
        <w:autoSpaceDE w:val="0"/>
        <w:autoSpaceDN w:val="0"/>
        <w:ind w:left="-567"/>
        <w:jc w:val="both"/>
        <w:rPr>
          <w:rFonts w:ascii="Arial" w:hAnsi="Arial" w:cs="Arial"/>
          <w:b/>
          <w:i/>
          <w:color w:val="000000"/>
        </w:rPr>
      </w:pPr>
      <w:r w:rsidRPr="000B67AF">
        <w:rPr>
          <w:rFonts w:ascii="Arial" w:hAnsi="Arial" w:cs="Arial"/>
          <w:b/>
          <w:i/>
          <w:color w:val="000000"/>
        </w:rPr>
        <w:t>Oficina del Alto Com</w:t>
      </w:r>
      <w:r>
        <w:rPr>
          <w:rFonts w:ascii="Arial" w:hAnsi="Arial" w:cs="Arial"/>
          <w:b/>
          <w:i/>
          <w:color w:val="000000"/>
        </w:rPr>
        <w:t>isionado de las Naciones Unidas</w:t>
      </w:r>
    </w:p>
    <w:p w:rsidR="005F3B11" w:rsidRDefault="005F3B11" w:rsidP="005F3B11">
      <w:pPr>
        <w:autoSpaceDE w:val="0"/>
        <w:autoSpaceDN w:val="0"/>
        <w:ind w:left="-567"/>
        <w:jc w:val="both"/>
        <w:rPr>
          <w:rFonts w:ascii="Arial" w:hAnsi="Arial" w:cs="Arial"/>
          <w:lang w:val="es-ES"/>
        </w:rPr>
      </w:pPr>
      <w:proofErr w:type="gramStart"/>
      <w:r w:rsidRPr="000B67AF">
        <w:rPr>
          <w:rFonts w:ascii="Arial" w:hAnsi="Arial" w:cs="Arial"/>
          <w:b/>
          <w:i/>
          <w:color w:val="000000"/>
        </w:rPr>
        <w:t>para</w:t>
      </w:r>
      <w:proofErr w:type="gramEnd"/>
      <w:r w:rsidRPr="000B67AF">
        <w:rPr>
          <w:rFonts w:ascii="Arial" w:hAnsi="Arial" w:cs="Arial"/>
          <w:b/>
          <w:i/>
          <w:color w:val="000000"/>
        </w:rPr>
        <w:t xml:space="preserve"> los Derechos Humanos</w:t>
      </w:r>
      <w:r>
        <w:rPr>
          <w:rFonts w:ascii="Arial" w:hAnsi="Arial" w:cs="Arial"/>
          <w:b/>
          <w:i/>
          <w:color w:val="000000"/>
        </w:rPr>
        <w:t>.</w:t>
      </w:r>
    </w:p>
    <w:p w:rsidR="005F3B11" w:rsidRDefault="005F3B11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</w:p>
    <w:p w:rsidR="005F3B11" w:rsidRDefault="005F3B11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su parte,</w:t>
      </w:r>
      <w:r w:rsidRPr="00EB570C">
        <w:rPr>
          <w:rFonts w:ascii="Arial" w:hAnsi="Arial" w:cs="Arial"/>
          <w:lang w:val="es-ES"/>
        </w:rPr>
        <w:t xml:space="preserve"> el Código Penal, en sus artículos 291 y 292, incluye medidas punitivas severas para todas aquellas personas y funcionarios públicos que pretendan conculcar ilícitamente las libertades de libre emisión del pensamiento, asociación, reunión pacífica, manifestación, queja y petición.</w:t>
      </w:r>
    </w:p>
    <w:p w:rsidR="00664C16" w:rsidRPr="00EB570C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 w:rsidRPr="00EB570C">
        <w:rPr>
          <w:rFonts w:ascii="Arial" w:hAnsi="Arial" w:cs="Arial"/>
          <w:lang w:val="es-ES"/>
        </w:rPr>
        <w:t xml:space="preserve">En cuanto </w:t>
      </w:r>
      <w:r>
        <w:rPr>
          <w:rFonts w:ascii="Arial" w:hAnsi="Arial" w:cs="Arial"/>
          <w:lang w:val="es-ES"/>
        </w:rPr>
        <w:t xml:space="preserve">a </w:t>
      </w:r>
      <w:r w:rsidRPr="00EB570C">
        <w:rPr>
          <w:rFonts w:ascii="Arial" w:hAnsi="Arial" w:cs="Arial"/>
          <w:lang w:val="es-ES"/>
        </w:rPr>
        <w:t xml:space="preserve">la libertad de reunión pacífica, en Cuba se reconoce y protege su pleno ejercicio, tanto por las asociaciones como por los ciudadanos. Las actividades y reuniones convocadas por las asociaciones se realizan sin interferencias de las autoridades estatales. </w:t>
      </w:r>
      <w:r>
        <w:rPr>
          <w:rFonts w:ascii="Arial" w:hAnsi="Arial" w:cs="Arial"/>
          <w:lang w:val="es-ES"/>
        </w:rPr>
        <w:t>Las</w:t>
      </w:r>
      <w:r w:rsidRPr="00EB570C">
        <w:rPr>
          <w:rFonts w:ascii="Arial" w:hAnsi="Arial" w:cs="Arial"/>
          <w:lang w:val="es-ES"/>
        </w:rPr>
        <w:t xml:space="preserve"> instituciones públicas y sus funcionarios tienen el deber, y lo cumplen, de apoyar las actividades, reuniones, asambleas y procesos en general que llevan a cabo las asociaciones.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contexto específico de la explotación de los recursos naturales, los derechos a la libertad de reunión pacífica y de asociación tienen amplias garantías en el ordenamiento jurídico cubano.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este sentido, el Artículo 16 de </w:t>
      </w:r>
      <w:smartTag w:uri="urn:schemas-microsoft-com:office:smarttags" w:element="PersonName">
        <w:smartTagPr>
          <w:attr w:name="ProductID" w:val="la Constituci￳n"/>
        </w:smartTagPr>
        <w:r>
          <w:rPr>
            <w:rFonts w:ascii="Arial" w:hAnsi="Arial" w:cs="Arial"/>
            <w:lang w:val="es-ES"/>
          </w:rPr>
          <w:t>la Constitución</w:t>
        </w:r>
      </w:smartTag>
      <w:r>
        <w:rPr>
          <w:rFonts w:ascii="Arial" w:hAnsi="Arial" w:cs="Arial"/>
          <w:lang w:val="es-ES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lang w:val="es-ES"/>
          </w:rPr>
          <w:t>la República</w:t>
        </w:r>
      </w:smartTag>
      <w:r>
        <w:rPr>
          <w:rFonts w:ascii="Arial" w:hAnsi="Arial" w:cs="Arial"/>
          <w:lang w:val="es-ES"/>
        </w:rPr>
        <w:t xml:space="preserve"> establece que es el Estado quien organiza, dirige y controla la actividad económica nacional, lo cual incluye la explotación del medio ambiente y los recursos naturales dentro del territorio sujeto a la soberanía cubana. Igualmente, el propio texto constitucional, en su Artículo 27, reconoce que la protección del medio ambiente y los recursos naturales es una función estatal, a la que los ciudadanos tienen el deber de contribuir.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adición, las leyes No. 81 de 1997, “Ley de Medio Ambiente” y No. 118 de 2014, “Ley de Inversión Extranjera”, regulan la manera en que se produce la explotación de los recursos naturales cubanos. 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adecuada regulación y el sistemático control a que se somete la explotación de los recursos naturales permiten garantizar que el desarrollo de estas actividades económicas no menoscabe el ejercicio de los derechos a la libertad de reunión pacífica y de asociación; así como evitar perjuicios a las comunidades y familias que viven en los lugares de explotación. De tal suerte, la participación de las comunidades, y su empoderamiento, en los procesos de </w:t>
      </w:r>
      <w:r>
        <w:rPr>
          <w:rFonts w:ascii="Arial" w:hAnsi="Arial" w:cs="Arial"/>
          <w:lang w:val="es-ES"/>
        </w:rPr>
        <w:lastRenderedPageBreak/>
        <w:t>planificación y desarrollo de estas actividades económicas, es una fortaleza del modelo cubano.</w:t>
      </w:r>
    </w:p>
    <w:p w:rsidR="00664C16" w:rsidRDefault="00664C16" w:rsidP="00664C16">
      <w:pPr>
        <w:spacing w:before="240" w:after="240" w:line="36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manera complementaria, las actividades que se realicen en el ejercicio de estas libertades no pueden transgredir el mandato constitucional de preservar la legalidad en sentido general, y particularmente la protección del medio ambiente y los recursos naturales. </w:t>
      </w:r>
    </w:p>
    <w:p w:rsidR="00664C16" w:rsidRPr="00FB2789" w:rsidRDefault="00664C16" w:rsidP="00664C16">
      <w:pPr>
        <w:spacing w:before="240" w:after="240" w:line="360" w:lineRule="auto"/>
        <w:ind w:firstLine="54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Misi￳n Permanente"/>
        </w:smartTagPr>
        <w:r w:rsidRPr="00C55036">
          <w:rPr>
            <w:rFonts w:ascii="Arial" w:hAnsi="Arial" w:cs="Arial"/>
          </w:rPr>
          <w:t>La Misión Permanente</w:t>
        </w:r>
      </w:smartTag>
      <w:r w:rsidRPr="00C55036">
        <w:rPr>
          <w:rFonts w:ascii="Arial" w:hAnsi="Arial" w:cs="Arial"/>
        </w:rPr>
        <w:t xml:space="preserve"> de Cuba ante </w:t>
      </w:r>
      <w:smartTag w:uri="urn:schemas-microsoft-com:office:smarttags" w:element="PersonName">
        <w:smartTagPr>
          <w:attr w:name="ProductID" w:val="la Oficina"/>
        </w:smartTagPr>
        <w:r w:rsidRPr="00C55036">
          <w:rPr>
            <w:rFonts w:ascii="Arial" w:hAnsi="Arial" w:cs="Arial"/>
          </w:rPr>
          <w:t>la Oficina</w:t>
        </w:r>
      </w:smartTag>
      <w:r w:rsidRPr="00C55036">
        <w:rPr>
          <w:rFonts w:ascii="Arial" w:hAnsi="Arial" w:cs="Arial"/>
        </w:rPr>
        <w:t xml:space="preserve"> de las Naciones Unidas en Ginebra y los Organismos Internacionales con sede en Suiza, aprovecha la ocasión para reiterar a </w:t>
      </w:r>
      <w:smartTag w:uri="urn:schemas-microsoft-com:office:smarttags" w:element="PersonName">
        <w:smartTagPr>
          <w:attr w:name="ProductID" w:val="la Oficina"/>
        </w:smartTagPr>
        <w:r w:rsidRPr="00C55036">
          <w:rPr>
            <w:rFonts w:ascii="Arial" w:hAnsi="Arial" w:cs="Arial"/>
          </w:rPr>
          <w:t>la Oficina</w:t>
        </w:r>
      </w:smartTag>
      <w:r>
        <w:rPr>
          <w:rFonts w:ascii="Arial" w:hAnsi="Arial" w:cs="Arial"/>
        </w:rPr>
        <w:t xml:space="preserve"> del Alto Comisionado</w:t>
      </w:r>
      <w:r w:rsidRPr="00C55036">
        <w:rPr>
          <w:rFonts w:ascii="Arial" w:hAnsi="Arial" w:cs="Arial"/>
        </w:rPr>
        <w:t xml:space="preserve"> de las Naciones Unidas para los Derechos Humanos, el testimonio de su consideración.</w:t>
      </w:r>
    </w:p>
    <w:p w:rsidR="00664C16" w:rsidRPr="00664C16" w:rsidRDefault="00664C16" w:rsidP="00664C16">
      <w:pPr>
        <w:jc w:val="both"/>
        <w:rPr>
          <w:rFonts w:ascii="Arial" w:hAnsi="Arial" w:cs="Arial"/>
        </w:rPr>
      </w:pPr>
    </w:p>
    <w:p w:rsidR="00664C16" w:rsidRDefault="00664C16" w:rsidP="00664C16">
      <w:pPr>
        <w:jc w:val="both"/>
        <w:rPr>
          <w:rFonts w:ascii="Arial" w:hAnsi="Arial" w:cs="Arial"/>
          <w:lang w:val="es-ES"/>
        </w:rPr>
      </w:pPr>
    </w:p>
    <w:p w:rsidR="00664C16" w:rsidRPr="00EB570C" w:rsidRDefault="00664C16" w:rsidP="00664C16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Ginebra, 26 de febrero de 2015</w:t>
      </w:r>
    </w:p>
    <w:p w:rsidR="003E357E" w:rsidRDefault="003E357E"/>
    <w:sectPr w:rsidR="003E357E" w:rsidSect="005F3B11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16"/>
    <w:rsid w:val="000E01F5"/>
    <w:rsid w:val="001D67E1"/>
    <w:rsid w:val="00276BA5"/>
    <w:rsid w:val="003E357E"/>
    <w:rsid w:val="00413BFD"/>
    <w:rsid w:val="00501C8D"/>
    <w:rsid w:val="005F3B11"/>
    <w:rsid w:val="00664C16"/>
    <w:rsid w:val="009A487E"/>
    <w:rsid w:val="00BD4B1B"/>
    <w:rsid w:val="00E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1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1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B6F6-CA9E-4324-9C36-F357E6BAB364}"/>
</file>

<file path=customXml/itemProps2.xml><?xml version="1.0" encoding="utf-8"?>
<ds:datastoreItem xmlns:ds="http://schemas.openxmlformats.org/officeDocument/2006/customXml" ds:itemID="{BF08A251-0036-48AD-B9E1-068714215AB3}"/>
</file>

<file path=customXml/itemProps3.xml><?xml version="1.0" encoding="utf-8"?>
<ds:datastoreItem xmlns:ds="http://schemas.openxmlformats.org/officeDocument/2006/customXml" ds:itemID="{61158DE3-7F38-4F0C-A72C-9954571FC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mision</dc:creator>
  <cp:lastModifiedBy>TGuillet</cp:lastModifiedBy>
  <cp:revision>2</cp:revision>
  <cp:lastPrinted>2015-02-26T11:53:00Z</cp:lastPrinted>
  <dcterms:created xsi:type="dcterms:W3CDTF">2015-02-26T12:09:00Z</dcterms:created>
  <dcterms:modified xsi:type="dcterms:W3CDTF">2015-02-26T12:09:00Z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2912400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