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513" w:rsidRPr="00CE1DF5" w:rsidRDefault="00836513" w:rsidP="00836513">
      <w:pPr>
        <w:pStyle w:val="Default"/>
        <w:rPr>
          <w:rFonts w:ascii="Arial" w:hAnsi="Arial" w:cs="Arial"/>
        </w:rPr>
      </w:pPr>
      <w:bookmarkStart w:id="0" w:name="_GoBack"/>
      <w:bookmarkEnd w:id="0"/>
    </w:p>
    <w:p w:rsidR="00836513" w:rsidRDefault="00836513" w:rsidP="00836513">
      <w:pPr>
        <w:pStyle w:val="Title"/>
      </w:pPr>
      <w:r w:rsidRPr="00CE1DF5">
        <w:t xml:space="preserve"> Special Rapporteur on</w:t>
      </w:r>
      <w:r>
        <w:t xml:space="preserve"> the right to</w:t>
      </w:r>
      <w:r w:rsidRPr="00CE1DF5">
        <w:t xml:space="preserve"> adequate housing</w:t>
      </w:r>
      <w:r>
        <w:t xml:space="preserve"> </w:t>
      </w:r>
      <w:r w:rsidRPr="00CE1DF5">
        <w:t>questionnaire</w:t>
      </w:r>
    </w:p>
    <w:p w:rsidR="00836513" w:rsidRDefault="00836513" w:rsidP="00836513">
      <w:pPr>
        <w:pStyle w:val="Default"/>
        <w:rPr>
          <w:rFonts w:ascii="Arial" w:hAnsi="Arial" w:cs="Arial"/>
        </w:rPr>
      </w:pPr>
    </w:p>
    <w:p w:rsidR="00836513" w:rsidRDefault="00836513" w:rsidP="00836513">
      <w:pPr>
        <w:pStyle w:val="Default"/>
        <w:rPr>
          <w:rFonts w:ascii="Arial" w:hAnsi="Arial" w:cs="Arial"/>
        </w:rPr>
      </w:pPr>
      <w:r w:rsidRPr="00E2446F">
        <w:rPr>
          <w:rFonts w:ascii="Arial" w:hAnsi="Arial" w:cs="Arial"/>
        </w:rPr>
        <w:t>The Australian Human Rights Commission</w:t>
      </w:r>
      <w:r>
        <w:rPr>
          <w:rFonts w:ascii="Arial" w:hAnsi="Arial" w:cs="Arial"/>
        </w:rPr>
        <w:t xml:space="preserve"> thanks the Special Rapporteur for the opportunity to contribute to the questionnaire in accordance to the work relevant to the mandate of the Commission. The Commission welcomes the work of the Special Rapporteur on the right to an adequate standard of living and the right to non-discrimination. </w:t>
      </w:r>
    </w:p>
    <w:p w:rsidR="00836513" w:rsidRDefault="00836513" w:rsidP="00836513">
      <w:pPr>
        <w:pStyle w:val="Default"/>
        <w:rPr>
          <w:rFonts w:ascii="Arial" w:hAnsi="Arial" w:cs="Arial"/>
        </w:rPr>
      </w:pPr>
    </w:p>
    <w:p w:rsidR="00836513" w:rsidRDefault="00836513" w:rsidP="00836513">
      <w:pPr>
        <w:pStyle w:val="Default"/>
        <w:rPr>
          <w:rFonts w:ascii="Arial" w:hAnsi="Arial" w:cs="Arial"/>
        </w:rPr>
      </w:pPr>
      <w:r>
        <w:rPr>
          <w:rFonts w:ascii="Arial" w:hAnsi="Arial" w:cs="Arial"/>
        </w:rPr>
        <w:t>The following submission responds to questions 4 and 5 outlined in the questionnaire.</w:t>
      </w:r>
    </w:p>
    <w:p w:rsidR="00836513" w:rsidRDefault="00836513" w:rsidP="00836513">
      <w:pPr>
        <w:pStyle w:val="Default"/>
        <w:rPr>
          <w:rFonts w:ascii="Arial" w:hAnsi="Arial" w:cs="Arial"/>
          <w:b/>
        </w:rPr>
      </w:pPr>
    </w:p>
    <w:p w:rsidR="00836513" w:rsidRDefault="00836513" w:rsidP="00836513">
      <w:pPr>
        <w:pStyle w:val="Default"/>
        <w:rPr>
          <w:rFonts w:ascii="Arial" w:hAnsi="Arial" w:cs="Arial"/>
          <w:b/>
        </w:rPr>
      </w:pPr>
      <w:r>
        <w:rPr>
          <w:rFonts w:ascii="Arial" w:hAnsi="Arial" w:cs="Arial"/>
          <w:b/>
        </w:rPr>
        <w:t xml:space="preserve">4. </w:t>
      </w:r>
      <w:r w:rsidRPr="00CE1DF5">
        <w:rPr>
          <w:rFonts w:ascii="Arial" w:hAnsi="Arial" w:cs="Arial"/>
          <w:b/>
        </w:rPr>
        <w:t xml:space="preserve">Please provide any information available about discrimination and stigmatization of people who are homeless, including laws or policies that may be used to remove homeless persons from public spaces or to prohibit activities in public spaces such as sleeping, camping, eating, sitting, or asking for money. </w:t>
      </w:r>
    </w:p>
    <w:p w:rsidR="00836513" w:rsidRDefault="00836513" w:rsidP="00836513">
      <w:pPr>
        <w:pStyle w:val="Default"/>
        <w:rPr>
          <w:rFonts w:ascii="Arial" w:hAnsi="Arial" w:cs="Arial"/>
          <w:b/>
        </w:rPr>
      </w:pPr>
    </w:p>
    <w:p w:rsidR="00836513" w:rsidRDefault="00836513" w:rsidP="00836513">
      <w:pPr>
        <w:pStyle w:val="Default"/>
        <w:rPr>
          <w:rFonts w:ascii="Arial" w:hAnsi="Arial" w:cs="Arial"/>
        </w:rPr>
      </w:pPr>
      <w:r>
        <w:rPr>
          <w:rFonts w:ascii="Arial" w:hAnsi="Arial" w:cs="Arial"/>
        </w:rPr>
        <w:t xml:space="preserve">The Commission is aware that the Australian Human Rights Law Centre in their 2014 UPR factsheet on housing and homelessness outlined that </w:t>
      </w:r>
      <w:r w:rsidRPr="00D3176B">
        <w:rPr>
          <w:rFonts w:ascii="Arial" w:hAnsi="Arial" w:cs="Arial"/>
        </w:rPr>
        <w:t>‘all Australian states and territories have laws which have the effect of criminalising homelessness and poverty.’</w:t>
      </w:r>
      <w:r w:rsidRPr="00D3176B">
        <w:rPr>
          <w:rStyle w:val="EndnoteReference"/>
          <w:rFonts w:cs="Arial"/>
          <w:sz w:val="24"/>
        </w:rPr>
        <w:endnoteReference w:id="1"/>
      </w:r>
    </w:p>
    <w:p w:rsidR="00836513" w:rsidRPr="00CE1DF5" w:rsidRDefault="00836513" w:rsidP="00836513">
      <w:pPr>
        <w:pStyle w:val="Default"/>
        <w:rPr>
          <w:rFonts w:ascii="Arial" w:hAnsi="Arial" w:cs="Arial"/>
        </w:rPr>
      </w:pPr>
    </w:p>
    <w:p w:rsidR="00836513" w:rsidRPr="00CE1DF5" w:rsidRDefault="00836513" w:rsidP="00836513">
      <w:pPr>
        <w:pStyle w:val="Default"/>
        <w:rPr>
          <w:rFonts w:ascii="Arial" w:hAnsi="Arial" w:cs="Arial"/>
          <w:u w:val="single"/>
        </w:rPr>
      </w:pPr>
      <w:r w:rsidRPr="00CE1DF5">
        <w:rPr>
          <w:rFonts w:ascii="Arial" w:hAnsi="Arial" w:cs="Arial"/>
          <w:u w:val="single"/>
        </w:rPr>
        <w:t>Move on laws</w:t>
      </w:r>
      <w:r>
        <w:rPr>
          <w:rFonts w:ascii="Arial" w:hAnsi="Arial" w:cs="Arial"/>
          <w:u w:val="single"/>
        </w:rPr>
        <w:t xml:space="preserve"> </w:t>
      </w:r>
    </w:p>
    <w:p w:rsidR="00836513" w:rsidRPr="00CE1DF5" w:rsidRDefault="00836513" w:rsidP="00836513">
      <w:pPr>
        <w:pStyle w:val="Default"/>
        <w:rPr>
          <w:rFonts w:ascii="Arial" w:hAnsi="Arial" w:cs="Arial"/>
        </w:rPr>
      </w:pPr>
    </w:p>
    <w:p w:rsidR="00836513" w:rsidRPr="00783CE9" w:rsidRDefault="00836513" w:rsidP="00836513">
      <w:pPr>
        <w:autoSpaceDE w:val="0"/>
        <w:autoSpaceDN w:val="0"/>
        <w:adjustRightInd w:val="0"/>
        <w:spacing w:before="0" w:after="0"/>
        <w:rPr>
          <w:rFonts w:cs="Arial"/>
        </w:rPr>
      </w:pPr>
      <w:r>
        <w:rPr>
          <w:rFonts w:cs="Arial"/>
        </w:rPr>
        <w:t>Move on laws and their equivalents exist in several Australian jurisdictions.</w:t>
      </w:r>
      <w:r>
        <w:rPr>
          <w:rStyle w:val="EndnoteReference"/>
          <w:rFonts w:cs="Arial"/>
        </w:rPr>
        <w:endnoteReference w:id="2"/>
      </w:r>
      <w:r>
        <w:rPr>
          <w:rFonts w:cs="Arial"/>
        </w:rPr>
        <w:t xml:space="preserve"> The purpose of these laws is t</w:t>
      </w:r>
      <w:r w:rsidRPr="00985FCA">
        <w:rPr>
          <w:rFonts w:cs="Arial"/>
        </w:rPr>
        <w:t xml:space="preserve">o allow police to issue enforceable directions to persons (both </w:t>
      </w:r>
      <w:r w:rsidRPr="00783CE9">
        <w:rPr>
          <w:rFonts w:cs="Arial"/>
        </w:rPr>
        <w:t>individuals and groups) in public places to move away, or ‘disperse’, from a particular area in a range of circumstances.</w:t>
      </w:r>
      <w:r w:rsidRPr="00783CE9">
        <w:rPr>
          <w:rStyle w:val="EndnoteReference"/>
          <w:rFonts w:cs="Arial"/>
          <w:sz w:val="24"/>
        </w:rPr>
        <w:endnoteReference w:id="3"/>
      </w:r>
      <w:r w:rsidRPr="00783CE9">
        <w:rPr>
          <w:rFonts w:cs="Arial"/>
        </w:rPr>
        <w:t xml:space="preserve"> There is a broad spectrum of conduct that can trigger the use of move-on powers across Australia:</w:t>
      </w:r>
      <w:r w:rsidRPr="00783CE9">
        <w:rPr>
          <w:rStyle w:val="EndnoteReference"/>
          <w:rFonts w:cs="Arial"/>
          <w:sz w:val="24"/>
        </w:rPr>
        <w:t xml:space="preserve"> </w:t>
      </w:r>
      <w:r w:rsidRPr="00783CE9">
        <w:rPr>
          <w:rStyle w:val="EndnoteReference"/>
          <w:rFonts w:cs="Arial"/>
          <w:sz w:val="24"/>
        </w:rPr>
        <w:endnoteReference w:id="4"/>
      </w:r>
    </w:p>
    <w:p w:rsidR="00836513" w:rsidRPr="00783CE9" w:rsidRDefault="00836513" w:rsidP="00836513">
      <w:pPr>
        <w:pStyle w:val="ListParagraph"/>
        <w:numPr>
          <w:ilvl w:val="0"/>
          <w:numId w:val="31"/>
        </w:numPr>
        <w:autoSpaceDE w:val="0"/>
        <w:autoSpaceDN w:val="0"/>
        <w:adjustRightInd w:val="0"/>
        <w:spacing w:before="0" w:after="0"/>
        <w:rPr>
          <w:rFonts w:cs="Arial"/>
        </w:rPr>
      </w:pPr>
      <w:r>
        <w:rPr>
          <w:rFonts w:cs="Arial"/>
        </w:rPr>
        <w:t xml:space="preserve">At the more restrictive end of this spectrum, in the Australian Capital Territory (ACT) a move on power can only be used </w:t>
      </w:r>
      <w:r w:rsidRPr="00783CE9">
        <w:rPr>
          <w:rFonts w:cs="Arial"/>
        </w:rPr>
        <w:t>when a person has engaged, or is likely to engage, in violent conduct in a public place</w:t>
      </w:r>
      <w:r w:rsidR="004922F0">
        <w:rPr>
          <w:rFonts w:cs="Arial"/>
        </w:rPr>
        <w:t>.</w:t>
      </w:r>
      <w:r w:rsidRPr="00783CE9">
        <w:rPr>
          <w:rStyle w:val="EndnoteReference"/>
          <w:rFonts w:cs="Arial"/>
          <w:sz w:val="24"/>
        </w:rPr>
        <w:endnoteReference w:id="5"/>
      </w:r>
    </w:p>
    <w:p w:rsidR="00836513" w:rsidRPr="00783CE9" w:rsidRDefault="00836513" w:rsidP="00836513">
      <w:pPr>
        <w:pStyle w:val="ListParagraph"/>
        <w:numPr>
          <w:ilvl w:val="0"/>
          <w:numId w:val="31"/>
        </w:numPr>
        <w:autoSpaceDE w:val="0"/>
        <w:autoSpaceDN w:val="0"/>
        <w:adjustRightInd w:val="0"/>
        <w:spacing w:before="0" w:after="0"/>
        <w:rPr>
          <w:rFonts w:cs="Arial"/>
        </w:rPr>
      </w:pPr>
      <w:r>
        <w:rPr>
          <w:rFonts w:cs="Arial"/>
        </w:rPr>
        <w:t>At the middle of spectrum sit South Australia (SA), Western Australia (WA) and Tasmania where a move-on direction can be given in c</w:t>
      </w:r>
      <w:r w:rsidRPr="00783CE9">
        <w:rPr>
          <w:rFonts w:cs="Arial"/>
        </w:rPr>
        <w:t>ircumstances where an offence has been or is likely to be committed, or where the safety of a person in the vicinity is threatened, but also where a person is causing an obstruction and where a breach of the peace is likely to occur.</w:t>
      </w:r>
      <w:r w:rsidRPr="00783CE9">
        <w:rPr>
          <w:rStyle w:val="EndnoteReference"/>
          <w:rFonts w:cs="Arial"/>
          <w:sz w:val="24"/>
        </w:rPr>
        <w:endnoteReference w:id="6"/>
      </w:r>
    </w:p>
    <w:p w:rsidR="00836513" w:rsidRPr="00783CE9" w:rsidRDefault="00836513" w:rsidP="00836513">
      <w:pPr>
        <w:pStyle w:val="ListParagraph"/>
        <w:numPr>
          <w:ilvl w:val="0"/>
          <w:numId w:val="31"/>
        </w:numPr>
        <w:autoSpaceDE w:val="0"/>
        <w:autoSpaceDN w:val="0"/>
        <w:adjustRightInd w:val="0"/>
        <w:spacing w:before="0" w:after="0"/>
        <w:rPr>
          <w:rFonts w:cs="Arial"/>
        </w:rPr>
      </w:pPr>
      <w:r>
        <w:rPr>
          <w:rFonts w:cs="Arial"/>
        </w:rPr>
        <w:t xml:space="preserve">At the most permissive end of the spectrum, police in New South Wales (NSW), Queensland and the Northern Territory (NT) can issue a move on direction in an extremely wide range of circumstances, including </w:t>
      </w:r>
      <w:r w:rsidRPr="00783CE9">
        <w:rPr>
          <w:rFonts w:cs="Arial"/>
        </w:rPr>
        <w:t xml:space="preserve">where a </w:t>
      </w:r>
      <w:r w:rsidRPr="00783CE9">
        <w:rPr>
          <w:rFonts w:cs="Arial"/>
        </w:rPr>
        <w:lastRenderedPageBreak/>
        <w:t>person’s mere presence could cause anxiety to another person, or interfere with another’s ‘reasonable enjoyment’ of the space</w:t>
      </w:r>
      <w:r>
        <w:rPr>
          <w:rFonts w:cs="Arial"/>
        </w:rPr>
        <w:t>.</w:t>
      </w:r>
      <w:r w:rsidRPr="00783CE9">
        <w:rPr>
          <w:rStyle w:val="EndnoteReference"/>
          <w:rFonts w:cs="Arial"/>
          <w:sz w:val="24"/>
        </w:rPr>
        <w:endnoteReference w:id="7"/>
      </w:r>
    </w:p>
    <w:p w:rsidR="00836513" w:rsidRDefault="00836513" w:rsidP="00836513">
      <w:pPr>
        <w:pStyle w:val="Default"/>
        <w:rPr>
          <w:rFonts w:ascii="Arial" w:hAnsi="Arial" w:cs="Arial"/>
        </w:rPr>
      </w:pPr>
    </w:p>
    <w:p w:rsidR="00836513" w:rsidRPr="00B942B1" w:rsidRDefault="00836513" w:rsidP="00836513">
      <w:pPr>
        <w:autoSpaceDE w:val="0"/>
        <w:autoSpaceDN w:val="0"/>
        <w:adjustRightInd w:val="0"/>
        <w:spacing w:before="0" w:after="0"/>
        <w:rPr>
          <w:rFonts w:ascii="TimesNewRomanPSMT" w:hAnsi="TimesNewRomanPSMT" w:cs="TimesNewRomanPSMT"/>
          <w:sz w:val="22"/>
          <w:szCs w:val="22"/>
        </w:rPr>
      </w:pPr>
      <w:r>
        <w:rPr>
          <w:rFonts w:cs="Arial"/>
        </w:rPr>
        <w:t>The Commission’s 2013 submission to the United Nations Committee Torture noted the concerns the Victorian Equal Opportunity and Human Rights about the enactment of criminal laws and the enforcement of existing criminal laws in Victoria which are likely to have a disproportionate impact on homeless persons.</w:t>
      </w:r>
      <w:r>
        <w:rPr>
          <w:rStyle w:val="EndnoteReference"/>
          <w:rFonts w:cs="Arial"/>
        </w:rPr>
        <w:endnoteReference w:id="8"/>
      </w:r>
      <w:r>
        <w:rPr>
          <w:rFonts w:cs="Arial"/>
        </w:rPr>
        <w:t xml:space="preserve"> </w:t>
      </w:r>
    </w:p>
    <w:p w:rsidR="00836513" w:rsidRDefault="00836513" w:rsidP="00836513">
      <w:pPr>
        <w:pStyle w:val="Default"/>
        <w:rPr>
          <w:rFonts w:ascii="Arial" w:hAnsi="Arial" w:cs="Arial"/>
        </w:rPr>
      </w:pPr>
    </w:p>
    <w:p w:rsidR="00836513" w:rsidRPr="00CE1DF5" w:rsidRDefault="00836513" w:rsidP="00836513">
      <w:pPr>
        <w:pStyle w:val="Default"/>
        <w:rPr>
          <w:rFonts w:ascii="Arial" w:hAnsi="Arial" w:cs="Arial"/>
        </w:rPr>
      </w:pPr>
      <w:r w:rsidRPr="001A6E56">
        <w:rPr>
          <w:rFonts w:ascii="Arial" w:hAnsi="Arial" w:cs="Arial"/>
        </w:rPr>
        <w:t>Progress:</w:t>
      </w:r>
      <w:r w:rsidRPr="00CE1DF5">
        <w:rPr>
          <w:rFonts w:ascii="Arial" w:hAnsi="Arial" w:cs="Arial"/>
        </w:rPr>
        <w:t xml:space="preserve"> The </w:t>
      </w:r>
      <w:r w:rsidRPr="00E50068">
        <w:rPr>
          <w:rFonts w:ascii="Arial" w:hAnsi="Arial" w:cs="Arial"/>
          <w:i/>
        </w:rPr>
        <w:t>Summary Offences Amendment (Move-on Laws) Act</w:t>
      </w:r>
      <w:r w:rsidRPr="00CE1DF5">
        <w:rPr>
          <w:rFonts w:ascii="Arial" w:hAnsi="Arial" w:cs="Arial"/>
        </w:rPr>
        <w:t xml:space="preserve"> 2015 </w:t>
      </w:r>
      <w:r>
        <w:rPr>
          <w:rFonts w:ascii="Arial" w:hAnsi="Arial" w:cs="Arial"/>
        </w:rPr>
        <w:t>(Vic)</w:t>
      </w:r>
      <w:r w:rsidRPr="00CE1DF5">
        <w:rPr>
          <w:rFonts w:ascii="Arial" w:hAnsi="Arial" w:cs="Arial"/>
        </w:rPr>
        <w:t xml:space="preserve"> repeals amendments made to the </w:t>
      </w:r>
      <w:r w:rsidRPr="00E50068">
        <w:rPr>
          <w:rFonts w:ascii="Arial" w:hAnsi="Arial" w:cs="Arial"/>
          <w:i/>
        </w:rPr>
        <w:t xml:space="preserve">Summary Offences Act </w:t>
      </w:r>
      <w:r w:rsidRPr="00CE1DF5">
        <w:rPr>
          <w:rFonts w:ascii="Arial" w:hAnsi="Arial" w:cs="Arial"/>
        </w:rPr>
        <w:t xml:space="preserve">1996 </w:t>
      </w:r>
      <w:r>
        <w:rPr>
          <w:rFonts w:ascii="Arial" w:hAnsi="Arial" w:cs="Arial"/>
        </w:rPr>
        <w:t>(Vic)</w:t>
      </w:r>
      <w:r w:rsidRPr="00CE1DF5">
        <w:rPr>
          <w:rFonts w:ascii="Arial" w:hAnsi="Arial" w:cs="Arial"/>
        </w:rPr>
        <w:t xml:space="preserve"> by the </w:t>
      </w:r>
      <w:r w:rsidRPr="00E50068">
        <w:rPr>
          <w:rFonts w:ascii="Arial" w:hAnsi="Arial" w:cs="Arial"/>
          <w:i/>
        </w:rPr>
        <w:t xml:space="preserve">Summary Offences and Sentencing Amendment Act </w:t>
      </w:r>
      <w:r>
        <w:rPr>
          <w:rFonts w:ascii="Arial" w:hAnsi="Arial" w:cs="Arial"/>
        </w:rPr>
        <w:t>(Vic)</w:t>
      </w:r>
      <w:r w:rsidRPr="00CE1DF5">
        <w:rPr>
          <w:rFonts w:ascii="Arial" w:hAnsi="Arial" w:cs="Arial"/>
        </w:rPr>
        <w:t xml:space="preserve"> 2014 which provided police with greater powers to give directions to ‘move on’ persons from public places in certain circumstances, to arrest persons in contravention of such directions, and introduces a scheme whereby police can apply for a court order to exclude a person from a public place for up to 12 months</w:t>
      </w:r>
      <w:r>
        <w:rPr>
          <w:rFonts w:ascii="Arial" w:hAnsi="Arial" w:cs="Arial"/>
        </w:rPr>
        <w:t>.</w:t>
      </w:r>
    </w:p>
    <w:p w:rsidR="00836513" w:rsidRPr="00CE1DF5" w:rsidRDefault="00836513" w:rsidP="00836513">
      <w:pPr>
        <w:pStyle w:val="Default"/>
        <w:rPr>
          <w:rFonts w:ascii="Arial" w:hAnsi="Arial" w:cs="Arial"/>
        </w:rPr>
      </w:pPr>
    </w:p>
    <w:p w:rsidR="00836513" w:rsidRDefault="00836513" w:rsidP="00836513">
      <w:pPr>
        <w:autoSpaceDE w:val="0"/>
        <w:autoSpaceDN w:val="0"/>
        <w:adjustRightInd w:val="0"/>
        <w:spacing w:before="0" w:after="0"/>
        <w:rPr>
          <w:rFonts w:cs="Arial"/>
        </w:rPr>
      </w:pPr>
      <w:r w:rsidRPr="00CE1DF5">
        <w:rPr>
          <w:rFonts w:cs="Arial"/>
        </w:rPr>
        <w:t>Ongoing concerns: empirical research suggests high levels of police harassment and interference in the lives of people experiencing homelessness, particularly those who are young and/or Indigenous.</w:t>
      </w:r>
      <w:r w:rsidRPr="00CE1DF5">
        <w:rPr>
          <w:rStyle w:val="EndnoteReference"/>
          <w:rFonts w:cs="Arial"/>
          <w:sz w:val="24"/>
        </w:rPr>
        <w:t xml:space="preserve"> </w:t>
      </w:r>
      <w:r w:rsidRPr="00CE1DF5">
        <w:rPr>
          <w:rStyle w:val="EndnoteReference"/>
          <w:rFonts w:cs="Arial"/>
          <w:sz w:val="24"/>
        </w:rPr>
        <w:endnoteReference w:id="9"/>
      </w:r>
      <w:r w:rsidRPr="00CE1DF5">
        <w:rPr>
          <w:rFonts w:cs="Arial"/>
        </w:rPr>
        <w:t xml:space="preserve"> It is of serious concern that the research suggests that, at times, police use their move-on powers in a manner which breaches the legislation.</w:t>
      </w:r>
      <w:r w:rsidRPr="00CE1DF5">
        <w:rPr>
          <w:rStyle w:val="EndnoteReference"/>
          <w:rFonts w:cs="Arial"/>
          <w:sz w:val="24"/>
        </w:rPr>
        <w:endnoteReference w:id="10"/>
      </w:r>
    </w:p>
    <w:p w:rsidR="00836513" w:rsidRPr="00CE1DF5" w:rsidRDefault="00836513" w:rsidP="00836513">
      <w:pPr>
        <w:rPr>
          <w:rFonts w:cs="Arial"/>
          <w:u w:val="single"/>
        </w:rPr>
      </w:pPr>
      <w:r w:rsidRPr="00CE1DF5">
        <w:rPr>
          <w:rFonts w:cs="Arial"/>
          <w:u w:val="single"/>
        </w:rPr>
        <w:t>Asking for money</w:t>
      </w:r>
    </w:p>
    <w:p w:rsidR="00836513" w:rsidRPr="00CE1DF5" w:rsidRDefault="00836513" w:rsidP="00836513">
      <w:pPr>
        <w:rPr>
          <w:rFonts w:cs="Arial"/>
        </w:rPr>
      </w:pPr>
      <w:r>
        <w:rPr>
          <w:rFonts w:cs="Arial"/>
        </w:rPr>
        <w:t xml:space="preserve">The criminalisation of begging results in </w:t>
      </w:r>
      <w:r w:rsidRPr="00E72CEE">
        <w:rPr>
          <w:rFonts w:cs="Arial"/>
        </w:rPr>
        <w:t>prolonged court proceedings and</w:t>
      </w:r>
      <w:r>
        <w:rPr>
          <w:rFonts w:cs="Arial"/>
        </w:rPr>
        <w:t xml:space="preserve"> large debts for homeless persons which contributes to the cycle of poverty. </w:t>
      </w:r>
    </w:p>
    <w:p w:rsidR="00836513" w:rsidRDefault="00836513" w:rsidP="00836513">
      <w:pPr>
        <w:rPr>
          <w:rFonts w:cs="Arial"/>
        </w:rPr>
      </w:pPr>
      <w:r>
        <w:rPr>
          <w:rFonts w:cs="Arial"/>
        </w:rPr>
        <w:t>Begging in a public place is a criminal offence in Queensland,</w:t>
      </w:r>
      <w:r>
        <w:rPr>
          <w:rStyle w:val="EndnoteReference"/>
          <w:rFonts w:cs="Arial"/>
        </w:rPr>
        <w:endnoteReference w:id="11"/>
      </w:r>
      <w:r>
        <w:rPr>
          <w:rFonts w:cs="Arial"/>
        </w:rPr>
        <w:t xml:space="preserve"> South </w:t>
      </w:r>
      <w:r>
        <w:rPr>
          <w:rFonts w:cs="Arial"/>
        </w:rPr>
        <w:br/>
        <w:t>Australia,</w:t>
      </w:r>
      <w:r>
        <w:rPr>
          <w:rStyle w:val="EndnoteReference"/>
          <w:rFonts w:cs="Arial"/>
        </w:rPr>
        <w:endnoteReference w:id="12"/>
      </w:r>
      <w:r>
        <w:rPr>
          <w:rFonts w:cs="Arial"/>
        </w:rPr>
        <w:t xml:space="preserve"> Tasmania,</w:t>
      </w:r>
      <w:r>
        <w:rPr>
          <w:rStyle w:val="EndnoteReference"/>
          <w:rFonts w:cs="Arial"/>
        </w:rPr>
        <w:endnoteReference w:id="13"/>
      </w:r>
      <w:r>
        <w:rPr>
          <w:rFonts w:cs="Arial"/>
        </w:rPr>
        <w:t xml:space="preserve"> the Northern Territory</w:t>
      </w:r>
      <w:r>
        <w:rPr>
          <w:rStyle w:val="EndnoteReference"/>
          <w:rFonts w:cs="Arial"/>
        </w:rPr>
        <w:endnoteReference w:id="14"/>
      </w:r>
      <w:r>
        <w:rPr>
          <w:rFonts w:cs="Arial"/>
        </w:rPr>
        <w:t xml:space="preserve"> and Victoria.</w:t>
      </w:r>
      <w:r>
        <w:rPr>
          <w:rStyle w:val="EndnoteReference"/>
          <w:rFonts w:cs="Arial"/>
        </w:rPr>
        <w:endnoteReference w:id="15"/>
      </w:r>
      <w:r>
        <w:rPr>
          <w:rFonts w:cs="Arial"/>
        </w:rPr>
        <w:t xml:space="preserve"> </w:t>
      </w:r>
    </w:p>
    <w:p w:rsidR="00836513" w:rsidRDefault="00836513" w:rsidP="00836513">
      <w:pPr>
        <w:rPr>
          <w:rFonts w:cs="Arial"/>
        </w:rPr>
      </w:pPr>
      <w:r>
        <w:rPr>
          <w:rFonts w:cs="Arial"/>
        </w:rPr>
        <w:t xml:space="preserve">In Victoria begging is </w:t>
      </w:r>
      <w:r w:rsidRPr="00CE1DF5">
        <w:rPr>
          <w:rFonts w:cs="Arial"/>
        </w:rPr>
        <w:t>punishable by 12 months in prison.</w:t>
      </w:r>
      <w:r>
        <w:rPr>
          <w:rStyle w:val="EndnoteReference"/>
          <w:rFonts w:cs="Arial"/>
        </w:rPr>
        <w:endnoteReference w:id="16"/>
      </w:r>
      <w:r>
        <w:rPr>
          <w:rFonts w:cs="Arial"/>
        </w:rPr>
        <w:t xml:space="preserve"> The Commission is </w:t>
      </w:r>
      <w:r w:rsidRPr="00E72CEE">
        <w:rPr>
          <w:rFonts w:cs="Arial"/>
        </w:rPr>
        <w:t>concerned by media reports that Victoria Police have allegedly confiscated money obtained by homeless persons from begging, on the basis that</w:t>
      </w:r>
      <w:r>
        <w:rPr>
          <w:rFonts w:cs="Arial"/>
        </w:rPr>
        <w:t xml:space="preserve"> </w:t>
      </w:r>
      <w:r w:rsidRPr="00E72CEE">
        <w:rPr>
          <w:rFonts w:cs="Arial"/>
        </w:rPr>
        <w:t>they are ‘proceeds of crime’.</w:t>
      </w:r>
      <w:r w:rsidRPr="00CE1DF5">
        <w:rPr>
          <w:rStyle w:val="EndnoteReference"/>
          <w:rFonts w:cs="Arial"/>
          <w:sz w:val="24"/>
        </w:rPr>
        <w:endnoteReference w:id="17"/>
      </w:r>
      <w:r w:rsidRPr="00E72CEE">
        <w:rPr>
          <w:rFonts w:cs="Arial"/>
        </w:rPr>
        <w:t xml:space="preserve">  </w:t>
      </w:r>
      <w:r>
        <w:rPr>
          <w:rFonts w:cs="Arial"/>
        </w:rPr>
        <w:t>There are also r</w:t>
      </w:r>
      <w:r w:rsidRPr="00E72CEE">
        <w:rPr>
          <w:rFonts w:cs="Arial"/>
        </w:rPr>
        <w:t>eports of police forcing homeless people to place money collected f</w:t>
      </w:r>
      <w:r>
        <w:rPr>
          <w:rFonts w:cs="Arial"/>
        </w:rPr>
        <w:t>rom begging into a charity box.</w:t>
      </w:r>
      <w:r w:rsidRPr="00CE1DF5">
        <w:rPr>
          <w:rStyle w:val="EndnoteReference"/>
          <w:rFonts w:cs="Arial"/>
          <w:sz w:val="24"/>
        </w:rPr>
        <w:endnoteReference w:id="18"/>
      </w:r>
    </w:p>
    <w:p w:rsidR="00836513" w:rsidRPr="00E50068" w:rsidRDefault="00836513" w:rsidP="00836513">
      <w:pPr>
        <w:rPr>
          <w:rFonts w:cs="Arial"/>
          <w:u w:val="single"/>
        </w:rPr>
      </w:pPr>
      <w:r w:rsidRPr="00E50068">
        <w:rPr>
          <w:rFonts w:cs="Arial"/>
          <w:u w:val="single"/>
        </w:rPr>
        <w:t xml:space="preserve"> ‘Drunk and disorderly’ police powers</w:t>
      </w:r>
    </w:p>
    <w:p w:rsidR="00836513" w:rsidRDefault="00836513" w:rsidP="00836513">
      <w:pPr>
        <w:pStyle w:val="Default"/>
        <w:rPr>
          <w:rFonts w:ascii="Arial" w:hAnsi="Arial" w:cs="Arial"/>
        </w:rPr>
      </w:pPr>
      <w:r>
        <w:rPr>
          <w:rFonts w:ascii="Arial" w:hAnsi="Arial" w:cs="Arial"/>
        </w:rPr>
        <w:t>In NSW a person who is given a move on direction for being intoxicated and disorderly in a public place and at any time within 6 hours after the move on direction is given, is intoxicated and disorderly in the same or another public place they are guilty of an offence.</w:t>
      </w:r>
      <w:r>
        <w:rPr>
          <w:rStyle w:val="EndnoteReference"/>
          <w:rFonts w:cs="Arial"/>
        </w:rPr>
        <w:endnoteReference w:id="19"/>
      </w:r>
      <w:r>
        <w:rPr>
          <w:rFonts w:ascii="Arial" w:hAnsi="Arial" w:cs="Arial"/>
        </w:rPr>
        <w:t xml:space="preserve"> In a review of these powers the NSW ombudsman expressed concerns about the negative impacts these powers may have on vulnerable grounds such as homeless people.</w:t>
      </w:r>
      <w:r>
        <w:rPr>
          <w:rStyle w:val="EndnoteReference"/>
          <w:rFonts w:cs="Arial"/>
        </w:rPr>
        <w:endnoteReference w:id="20"/>
      </w:r>
      <w:r>
        <w:rPr>
          <w:rFonts w:ascii="Arial" w:hAnsi="Arial" w:cs="Arial"/>
        </w:rPr>
        <w:t xml:space="preserve"> </w:t>
      </w:r>
    </w:p>
    <w:p w:rsidR="00836513" w:rsidRDefault="00836513" w:rsidP="00836513">
      <w:pPr>
        <w:pStyle w:val="Default"/>
        <w:rPr>
          <w:rFonts w:ascii="Arial" w:hAnsi="Arial" w:cs="Arial"/>
        </w:rPr>
      </w:pPr>
    </w:p>
    <w:p w:rsidR="00836513" w:rsidRPr="001B784D" w:rsidRDefault="00836513" w:rsidP="00836513">
      <w:pPr>
        <w:pStyle w:val="Default"/>
        <w:rPr>
          <w:rFonts w:ascii="Arial" w:hAnsi="Arial" w:cs="Arial"/>
        </w:rPr>
      </w:pPr>
      <w:r>
        <w:rPr>
          <w:rFonts w:ascii="Arial" w:hAnsi="Arial" w:cs="Arial"/>
        </w:rPr>
        <w:t>Similar provisions exist in other Australian Jurisdictions.</w:t>
      </w:r>
      <w:r>
        <w:rPr>
          <w:rStyle w:val="EndnoteReference"/>
          <w:rFonts w:cs="Arial"/>
        </w:rPr>
        <w:endnoteReference w:id="21"/>
      </w:r>
    </w:p>
    <w:p w:rsidR="00836513" w:rsidRDefault="00836513" w:rsidP="00836513">
      <w:pPr>
        <w:pStyle w:val="Default"/>
        <w:rPr>
          <w:rFonts w:ascii="Arial" w:hAnsi="Arial" w:cs="Arial"/>
          <w:b/>
        </w:rPr>
      </w:pPr>
    </w:p>
    <w:p w:rsidR="00836513" w:rsidRPr="004A6584" w:rsidRDefault="00836513" w:rsidP="00836513">
      <w:pPr>
        <w:pStyle w:val="Default"/>
        <w:rPr>
          <w:rFonts w:ascii="Arial" w:hAnsi="Arial" w:cs="Arial"/>
          <w:b/>
        </w:rPr>
      </w:pPr>
      <w:r w:rsidRPr="00CE1DF5">
        <w:rPr>
          <w:rFonts w:ascii="Arial" w:hAnsi="Arial" w:cs="Arial"/>
          <w:b/>
        </w:rPr>
        <w:t xml:space="preserve">Please explain whether such discrimination is prohibited by law at national and/or local levels and describe any initiatives being taken or proposed to address this problem. </w:t>
      </w:r>
    </w:p>
    <w:p w:rsidR="00836513" w:rsidRPr="00CE1DF5" w:rsidRDefault="00836513" w:rsidP="00836513">
      <w:pPr>
        <w:rPr>
          <w:rFonts w:cs="Arial"/>
          <w:u w:val="single"/>
        </w:rPr>
      </w:pPr>
      <w:r w:rsidRPr="00CE1DF5">
        <w:rPr>
          <w:rFonts w:cs="Arial"/>
          <w:u w:val="single"/>
        </w:rPr>
        <w:t xml:space="preserve">Discrimination law and homelessness </w:t>
      </w:r>
    </w:p>
    <w:p w:rsidR="00836513" w:rsidRPr="00CE1DF5" w:rsidRDefault="00836513" w:rsidP="00836513">
      <w:pPr>
        <w:autoSpaceDE w:val="0"/>
        <w:autoSpaceDN w:val="0"/>
        <w:adjustRightInd w:val="0"/>
        <w:spacing w:before="0" w:after="0"/>
        <w:rPr>
          <w:rFonts w:cs="Arial"/>
        </w:rPr>
      </w:pPr>
      <w:r w:rsidRPr="00CE1DF5">
        <w:rPr>
          <w:rFonts w:cs="Arial"/>
        </w:rPr>
        <w:lastRenderedPageBreak/>
        <w:t>Homelessness is not a protected attribute under discrimination law in any jurisdiction in Australia.</w:t>
      </w:r>
      <w:r w:rsidRPr="00CE1DF5">
        <w:rPr>
          <w:rStyle w:val="EndnoteReference"/>
          <w:rFonts w:cs="Arial"/>
          <w:sz w:val="24"/>
        </w:rPr>
        <w:endnoteReference w:id="22"/>
      </w:r>
    </w:p>
    <w:p w:rsidR="00836513" w:rsidRDefault="00836513" w:rsidP="00836513">
      <w:pPr>
        <w:pStyle w:val="Default"/>
        <w:rPr>
          <w:rFonts w:ascii="Arial" w:hAnsi="Arial" w:cs="Arial"/>
          <w:u w:val="single"/>
        </w:rPr>
      </w:pPr>
    </w:p>
    <w:p w:rsidR="00836513" w:rsidRPr="00CE1DF5" w:rsidRDefault="00836513" w:rsidP="00836513">
      <w:pPr>
        <w:pStyle w:val="Default"/>
        <w:rPr>
          <w:rFonts w:ascii="Arial" w:hAnsi="Arial" w:cs="Arial"/>
          <w:u w:val="single"/>
        </w:rPr>
      </w:pPr>
      <w:r w:rsidRPr="00CE1DF5">
        <w:rPr>
          <w:rFonts w:ascii="Arial" w:hAnsi="Arial" w:cs="Arial"/>
          <w:u w:val="single"/>
        </w:rPr>
        <w:t xml:space="preserve">Initiatives </w:t>
      </w:r>
    </w:p>
    <w:p w:rsidR="00836513" w:rsidRPr="00CE1DF5" w:rsidRDefault="00836513" w:rsidP="00836513">
      <w:pPr>
        <w:pStyle w:val="Default"/>
        <w:rPr>
          <w:rFonts w:ascii="Arial" w:hAnsi="Arial" w:cs="Arial"/>
        </w:rPr>
      </w:pPr>
    </w:p>
    <w:p w:rsidR="00836513" w:rsidRDefault="00836513" w:rsidP="00836513">
      <w:pPr>
        <w:pStyle w:val="Default"/>
        <w:rPr>
          <w:rFonts w:ascii="Arial" w:hAnsi="Arial" w:cs="Arial"/>
        </w:rPr>
      </w:pPr>
      <w:r>
        <w:rPr>
          <w:rFonts w:ascii="Arial" w:hAnsi="Arial" w:cs="Arial"/>
        </w:rPr>
        <w:t xml:space="preserve">The </w:t>
      </w:r>
      <w:r w:rsidRPr="00CE1DF5">
        <w:rPr>
          <w:rFonts w:ascii="Arial" w:hAnsi="Arial" w:cs="Arial"/>
        </w:rPr>
        <w:t xml:space="preserve">NSW </w:t>
      </w:r>
      <w:hyperlink r:id="rId8" w:history="1">
        <w:r>
          <w:rPr>
            <w:rStyle w:val="Hyperlink"/>
            <w:rFonts w:ascii="Arial" w:hAnsi="Arial" w:cs="Arial"/>
          </w:rPr>
          <w:t>Protocol for Homeless People in Public Places</w:t>
        </w:r>
      </w:hyperlink>
      <w:r>
        <w:rPr>
          <w:rFonts w:ascii="Arial" w:hAnsi="Arial" w:cs="Arial"/>
        </w:rPr>
        <w:t xml:space="preserve"> is a government initiative</w:t>
      </w:r>
      <w:r w:rsidRPr="00CE1DF5">
        <w:rPr>
          <w:rFonts w:ascii="Arial" w:hAnsi="Arial" w:cs="Arial"/>
        </w:rPr>
        <w:t xml:space="preserve"> aimed at ensuring homeless people are treated respectfully and appropriately and are not discriminated against on the basis of their situation.</w:t>
      </w:r>
      <w:r>
        <w:rPr>
          <w:rStyle w:val="EndnoteReference"/>
          <w:rFonts w:cs="Arial"/>
        </w:rPr>
        <w:endnoteReference w:id="23"/>
      </w:r>
      <w:r w:rsidRPr="00CE1DF5">
        <w:rPr>
          <w:rFonts w:ascii="Arial" w:hAnsi="Arial" w:cs="Arial"/>
        </w:rPr>
        <w:t xml:space="preserve"> </w:t>
      </w:r>
    </w:p>
    <w:p w:rsidR="00836513" w:rsidRDefault="00836513" w:rsidP="00836513">
      <w:pPr>
        <w:pStyle w:val="Default"/>
        <w:rPr>
          <w:rFonts w:ascii="Arial" w:hAnsi="Arial" w:cs="Arial"/>
        </w:rPr>
      </w:pPr>
    </w:p>
    <w:p w:rsidR="00836513" w:rsidRDefault="00836513" w:rsidP="00836513">
      <w:pPr>
        <w:pStyle w:val="Default"/>
        <w:rPr>
          <w:rFonts w:ascii="Arial" w:hAnsi="Arial" w:cs="Arial"/>
        </w:rPr>
      </w:pPr>
      <w:r>
        <w:rPr>
          <w:rFonts w:ascii="Arial" w:hAnsi="Arial" w:cs="Arial"/>
        </w:rPr>
        <w:t>Similar protocols and action plans exist in other Australian jurisdictions.</w:t>
      </w:r>
      <w:r>
        <w:rPr>
          <w:rStyle w:val="EndnoteReference"/>
          <w:rFonts w:cs="Arial"/>
        </w:rPr>
        <w:endnoteReference w:id="24"/>
      </w:r>
    </w:p>
    <w:p w:rsidR="00836513" w:rsidRPr="00E72CEE" w:rsidRDefault="00836513" w:rsidP="00836513">
      <w:pPr>
        <w:pStyle w:val="Default"/>
        <w:rPr>
          <w:rFonts w:ascii="Arial" w:hAnsi="Arial" w:cs="Arial"/>
        </w:rPr>
      </w:pPr>
    </w:p>
    <w:p w:rsidR="00836513" w:rsidRPr="00CE1DF5" w:rsidRDefault="00836513" w:rsidP="00836513">
      <w:pPr>
        <w:pStyle w:val="Default"/>
        <w:rPr>
          <w:rFonts w:ascii="Arial" w:hAnsi="Arial" w:cs="Arial"/>
          <w:b/>
        </w:rPr>
      </w:pPr>
      <w:r>
        <w:rPr>
          <w:rFonts w:ascii="Arial" w:hAnsi="Arial" w:cs="Arial"/>
          <w:b/>
        </w:rPr>
        <w:t xml:space="preserve">5. </w:t>
      </w:r>
      <w:r w:rsidRPr="00CE1DF5">
        <w:rPr>
          <w:rFonts w:ascii="Arial" w:hAnsi="Arial" w:cs="Arial"/>
          <w:b/>
        </w:rPr>
        <w:t>Please indicate if you know whether homelessness has been recognized as a human rights violation by courts, by national human rights institutions in your country/ in the area of your expertise, and if so, on the basis of which human rights (for example: right to adequate housing, right to life, e</w:t>
      </w:r>
      <w:r>
        <w:rPr>
          <w:rFonts w:ascii="Arial" w:hAnsi="Arial" w:cs="Arial"/>
          <w:b/>
        </w:rPr>
        <w:t>t</w:t>
      </w:r>
      <w:r w:rsidRPr="00CE1DF5">
        <w:rPr>
          <w:rFonts w:ascii="Arial" w:hAnsi="Arial" w:cs="Arial"/>
          <w:b/>
        </w:rPr>
        <w:t>c</w:t>
      </w:r>
      <w:r>
        <w:rPr>
          <w:rFonts w:ascii="Arial" w:hAnsi="Arial" w:cs="Arial"/>
          <w:b/>
        </w:rPr>
        <w:t>.</w:t>
      </w:r>
      <w:r w:rsidRPr="00CE1DF5">
        <w:rPr>
          <w:rFonts w:ascii="Arial" w:hAnsi="Arial" w:cs="Arial"/>
          <w:b/>
        </w:rPr>
        <w:t xml:space="preserve">) </w:t>
      </w:r>
    </w:p>
    <w:p w:rsidR="00836513" w:rsidRPr="00CE1DF5" w:rsidRDefault="00836513" w:rsidP="00836513">
      <w:pPr>
        <w:pStyle w:val="Default"/>
        <w:rPr>
          <w:rFonts w:ascii="Arial" w:hAnsi="Arial" w:cs="Arial"/>
        </w:rPr>
      </w:pPr>
    </w:p>
    <w:p w:rsidR="00836513" w:rsidRDefault="00836513" w:rsidP="00836513">
      <w:pPr>
        <w:pStyle w:val="Default"/>
        <w:rPr>
          <w:rFonts w:ascii="Arial" w:hAnsi="Arial" w:cs="Arial"/>
          <w:u w:val="single"/>
        </w:rPr>
      </w:pPr>
      <w:r>
        <w:rPr>
          <w:rFonts w:ascii="Arial" w:hAnsi="Arial" w:cs="Arial"/>
          <w:u w:val="single"/>
        </w:rPr>
        <w:t>Courts recognition</w:t>
      </w:r>
    </w:p>
    <w:p w:rsidR="00836513" w:rsidRDefault="00836513" w:rsidP="00836513">
      <w:pPr>
        <w:pStyle w:val="Default"/>
        <w:rPr>
          <w:rFonts w:ascii="Arial" w:hAnsi="Arial" w:cs="Arial"/>
          <w:u w:val="single"/>
        </w:rPr>
      </w:pPr>
    </w:p>
    <w:p w:rsidR="00836513" w:rsidRPr="004922F0" w:rsidRDefault="00836513" w:rsidP="00836513">
      <w:pPr>
        <w:pStyle w:val="Default"/>
        <w:rPr>
          <w:rFonts w:ascii="Arial" w:hAnsi="Arial" w:cs="Arial"/>
          <w:shd w:val="clear" w:color="auto" w:fill="FFFFFF"/>
        </w:rPr>
      </w:pPr>
      <w:r w:rsidRPr="004922F0">
        <w:rPr>
          <w:rStyle w:val="apple-converted-space"/>
          <w:rFonts w:ascii="Arial" w:hAnsi="Arial" w:cs="Arial"/>
          <w:shd w:val="clear" w:color="auto" w:fill="FFFFFF"/>
        </w:rPr>
        <w:t>The High Court of Australia has held that </w:t>
      </w:r>
      <w:r w:rsidRPr="004922F0">
        <w:rPr>
          <w:rFonts w:ascii="Arial" w:hAnsi="Arial" w:cs="Arial"/>
          <w:shd w:val="clear" w:color="auto" w:fill="FFFFFF"/>
        </w:rPr>
        <w:t>international norms influence the development of the Australian common law.</w:t>
      </w:r>
      <w:r w:rsidRPr="004922F0">
        <w:rPr>
          <w:rStyle w:val="EndnoteReference"/>
          <w:rFonts w:cs="Arial"/>
          <w:sz w:val="24"/>
          <w:shd w:val="clear" w:color="auto" w:fill="FFFFFF"/>
        </w:rPr>
        <w:endnoteReference w:id="25"/>
      </w:r>
      <w:r w:rsidRPr="004922F0">
        <w:rPr>
          <w:rFonts w:ascii="Arial" w:hAnsi="Arial" w:cs="Arial"/>
          <w:shd w:val="clear" w:color="auto" w:fill="FFFFFF"/>
        </w:rPr>
        <w:t xml:space="preserve"> The right to an adequate standard of living contained in the ICESCR and other rights which engage homelessness therefore have the potential to be addressed in the development of the common law in Australia. </w:t>
      </w:r>
    </w:p>
    <w:p w:rsidR="00836513" w:rsidRDefault="00836513" w:rsidP="00836513">
      <w:pPr>
        <w:pStyle w:val="Default"/>
        <w:rPr>
          <w:rFonts w:ascii="Arial" w:hAnsi="Arial" w:cs="Arial"/>
          <w:shd w:val="clear" w:color="auto" w:fill="FFFFFF"/>
        </w:rPr>
      </w:pPr>
    </w:p>
    <w:p w:rsidR="00836513" w:rsidRDefault="00836513" w:rsidP="00836513">
      <w:pPr>
        <w:pStyle w:val="Default"/>
        <w:rPr>
          <w:rFonts w:ascii="Arial" w:hAnsi="Arial" w:cs="Arial"/>
          <w:shd w:val="clear" w:color="auto" w:fill="FFFFFF"/>
        </w:rPr>
      </w:pPr>
      <w:r w:rsidRPr="00CE1DF5">
        <w:rPr>
          <w:rFonts w:ascii="Arial" w:hAnsi="Arial" w:cs="Arial"/>
        </w:rPr>
        <w:t>T</w:t>
      </w:r>
      <w:r>
        <w:rPr>
          <w:rFonts w:ascii="Arial" w:hAnsi="Arial" w:cs="Arial"/>
        </w:rPr>
        <w:t>he Commission considers that homelessness raises a range of human rights concerns</w:t>
      </w:r>
      <w:r w:rsidRPr="00C203A0">
        <w:rPr>
          <w:rStyle w:val="EndnoteReference"/>
          <w:rFonts w:cs="Arial"/>
          <w:shd w:val="clear" w:color="auto" w:fill="FFFFFF"/>
        </w:rPr>
        <w:t xml:space="preserve"> </w:t>
      </w:r>
      <w:r>
        <w:rPr>
          <w:rStyle w:val="EndnoteReference"/>
          <w:rFonts w:cs="Arial"/>
          <w:shd w:val="clear" w:color="auto" w:fill="FFFFFF"/>
        </w:rPr>
        <w:endnoteReference w:id="26"/>
      </w:r>
      <w:r>
        <w:rPr>
          <w:rFonts w:ascii="Arial" w:hAnsi="Arial" w:cs="Arial"/>
          <w:shd w:val="clear" w:color="auto" w:fill="FFFFFF"/>
        </w:rPr>
        <w:t xml:space="preserve"> </w:t>
      </w:r>
      <w:r>
        <w:rPr>
          <w:rFonts w:ascii="Arial" w:hAnsi="Arial" w:cs="Arial"/>
        </w:rPr>
        <w:t xml:space="preserve"> as p</w:t>
      </w:r>
      <w:r w:rsidRPr="00CE1DF5">
        <w:rPr>
          <w:rFonts w:ascii="Arial" w:hAnsi="Arial" w:cs="Arial"/>
        </w:rPr>
        <w:t>ersons who are homele</w:t>
      </w:r>
      <w:r>
        <w:rPr>
          <w:rFonts w:ascii="Arial" w:hAnsi="Arial" w:cs="Arial"/>
        </w:rPr>
        <w:t>ss may be facing violations of the</w:t>
      </w:r>
      <w:r>
        <w:rPr>
          <w:rStyle w:val="apple-converted-space"/>
          <w:rFonts w:cs="Arial"/>
          <w:shd w:val="clear" w:color="auto" w:fill="FFFFFF"/>
        </w:rPr>
        <w:t> </w:t>
      </w:r>
      <w:r w:rsidRPr="00CE1DF5">
        <w:rPr>
          <w:rFonts w:ascii="Arial" w:hAnsi="Arial" w:cs="Arial"/>
          <w:shd w:val="clear" w:color="auto" w:fill="FFFFFF"/>
        </w:rPr>
        <w:t>right to an adequate standard of living (which includes the right to adequate housing), the right to education, the right to liberty and security of the person, the right to privacy, the right to social security, the right to freedom from discrimination, the right to vote and many more.’</w:t>
      </w:r>
      <w:r w:rsidRPr="00CE1DF5">
        <w:rPr>
          <w:rStyle w:val="EndnoteReference"/>
          <w:rFonts w:cs="Arial"/>
          <w:sz w:val="24"/>
          <w:shd w:val="clear" w:color="auto" w:fill="FFFFFF"/>
        </w:rPr>
        <w:endnoteReference w:id="27"/>
      </w:r>
    </w:p>
    <w:p w:rsidR="00836513" w:rsidRPr="00B858AF" w:rsidRDefault="00836513" w:rsidP="00836513">
      <w:pPr>
        <w:pStyle w:val="Default"/>
        <w:rPr>
          <w:rFonts w:ascii="Arial" w:hAnsi="Arial" w:cs="Arial"/>
          <w:b/>
        </w:rPr>
      </w:pPr>
    </w:p>
    <w:p w:rsidR="00836513" w:rsidRDefault="00836513" w:rsidP="00836513">
      <w:pPr>
        <w:pStyle w:val="Default"/>
        <w:rPr>
          <w:rFonts w:ascii="Arial" w:hAnsi="Arial" w:cs="Arial"/>
          <w:b/>
        </w:rPr>
      </w:pPr>
      <w:r w:rsidRPr="00B858AF">
        <w:rPr>
          <w:rFonts w:ascii="Arial" w:hAnsi="Arial" w:cs="Arial"/>
          <w:b/>
        </w:rPr>
        <w:t xml:space="preserve">Provide information on any initiatives being taken by your organization or others to address homelessness using an explicit human rights framework. </w:t>
      </w:r>
    </w:p>
    <w:p w:rsidR="00836513" w:rsidRDefault="00836513" w:rsidP="00836513">
      <w:pPr>
        <w:pStyle w:val="Default"/>
        <w:rPr>
          <w:rFonts w:ascii="Arial" w:hAnsi="Arial" w:cs="Arial"/>
          <w:u w:val="single"/>
        </w:rPr>
      </w:pPr>
    </w:p>
    <w:p w:rsidR="00836513" w:rsidRPr="00CE1DF5" w:rsidRDefault="00836513" w:rsidP="00836513">
      <w:pPr>
        <w:pStyle w:val="Default"/>
        <w:rPr>
          <w:rFonts w:ascii="Arial" w:hAnsi="Arial" w:cs="Arial"/>
          <w:u w:val="single"/>
        </w:rPr>
      </w:pPr>
      <w:r w:rsidRPr="00CE1DF5">
        <w:rPr>
          <w:rFonts w:ascii="Arial" w:hAnsi="Arial" w:cs="Arial"/>
          <w:u w:val="single"/>
        </w:rPr>
        <w:t>Commission work</w:t>
      </w:r>
    </w:p>
    <w:p w:rsidR="00836513" w:rsidRDefault="00836513" w:rsidP="00836513">
      <w:pPr>
        <w:pStyle w:val="Default"/>
        <w:rPr>
          <w:rFonts w:ascii="Arial" w:hAnsi="Arial" w:cs="Arial"/>
          <w:shd w:val="clear" w:color="auto" w:fill="FFFFFF"/>
        </w:rPr>
      </w:pPr>
      <w:r>
        <w:rPr>
          <w:rFonts w:ascii="Arial" w:hAnsi="Arial" w:cs="Arial"/>
          <w:shd w:val="clear" w:color="auto" w:fill="FFFFFF"/>
        </w:rPr>
        <w:t xml:space="preserve"> </w:t>
      </w:r>
    </w:p>
    <w:p w:rsidR="00836513" w:rsidRDefault="00836513" w:rsidP="00836513">
      <w:pPr>
        <w:pStyle w:val="Default"/>
        <w:rPr>
          <w:rFonts w:ascii="Arial" w:hAnsi="Arial" w:cs="Arial"/>
          <w:shd w:val="clear" w:color="auto" w:fill="FFFFFF"/>
        </w:rPr>
      </w:pPr>
      <w:r>
        <w:rPr>
          <w:rFonts w:ascii="Arial" w:hAnsi="Arial" w:cs="Arial"/>
          <w:shd w:val="clear" w:color="auto" w:fill="FFFFFF"/>
        </w:rPr>
        <w:t xml:space="preserve">The Commission made a submission to the 2009 inquiry into homelessness legislation conducted by the Standing Committee on Family, Community and Youth. The submission can be viewed </w:t>
      </w:r>
      <w:hyperlink r:id="rId9" w:history="1">
        <w:r>
          <w:rPr>
            <w:rStyle w:val="Hyperlink"/>
            <w:rFonts w:ascii="Arial" w:hAnsi="Arial" w:cs="Arial"/>
            <w:shd w:val="clear" w:color="auto" w:fill="FFFFFF"/>
          </w:rPr>
          <w:t>here</w:t>
        </w:r>
      </w:hyperlink>
      <w:r>
        <w:rPr>
          <w:rFonts w:ascii="Arial" w:hAnsi="Arial" w:cs="Arial"/>
          <w:shd w:val="clear" w:color="auto" w:fill="FFFFFF"/>
        </w:rPr>
        <w:t xml:space="preserve">.  </w:t>
      </w:r>
    </w:p>
    <w:p w:rsidR="00836513" w:rsidRDefault="00836513" w:rsidP="00836513">
      <w:pPr>
        <w:pStyle w:val="Default"/>
        <w:rPr>
          <w:rFonts w:ascii="Arial" w:hAnsi="Arial" w:cs="Arial"/>
          <w:shd w:val="clear" w:color="auto" w:fill="FFFFFF"/>
        </w:rPr>
      </w:pPr>
    </w:p>
    <w:p w:rsidR="00DD5494" w:rsidRPr="00BD4470" w:rsidRDefault="00836513" w:rsidP="00BD4470">
      <w:pPr>
        <w:pStyle w:val="Default"/>
        <w:rPr>
          <w:rFonts w:ascii="Arial" w:hAnsi="Arial" w:cs="Arial"/>
          <w:i/>
        </w:rPr>
      </w:pPr>
      <w:r>
        <w:rPr>
          <w:rFonts w:ascii="Arial" w:hAnsi="Arial" w:cs="Arial"/>
          <w:shd w:val="clear" w:color="auto" w:fill="FFFFFF"/>
        </w:rPr>
        <w:t>In 2008 the Commission published a paper titled ‘</w:t>
      </w:r>
      <w:hyperlink r:id="rId10" w:history="1">
        <w:hyperlink r:id="rId11" w:history="1">
          <w:r w:rsidRPr="00C203A0">
            <w:rPr>
              <w:rStyle w:val="Hyperlink"/>
              <w:rFonts w:ascii="Arial" w:hAnsi="Arial" w:cs="Arial"/>
              <w:i/>
            </w:rPr>
            <w:t>Homelessness is a Human Rights Issue</w:t>
          </w:r>
        </w:hyperlink>
        <w:r w:rsidRPr="00C203A0">
          <w:rPr>
            <w:rFonts w:ascii="Arial" w:hAnsi="Arial" w:cs="Arial"/>
            <w:i/>
          </w:rPr>
          <w:t xml:space="preserve"> </w:t>
        </w:r>
        <w:r>
          <w:rPr>
            <w:rStyle w:val="Hyperlink"/>
            <w:rFonts w:ascii="Arial" w:hAnsi="Arial" w:cs="Arial"/>
            <w:shd w:val="clear" w:color="auto" w:fill="FFFFFF"/>
          </w:rPr>
          <w:t>'</w:t>
        </w:r>
      </w:hyperlink>
      <w:r>
        <w:rPr>
          <w:rStyle w:val="EndnoteReference"/>
          <w:rFonts w:cs="Arial"/>
          <w:shd w:val="clear" w:color="auto" w:fill="FFFFFF"/>
        </w:rPr>
        <w:endnoteReference w:id="28"/>
      </w:r>
      <w:r>
        <w:rPr>
          <w:rFonts w:ascii="Arial" w:hAnsi="Arial" w:cs="Arial"/>
          <w:shd w:val="clear" w:color="auto" w:fill="FFFFFF"/>
        </w:rPr>
        <w:t xml:space="preserve"> </w:t>
      </w:r>
    </w:p>
    <w:sectPr w:rsidR="00DD5494" w:rsidRPr="00BD4470" w:rsidSect="002932DC">
      <w:headerReference w:type="default" r:id="rId12"/>
      <w:footerReference w:type="default" r:id="rId13"/>
      <w:headerReference w:type="first" r:id="rId14"/>
      <w:footerReference w:type="first" r:id="rId15"/>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513" w:rsidRDefault="00836513" w:rsidP="00F14C6D">
      <w:r>
        <w:separator/>
      </w:r>
    </w:p>
  </w:endnote>
  <w:endnote w:type="continuationSeparator" w:id="0">
    <w:p w:rsidR="00836513" w:rsidRDefault="00836513" w:rsidP="00F14C6D">
      <w:r>
        <w:continuationSeparator/>
      </w:r>
    </w:p>
  </w:endnote>
  <w:endnote w:id="1">
    <w:p w:rsidR="00836513" w:rsidRPr="004A5177" w:rsidRDefault="00836513" w:rsidP="00836513">
      <w:pPr>
        <w:pStyle w:val="EndnoteText"/>
        <w:rPr>
          <w:rFonts w:cs="Arial"/>
        </w:rPr>
      </w:pPr>
      <w:r w:rsidRPr="004A5177">
        <w:rPr>
          <w:rStyle w:val="EndnoteReference"/>
          <w:rFonts w:cs="Arial"/>
        </w:rPr>
        <w:endnoteRef/>
      </w:r>
      <w:r w:rsidRPr="004A5177">
        <w:rPr>
          <w:rFonts w:cs="Arial"/>
        </w:rPr>
        <w:t xml:space="preserve"> Human Rights Law Centre, </w:t>
      </w:r>
      <w:r w:rsidRPr="004A5177">
        <w:rPr>
          <w:rFonts w:cs="Arial"/>
          <w:i/>
        </w:rPr>
        <w:t xml:space="preserve">Fact Sheet 6 – Housing and Homelessness </w:t>
      </w:r>
      <w:r w:rsidRPr="004A5177">
        <w:rPr>
          <w:rFonts w:cs="Arial"/>
        </w:rPr>
        <w:t xml:space="preserve">(2016). At </w:t>
      </w:r>
      <w:hyperlink r:id="rId1" w:history="1">
        <w:r w:rsidRPr="004A5177">
          <w:rPr>
            <w:rStyle w:val="Hyperlink"/>
            <w:rFonts w:cs="Arial"/>
          </w:rPr>
          <w:t>http://hrlc.org.au/wp-content/uploads/2015/07/6+Final+Housing+and+Homelessness+Fact+Sheet.pdf</w:t>
        </w:r>
      </w:hyperlink>
      <w:r w:rsidRPr="004A5177">
        <w:rPr>
          <w:rFonts w:cs="Arial"/>
        </w:rPr>
        <w:t xml:space="preserve">  (Viewed 19 October 2015)</w:t>
      </w:r>
    </w:p>
  </w:endnote>
  <w:endnote w:id="2">
    <w:p w:rsidR="00836513" w:rsidRPr="00B942B1" w:rsidRDefault="00836513" w:rsidP="00836513">
      <w:pPr>
        <w:autoSpaceDE w:val="0"/>
        <w:autoSpaceDN w:val="0"/>
        <w:adjustRightInd w:val="0"/>
        <w:spacing w:before="0" w:after="0"/>
        <w:rPr>
          <w:rFonts w:cs="Arial"/>
          <w:i/>
          <w:iCs/>
          <w:sz w:val="20"/>
          <w:szCs w:val="20"/>
        </w:rPr>
      </w:pPr>
      <w:r w:rsidRPr="004A5177">
        <w:rPr>
          <w:rStyle w:val="EndnoteReference"/>
          <w:rFonts w:cs="Arial"/>
          <w:szCs w:val="20"/>
        </w:rPr>
        <w:endnoteRef/>
      </w:r>
      <w:r w:rsidRPr="004A5177">
        <w:rPr>
          <w:rFonts w:cs="Arial"/>
          <w:sz w:val="20"/>
          <w:szCs w:val="20"/>
        </w:rPr>
        <w:t xml:space="preserve"> </w:t>
      </w:r>
      <w:r w:rsidRPr="00B942B1">
        <w:rPr>
          <w:rFonts w:cs="Arial"/>
          <w:sz w:val="20"/>
          <w:szCs w:val="20"/>
        </w:rPr>
        <w:t>Law Enforcement (Powers and Responsibilities) Act 2002 (NSW) s 197;</w:t>
      </w:r>
      <w:r w:rsidRPr="00B942B1">
        <w:rPr>
          <w:rFonts w:cs="Arial"/>
          <w:i/>
          <w:iCs/>
          <w:sz w:val="20"/>
          <w:szCs w:val="20"/>
        </w:rPr>
        <w:t xml:space="preserve"> Police Powers and Responsibilities Act 2000 </w:t>
      </w:r>
      <w:r w:rsidRPr="00B942B1">
        <w:rPr>
          <w:rFonts w:cs="Arial"/>
          <w:sz w:val="20"/>
          <w:szCs w:val="20"/>
        </w:rPr>
        <w:t xml:space="preserve">(Qld) pt 5; </w:t>
      </w:r>
      <w:r w:rsidRPr="00B942B1">
        <w:rPr>
          <w:rFonts w:cs="Arial"/>
          <w:i/>
          <w:iCs/>
          <w:sz w:val="20"/>
          <w:szCs w:val="20"/>
        </w:rPr>
        <w:t xml:space="preserve">Summary Offences Act 1953 </w:t>
      </w:r>
      <w:r w:rsidRPr="00B942B1">
        <w:rPr>
          <w:rFonts w:cs="Arial"/>
          <w:sz w:val="20"/>
          <w:szCs w:val="20"/>
        </w:rPr>
        <w:t xml:space="preserve">(SA) s 18; </w:t>
      </w:r>
      <w:r w:rsidRPr="00B942B1">
        <w:rPr>
          <w:rFonts w:cs="Arial"/>
          <w:i/>
          <w:iCs/>
          <w:sz w:val="20"/>
          <w:szCs w:val="20"/>
        </w:rPr>
        <w:t xml:space="preserve">Police Act 1892 </w:t>
      </w:r>
      <w:r w:rsidRPr="00B942B1">
        <w:rPr>
          <w:rFonts w:cs="Arial"/>
          <w:sz w:val="20"/>
          <w:szCs w:val="20"/>
        </w:rPr>
        <w:t xml:space="preserve">(WA) s 50; </w:t>
      </w:r>
      <w:r w:rsidRPr="00B942B1">
        <w:rPr>
          <w:rFonts w:cs="Arial"/>
          <w:i/>
          <w:iCs/>
          <w:sz w:val="20"/>
          <w:szCs w:val="20"/>
        </w:rPr>
        <w:t xml:space="preserve">Offences Act </w:t>
      </w:r>
      <w:r w:rsidRPr="00B942B1">
        <w:rPr>
          <w:rFonts w:cs="Arial"/>
          <w:sz w:val="20"/>
          <w:szCs w:val="20"/>
        </w:rPr>
        <w:t xml:space="preserve">(NT) s 47A; </w:t>
      </w:r>
      <w:r w:rsidRPr="00B942B1">
        <w:rPr>
          <w:rFonts w:cs="Arial"/>
          <w:i/>
          <w:iCs/>
          <w:sz w:val="20"/>
          <w:szCs w:val="20"/>
        </w:rPr>
        <w:t xml:space="preserve">Crime Prevention Powers Act 1998 </w:t>
      </w:r>
      <w:r w:rsidRPr="00B942B1">
        <w:rPr>
          <w:rFonts w:cs="Arial"/>
          <w:sz w:val="20"/>
          <w:szCs w:val="20"/>
        </w:rPr>
        <w:t>(ACT) s 4;</w:t>
      </w:r>
      <w:r w:rsidRPr="00B942B1">
        <w:rPr>
          <w:rFonts w:cs="Arial"/>
          <w:i/>
          <w:iCs/>
          <w:sz w:val="20"/>
          <w:szCs w:val="20"/>
        </w:rPr>
        <w:t xml:space="preserve"> Police Offences Act 1935 </w:t>
      </w:r>
      <w:r>
        <w:rPr>
          <w:rFonts w:cs="Arial"/>
          <w:sz w:val="20"/>
          <w:szCs w:val="20"/>
        </w:rPr>
        <w:t>(Tas) s 15B(1)</w:t>
      </w:r>
    </w:p>
  </w:endnote>
  <w:endnote w:id="3">
    <w:p w:rsidR="00836513" w:rsidRPr="00783CE9" w:rsidRDefault="00836513" w:rsidP="00836513">
      <w:pPr>
        <w:pStyle w:val="EndnoteText"/>
        <w:rPr>
          <w:rFonts w:cs="Arial"/>
        </w:rPr>
      </w:pPr>
      <w:r w:rsidRPr="004A5177">
        <w:rPr>
          <w:rStyle w:val="EndnoteReference"/>
          <w:rFonts w:cs="Arial"/>
        </w:rPr>
        <w:endnoteRef/>
      </w:r>
      <w:r w:rsidRPr="004A5177">
        <w:rPr>
          <w:rFonts w:cs="Arial"/>
        </w:rPr>
        <w:t xml:space="preserve"> Tamara Walsh and Monica Taylor, ‘You’re not welcome here: police move on powers and discrimination law’ (2007) </w:t>
      </w:r>
      <w:r w:rsidRPr="004A5177">
        <w:rPr>
          <w:rFonts w:cs="Arial"/>
          <w:i/>
        </w:rPr>
        <w:t xml:space="preserve">UNSW Law Journal </w:t>
      </w:r>
      <w:r w:rsidRPr="004A5177">
        <w:rPr>
          <w:rFonts w:cs="Arial"/>
        </w:rPr>
        <w:t xml:space="preserve">30 (1), 157. At </w:t>
      </w:r>
      <w:hyperlink r:id="rId2" w:history="1">
        <w:r w:rsidRPr="00783CE9">
          <w:rPr>
            <w:rStyle w:val="Hyperlink"/>
            <w:rFonts w:cs="Arial"/>
          </w:rPr>
          <w:t>https://www.google.com.au/url?sa=t&amp;rct=j&amp;q=&amp;esrc=s&amp;source=web&amp;cd=8&amp;cad=rja&amp;uact=8&amp;ved=0CEgQFjAHahUKEwi1qNi5zbTIAhWnF6YKHfksAjk&amp;url=http%3A%2F%2Fwww.unswlawjournal.unsw.edu.au%2Fsites%2Fdefault%2Ffiles%2F7_walsh_and_taylor_2007.pdf&amp;usg=AFQjCNEcD3pLbktKOO8Ujellh92fXP1wbQ</w:t>
        </w:r>
      </w:hyperlink>
      <w:r w:rsidRPr="00783CE9">
        <w:rPr>
          <w:rStyle w:val="Hyperlink"/>
          <w:rFonts w:cs="Arial"/>
        </w:rPr>
        <w:t xml:space="preserve"> </w:t>
      </w:r>
      <w:r w:rsidRPr="00783CE9">
        <w:rPr>
          <w:rFonts w:cs="Arial"/>
        </w:rPr>
        <w:t>(Viewed 19 October 2015)</w:t>
      </w:r>
    </w:p>
  </w:endnote>
  <w:endnote w:id="4">
    <w:p w:rsidR="00836513" w:rsidRPr="00783CE9" w:rsidRDefault="00836513" w:rsidP="00836513">
      <w:pPr>
        <w:pStyle w:val="EndnoteText"/>
        <w:rPr>
          <w:rFonts w:cs="Arial"/>
        </w:rPr>
      </w:pPr>
      <w:r w:rsidRPr="00783CE9">
        <w:rPr>
          <w:rStyle w:val="EndnoteReference"/>
          <w:rFonts w:cs="Arial"/>
        </w:rPr>
        <w:endnoteRef/>
      </w:r>
      <w:r w:rsidRPr="00783CE9">
        <w:rPr>
          <w:rFonts w:cs="Arial"/>
        </w:rPr>
        <w:t xml:space="preserve"> Tamara Walsh and Monica Taylor, ‘You’re not welcome here: police move on powers and discrimination law’ (2007) </w:t>
      </w:r>
      <w:r w:rsidRPr="00783CE9">
        <w:rPr>
          <w:rFonts w:cs="Arial"/>
          <w:i/>
        </w:rPr>
        <w:t xml:space="preserve">UNSW Law Journal </w:t>
      </w:r>
      <w:r w:rsidRPr="00783CE9">
        <w:rPr>
          <w:rFonts w:cs="Arial"/>
        </w:rPr>
        <w:t xml:space="preserve">30 (1), 157. At </w:t>
      </w:r>
      <w:hyperlink r:id="rId3" w:history="1">
        <w:r w:rsidRPr="00783CE9">
          <w:rPr>
            <w:rStyle w:val="Hyperlink"/>
            <w:rFonts w:cs="Arial"/>
          </w:rPr>
          <w:t>https://www.google.com.au/url?sa=t&amp;rct=j&amp;q=&amp;esrc=s&amp;source=web&amp;cd=8&amp;cad=rja&amp;uact=8&amp;ved=0CEgQFjAHahUKEwi1qNi5zbTIAhWnF6YKHfksAjk&amp;url=http%3A%2F%2Fwww.unswlawjournal.unsw.edu.au%2Fsites%2Fdefault%2Ffiles%2F7_walsh_and_taylor_2007.pdf&amp;usg=AFQjCNEcD3pLbktKOO8Ujellh92fXP1wbQ</w:t>
        </w:r>
      </w:hyperlink>
      <w:r w:rsidRPr="00783CE9">
        <w:rPr>
          <w:rStyle w:val="Hyperlink"/>
          <w:rFonts w:cs="Arial"/>
        </w:rPr>
        <w:t xml:space="preserve"> </w:t>
      </w:r>
      <w:r w:rsidRPr="00783CE9">
        <w:rPr>
          <w:rFonts w:cs="Arial"/>
        </w:rPr>
        <w:t>(Viewed 19 October 2015)</w:t>
      </w:r>
    </w:p>
  </w:endnote>
  <w:endnote w:id="5">
    <w:p w:rsidR="00836513" w:rsidRPr="00783CE9" w:rsidRDefault="00836513" w:rsidP="00836513">
      <w:pPr>
        <w:pStyle w:val="EndnoteText"/>
        <w:rPr>
          <w:rFonts w:cs="Arial"/>
        </w:rPr>
      </w:pPr>
      <w:r w:rsidRPr="00783CE9">
        <w:rPr>
          <w:rStyle w:val="EndnoteReference"/>
        </w:rPr>
        <w:endnoteRef/>
      </w:r>
      <w:r w:rsidRPr="00783CE9">
        <w:t xml:space="preserve"> </w:t>
      </w:r>
      <w:r w:rsidRPr="00783CE9">
        <w:rPr>
          <w:rFonts w:cs="Arial"/>
          <w:i/>
          <w:iCs/>
        </w:rPr>
        <w:t xml:space="preserve">Crime Prevention Powers Act 1998 </w:t>
      </w:r>
      <w:r w:rsidRPr="00783CE9">
        <w:rPr>
          <w:rFonts w:cs="Arial"/>
        </w:rPr>
        <w:t xml:space="preserve">(ACT) s 4; </w:t>
      </w:r>
      <w:r w:rsidRPr="00783CE9">
        <w:rPr>
          <w:rStyle w:val="EndnoteReference"/>
          <w:rFonts w:cs="Arial"/>
        </w:rPr>
        <w:endnoteRef/>
      </w:r>
      <w:r w:rsidRPr="00783CE9">
        <w:rPr>
          <w:rFonts w:cs="Arial"/>
        </w:rPr>
        <w:t xml:space="preserve"> Tamara Walsh and Monica Taylor, ‘You’re not welcome here: police move on powers and discrimination law’ (2007) </w:t>
      </w:r>
      <w:r w:rsidRPr="00783CE9">
        <w:rPr>
          <w:rFonts w:cs="Arial"/>
          <w:i/>
        </w:rPr>
        <w:t xml:space="preserve">UNSW Law Journal </w:t>
      </w:r>
      <w:r w:rsidRPr="00783CE9">
        <w:rPr>
          <w:rFonts w:cs="Arial"/>
        </w:rPr>
        <w:t xml:space="preserve">30 (1), 159. At </w:t>
      </w:r>
      <w:hyperlink r:id="rId4" w:history="1">
        <w:r w:rsidRPr="00783CE9">
          <w:rPr>
            <w:rStyle w:val="Hyperlink"/>
            <w:rFonts w:cs="Arial"/>
          </w:rPr>
          <w:t>https://www.google.com.au/url?sa=t&amp;rct=j&amp;q=&amp;esrc=s&amp;source=web&amp;cd=8&amp;cad=rja&amp;uact=8&amp;ved=0CEgQFjAHahUKEwi1qNi5zbTIAhWnF6YKHfksAjk&amp;url=http%3A%2F%2Fwww.unswlawjournal.unsw.edu.au%2Fsites%2Fdefault%2Ffiles%2F7_walsh_and_taylor_2007.pdf&amp;usg=AFQjCNEcD3pLbktKOO8Ujellh92fXP1wbQ</w:t>
        </w:r>
      </w:hyperlink>
      <w:r w:rsidRPr="00783CE9">
        <w:rPr>
          <w:rStyle w:val="Hyperlink"/>
          <w:rFonts w:cs="Arial"/>
        </w:rPr>
        <w:t xml:space="preserve"> </w:t>
      </w:r>
      <w:r w:rsidRPr="00783CE9">
        <w:rPr>
          <w:rFonts w:cs="Arial"/>
        </w:rPr>
        <w:t>(Viewed 19 October 2015)</w:t>
      </w:r>
    </w:p>
  </w:endnote>
  <w:endnote w:id="6">
    <w:p w:rsidR="00836513" w:rsidRPr="00783CE9" w:rsidRDefault="00836513" w:rsidP="00836513">
      <w:pPr>
        <w:autoSpaceDE w:val="0"/>
        <w:autoSpaceDN w:val="0"/>
        <w:adjustRightInd w:val="0"/>
        <w:spacing w:before="0" w:after="0"/>
        <w:rPr>
          <w:rFonts w:cs="Arial"/>
          <w:i/>
          <w:iCs/>
          <w:sz w:val="20"/>
          <w:szCs w:val="20"/>
        </w:rPr>
      </w:pPr>
      <w:r w:rsidRPr="00783CE9">
        <w:rPr>
          <w:rStyle w:val="EndnoteReference"/>
          <w:szCs w:val="20"/>
        </w:rPr>
        <w:endnoteRef/>
      </w:r>
      <w:r w:rsidRPr="00783CE9">
        <w:rPr>
          <w:sz w:val="20"/>
          <w:szCs w:val="20"/>
        </w:rPr>
        <w:t xml:space="preserve"> </w:t>
      </w:r>
      <w:r w:rsidRPr="00783CE9">
        <w:rPr>
          <w:rFonts w:cs="Arial"/>
          <w:i/>
          <w:iCs/>
          <w:sz w:val="20"/>
          <w:szCs w:val="20"/>
        </w:rPr>
        <w:t xml:space="preserve">Summary Offences Act 1953 </w:t>
      </w:r>
      <w:r w:rsidRPr="00783CE9">
        <w:rPr>
          <w:rFonts w:cs="Arial"/>
          <w:sz w:val="20"/>
          <w:szCs w:val="20"/>
        </w:rPr>
        <w:t xml:space="preserve">(SA) s 18; </w:t>
      </w:r>
      <w:r w:rsidRPr="00783CE9">
        <w:rPr>
          <w:rFonts w:cs="Arial"/>
          <w:i/>
          <w:iCs/>
          <w:sz w:val="20"/>
          <w:szCs w:val="20"/>
        </w:rPr>
        <w:t xml:space="preserve">Police Act 1892 </w:t>
      </w:r>
      <w:r w:rsidRPr="00783CE9">
        <w:rPr>
          <w:rFonts w:cs="Arial"/>
          <w:sz w:val="20"/>
          <w:szCs w:val="20"/>
        </w:rPr>
        <w:t>(WA) s 50; ;</w:t>
      </w:r>
      <w:r w:rsidRPr="00783CE9">
        <w:rPr>
          <w:rFonts w:cs="Arial"/>
          <w:i/>
          <w:iCs/>
          <w:sz w:val="20"/>
          <w:szCs w:val="20"/>
        </w:rPr>
        <w:t xml:space="preserve"> Police Offences Act 1935 </w:t>
      </w:r>
      <w:r w:rsidRPr="00783CE9">
        <w:rPr>
          <w:rFonts w:cs="Arial"/>
          <w:sz w:val="20"/>
          <w:szCs w:val="20"/>
        </w:rPr>
        <w:t xml:space="preserve">(Tas) s 15B(1); </w:t>
      </w:r>
      <w:r w:rsidRPr="00783CE9">
        <w:rPr>
          <w:rFonts w:cs="Arial"/>
          <w:i/>
          <w:iCs/>
          <w:sz w:val="20"/>
          <w:szCs w:val="20"/>
        </w:rPr>
        <w:t xml:space="preserve">Offences Act </w:t>
      </w:r>
      <w:r w:rsidRPr="00783CE9">
        <w:rPr>
          <w:rFonts w:cs="Arial"/>
          <w:sz w:val="20"/>
          <w:szCs w:val="20"/>
        </w:rPr>
        <w:t xml:space="preserve">(NT) s 47A; Tamara Walsh and Monica Taylor, ‘You’re not welcome here: police move on powers and discrimination law’ (2007) </w:t>
      </w:r>
      <w:r w:rsidRPr="00783CE9">
        <w:rPr>
          <w:rFonts w:cs="Arial"/>
          <w:i/>
          <w:sz w:val="20"/>
          <w:szCs w:val="20"/>
        </w:rPr>
        <w:t xml:space="preserve">UNSW Law Journal </w:t>
      </w:r>
      <w:r w:rsidRPr="00783CE9">
        <w:rPr>
          <w:rFonts w:cs="Arial"/>
          <w:sz w:val="20"/>
          <w:szCs w:val="20"/>
        </w:rPr>
        <w:t xml:space="preserve">30 (1), 159. At </w:t>
      </w:r>
      <w:hyperlink r:id="rId5" w:history="1">
        <w:r w:rsidRPr="00783CE9">
          <w:rPr>
            <w:rStyle w:val="Hyperlink"/>
            <w:rFonts w:cs="Arial"/>
            <w:sz w:val="20"/>
            <w:szCs w:val="20"/>
          </w:rPr>
          <w:t>https://www.google.com.au/url?sa=t&amp;rct=j&amp;q=&amp;esrc=s&amp;source=web&amp;cd=8&amp;cad=rja&amp;uact=8&amp;ved=0CEgQFjAHahUKEwi1qNi5zbTIAhWnF6YKHfksAjk&amp;url=http%3A%2F%2Fwww.unswlawjournal.unsw.edu.au%2Fsites%2Fdefault%2Ffiles%2F7_walsh_and_taylor_2007.pdf&amp;usg=AFQjCNEcD3pLbktKOO8Ujellh92fXP1wbQ</w:t>
        </w:r>
      </w:hyperlink>
      <w:r w:rsidRPr="00783CE9">
        <w:rPr>
          <w:rStyle w:val="Hyperlink"/>
          <w:rFonts w:cs="Arial"/>
          <w:sz w:val="20"/>
          <w:szCs w:val="20"/>
        </w:rPr>
        <w:t xml:space="preserve"> </w:t>
      </w:r>
      <w:r w:rsidRPr="00783CE9">
        <w:rPr>
          <w:rFonts w:cs="Arial"/>
          <w:sz w:val="20"/>
          <w:szCs w:val="20"/>
        </w:rPr>
        <w:t>(Viewed 19 October 2015)</w:t>
      </w:r>
    </w:p>
  </w:endnote>
  <w:endnote w:id="7">
    <w:p w:rsidR="00836513" w:rsidRDefault="00836513" w:rsidP="00836513">
      <w:pPr>
        <w:pStyle w:val="EndnoteText"/>
      </w:pPr>
      <w:r w:rsidRPr="00783CE9">
        <w:rPr>
          <w:rStyle w:val="EndnoteReference"/>
        </w:rPr>
        <w:endnoteRef/>
      </w:r>
      <w:r w:rsidRPr="00783CE9">
        <w:t xml:space="preserve"> </w:t>
      </w:r>
      <w:r w:rsidRPr="00783CE9">
        <w:rPr>
          <w:rFonts w:cs="Arial"/>
        </w:rPr>
        <w:t>Law Enforcement (Powers and Responsibilities) Act 2002 (NSW) s 197; ;</w:t>
      </w:r>
      <w:r w:rsidRPr="00783CE9">
        <w:rPr>
          <w:rFonts w:cs="Arial"/>
          <w:i/>
          <w:iCs/>
        </w:rPr>
        <w:t xml:space="preserve"> Police Powers and Responsibilities Act 2000 </w:t>
      </w:r>
      <w:r w:rsidRPr="00783CE9">
        <w:rPr>
          <w:rFonts w:cs="Arial"/>
        </w:rPr>
        <w:t xml:space="preserve">(Qld) pt 5; Tamara Walsh and Monica Taylor, ‘You’re not welcome here: police move on powers and discrimination law’ (2007) </w:t>
      </w:r>
      <w:r w:rsidRPr="00783CE9">
        <w:rPr>
          <w:rFonts w:cs="Arial"/>
          <w:i/>
        </w:rPr>
        <w:t xml:space="preserve">UNSW Law Journal </w:t>
      </w:r>
      <w:r w:rsidRPr="00783CE9">
        <w:rPr>
          <w:rFonts w:cs="Arial"/>
        </w:rPr>
        <w:t xml:space="preserve">30 (1), 159. At </w:t>
      </w:r>
      <w:hyperlink r:id="rId6" w:history="1">
        <w:r w:rsidRPr="00783CE9">
          <w:rPr>
            <w:rStyle w:val="Hyperlink"/>
            <w:rFonts w:cs="Arial"/>
          </w:rPr>
          <w:t>https://www.google.com.au/url?sa=t&amp;rct=j&amp;q=&amp;esrc=s&amp;source=web&amp;cd=8&amp;cad=rja&amp;uact=8&amp;ved=0CEgQFjAHahUKEwi1qNi5zbTIAhWnF6YKHfksAjk&amp;url=http%3A%2F%2Fwww.unswlawjournal.unsw.edu.au%2Fsites%2Fdefault%2Ffiles%2F7_walsh_and_taylor_2007.pdf&amp;usg=AFQjCNEcD3pLbktKOO8Ujellh92fXP1wbQ</w:t>
        </w:r>
      </w:hyperlink>
      <w:r w:rsidRPr="00783CE9">
        <w:rPr>
          <w:rStyle w:val="Hyperlink"/>
          <w:rFonts w:cs="Arial"/>
        </w:rPr>
        <w:t xml:space="preserve"> </w:t>
      </w:r>
      <w:r w:rsidRPr="00783CE9">
        <w:rPr>
          <w:rFonts w:cs="Arial"/>
        </w:rPr>
        <w:t>(Viewed 19 October 2015)</w:t>
      </w:r>
    </w:p>
  </w:endnote>
  <w:endnote w:id="8">
    <w:p w:rsidR="00836513" w:rsidRPr="004A5177" w:rsidRDefault="00836513" w:rsidP="00836513">
      <w:pPr>
        <w:pStyle w:val="EndnoteText"/>
        <w:rPr>
          <w:rFonts w:cs="Arial"/>
        </w:rPr>
      </w:pPr>
      <w:r w:rsidRPr="004A5177">
        <w:rPr>
          <w:rStyle w:val="EndnoteReference"/>
          <w:rFonts w:cs="Arial"/>
        </w:rPr>
        <w:endnoteRef/>
      </w:r>
      <w:r w:rsidRPr="004A5177">
        <w:rPr>
          <w:rFonts w:cs="Arial"/>
        </w:rPr>
        <w:t xml:space="preserve"> Australian Human Rights Commission</w:t>
      </w:r>
      <w:r w:rsidRPr="004A5177">
        <w:rPr>
          <w:rFonts w:cs="Arial"/>
          <w:i/>
        </w:rPr>
        <w:t>, Information concerning Australia’s compliance with the Convention Against Torture</w:t>
      </w:r>
      <w:r w:rsidRPr="004A5177">
        <w:rPr>
          <w:rFonts w:cs="Arial"/>
        </w:rPr>
        <w:t xml:space="preserve">, (September 2014) 21 [86]. At  </w:t>
      </w:r>
      <w:hyperlink r:id="rId7" w:history="1">
        <w:r w:rsidRPr="004A5177">
          <w:rPr>
            <w:rStyle w:val="Hyperlink"/>
            <w:rFonts w:cs="Arial"/>
          </w:rPr>
          <w:t>https://www.humanrights.gov.au/sites/default/files/20141017_AHRC_CATsubmission.pdf</w:t>
        </w:r>
      </w:hyperlink>
      <w:r w:rsidRPr="004A5177">
        <w:rPr>
          <w:rFonts w:cs="Arial"/>
        </w:rPr>
        <w:t xml:space="preserve"> (Viewed 19 October 2015)</w:t>
      </w:r>
    </w:p>
  </w:endnote>
  <w:endnote w:id="9">
    <w:p w:rsidR="00836513" w:rsidRPr="004A5177" w:rsidRDefault="00836513" w:rsidP="00836513">
      <w:pPr>
        <w:pStyle w:val="EndnoteText"/>
        <w:rPr>
          <w:rFonts w:cs="Arial"/>
        </w:rPr>
      </w:pPr>
      <w:r w:rsidRPr="004A5177">
        <w:rPr>
          <w:rStyle w:val="EndnoteReference"/>
          <w:rFonts w:cs="Arial"/>
        </w:rPr>
        <w:endnoteRef/>
      </w:r>
      <w:r w:rsidRPr="004A5177">
        <w:rPr>
          <w:rFonts w:cs="Arial"/>
        </w:rPr>
        <w:t xml:space="preserve"> Tamara Walsh and Monica Taylor, ‘You’re not welcome here: police move on powers and discrimination law’ (2007) </w:t>
      </w:r>
      <w:r w:rsidRPr="004A5177">
        <w:rPr>
          <w:rFonts w:cs="Arial"/>
          <w:i/>
        </w:rPr>
        <w:t xml:space="preserve">UNSW Law Journal </w:t>
      </w:r>
      <w:r w:rsidRPr="004A5177">
        <w:rPr>
          <w:rFonts w:cs="Arial"/>
        </w:rPr>
        <w:t xml:space="preserve">30 (1), 164. At </w:t>
      </w:r>
      <w:hyperlink r:id="rId8" w:history="1">
        <w:r w:rsidRPr="004A5177">
          <w:rPr>
            <w:rStyle w:val="Hyperlink"/>
            <w:rFonts w:cs="Arial"/>
          </w:rPr>
          <w:t>https://www.google.com.au/url?sa=t&amp;rct=j&amp;q=&amp;esrc=s&amp;source=web&amp;cd=8&amp;cad=rja&amp;uact=8&amp;ved=0CEgQFjAHahUKEwi1qNi5zbTIAhWnF6YKHfksAjk&amp;url=http%3A%2F%2Fwww.unswlawjournal.unsw.edu.au%2Fsites%2Fdefault%2Ffiles%2F7_walsh_and_taylor_2007.pdf&amp;usg=AFQjCNEcD3pLbktKOO8Ujellh92fXP1wbQ</w:t>
        </w:r>
      </w:hyperlink>
      <w:r w:rsidRPr="004A5177">
        <w:rPr>
          <w:rFonts w:cs="Arial"/>
        </w:rPr>
        <w:t xml:space="preserve"> (Viewed 19 October 2015)</w:t>
      </w:r>
    </w:p>
  </w:endnote>
  <w:endnote w:id="10">
    <w:p w:rsidR="00836513" w:rsidRPr="004A5177" w:rsidRDefault="00836513" w:rsidP="00836513">
      <w:pPr>
        <w:pStyle w:val="EndnoteText"/>
        <w:rPr>
          <w:rFonts w:cs="Arial"/>
        </w:rPr>
      </w:pPr>
      <w:r w:rsidRPr="004A5177">
        <w:rPr>
          <w:rStyle w:val="EndnoteReference"/>
          <w:rFonts w:cs="Arial"/>
        </w:rPr>
        <w:endnoteRef/>
      </w:r>
      <w:r w:rsidRPr="004A5177">
        <w:rPr>
          <w:rFonts w:cs="Arial"/>
        </w:rPr>
        <w:t xml:space="preserve"> Tamara Walsh and Monica Taylor, ‘You’re not welcome here: police move on powers and discrimination law’ </w:t>
      </w:r>
      <w:r w:rsidRPr="004A5177">
        <w:rPr>
          <w:rFonts w:cs="Arial"/>
          <w:i/>
        </w:rPr>
        <w:t xml:space="preserve">UNSW Law Journal </w:t>
      </w:r>
      <w:r w:rsidRPr="004A5177">
        <w:rPr>
          <w:rFonts w:cs="Arial"/>
        </w:rPr>
        <w:t xml:space="preserve">30 (1), 164.  At </w:t>
      </w:r>
      <w:hyperlink r:id="rId9" w:history="1">
        <w:r w:rsidRPr="004A5177">
          <w:rPr>
            <w:rStyle w:val="Hyperlink"/>
            <w:rFonts w:cs="Arial"/>
          </w:rPr>
          <w:t>https://www.google.com.au/url?sa=t&amp;rct=j&amp;q=&amp;esrc=s&amp;source=web&amp;cd=8&amp;cad=rja&amp;uact=8&amp;ved=0CEgQFjAHahUKEwi1qNi5zbTIAhWnF6YKHfksAjk&amp;url=http%3A%2F%2Fwww.unswlawjournal.unsw.edu.au%2Fsites%2Fdefault%2Ffiles%2F7_walsh_and_taylor_2007.pdf&amp;usg=AFQjCNEcD3pLbktKOO8Ujellh92fXP1wbQ</w:t>
        </w:r>
      </w:hyperlink>
      <w:r w:rsidRPr="004A5177">
        <w:rPr>
          <w:rFonts w:cs="Arial"/>
        </w:rPr>
        <w:t xml:space="preserve"> (Viewed 19 October 2015)</w:t>
      </w:r>
    </w:p>
  </w:endnote>
  <w:endnote w:id="11">
    <w:p w:rsidR="00836513" w:rsidRPr="004A5177" w:rsidRDefault="00836513" w:rsidP="00836513">
      <w:pPr>
        <w:pStyle w:val="EndnoteText"/>
        <w:rPr>
          <w:rFonts w:cs="Arial"/>
        </w:rPr>
      </w:pPr>
      <w:r w:rsidRPr="004A5177">
        <w:rPr>
          <w:rStyle w:val="EndnoteReference"/>
          <w:rFonts w:cs="Arial"/>
        </w:rPr>
        <w:endnoteRef/>
      </w:r>
      <w:r w:rsidRPr="004A5177">
        <w:rPr>
          <w:rFonts w:cs="Arial"/>
        </w:rPr>
        <w:t xml:space="preserve"> </w:t>
      </w:r>
      <w:r w:rsidRPr="004A5177">
        <w:rPr>
          <w:rFonts w:cs="Arial"/>
          <w:i/>
        </w:rPr>
        <w:t>Summary Offences Act 2005</w:t>
      </w:r>
      <w:r w:rsidRPr="004A5177">
        <w:rPr>
          <w:rFonts w:cs="Arial"/>
        </w:rPr>
        <w:t xml:space="preserve"> (QLD) s 8</w:t>
      </w:r>
      <w:r w:rsidRPr="004A5177">
        <w:rPr>
          <w:rFonts w:cs="Arial"/>
          <w:i/>
        </w:rPr>
        <w:t xml:space="preserve"> </w:t>
      </w:r>
      <w:r w:rsidRPr="004A5177">
        <w:rPr>
          <w:rFonts w:cs="Arial"/>
        </w:rPr>
        <w:t xml:space="preserve"> </w:t>
      </w:r>
    </w:p>
  </w:endnote>
  <w:endnote w:id="12">
    <w:p w:rsidR="00836513" w:rsidRPr="004A5177" w:rsidRDefault="00836513" w:rsidP="00836513">
      <w:pPr>
        <w:pStyle w:val="EndnoteText"/>
        <w:rPr>
          <w:rFonts w:cs="Arial"/>
        </w:rPr>
      </w:pPr>
      <w:r w:rsidRPr="004A5177">
        <w:rPr>
          <w:rStyle w:val="EndnoteReference"/>
          <w:rFonts w:cs="Arial"/>
        </w:rPr>
        <w:endnoteRef/>
      </w:r>
      <w:r w:rsidRPr="004A5177">
        <w:rPr>
          <w:rFonts w:cs="Arial"/>
        </w:rPr>
        <w:t xml:space="preserve"> </w:t>
      </w:r>
      <w:r w:rsidRPr="004A5177">
        <w:rPr>
          <w:rFonts w:cs="Arial"/>
          <w:i/>
        </w:rPr>
        <w:t>Summary Offences Act 2005</w:t>
      </w:r>
      <w:r w:rsidRPr="004A5177">
        <w:rPr>
          <w:rFonts w:cs="Arial"/>
        </w:rPr>
        <w:t xml:space="preserve"> (SA) s 12</w:t>
      </w:r>
    </w:p>
  </w:endnote>
  <w:endnote w:id="13">
    <w:p w:rsidR="00836513" w:rsidRPr="004A5177" w:rsidRDefault="00836513" w:rsidP="00836513">
      <w:pPr>
        <w:pStyle w:val="EndnoteText"/>
        <w:rPr>
          <w:rFonts w:cs="Arial"/>
        </w:rPr>
      </w:pPr>
      <w:r w:rsidRPr="004A5177">
        <w:rPr>
          <w:rStyle w:val="EndnoteReference"/>
          <w:rFonts w:cs="Arial"/>
        </w:rPr>
        <w:endnoteRef/>
      </w:r>
      <w:r w:rsidRPr="004A5177">
        <w:rPr>
          <w:rFonts w:cs="Arial"/>
        </w:rPr>
        <w:t xml:space="preserve"> </w:t>
      </w:r>
      <w:r w:rsidRPr="004A5177">
        <w:rPr>
          <w:rFonts w:cs="Arial"/>
          <w:i/>
        </w:rPr>
        <w:t xml:space="preserve">Police Offences Act (TAS) 1935 </w:t>
      </w:r>
      <w:r w:rsidRPr="004A5177">
        <w:rPr>
          <w:rFonts w:cs="Arial"/>
        </w:rPr>
        <w:t>s 8</w:t>
      </w:r>
    </w:p>
  </w:endnote>
  <w:endnote w:id="14">
    <w:p w:rsidR="00836513" w:rsidRPr="004A5177" w:rsidRDefault="00836513" w:rsidP="00836513">
      <w:pPr>
        <w:pStyle w:val="EndnoteText"/>
        <w:rPr>
          <w:rFonts w:cs="Arial"/>
        </w:rPr>
      </w:pPr>
      <w:r w:rsidRPr="004A5177">
        <w:rPr>
          <w:rStyle w:val="EndnoteReference"/>
          <w:rFonts w:cs="Arial"/>
        </w:rPr>
        <w:endnoteRef/>
      </w:r>
      <w:r w:rsidRPr="004A5177">
        <w:rPr>
          <w:rFonts w:cs="Arial"/>
        </w:rPr>
        <w:t xml:space="preserve"> </w:t>
      </w:r>
      <w:r w:rsidRPr="004A5177">
        <w:rPr>
          <w:rFonts w:cs="Arial"/>
          <w:i/>
        </w:rPr>
        <w:t>Summary Offences Act 2005</w:t>
      </w:r>
      <w:r w:rsidRPr="004A5177">
        <w:rPr>
          <w:rFonts w:cs="Arial"/>
        </w:rPr>
        <w:t xml:space="preserve"> (NT) s 56</w:t>
      </w:r>
    </w:p>
  </w:endnote>
  <w:endnote w:id="15">
    <w:p w:rsidR="00836513" w:rsidRPr="004A5177" w:rsidRDefault="00836513" w:rsidP="00836513">
      <w:pPr>
        <w:pStyle w:val="EndnoteText"/>
        <w:rPr>
          <w:rFonts w:cs="Arial"/>
        </w:rPr>
      </w:pPr>
      <w:r w:rsidRPr="004A5177">
        <w:rPr>
          <w:rStyle w:val="EndnoteReference"/>
          <w:rFonts w:cs="Arial"/>
        </w:rPr>
        <w:endnoteRef/>
      </w:r>
      <w:r w:rsidRPr="004A5177">
        <w:rPr>
          <w:rFonts w:cs="Arial"/>
        </w:rPr>
        <w:t xml:space="preserve"> </w:t>
      </w:r>
      <w:r w:rsidRPr="004A5177">
        <w:rPr>
          <w:rFonts w:cs="Arial"/>
          <w:i/>
        </w:rPr>
        <w:t xml:space="preserve">Summary Offences Act 1966 </w:t>
      </w:r>
      <w:r w:rsidRPr="004A5177">
        <w:rPr>
          <w:rFonts w:cs="Arial"/>
        </w:rPr>
        <w:t>(Vic) s</w:t>
      </w:r>
      <w:r>
        <w:rPr>
          <w:rFonts w:cs="Arial"/>
        </w:rPr>
        <w:t xml:space="preserve"> </w:t>
      </w:r>
      <w:r w:rsidRPr="004A5177">
        <w:rPr>
          <w:rFonts w:cs="Arial"/>
        </w:rPr>
        <w:t>49A</w:t>
      </w:r>
    </w:p>
  </w:endnote>
  <w:endnote w:id="16">
    <w:p w:rsidR="00836513" w:rsidRPr="004A5177" w:rsidRDefault="00836513" w:rsidP="00836513">
      <w:pPr>
        <w:pStyle w:val="EndnoteText"/>
        <w:rPr>
          <w:rFonts w:cs="Arial"/>
        </w:rPr>
      </w:pPr>
      <w:r w:rsidRPr="004A5177">
        <w:rPr>
          <w:rStyle w:val="EndnoteReference"/>
          <w:rFonts w:cs="Arial"/>
        </w:rPr>
        <w:endnoteRef/>
      </w:r>
      <w:r w:rsidRPr="004A5177">
        <w:rPr>
          <w:rFonts w:cs="Arial"/>
        </w:rPr>
        <w:t xml:space="preserve"> </w:t>
      </w:r>
      <w:r w:rsidRPr="004A5177">
        <w:rPr>
          <w:rFonts w:cs="Arial"/>
          <w:i/>
        </w:rPr>
        <w:t xml:space="preserve">Summary Offences Act 1966 </w:t>
      </w:r>
      <w:r w:rsidRPr="004A5177">
        <w:rPr>
          <w:rFonts w:cs="Arial"/>
        </w:rPr>
        <w:t>(Vic) s</w:t>
      </w:r>
      <w:r>
        <w:rPr>
          <w:rFonts w:cs="Arial"/>
        </w:rPr>
        <w:t xml:space="preserve"> </w:t>
      </w:r>
      <w:r w:rsidRPr="004A5177">
        <w:rPr>
          <w:rFonts w:cs="Arial"/>
        </w:rPr>
        <w:t>49A</w:t>
      </w:r>
    </w:p>
  </w:endnote>
  <w:endnote w:id="17">
    <w:p w:rsidR="00836513" w:rsidRPr="004A5177" w:rsidRDefault="00836513" w:rsidP="00836513">
      <w:pPr>
        <w:pStyle w:val="EndnoteText"/>
        <w:rPr>
          <w:rFonts w:cs="Arial"/>
        </w:rPr>
      </w:pPr>
      <w:r w:rsidRPr="004A5177">
        <w:rPr>
          <w:rStyle w:val="EndnoteReference"/>
          <w:rFonts w:cs="Arial"/>
        </w:rPr>
        <w:endnoteRef/>
      </w:r>
      <w:r w:rsidRPr="004A5177">
        <w:rPr>
          <w:rFonts w:cs="Arial"/>
        </w:rPr>
        <w:t xml:space="preserve"> Aisha Dow and Tammy Mills, ‘”Proceeds of Crime” Seizure Beggars Belief’, </w:t>
      </w:r>
      <w:r w:rsidRPr="004A5177">
        <w:rPr>
          <w:rFonts w:cs="Arial"/>
          <w:i/>
        </w:rPr>
        <w:t xml:space="preserve">The Age </w:t>
      </w:r>
      <w:r w:rsidRPr="004A5177">
        <w:rPr>
          <w:rFonts w:cs="Arial"/>
        </w:rPr>
        <w:t>(M</w:t>
      </w:r>
      <w:r>
        <w:rPr>
          <w:rFonts w:cs="Arial"/>
        </w:rPr>
        <w:t xml:space="preserve">elbourne), 21 August 2014, </w:t>
      </w:r>
      <w:hyperlink r:id="rId10" w:history="1">
        <w:r w:rsidRPr="005F2E83">
          <w:rPr>
            <w:rStyle w:val="Hyperlink"/>
            <w:rFonts w:cs="Arial"/>
          </w:rPr>
          <w:t>http://www.theage.com.au/victoria/proceeds-of-crime-seizure-beggars-belief-20140820-3e109.html</w:t>
        </w:r>
      </w:hyperlink>
      <w:r>
        <w:rPr>
          <w:rFonts w:cs="Arial"/>
        </w:rPr>
        <w:t xml:space="preserve"> </w:t>
      </w:r>
      <w:r w:rsidRPr="004A5177">
        <w:rPr>
          <w:rFonts w:cs="Arial"/>
        </w:rPr>
        <w:t>(Viewed 19 October 2015)</w:t>
      </w:r>
    </w:p>
  </w:endnote>
  <w:endnote w:id="18">
    <w:p w:rsidR="00836513" w:rsidRPr="004A5177" w:rsidRDefault="00836513" w:rsidP="00836513">
      <w:pPr>
        <w:pStyle w:val="EndnoteText"/>
        <w:rPr>
          <w:rFonts w:cs="Arial"/>
        </w:rPr>
      </w:pPr>
      <w:r w:rsidRPr="004A5177">
        <w:rPr>
          <w:rStyle w:val="EndnoteReference"/>
          <w:rFonts w:cs="Arial"/>
        </w:rPr>
        <w:endnoteRef/>
      </w:r>
      <w:r w:rsidRPr="004A5177">
        <w:rPr>
          <w:rFonts w:cs="Arial"/>
        </w:rPr>
        <w:t xml:space="preserve"> Clare Rawlinson, “Begging fines making matters worse for Melbourne’s homeless, youth services say’, </w:t>
      </w:r>
      <w:r w:rsidRPr="004A5177">
        <w:rPr>
          <w:rFonts w:cs="Arial"/>
          <w:i/>
        </w:rPr>
        <w:t xml:space="preserve">ABC News, </w:t>
      </w:r>
      <w:r>
        <w:rPr>
          <w:rFonts w:cs="Arial"/>
        </w:rPr>
        <w:t xml:space="preserve">14 October 2014, </w:t>
      </w:r>
      <w:hyperlink r:id="rId11" w:history="1">
        <w:r w:rsidRPr="004A5177">
          <w:rPr>
            <w:rStyle w:val="Hyperlink"/>
            <w:rFonts w:cs="Arial"/>
          </w:rPr>
          <w:t>http://www.abc.net.au/news/2014-08-18/begging-to-pay-for-begging-fines/5678214</w:t>
        </w:r>
      </w:hyperlink>
      <w:r>
        <w:rPr>
          <w:rFonts w:cs="Arial"/>
        </w:rPr>
        <w:t xml:space="preserve"> </w:t>
      </w:r>
      <w:r w:rsidRPr="004A5177">
        <w:rPr>
          <w:rFonts w:cs="Arial"/>
        </w:rPr>
        <w:t xml:space="preserve">(Viewed 19 October 2015) </w:t>
      </w:r>
    </w:p>
  </w:endnote>
  <w:endnote w:id="19">
    <w:p w:rsidR="00836513" w:rsidRPr="004A5177" w:rsidRDefault="00836513" w:rsidP="00836513">
      <w:pPr>
        <w:pStyle w:val="EndnoteText"/>
        <w:rPr>
          <w:rFonts w:cs="Arial"/>
        </w:rPr>
      </w:pPr>
      <w:r w:rsidRPr="004A5177">
        <w:rPr>
          <w:rStyle w:val="EndnoteReference"/>
          <w:rFonts w:cs="Arial"/>
        </w:rPr>
        <w:endnoteRef/>
      </w:r>
      <w:r w:rsidRPr="004A5177">
        <w:rPr>
          <w:rFonts w:cs="Arial"/>
        </w:rPr>
        <w:t xml:space="preserve"> </w:t>
      </w:r>
      <w:r w:rsidRPr="004A5177">
        <w:rPr>
          <w:rFonts w:cs="Arial"/>
          <w:i/>
        </w:rPr>
        <w:t>Summary Offences Act 1998</w:t>
      </w:r>
      <w:r w:rsidRPr="004A5177">
        <w:rPr>
          <w:rFonts w:cs="Arial"/>
        </w:rPr>
        <w:t xml:space="preserve"> (NSW), s 9. </w:t>
      </w:r>
    </w:p>
  </w:endnote>
  <w:endnote w:id="20">
    <w:p w:rsidR="00836513" w:rsidRPr="004A5177" w:rsidRDefault="00836513" w:rsidP="00836513">
      <w:pPr>
        <w:pStyle w:val="EndnoteText"/>
        <w:rPr>
          <w:rFonts w:cs="Arial"/>
        </w:rPr>
      </w:pPr>
      <w:r w:rsidRPr="004A5177">
        <w:rPr>
          <w:rStyle w:val="EndnoteReference"/>
          <w:rFonts w:cs="Arial"/>
        </w:rPr>
        <w:endnoteRef/>
      </w:r>
      <w:r w:rsidRPr="004A5177">
        <w:rPr>
          <w:rFonts w:cs="Arial"/>
        </w:rPr>
        <w:t xml:space="preserve"> Ombudsman </w:t>
      </w:r>
      <w:r w:rsidRPr="004A5177">
        <w:rPr>
          <w:rFonts w:cs="Arial"/>
          <w:i/>
        </w:rPr>
        <w:t xml:space="preserve">Issues Paper Summary Offences Act 1998 Section 9: Continuation of intoxicated and disorderly behaviour following move on direction </w:t>
      </w:r>
      <w:r w:rsidRPr="004A5177">
        <w:rPr>
          <w:rFonts w:cs="Arial"/>
        </w:rPr>
        <w:t xml:space="preserve">(December 2012). At </w:t>
      </w:r>
      <w:hyperlink r:id="rId12" w:history="1">
        <w:r w:rsidRPr="004A5177">
          <w:rPr>
            <w:rStyle w:val="Hyperlink"/>
            <w:rFonts w:cs="Arial"/>
          </w:rPr>
          <w:t>https://www.ombo.nsw.gov.au/__data/assets/pdf_file/0014/7601/Move-on-powers-Issues-paper.pdf</w:t>
        </w:r>
      </w:hyperlink>
      <w:r w:rsidRPr="004A5177">
        <w:rPr>
          <w:rFonts w:cs="Arial"/>
        </w:rPr>
        <w:t xml:space="preserve"> (Viewed 19 October 2015)</w:t>
      </w:r>
    </w:p>
  </w:endnote>
  <w:endnote w:id="21">
    <w:p w:rsidR="00836513" w:rsidRPr="004A5177" w:rsidRDefault="00836513" w:rsidP="00836513">
      <w:pPr>
        <w:pStyle w:val="EndnoteText"/>
        <w:rPr>
          <w:rFonts w:cs="Arial"/>
        </w:rPr>
      </w:pPr>
      <w:r w:rsidRPr="004A5177">
        <w:rPr>
          <w:rStyle w:val="EndnoteReference"/>
          <w:rFonts w:cs="Arial"/>
        </w:rPr>
        <w:endnoteRef/>
      </w:r>
      <w:r w:rsidRPr="004A5177">
        <w:rPr>
          <w:rFonts w:cs="Arial"/>
        </w:rPr>
        <w:t xml:space="preserve"> See: </w:t>
      </w:r>
      <w:r w:rsidRPr="004A5177">
        <w:rPr>
          <w:rFonts w:cs="Arial"/>
          <w:i/>
        </w:rPr>
        <w:t xml:space="preserve">Summary Offences Act 1966 </w:t>
      </w:r>
      <w:r w:rsidRPr="004A5177">
        <w:rPr>
          <w:rFonts w:cs="Arial"/>
        </w:rPr>
        <w:t>(Vic) s14; Summary Offences Act 1953 (SA) s 20; Summary Offences Act 2005 (QLD) s 10.</w:t>
      </w:r>
    </w:p>
  </w:endnote>
  <w:endnote w:id="22">
    <w:p w:rsidR="00836513" w:rsidRPr="004A5177" w:rsidRDefault="00836513" w:rsidP="00836513">
      <w:pPr>
        <w:pStyle w:val="EndnoteText"/>
        <w:rPr>
          <w:rFonts w:cs="Arial"/>
        </w:rPr>
      </w:pPr>
      <w:r w:rsidRPr="004A5177">
        <w:rPr>
          <w:rStyle w:val="EndnoteReference"/>
          <w:rFonts w:cs="Arial"/>
        </w:rPr>
        <w:endnoteRef/>
      </w:r>
      <w:r w:rsidRPr="004A5177">
        <w:rPr>
          <w:rFonts w:cs="Arial"/>
        </w:rPr>
        <w:t xml:space="preserve"> Tamara Walsh and Monica Taylor, ‘You’re not welcome here: police move on powers and discrimination law’ </w:t>
      </w:r>
      <w:r w:rsidRPr="004A5177">
        <w:rPr>
          <w:rFonts w:cs="Arial"/>
          <w:i/>
        </w:rPr>
        <w:t xml:space="preserve">UNSW Law Journal </w:t>
      </w:r>
      <w:r w:rsidRPr="004A5177">
        <w:rPr>
          <w:rFonts w:cs="Arial"/>
        </w:rPr>
        <w:t xml:space="preserve">30 (1), 164.  </w:t>
      </w:r>
    </w:p>
  </w:endnote>
  <w:endnote w:id="23">
    <w:p w:rsidR="00836513" w:rsidRDefault="00836513" w:rsidP="00836513">
      <w:pPr>
        <w:pStyle w:val="EndnoteText"/>
      </w:pPr>
      <w:r w:rsidRPr="004A5177">
        <w:rPr>
          <w:rStyle w:val="EndnoteReference"/>
          <w:rFonts w:cs="Arial"/>
        </w:rPr>
        <w:endnoteRef/>
      </w:r>
      <w:r w:rsidRPr="004A5177">
        <w:rPr>
          <w:rFonts w:cs="Arial"/>
        </w:rPr>
        <w:t xml:space="preserve"> NSW Government Family and Community Services, </w:t>
      </w:r>
      <w:r w:rsidRPr="004A5177">
        <w:rPr>
          <w:rFonts w:cs="Arial"/>
          <w:i/>
        </w:rPr>
        <w:t>Protocol for homeless people in public places: guidelines for implementation (May 2013). At</w:t>
      </w:r>
      <w:r w:rsidRPr="004A5177">
        <w:rPr>
          <w:rFonts w:cs="Arial"/>
        </w:rPr>
        <w:t xml:space="preserve"> </w:t>
      </w:r>
      <w:hyperlink r:id="rId13" w:history="1">
        <w:r w:rsidRPr="004A5177">
          <w:rPr>
            <w:rStyle w:val="Hyperlink"/>
            <w:rFonts w:cs="Arial"/>
          </w:rPr>
          <w:t>http://www.housing.nsw.gov.au/NR/rdonlyres/526F64E9-FE16-4580-AE63-7831436A3E6B/0/ProtocolforHomelessPeopleGuidelines.PDF</w:t>
        </w:r>
      </w:hyperlink>
      <w:r w:rsidRPr="004A5177">
        <w:rPr>
          <w:rFonts w:cs="Arial"/>
        </w:rPr>
        <w:t xml:space="preserve"> (Viewed 19 October 2015</w:t>
      </w:r>
      <w:r>
        <w:t>)</w:t>
      </w:r>
    </w:p>
  </w:endnote>
  <w:endnote w:id="24">
    <w:p w:rsidR="00836513" w:rsidRPr="00632FB1" w:rsidRDefault="00836513" w:rsidP="00836513">
      <w:pPr>
        <w:pStyle w:val="EndnoteText"/>
      </w:pPr>
      <w:r>
        <w:rPr>
          <w:rStyle w:val="EndnoteReference"/>
        </w:rPr>
        <w:endnoteRef/>
      </w:r>
      <w:r>
        <w:t xml:space="preserve"> See: Queensland Government, </w:t>
      </w:r>
      <w:r>
        <w:rPr>
          <w:i/>
        </w:rPr>
        <w:t xml:space="preserve">Opening Doors: Queensland Strategy for reducing homelessness 2011-14. </w:t>
      </w:r>
      <w:r>
        <w:t xml:space="preserve">At </w:t>
      </w:r>
      <w:hyperlink r:id="rId14" w:history="1">
        <w:r w:rsidRPr="005F2E83">
          <w:rPr>
            <w:rStyle w:val="Hyperlink"/>
          </w:rPr>
          <w:t>http://www.cabinet.qld.gov.au/documents/2011/may/qld%20strategy%20for%20reducing%20homelessness/Attachments/Opening%20Doors_Qld%20strategy%20for%20reducing%20homelessness.pdf</w:t>
        </w:r>
      </w:hyperlink>
      <w:r>
        <w:t xml:space="preserve"> (Viewed 19 October 2015); Victorian Government, </w:t>
      </w:r>
      <w:r w:rsidRPr="00632FB1">
        <w:rPr>
          <w:i/>
        </w:rPr>
        <w:t>City of Melbourne homelessness Strategy 2011-13</w:t>
      </w:r>
      <w:r>
        <w:rPr>
          <w:i/>
        </w:rPr>
        <w:t xml:space="preserve">. </w:t>
      </w:r>
      <w:r>
        <w:t xml:space="preserve">At </w:t>
      </w:r>
      <w:hyperlink r:id="rId15" w:history="1">
        <w:r w:rsidRPr="005F2E83">
          <w:rPr>
            <w:rStyle w:val="Hyperlink"/>
          </w:rPr>
          <w:t>http://participate.melbourne.vic.gov.au/download_file/65/218</w:t>
        </w:r>
      </w:hyperlink>
      <w:r>
        <w:t xml:space="preserve"> (Viewed 19 October 2015)</w:t>
      </w:r>
    </w:p>
  </w:endnote>
  <w:endnote w:id="25">
    <w:p w:rsidR="00836513" w:rsidRPr="00CC3ED2" w:rsidRDefault="00836513" w:rsidP="00836513">
      <w:pPr>
        <w:pStyle w:val="EndnoteText"/>
        <w:rPr>
          <w:i/>
        </w:rPr>
      </w:pPr>
      <w:r>
        <w:rPr>
          <w:rStyle w:val="EndnoteReference"/>
        </w:rPr>
        <w:endnoteRef/>
      </w:r>
      <w:r>
        <w:t xml:space="preserve"> </w:t>
      </w:r>
      <w:r w:rsidRPr="009236BA">
        <w:rPr>
          <w:rFonts w:cs="Arial"/>
          <w:i/>
          <w:iCs/>
          <w:shd w:val="clear" w:color="auto" w:fill="FFFFFF"/>
        </w:rPr>
        <w:t>Mabo v Queensland (No 2)</w:t>
      </w:r>
      <w:r w:rsidRPr="009236BA">
        <w:rPr>
          <w:rStyle w:val="apple-converted-space"/>
          <w:rFonts w:cs="Arial"/>
          <w:shd w:val="clear" w:color="auto" w:fill="FFFFFF"/>
        </w:rPr>
        <w:t> </w:t>
      </w:r>
      <w:r>
        <w:rPr>
          <w:rStyle w:val="apple-converted-space"/>
          <w:rFonts w:cs="Arial"/>
          <w:shd w:val="clear" w:color="auto" w:fill="FFFFFF"/>
        </w:rPr>
        <w:t xml:space="preserve">(1992) </w:t>
      </w:r>
      <w:r w:rsidRPr="009236BA">
        <w:rPr>
          <w:rFonts w:cs="Arial"/>
          <w:shd w:val="clear" w:color="auto" w:fill="FFFFFF"/>
        </w:rPr>
        <w:t>at 42</w:t>
      </w:r>
      <w:r>
        <w:rPr>
          <w:rFonts w:cs="Arial"/>
          <w:shd w:val="clear" w:color="auto" w:fill="FFFFFF"/>
        </w:rPr>
        <w:t xml:space="preserve">; </w:t>
      </w:r>
      <w:r>
        <w:t xml:space="preserve">Ronald Sackville, ‘Homelessness, Human Rights and the Law’ (2004) </w:t>
      </w:r>
      <w:r>
        <w:rPr>
          <w:i/>
        </w:rPr>
        <w:t xml:space="preserve">Australian Journal of Human Rights 10 (1). At </w:t>
      </w:r>
      <w:hyperlink r:id="rId16" w:history="1">
        <w:r w:rsidRPr="00F608C8">
          <w:rPr>
            <w:rStyle w:val="Hyperlink"/>
            <w:i/>
          </w:rPr>
          <w:t>http://www.austlii.edu.au/au/journals/AJHR/2004/2.html</w:t>
        </w:r>
      </w:hyperlink>
      <w:r>
        <w:rPr>
          <w:i/>
        </w:rPr>
        <w:t xml:space="preserve"> </w:t>
      </w:r>
    </w:p>
  </w:endnote>
  <w:endnote w:id="26">
    <w:p w:rsidR="00836513" w:rsidRPr="00255C9C" w:rsidRDefault="00836513" w:rsidP="00836513">
      <w:pPr>
        <w:pStyle w:val="EndnoteText"/>
      </w:pPr>
      <w:r>
        <w:rPr>
          <w:rStyle w:val="EndnoteReference"/>
        </w:rPr>
        <w:endnoteRef/>
      </w:r>
      <w:r>
        <w:t xml:space="preserve"> Australian Human Rights Commission, </w:t>
      </w:r>
      <w:r>
        <w:rPr>
          <w:i/>
        </w:rPr>
        <w:t xml:space="preserve">Homelessness is a Human Rights Issue </w:t>
      </w:r>
      <w:r>
        <w:t xml:space="preserve">(2008). At </w:t>
      </w:r>
      <w:hyperlink r:id="rId17" w:history="1">
        <w:r w:rsidRPr="004B7CF8">
          <w:rPr>
            <w:rStyle w:val="Hyperlink"/>
          </w:rPr>
          <w:t>https://www.humanrights.gov.au/sites/default/files/content/word/human_rights/Homelessness_2008.doc</w:t>
        </w:r>
      </w:hyperlink>
      <w:r>
        <w:t xml:space="preserve">  (Viewed 19 October 2015)</w:t>
      </w:r>
    </w:p>
  </w:endnote>
  <w:endnote w:id="27">
    <w:p w:rsidR="00836513" w:rsidRDefault="00836513" w:rsidP="00836513">
      <w:pPr>
        <w:pStyle w:val="EndnoteText"/>
      </w:pPr>
      <w:r>
        <w:rPr>
          <w:rStyle w:val="EndnoteReference"/>
        </w:rPr>
        <w:endnoteRef/>
      </w:r>
      <w:r>
        <w:t xml:space="preserve"> Australian Human Rights Commission, </w:t>
      </w:r>
      <w:r>
        <w:rPr>
          <w:i/>
        </w:rPr>
        <w:t xml:space="preserve">Housing, homelessness and human rights, </w:t>
      </w:r>
      <w:r>
        <w:t xml:space="preserve">retrieved from </w:t>
      </w:r>
      <w:hyperlink r:id="rId18" w:history="1">
        <w:r w:rsidRPr="00EA4A98">
          <w:rPr>
            <w:rStyle w:val="Hyperlink"/>
            <w:rFonts w:cs="Arial"/>
          </w:rPr>
          <w:t>https://www.humanrights.gov.au/our-work/rights-and-freedoms/projects/housing-homelessness-and-human-rights</w:t>
        </w:r>
      </w:hyperlink>
      <w:r>
        <w:rPr>
          <w:rFonts w:cs="Arial"/>
        </w:rPr>
        <w:t xml:space="preserve"> </w:t>
      </w:r>
      <w:r>
        <w:t>(Viewed 19 October 2015)</w:t>
      </w:r>
    </w:p>
  </w:endnote>
  <w:endnote w:id="28">
    <w:p w:rsidR="00836513" w:rsidRDefault="00836513" w:rsidP="00836513">
      <w:pPr>
        <w:pStyle w:val="EndnoteText"/>
      </w:pPr>
      <w:r>
        <w:rPr>
          <w:rStyle w:val="EndnoteReference"/>
        </w:rPr>
        <w:endnoteRef/>
      </w:r>
      <w:r>
        <w:t xml:space="preserve"> Australian Human Rights Commission, </w:t>
      </w:r>
      <w:r>
        <w:rPr>
          <w:i/>
        </w:rPr>
        <w:t xml:space="preserve">Homelessness is a Human Rights Issue </w:t>
      </w:r>
      <w:r>
        <w:t xml:space="preserve">(2008). At </w:t>
      </w:r>
      <w:hyperlink r:id="rId19" w:history="1">
        <w:r w:rsidRPr="004B7CF8">
          <w:rPr>
            <w:rStyle w:val="Hyperlink"/>
          </w:rPr>
          <w:t>https://www.humanrights.gov.au/sites/default/files/content/word/human_rights/Homelessness_2008.doc</w:t>
        </w:r>
      </w:hyperlink>
      <w:r>
        <w:t xml:space="preserve">  (Viewed 19 October 2015)</w:t>
      </w:r>
    </w:p>
    <w:p w:rsidR="00836513" w:rsidRPr="00255C9C" w:rsidRDefault="00836513" w:rsidP="0083651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HelveticaNeue-Light">
    <w:altName w:val="Helvetica 45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140" w:rsidRPr="0090165F" w:rsidRDefault="008D6140" w:rsidP="00162A8D">
    <w:pPr>
      <w:pStyle w:val="Footer"/>
      <w:jc w:val="right"/>
    </w:pPr>
    <w:r w:rsidRPr="0090165F">
      <w:fldChar w:fldCharType="begin"/>
    </w:r>
    <w:r w:rsidRPr="0090165F">
      <w:instrText xml:space="preserve"> PAGE   \* MERGEFORMAT </w:instrText>
    </w:r>
    <w:r w:rsidRPr="0090165F">
      <w:fldChar w:fldCharType="separate"/>
    </w:r>
    <w:r w:rsidR="005E6AED">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808080"/>
        <w:left w:val="single" w:sz="2" w:space="0" w:color="808080"/>
        <w:bottom w:val="single" w:sz="2" w:space="0" w:color="808080"/>
        <w:right w:val="single" w:sz="2" w:space="0" w:color="808080"/>
      </w:tblBorders>
      <w:tblLayout w:type="fixed"/>
      <w:tblLook w:val="00A0" w:firstRow="1" w:lastRow="0" w:firstColumn="1" w:lastColumn="0" w:noHBand="0" w:noVBand="0"/>
    </w:tblPr>
    <w:tblGrid>
      <w:gridCol w:w="1793"/>
      <w:gridCol w:w="2143"/>
      <w:gridCol w:w="1701"/>
      <w:gridCol w:w="2551"/>
      <w:gridCol w:w="1667"/>
    </w:tblGrid>
    <w:tr w:rsidR="008D6140" w:rsidRPr="008D1634" w:rsidTr="00C87F1C">
      <w:tc>
        <w:tcPr>
          <w:tcW w:w="1793" w:type="dxa"/>
          <w:tcBorders>
            <w:top w:val="single" w:sz="2" w:space="0" w:color="808080"/>
            <w:left w:val="nil"/>
            <w:bottom w:val="nil"/>
            <w:right w:val="nil"/>
          </w:tcBorders>
        </w:tcPr>
        <w:p w:rsidR="00E3772A" w:rsidRDefault="00E3772A" w:rsidP="00E3772A">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rsidR="00E3772A" w:rsidRDefault="00E3772A" w:rsidP="00E3772A">
          <w:pPr>
            <w:widowControl w:val="0"/>
            <w:tabs>
              <w:tab w:val="left" w:pos="5830"/>
            </w:tabs>
            <w:autoSpaceDE w:val="0"/>
            <w:autoSpaceDN w:val="0"/>
            <w:adjustRightInd w:val="0"/>
            <w:spacing w:before="0" w:after="0" w:line="288" w:lineRule="auto"/>
            <w:ind w:right="159"/>
            <w:textAlignment w:val="center"/>
            <w:rPr>
              <w:rFonts w:cs="HelveticaNeue-Light"/>
              <w:sz w:val="16"/>
              <w:szCs w:val="16"/>
              <w:lang w:val="en-US" w:bidi="en-US"/>
            </w:rPr>
          </w:pPr>
          <w:r>
            <w:rPr>
              <w:rFonts w:cs="HelveticaNeue-Light"/>
              <w:sz w:val="16"/>
              <w:szCs w:val="16"/>
              <w:lang w:val="en-US" w:bidi="en-US"/>
            </w:rPr>
            <w:t>Australian</w:t>
          </w:r>
        </w:p>
        <w:p w:rsidR="00E3772A" w:rsidRDefault="00E3772A" w:rsidP="00E3772A">
          <w:pPr>
            <w:widowControl w:val="0"/>
            <w:tabs>
              <w:tab w:val="left" w:pos="5830"/>
            </w:tabs>
            <w:autoSpaceDE w:val="0"/>
            <w:autoSpaceDN w:val="0"/>
            <w:adjustRightInd w:val="0"/>
            <w:spacing w:before="0" w:after="0" w:line="288" w:lineRule="auto"/>
            <w:ind w:right="159"/>
            <w:textAlignment w:val="center"/>
            <w:rPr>
              <w:rFonts w:cs="HelveticaNeue-Light"/>
              <w:sz w:val="16"/>
              <w:szCs w:val="16"/>
              <w:lang w:val="en-US" w:bidi="en-US"/>
            </w:rPr>
          </w:pPr>
          <w:r>
            <w:rPr>
              <w:rFonts w:cs="HelveticaNeue-Light"/>
              <w:sz w:val="16"/>
              <w:szCs w:val="16"/>
              <w:lang w:val="en-US" w:bidi="en-US"/>
            </w:rPr>
            <w:t>Human Rights</w:t>
          </w:r>
        </w:p>
        <w:p w:rsidR="00E3772A" w:rsidRDefault="00E3772A" w:rsidP="00E3772A">
          <w:pPr>
            <w:widowControl w:val="0"/>
            <w:tabs>
              <w:tab w:val="left" w:pos="5830"/>
            </w:tabs>
            <w:autoSpaceDE w:val="0"/>
            <w:autoSpaceDN w:val="0"/>
            <w:adjustRightInd w:val="0"/>
            <w:spacing w:before="0" w:after="0" w:line="288" w:lineRule="auto"/>
            <w:ind w:right="159"/>
            <w:textAlignment w:val="center"/>
            <w:rPr>
              <w:rFonts w:cs="HelveticaNeue-Light"/>
              <w:sz w:val="16"/>
              <w:szCs w:val="16"/>
              <w:lang w:val="en-US" w:bidi="en-US"/>
            </w:rPr>
          </w:pPr>
          <w:r>
            <w:rPr>
              <w:rFonts w:cs="HelveticaNeue-Light"/>
              <w:sz w:val="16"/>
              <w:szCs w:val="16"/>
              <w:lang w:val="en-US" w:bidi="en-US"/>
            </w:rPr>
            <w:t>Commission</w:t>
          </w:r>
        </w:p>
        <w:p w:rsidR="008D6140" w:rsidRPr="008D1634" w:rsidRDefault="008D6140" w:rsidP="005B50D7">
          <w:pPr>
            <w:widowControl w:val="0"/>
            <w:tabs>
              <w:tab w:val="left" w:pos="5830"/>
            </w:tabs>
            <w:autoSpaceDE w:val="0"/>
            <w:autoSpaceDN w:val="0"/>
            <w:adjustRightInd w:val="0"/>
            <w:spacing w:before="0" w:after="0" w:line="288" w:lineRule="auto"/>
            <w:ind w:right="17"/>
            <w:textAlignment w:val="center"/>
            <w:rPr>
              <w:rFonts w:cs="HelveticaNeue-Light"/>
              <w:sz w:val="16"/>
              <w:szCs w:val="16"/>
              <w:lang w:val="en-US" w:bidi="en-US"/>
            </w:rPr>
          </w:pPr>
          <w:r w:rsidRPr="008D1634">
            <w:rPr>
              <w:rFonts w:cs="HelveticaNeue-Light"/>
              <w:sz w:val="16"/>
              <w:szCs w:val="16"/>
              <w:lang w:val="en-US" w:bidi="en-US"/>
            </w:rPr>
            <w:t>ABN 47 996 232 602</w:t>
          </w:r>
        </w:p>
      </w:tc>
      <w:tc>
        <w:tcPr>
          <w:tcW w:w="2143" w:type="dxa"/>
          <w:tcBorders>
            <w:top w:val="single" w:sz="2" w:space="0" w:color="808080"/>
            <w:left w:val="nil"/>
            <w:bottom w:val="nil"/>
            <w:right w:val="nil"/>
          </w:tcBorders>
        </w:tcPr>
        <w:p w:rsidR="008D6140" w:rsidRPr="008D1634" w:rsidRDefault="008D6140" w:rsidP="005B50D7">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rsidR="009579BC" w:rsidRPr="008D1634" w:rsidRDefault="009579BC" w:rsidP="009579BC">
          <w:pPr>
            <w:widowControl w:val="0"/>
            <w:tabs>
              <w:tab w:val="left" w:pos="5830"/>
            </w:tabs>
            <w:autoSpaceDE w:val="0"/>
            <w:autoSpaceDN w:val="0"/>
            <w:adjustRightInd w:val="0"/>
            <w:spacing w:before="0" w:after="0" w:line="288" w:lineRule="auto"/>
            <w:ind w:right="176"/>
            <w:jc w:val="both"/>
            <w:textAlignment w:val="center"/>
            <w:rPr>
              <w:rFonts w:cs="HelveticaNeue-Light"/>
              <w:sz w:val="16"/>
              <w:szCs w:val="16"/>
              <w:lang w:val="en-US" w:bidi="en-US"/>
            </w:rPr>
          </w:pPr>
          <w:r>
            <w:rPr>
              <w:rFonts w:cs="HelveticaNeue-Light"/>
              <w:sz w:val="16"/>
              <w:szCs w:val="16"/>
              <w:lang w:val="en-US" w:bidi="en-US"/>
            </w:rPr>
            <w:t xml:space="preserve">Level </w:t>
          </w:r>
          <w:r>
            <w:rPr>
              <w:rFonts w:cs="HelveticaNeue-Light" w:hint="eastAsia"/>
              <w:sz w:val="16"/>
              <w:szCs w:val="16"/>
              <w:lang w:val="en-US" w:eastAsia="zh-CN" w:bidi="en-US"/>
            </w:rPr>
            <w:t>3</w:t>
          </w:r>
          <w:r w:rsidRPr="008D1634">
            <w:rPr>
              <w:rFonts w:cs="HelveticaNeue-Light"/>
              <w:sz w:val="16"/>
              <w:szCs w:val="16"/>
              <w:lang w:val="en-US" w:bidi="en-US"/>
            </w:rPr>
            <w:t xml:space="preserve"> </w:t>
          </w:r>
        </w:p>
        <w:p w:rsidR="009579BC" w:rsidRPr="008D1634" w:rsidRDefault="009579BC" w:rsidP="009579BC">
          <w:pPr>
            <w:widowControl w:val="0"/>
            <w:tabs>
              <w:tab w:val="left" w:pos="5830"/>
            </w:tabs>
            <w:autoSpaceDE w:val="0"/>
            <w:autoSpaceDN w:val="0"/>
            <w:adjustRightInd w:val="0"/>
            <w:spacing w:before="0" w:after="0" w:line="288" w:lineRule="auto"/>
            <w:ind w:right="176"/>
            <w:jc w:val="both"/>
            <w:textAlignment w:val="center"/>
            <w:rPr>
              <w:rFonts w:cs="HelveticaNeue-Light"/>
              <w:sz w:val="16"/>
              <w:szCs w:val="16"/>
              <w:lang w:val="en-US" w:bidi="en-US"/>
            </w:rPr>
          </w:pPr>
          <w:r>
            <w:rPr>
              <w:rFonts w:cs="HelveticaNeue-Light"/>
              <w:sz w:val="16"/>
              <w:szCs w:val="16"/>
              <w:lang w:val="en-US" w:bidi="en-US"/>
            </w:rPr>
            <w:t>1</w:t>
          </w:r>
          <w:r>
            <w:rPr>
              <w:rFonts w:cs="HelveticaNeue-Light" w:hint="eastAsia"/>
              <w:sz w:val="16"/>
              <w:szCs w:val="16"/>
              <w:lang w:val="en-US" w:eastAsia="zh-CN" w:bidi="en-US"/>
            </w:rPr>
            <w:t>75</w:t>
          </w:r>
          <w:r w:rsidRPr="008D1634">
            <w:rPr>
              <w:rFonts w:cs="HelveticaNeue-Light"/>
              <w:sz w:val="16"/>
              <w:szCs w:val="16"/>
              <w:lang w:val="en-US" w:bidi="en-US"/>
            </w:rPr>
            <w:t xml:space="preserve"> </w:t>
          </w:r>
          <w:r>
            <w:rPr>
              <w:rFonts w:cs="HelveticaNeue-Light" w:hint="eastAsia"/>
              <w:sz w:val="16"/>
              <w:szCs w:val="16"/>
              <w:lang w:val="en-US" w:eastAsia="zh-CN" w:bidi="en-US"/>
            </w:rPr>
            <w:t>Pitt</w:t>
          </w:r>
          <w:r w:rsidRPr="008D1634">
            <w:rPr>
              <w:rFonts w:cs="HelveticaNeue-Light"/>
              <w:sz w:val="16"/>
              <w:szCs w:val="16"/>
              <w:lang w:val="en-US" w:bidi="en-US"/>
            </w:rPr>
            <w:t xml:space="preserve"> Street</w:t>
          </w:r>
        </w:p>
        <w:p w:rsidR="008D6140" w:rsidRPr="008D1634" w:rsidRDefault="009579BC" w:rsidP="009579BC">
          <w:pPr>
            <w:widowControl w:val="0"/>
            <w:tabs>
              <w:tab w:val="left" w:pos="5830"/>
            </w:tabs>
            <w:autoSpaceDE w:val="0"/>
            <w:autoSpaceDN w:val="0"/>
            <w:adjustRightInd w:val="0"/>
            <w:spacing w:before="0" w:after="0" w:line="288" w:lineRule="auto"/>
            <w:ind w:right="176"/>
            <w:jc w:val="both"/>
            <w:textAlignment w:val="center"/>
            <w:rPr>
              <w:rFonts w:cs="HelveticaNeue-Light"/>
              <w:sz w:val="16"/>
              <w:szCs w:val="16"/>
              <w:lang w:val="en-US" w:bidi="en-US"/>
            </w:rPr>
          </w:pPr>
          <w:r w:rsidRPr="008D1634">
            <w:rPr>
              <w:rFonts w:cs="HelveticaNeue-Light"/>
              <w:sz w:val="16"/>
              <w:szCs w:val="16"/>
              <w:lang w:val="en-US" w:bidi="en-US"/>
            </w:rPr>
            <w:t>Sydney NSW 200</w:t>
          </w:r>
          <w:r>
            <w:rPr>
              <w:rFonts w:cs="HelveticaNeue-Light" w:hint="eastAsia"/>
              <w:sz w:val="16"/>
              <w:szCs w:val="16"/>
              <w:lang w:val="en-US" w:eastAsia="zh-CN" w:bidi="en-US"/>
            </w:rPr>
            <w:t>0</w:t>
          </w:r>
        </w:p>
      </w:tc>
      <w:tc>
        <w:tcPr>
          <w:tcW w:w="1701" w:type="dxa"/>
          <w:tcBorders>
            <w:top w:val="single" w:sz="2" w:space="0" w:color="808080"/>
            <w:left w:val="nil"/>
            <w:bottom w:val="nil"/>
          </w:tcBorders>
        </w:tcPr>
        <w:p w:rsidR="008D6140" w:rsidRPr="008D1634" w:rsidRDefault="008D6140" w:rsidP="005B50D7">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rsidR="008D6140" w:rsidRPr="008D1634" w:rsidRDefault="008D6140"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 xml:space="preserve">GPO </w:t>
          </w:r>
          <w:smartTag w:uri="urn:schemas-microsoft-com:office:smarttags" w:element="address">
            <w:smartTag w:uri="urn:schemas-microsoft-com:office:smarttags" w:element="Street">
              <w:r w:rsidRPr="008D1634">
                <w:rPr>
                  <w:rFonts w:cs="HelveticaNeue-Light"/>
                  <w:sz w:val="16"/>
                  <w:szCs w:val="16"/>
                  <w:lang w:val="en-US" w:bidi="en-US"/>
                </w:rPr>
                <w:t>Box</w:t>
              </w:r>
            </w:smartTag>
            <w:r w:rsidRPr="008D1634">
              <w:rPr>
                <w:rFonts w:cs="HelveticaNeue-Light"/>
                <w:sz w:val="16"/>
                <w:szCs w:val="16"/>
                <w:lang w:val="en-US" w:bidi="en-US"/>
              </w:rPr>
              <w:t xml:space="preserve"> 5218</w:t>
            </w:r>
          </w:smartTag>
        </w:p>
        <w:p w:rsidR="008D6140" w:rsidRPr="008D1634" w:rsidRDefault="008D6140" w:rsidP="005B50D7">
          <w:pPr>
            <w:widowControl w:val="0"/>
            <w:tabs>
              <w:tab w:val="left" w:pos="5830"/>
            </w:tabs>
            <w:autoSpaceDE w:val="0"/>
            <w:autoSpaceDN w:val="0"/>
            <w:adjustRightInd w:val="0"/>
            <w:spacing w:before="0" w:after="0" w:line="288" w:lineRule="auto"/>
            <w:ind w:right="34"/>
            <w:textAlignment w:val="center"/>
            <w:rPr>
              <w:rFonts w:cs="HelveticaNeue-Light"/>
              <w:sz w:val="16"/>
              <w:szCs w:val="16"/>
              <w:lang w:val="en-US" w:bidi="en-US"/>
            </w:rPr>
          </w:pPr>
          <w:smartTag w:uri="urn:schemas-microsoft-com:office:smarttags" w:element="place">
            <w:smartTag w:uri="urn:schemas-microsoft-com:office:smarttags" w:element="City">
              <w:r w:rsidRPr="008D1634">
                <w:rPr>
                  <w:rFonts w:cs="HelveticaNeue-Light"/>
                  <w:sz w:val="16"/>
                  <w:szCs w:val="16"/>
                  <w:lang w:val="en-US" w:bidi="en-US"/>
                </w:rPr>
                <w:t>Sydney</w:t>
              </w:r>
            </w:smartTag>
          </w:smartTag>
          <w:r w:rsidRPr="008D1634">
            <w:rPr>
              <w:rFonts w:cs="HelveticaNeue-Light"/>
              <w:sz w:val="16"/>
              <w:szCs w:val="16"/>
              <w:lang w:val="en-US" w:bidi="en-US"/>
            </w:rPr>
            <w:t xml:space="preserve"> NSW 2001</w:t>
          </w:r>
        </w:p>
      </w:tc>
      <w:tc>
        <w:tcPr>
          <w:tcW w:w="2551" w:type="dxa"/>
          <w:tcBorders>
            <w:top w:val="single" w:sz="2" w:space="0" w:color="808080"/>
            <w:bottom w:val="nil"/>
          </w:tcBorders>
        </w:tcPr>
        <w:p w:rsidR="008D6140" w:rsidRPr="008D1634" w:rsidRDefault="008D6140" w:rsidP="005B50D7">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rsidR="008D6140" w:rsidRPr="008D1634" w:rsidRDefault="008D6140"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General enquiries</w:t>
          </w:r>
        </w:p>
        <w:p w:rsidR="008D6140" w:rsidRPr="008D1634" w:rsidRDefault="008D6140"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Complaints infoline</w:t>
          </w:r>
        </w:p>
        <w:p w:rsidR="008D6140" w:rsidRPr="008D1634" w:rsidRDefault="008D6140"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TTY</w:t>
          </w:r>
        </w:p>
        <w:p w:rsidR="008D6140" w:rsidRPr="008D1634" w:rsidRDefault="008D6140"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www.humanrights.gov.au</w:t>
          </w:r>
        </w:p>
      </w:tc>
      <w:tc>
        <w:tcPr>
          <w:tcW w:w="1667" w:type="dxa"/>
          <w:tcBorders>
            <w:top w:val="single" w:sz="2" w:space="0" w:color="808080"/>
            <w:bottom w:val="nil"/>
            <w:right w:val="nil"/>
          </w:tcBorders>
        </w:tcPr>
        <w:p w:rsidR="008D6140" w:rsidRPr="008D1634" w:rsidRDefault="008D6140" w:rsidP="005B50D7">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rsidR="008D6140" w:rsidRPr="008D1634" w:rsidRDefault="008D6140"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1300 369 711</w:t>
          </w:r>
        </w:p>
        <w:p w:rsidR="008D6140" w:rsidRPr="008D1634" w:rsidRDefault="008D6140"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1300 656 419</w:t>
          </w:r>
        </w:p>
        <w:p w:rsidR="008D6140" w:rsidRPr="008D1634" w:rsidRDefault="008D6140" w:rsidP="005B50D7">
          <w:pPr>
            <w:widowControl w:val="0"/>
            <w:tabs>
              <w:tab w:val="left" w:pos="5830"/>
            </w:tabs>
            <w:autoSpaceDE w:val="0"/>
            <w:autoSpaceDN w:val="0"/>
            <w:adjustRightInd w:val="0"/>
            <w:spacing w:before="0" w:after="0" w:line="288" w:lineRule="auto"/>
            <w:ind w:right="360"/>
            <w:textAlignment w:val="center"/>
            <w:rPr>
              <w:rFonts w:cs="HelveticaNeue-Light"/>
              <w:sz w:val="16"/>
              <w:lang w:val="en-US"/>
            </w:rPr>
          </w:pPr>
          <w:r w:rsidRPr="008D1634">
            <w:rPr>
              <w:rFonts w:cs="HelveticaNeue-Light"/>
              <w:sz w:val="16"/>
              <w:szCs w:val="16"/>
              <w:lang w:val="en-US" w:bidi="en-US"/>
            </w:rPr>
            <w:t>1800 620 241</w:t>
          </w:r>
        </w:p>
      </w:tc>
    </w:tr>
  </w:tbl>
  <w:p w:rsidR="008D6140" w:rsidRPr="001B25B3" w:rsidRDefault="008D6140"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513" w:rsidRDefault="00836513" w:rsidP="00F14C6D">
      <w:r>
        <w:separator/>
      </w:r>
    </w:p>
  </w:footnote>
  <w:footnote w:type="continuationSeparator" w:id="0">
    <w:p w:rsidR="00836513" w:rsidRDefault="00836513"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140" w:rsidRDefault="008D6140"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185" w:type="dxa"/>
      <w:tblLayout w:type="fixed"/>
      <w:tblLook w:val="00A0" w:firstRow="1" w:lastRow="0" w:firstColumn="1" w:lastColumn="0" w:noHBand="0" w:noVBand="0"/>
    </w:tblPr>
    <w:tblGrid>
      <w:gridCol w:w="4077"/>
      <w:gridCol w:w="2688"/>
      <w:gridCol w:w="2302"/>
      <w:gridCol w:w="2130"/>
      <w:gridCol w:w="1988"/>
    </w:tblGrid>
    <w:tr w:rsidR="008D6140" w:rsidRPr="008D1634" w:rsidTr="005F03D1">
      <w:trPr>
        <w:trHeight w:val="1603"/>
      </w:trPr>
      <w:tc>
        <w:tcPr>
          <w:tcW w:w="4077" w:type="dxa"/>
        </w:tcPr>
        <w:p w:rsidR="008D6140" w:rsidRPr="008D1634" w:rsidRDefault="00836513" w:rsidP="00331013">
          <w:pPr>
            <w:pStyle w:val="Header"/>
            <w:tabs>
              <w:tab w:val="left" w:pos="4686"/>
              <w:tab w:val="left" w:pos="7088"/>
              <w:tab w:val="left" w:pos="7242"/>
            </w:tabs>
            <w:jc w:val="center"/>
            <w:rPr>
              <w:rFonts w:cs="ArialMT"/>
              <w:b/>
              <w:color w:val="000000"/>
              <w:spacing w:val="-20"/>
              <w:sz w:val="32"/>
              <w:lang w:val="en-US" w:eastAsia="en-US" w:bidi="en-US"/>
            </w:rPr>
          </w:pPr>
          <w:r>
            <w:rPr>
              <w:rFonts w:cs="ArialMT"/>
              <w:b/>
              <w:noProof/>
              <w:color w:val="000000"/>
              <w:spacing w:val="-20"/>
              <w:sz w:val="32"/>
              <w:lang w:val="en-GB" w:eastAsia="en-GB"/>
            </w:rPr>
            <w:drawing>
              <wp:inline distT="0" distB="0" distL="0" distR="0">
                <wp:extent cx="2447925" cy="838200"/>
                <wp:effectExtent l="0" t="0" r="9525" b="0"/>
                <wp:docPr id="1" name="Picture 1"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838200"/>
                        </a:xfrm>
                        <a:prstGeom prst="rect">
                          <a:avLst/>
                        </a:prstGeom>
                        <a:noFill/>
                        <a:ln>
                          <a:noFill/>
                        </a:ln>
                      </pic:spPr>
                    </pic:pic>
                  </a:graphicData>
                </a:graphic>
              </wp:inline>
            </w:drawing>
          </w:r>
        </w:p>
      </w:tc>
      <w:tc>
        <w:tcPr>
          <w:tcW w:w="2688" w:type="dxa"/>
          <w:vAlign w:val="center"/>
        </w:tcPr>
        <w:p w:rsidR="008D6140" w:rsidRPr="008D1634" w:rsidRDefault="008D6140" w:rsidP="00331013">
          <w:pPr>
            <w:spacing w:before="0" w:after="0" w:line="210" w:lineRule="exact"/>
            <w:rPr>
              <w:rFonts w:cs="ArialMT"/>
              <w:i/>
              <w:color w:val="808080"/>
              <w:sz w:val="17"/>
              <w:lang w:val="en-US" w:eastAsia="en-US" w:bidi="en-US"/>
            </w:rPr>
          </w:pPr>
        </w:p>
      </w:tc>
      <w:tc>
        <w:tcPr>
          <w:tcW w:w="2302" w:type="dxa"/>
        </w:tcPr>
        <w:p w:rsidR="008D6140" w:rsidRPr="008D1634" w:rsidRDefault="008D6140" w:rsidP="00C87F1C">
          <w:pPr>
            <w:pStyle w:val="HeaderFooter"/>
            <w:spacing w:before="0" w:after="0"/>
            <w:jc w:val="both"/>
            <w:rPr>
              <w:b/>
              <w:color w:val="000000"/>
              <w:spacing w:val="-20"/>
              <w:sz w:val="40"/>
              <w:lang w:val="en-US" w:eastAsia="en-US" w:bidi="en-US"/>
            </w:rPr>
          </w:pPr>
        </w:p>
      </w:tc>
      <w:tc>
        <w:tcPr>
          <w:tcW w:w="2130" w:type="dxa"/>
        </w:tcPr>
        <w:p w:rsidR="008D6140" w:rsidRPr="008D1634" w:rsidRDefault="008D6140" w:rsidP="00C87F1C">
          <w:pPr>
            <w:pStyle w:val="HeaderFooter"/>
            <w:spacing w:before="0" w:after="0"/>
            <w:jc w:val="both"/>
            <w:rPr>
              <w:b/>
              <w:color w:val="000000"/>
              <w:spacing w:val="-20"/>
              <w:sz w:val="40"/>
              <w:lang w:val="en-US" w:eastAsia="en-US" w:bidi="en-US"/>
            </w:rPr>
          </w:pPr>
        </w:p>
      </w:tc>
      <w:tc>
        <w:tcPr>
          <w:tcW w:w="1988" w:type="dxa"/>
        </w:tcPr>
        <w:p w:rsidR="008D6140" w:rsidRPr="008D1634" w:rsidRDefault="008D6140" w:rsidP="00C87F1C">
          <w:pPr>
            <w:pStyle w:val="HeaderFooter"/>
            <w:jc w:val="both"/>
            <w:rPr>
              <w:b/>
              <w:color w:val="000000"/>
              <w:spacing w:val="-20"/>
              <w:sz w:val="40"/>
              <w:lang w:val="en-US" w:eastAsia="en-US" w:bidi="en-US"/>
            </w:rPr>
          </w:pPr>
        </w:p>
      </w:tc>
    </w:tr>
  </w:tbl>
  <w:p w:rsidR="008D6140" w:rsidRDefault="008D61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4DC22EF"/>
    <w:multiLevelType w:val="hybridMultilevel"/>
    <w:tmpl w:val="AAB8D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2">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9"/>
  </w:num>
  <w:num w:numId="3">
    <w:abstractNumId w:val="22"/>
  </w:num>
  <w:num w:numId="4">
    <w:abstractNumId w:val="1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20"/>
  </w:num>
  <w:num w:numId="18">
    <w:abstractNumId w:val="18"/>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5"/>
  </w:num>
  <w:num w:numId="23">
    <w:abstractNumId w:val="26"/>
  </w:num>
  <w:num w:numId="24">
    <w:abstractNumId w:val="27"/>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513"/>
    <w:rsid w:val="00000871"/>
    <w:rsid w:val="00041650"/>
    <w:rsid w:val="000579B1"/>
    <w:rsid w:val="000B0A5D"/>
    <w:rsid w:val="000B53EE"/>
    <w:rsid w:val="000E38FA"/>
    <w:rsid w:val="00123209"/>
    <w:rsid w:val="001373D3"/>
    <w:rsid w:val="00147B9B"/>
    <w:rsid w:val="00162A8D"/>
    <w:rsid w:val="001662B6"/>
    <w:rsid w:val="00176220"/>
    <w:rsid w:val="00181378"/>
    <w:rsid w:val="001B0353"/>
    <w:rsid w:val="001B25B3"/>
    <w:rsid w:val="001E195B"/>
    <w:rsid w:val="001F2BBB"/>
    <w:rsid w:val="001F2FB3"/>
    <w:rsid w:val="00201EFE"/>
    <w:rsid w:val="00214DBF"/>
    <w:rsid w:val="00215015"/>
    <w:rsid w:val="0024557E"/>
    <w:rsid w:val="002932DC"/>
    <w:rsid w:val="002D0C4F"/>
    <w:rsid w:val="002D54E2"/>
    <w:rsid w:val="00310ED4"/>
    <w:rsid w:val="0031492A"/>
    <w:rsid w:val="00316C1A"/>
    <w:rsid w:val="00331013"/>
    <w:rsid w:val="003341CA"/>
    <w:rsid w:val="003731B3"/>
    <w:rsid w:val="003C3D19"/>
    <w:rsid w:val="003F611C"/>
    <w:rsid w:val="00436828"/>
    <w:rsid w:val="00443DB2"/>
    <w:rsid w:val="0044690C"/>
    <w:rsid w:val="004510B9"/>
    <w:rsid w:val="00474063"/>
    <w:rsid w:val="004922F0"/>
    <w:rsid w:val="004B3F64"/>
    <w:rsid w:val="004D6BC5"/>
    <w:rsid w:val="00513540"/>
    <w:rsid w:val="0057396F"/>
    <w:rsid w:val="005747B5"/>
    <w:rsid w:val="005B50D7"/>
    <w:rsid w:val="005D1F34"/>
    <w:rsid w:val="005E6AED"/>
    <w:rsid w:val="005F03D1"/>
    <w:rsid w:val="005F36BE"/>
    <w:rsid w:val="005F7015"/>
    <w:rsid w:val="0061324D"/>
    <w:rsid w:val="006A6BB3"/>
    <w:rsid w:val="006B2544"/>
    <w:rsid w:val="006C6741"/>
    <w:rsid w:val="006D5EE5"/>
    <w:rsid w:val="006F7B14"/>
    <w:rsid w:val="007341B9"/>
    <w:rsid w:val="00740E26"/>
    <w:rsid w:val="007606CC"/>
    <w:rsid w:val="00770DCB"/>
    <w:rsid w:val="00775485"/>
    <w:rsid w:val="00836513"/>
    <w:rsid w:val="008724DE"/>
    <w:rsid w:val="008B3662"/>
    <w:rsid w:val="008B4C13"/>
    <w:rsid w:val="008D6140"/>
    <w:rsid w:val="008E3D60"/>
    <w:rsid w:val="008E675D"/>
    <w:rsid w:val="0090165F"/>
    <w:rsid w:val="009579BC"/>
    <w:rsid w:val="00966C2F"/>
    <w:rsid w:val="00A0406E"/>
    <w:rsid w:val="00A32F15"/>
    <w:rsid w:val="00A41355"/>
    <w:rsid w:val="00A43B92"/>
    <w:rsid w:val="00A6179E"/>
    <w:rsid w:val="00A9225B"/>
    <w:rsid w:val="00B0666A"/>
    <w:rsid w:val="00B10447"/>
    <w:rsid w:val="00B15F40"/>
    <w:rsid w:val="00B277E0"/>
    <w:rsid w:val="00B53A65"/>
    <w:rsid w:val="00BA262D"/>
    <w:rsid w:val="00BD400C"/>
    <w:rsid w:val="00BD4470"/>
    <w:rsid w:val="00BF1C1B"/>
    <w:rsid w:val="00C25BDA"/>
    <w:rsid w:val="00C71D32"/>
    <w:rsid w:val="00C87F1C"/>
    <w:rsid w:val="00CA0D78"/>
    <w:rsid w:val="00D1390E"/>
    <w:rsid w:val="00D41C6C"/>
    <w:rsid w:val="00D65207"/>
    <w:rsid w:val="00D65C76"/>
    <w:rsid w:val="00DA2F73"/>
    <w:rsid w:val="00DC462F"/>
    <w:rsid w:val="00DD5494"/>
    <w:rsid w:val="00DE047A"/>
    <w:rsid w:val="00E14A38"/>
    <w:rsid w:val="00E24FA3"/>
    <w:rsid w:val="00E36B41"/>
    <w:rsid w:val="00E3772A"/>
    <w:rsid w:val="00E45954"/>
    <w:rsid w:val="00EE50BC"/>
    <w:rsid w:val="00F14C6D"/>
    <w:rsid w:val="00FA6159"/>
    <w:rsid w:val="00FB62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36513"/>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locked/>
    <w:rsid w:val="0061324D"/>
    <w:rPr>
      <w:rFonts w:ascii="Arial" w:hAnsi="Arial"/>
      <w:lang w:bidi="ar-SA"/>
    </w:rPr>
  </w:style>
  <w:style w:type="paragraph" w:customStyle="1" w:styleId="Default">
    <w:name w:val="Default"/>
    <w:rsid w:val="00836513"/>
    <w:pPr>
      <w:autoSpaceDE w:val="0"/>
      <w:autoSpaceDN w:val="0"/>
      <w:adjustRightInd w:val="0"/>
    </w:pPr>
    <w:rPr>
      <w:color w:val="000000"/>
      <w:sz w:val="24"/>
      <w:szCs w:val="24"/>
    </w:rPr>
  </w:style>
  <w:style w:type="paragraph" w:styleId="ListParagraph">
    <w:name w:val="List Paragraph"/>
    <w:basedOn w:val="Normal"/>
    <w:uiPriority w:val="34"/>
    <w:qFormat/>
    <w:rsid w:val="00836513"/>
    <w:pPr>
      <w:ind w:left="720"/>
      <w:contextualSpacing/>
    </w:pPr>
  </w:style>
  <w:style w:type="character" w:customStyle="1" w:styleId="apple-converted-space">
    <w:name w:val="apple-converted-space"/>
    <w:rsid w:val="00836513"/>
  </w:style>
  <w:style w:type="paragraph" w:styleId="BalloonText">
    <w:name w:val="Balloon Text"/>
    <w:basedOn w:val="Normal"/>
    <w:link w:val="BalloonTextChar"/>
    <w:locked/>
    <w:rsid w:val="005E6AED"/>
    <w:pPr>
      <w:spacing w:before="0" w:after="0"/>
    </w:pPr>
    <w:rPr>
      <w:rFonts w:ascii="Tahoma" w:hAnsi="Tahoma" w:cs="Tahoma"/>
      <w:sz w:val="16"/>
      <w:szCs w:val="16"/>
    </w:rPr>
  </w:style>
  <w:style w:type="character" w:customStyle="1" w:styleId="BalloonTextChar">
    <w:name w:val="Balloon Text Char"/>
    <w:basedOn w:val="DefaultParagraphFont"/>
    <w:link w:val="BalloonText"/>
    <w:rsid w:val="005E6A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36513"/>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locked/>
    <w:rsid w:val="0061324D"/>
    <w:rPr>
      <w:rFonts w:ascii="Arial" w:hAnsi="Arial"/>
      <w:lang w:bidi="ar-SA"/>
    </w:rPr>
  </w:style>
  <w:style w:type="paragraph" w:customStyle="1" w:styleId="Default">
    <w:name w:val="Default"/>
    <w:rsid w:val="00836513"/>
    <w:pPr>
      <w:autoSpaceDE w:val="0"/>
      <w:autoSpaceDN w:val="0"/>
      <w:adjustRightInd w:val="0"/>
    </w:pPr>
    <w:rPr>
      <w:color w:val="000000"/>
      <w:sz w:val="24"/>
      <w:szCs w:val="24"/>
    </w:rPr>
  </w:style>
  <w:style w:type="paragraph" w:styleId="ListParagraph">
    <w:name w:val="List Paragraph"/>
    <w:basedOn w:val="Normal"/>
    <w:uiPriority w:val="34"/>
    <w:qFormat/>
    <w:rsid w:val="00836513"/>
    <w:pPr>
      <w:ind w:left="720"/>
      <w:contextualSpacing/>
    </w:pPr>
  </w:style>
  <w:style w:type="character" w:customStyle="1" w:styleId="apple-converted-space">
    <w:name w:val="apple-converted-space"/>
    <w:rsid w:val="00836513"/>
  </w:style>
  <w:style w:type="paragraph" w:styleId="BalloonText">
    <w:name w:val="Balloon Text"/>
    <w:basedOn w:val="Normal"/>
    <w:link w:val="BalloonTextChar"/>
    <w:locked/>
    <w:rsid w:val="005E6AED"/>
    <w:pPr>
      <w:spacing w:before="0" w:after="0"/>
    </w:pPr>
    <w:rPr>
      <w:rFonts w:ascii="Tahoma" w:hAnsi="Tahoma" w:cs="Tahoma"/>
      <w:sz w:val="16"/>
      <w:szCs w:val="16"/>
    </w:rPr>
  </w:style>
  <w:style w:type="character" w:customStyle="1" w:styleId="BalloonTextChar">
    <w:name w:val="Balloon Text Char"/>
    <w:basedOn w:val="DefaultParagraphFont"/>
    <w:link w:val="BalloonText"/>
    <w:rsid w:val="005E6A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1332761442">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au/url?sa=t&amp;rct=j&amp;q=&amp;esrc=s&amp;source=web&amp;cd=2&amp;cad=rja&amp;uact=8&amp;ved=0CCIQFjABahUKEwiIrevR-s_IAhViIqYKHfRCBRs&amp;url=http%3A%2F%2Fwww.housing.nsw.gov.au%2FNR%2Frdonlyres%2F526F64E9-FE16-4580-AE63-7831436A3E6B%2F0%2FProtocolforHomelessPeopleGuidelines.PDF&amp;usg=AFQjCNEbZtWLHr_e-0Vi-xJNrIZeJWjwUA&amp;bvm=bv.105454873,d.dGY" TargetMode="External"/><Relationship Id="rId13" Type="http://schemas.openxmlformats.org/officeDocument/2006/relationships/footer" Target="footer1.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humanrights.gov.au/sites/default/files/document/publication/Homelessness_2008.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fileshare/web_drafts/HreocWeb/human_rights/housing/homelessness_2008.html"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humanrights.gov.au/legal/submissions/2009/20090901_homelessness.html" TargetMode="Externa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8" Type="http://schemas.openxmlformats.org/officeDocument/2006/relationships/hyperlink" Target="https://www.google.com.au/url?sa=t&amp;rct=j&amp;q=&amp;esrc=s&amp;source=web&amp;cd=8&amp;cad=rja&amp;uact=8&amp;ved=0CEgQFjAHahUKEwi1qNi5zbTIAhWnF6YKHfksAjk&amp;url=http%3A%2F%2Fwww.unswlawjournal.unsw.edu.au%2Fsites%2Fdefault%2Ffiles%2F7_walsh_and_taylor_2007.pdf&amp;usg=AFQjCNEcD3pLbktKOO8Ujellh92fXP1wbQ" TargetMode="External"/><Relationship Id="rId13" Type="http://schemas.openxmlformats.org/officeDocument/2006/relationships/hyperlink" Target="http://www.housing.nsw.gov.au/NR/rdonlyres/526F64E9-FE16-4580-AE63-7831436A3E6B/0/ProtocolforHomelessPeopleGuidelines.PDF" TargetMode="External"/><Relationship Id="rId18" Type="http://schemas.openxmlformats.org/officeDocument/2006/relationships/hyperlink" Target="https://www.humanrights.gov.au/our-work/rights-and-freedoms/projects/housing-homelessness-and-human-rights" TargetMode="External"/><Relationship Id="rId3" Type="http://schemas.openxmlformats.org/officeDocument/2006/relationships/hyperlink" Target="https://www.google.com.au/url?sa=t&amp;rct=j&amp;q=&amp;esrc=s&amp;source=web&amp;cd=8&amp;cad=rja&amp;uact=8&amp;ved=0CEgQFjAHahUKEwi1qNi5zbTIAhWnF6YKHfksAjk&amp;url=http%3A%2F%2Fwww.unswlawjournal.unsw.edu.au%2Fsites%2Fdefault%2Ffiles%2F7_walsh_and_taylor_2007.pdf&amp;usg=AFQjCNEcD3pLbktKOO8Ujellh92fXP1wbQ" TargetMode="External"/><Relationship Id="rId7" Type="http://schemas.openxmlformats.org/officeDocument/2006/relationships/hyperlink" Target="https://www.humanrights.gov.au/sites/default/files/20141017_AHRC_CATsubmission.pdf" TargetMode="External"/><Relationship Id="rId12" Type="http://schemas.openxmlformats.org/officeDocument/2006/relationships/hyperlink" Target="https://www.ombo.nsw.gov.au/__data/assets/pdf_file/0014/7601/Move-on-powers-Issues-paper.pdf" TargetMode="External"/><Relationship Id="rId17" Type="http://schemas.openxmlformats.org/officeDocument/2006/relationships/hyperlink" Target="https://www.humanrights.gov.au/sites/default/files/content/word/human_rights/Homelessness_2008.doc" TargetMode="External"/><Relationship Id="rId2" Type="http://schemas.openxmlformats.org/officeDocument/2006/relationships/hyperlink" Target="https://www.google.com.au/url?sa=t&amp;rct=j&amp;q=&amp;esrc=s&amp;source=web&amp;cd=8&amp;cad=rja&amp;uact=8&amp;ved=0CEgQFjAHahUKEwi1qNi5zbTIAhWnF6YKHfksAjk&amp;url=http%3A%2F%2Fwww.unswlawjournal.unsw.edu.au%2Fsites%2Fdefault%2Ffiles%2F7_walsh_and_taylor_2007.pdf&amp;usg=AFQjCNEcD3pLbktKOO8Ujellh92fXP1wbQ" TargetMode="External"/><Relationship Id="rId16" Type="http://schemas.openxmlformats.org/officeDocument/2006/relationships/hyperlink" Target="http://www.austlii.edu.au/au/journals/AJHR/2004/2.html" TargetMode="External"/><Relationship Id="rId1" Type="http://schemas.openxmlformats.org/officeDocument/2006/relationships/hyperlink" Target="http://hrlc.org.au/wp-content/uploads/2015/07/6+Final+Housing+and+Homelessness+Fact+Sheet.pdf" TargetMode="External"/><Relationship Id="rId6" Type="http://schemas.openxmlformats.org/officeDocument/2006/relationships/hyperlink" Target="https://www.google.com.au/url?sa=t&amp;rct=j&amp;q=&amp;esrc=s&amp;source=web&amp;cd=8&amp;cad=rja&amp;uact=8&amp;ved=0CEgQFjAHahUKEwi1qNi5zbTIAhWnF6YKHfksAjk&amp;url=http%3A%2F%2Fwww.unswlawjournal.unsw.edu.au%2Fsites%2Fdefault%2Ffiles%2F7_walsh_and_taylor_2007.pdf&amp;usg=AFQjCNEcD3pLbktKOO8Ujellh92fXP1wbQ" TargetMode="External"/><Relationship Id="rId11" Type="http://schemas.openxmlformats.org/officeDocument/2006/relationships/hyperlink" Target="http://www.abc.net.au/news/2014-08-18/begging-to-pay-for-begging-fines/5678214" TargetMode="External"/><Relationship Id="rId5" Type="http://schemas.openxmlformats.org/officeDocument/2006/relationships/hyperlink" Target="https://www.google.com.au/url?sa=t&amp;rct=j&amp;q=&amp;esrc=s&amp;source=web&amp;cd=8&amp;cad=rja&amp;uact=8&amp;ved=0CEgQFjAHahUKEwi1qNi5zbTIAhWnF6YKHfksAjk&amp;url=http%3A%2F%2Fwww.unswlawjournal.unsw.edu.au%2Fsites%2Fdefault%2Ffiles%2F7_walsh_and_taylor_2007.pdf&amp;usg=AFQjCNEcD3pLbktKOO8Ujellh92fXP1wbQ" TargetMode="External"/><Relationship Id="rId15" Type="http://schemas.openxmlformats.org/officeDocument/2006/relationships/hyperlink" Target="http://participate.melbourne.vic.gov.au/download_file/65/218" TargetMode="External"/><Relationship Id="rId10" Type="http://schemas.openxmlformats.org/officeDocument/2006/relationships/hyperlink" Target="http://www.theage.com.au/victoria/proceeds-of-crime-seizure-beggars-belief-20140820-3e109.html" TargetMode="External"/><Relationship Id="rId19" Type="http://schemas.openxmlformats.org/officeDocument/2006/relationships/hyperlink" Target="https://www.humanrights.gov.au/sites/default/files/content/word/human_rights/Homelessness_2008.doc" TargetMode="External"/><Relationship Id="rId4" Type="http://schemas.openxmlformats.org/officeDocument/2006/relationships/hyperlink" Target="https://www.google.com.au/url?sa=t&amp;rct=j&amp;q=&amp;esrc=s&amp;source=web&amp;cd=8&amp;cad=rja&amp;uact=8&amp;ved=0CEgQFjAHahUKEwi1qNi5zbTIAhWnF6YKHfksAjk&amp;url=http%3A%2F%2Fwww.unswlawjournal.unsw.edu.au%2Fsites%2Fdefault%2Ffiles%2F7_walsh_and_taylor_2007.pdf&amp;usg=AFQjCNEcD3pLbktKOO8Ujellh92fXP1wbQ" TargetMode="External"/><Relationship Id="rId9" Type="http://schemas.openxmlformats.org/officeDocument/2006/relationships/hyperlink" Target="https://www.google.com.au/url?sa=t&amp;rct=j&amp;q=&amp;esrc=s&amp;source=web&amp;cd=8&amp;cad=rja&amp;uact=8&amp;ved=0CEgQFjAHahUKEwi1qNi5zbTIAhWnF6YKHfksAjk&amp;url=http%3A%2F%2Fwww.unswlawjournal.unsw.edu.au%2Fsites%2Fdefault%2Ffiles%2F7_walsh_and_taylor_2007.pdf&amp;usg=AFQjCNEcD3pLbktKOO8Ujellh92fXP1wbQ" TargetMode="External"/><Relationship Id="rId14" Type="http://schemas.openxmlformats.org/officeDocument/2006/relationships/hyperlink" Target="http://www.cabinet.qld.gov.au/documents/2011/may/qld%20strategy%20for%20reducing%20homelessness/Attachments/Opening%20Doors_Qld%20strategy%20for%20reducing%20homelessnes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30FB61-58CA-423C-ADF2-0414E0CA3573}"/>
</file>

<file path=customXml/itemProps2.xml><?xml version="1.0" encoding="utf-8"?>
<ds:datastoreItem xmlns:ds="http://schemas.openxmlformats.org/officeDocument/2006/customXml" ds:itemID="{B3EB9A15-D6BB-45B0-820E-D0C8A91033C7}"/>
</file>

<file path=customXml/itemProps3.xml><?xml version="1.0" encoding="utf-8"?>
<ds:datastoreItem xmlns:ds="http://schemas.openxmlformats.org/officeDocument/2006/customXml" ds:itemID="{F8D6C7D7-7CE6-44D5-B989-14448CD4088A}"/>
</file>

<file path=docProps/app.xml><?xml version="1.0" encoding="utf-8"?>
<Properties xmlns="http://schemas.openxmlformats.org/officeDocument/2006/extended-properties" xmlns:vt="http://schemas.openxmlformats.org/officeDocument/2006/docPropsVTypes">
  <Template>Normal</Template>
  <TotalTime>1</TotalTime>
  <Pages>3</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Annalise Cincotta-Lee</dc:creator>
  <cp:lastModifiedBy>Mariannick Koffi</cp:lastModifiedBy>
  <cp:revision>2</cp:revision>
  <cp:lastPrinted>2008-09-11T22:06:00Z</cp:lastPrinted>
  <dcterms:created xsi:type="dcterms:W3CDTF">2015-10-28T09:06:00Z</dcterms:created>
  <dcterms:modified xsi:type="dcterms:W3CDTF">2015-10-28T09:06:00Z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3214800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