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79F" w:rsidRDefault="002C5033" w:rsidP="002C5033">
      <w:pPr>
        <w:tabs>
          <w:tab w:val="left" w:pos="4111"/>
        </w:tabs>
        <w:spacing w:line="280" w:lineRule="exact"/>
        <w:ind w:right="49"/>
        <w:jc w:val="center"/>
        <w:rPr>
          <w:rFonts w:ascii="Arial" w:hAnsi="Arial" w:cs="Arial"/>
          <w:b/>
          <w:snapToGrid w:val="0"/>
          <w:szCs w:val="24"/>
        </w:rPr>
      </w:pPr>
      <w:r>
        <w:rPr>
          <w:rFonts w:ascii="Arial" w:hAnsi="Arial" w:cs="Arial"/>
          <w:b/>
          <w:snapToGrid w:val="0"/>
          <w:szCs w:val="24"/>
        </w:rPr>
        <w:t>CONTRIBUCIÓN DE LA COMISIÓN NACIONAL DE LOS DERECHOS HUMANOS DE MÉXICO.</w:t>
      </w:r>
    </w:p>
    <w:p w:rsidR="0076479F" w:rsidRPr="0076479F" w:rsidRDefault="0076479F" w:rsidP="0076479F">
      <w:pPr>
        <w:tabs>
          <w:tab w:val="left" w:pos="4111"/>
        </w:tabs>
        <w:spacing w:line="280" w:lineRule="exact"/>
        <w:ind w:left="3402" w:right="49"/>
        <w:jc w:val="right"/>
        <w:rPr>
          <w:rFonts w:ascii="Arial" w:hAnsi="Arial" w:cs="Arial"/>
          <w:b/>
          <w:snapToGrid w:val="0"/>
          <w:sz w:val="22"/>
          <w:szCs w:val="22"/>
        </w:rPr>
      </w:pPr>
    </w:p>
    <w:p w:rsidR="007E7D2C" w:rsidRDefault="00AA5A90" w:rsidP="0007787F">
      <w:pPr>
        <w:pStyle w:val="Default"/>
        <w:spacing w:line="260" w:lineRule="exact"/>
        <w:jc w:val="both"/>
        <w:rPr>
          <w:sz w:val="22"/>
          <w:szCs w:val="22"/>
        </w:rPr>
      </w:pPr>
      <w:r w:rsidRPr="0076479F">
        <w:rPr>
          <w:bCs/>
          <w:sz w:val="22"/>
          <w:szCs w:val="22"/>
          <w:lang w:eastAsia="es-MX"/>
        </w:rPr>
        <w:t>Con relación a los compromisos</w:t>
      </w:r>
      <w:r w:rsidR="005059E1" w:rsidRPr="0076479F">
        <w:rPr>
          <w:bCs/>
          <w:sz w:val="22"/>
          <w:szCs w:val="22"/>
          <w:lang w:eastAsia="es-MX"/>
        </w:rPr>
        <w:t>,</w:t>
      </w:r>
      <w:r w:rsidRPr="0076479F">
        <w:rPr>
          <w:bCs/>
          <w:sz w:val="22"/>
          <w:szCs w:val="22"/>
          <w:lang w:eastAsia="es-MX"/>
        </w:rPr>
        <w:t xml:space="preserve"> para el cumplimiento de la </w:t>
      </w:r>
      <w:r w:rsidRPr="0076479F">
        <w:rPr>
          <w:snapToGrid w:val="0"/>
          <w:sz w:val="22"/>
          <w:szCs w:val="22"/>
        </w:rPr>
        <w:t xml:space="preserve">Agenda 2030, </w:t>
      </w:r>
      <w:r w:rsidR="002C5033">
        <w:rPr>
          <w:snapToGrid w:val="0"/>
          <w:sz w:val="22"/>
          <w:szCs w:val="22"/>
        </w:rPr>
        <w:t>esta</w:t>
      </w:r>
      <w:r w:rsidR="007E7D2C">
        <w:rPr>
          <w:snapToGrid w:val="0"/>
          <w:sz w:val="22"/>
          <w:szCs w:val="22"/>
        </w:rPr>
        <w:t xml:space="preserve"> Comisión Nacional, a través de</w:t>
      </w:r>
      <w:r w:rsidRPr="0076479F">
        <w:rPr>
          <w:bCs/>
          <w:sz w:val="22"/>
          <w:szCs w:val="22"/>
          <w:lang w:eastAsia="es-MX"/>
        </w:rPr>
        <w:t>l área de quejas de Asuntos de Seguridad Social en Materia de Vivienda de la C</w:t>
      </w:r>
      <w:r w:rsidR="007E7D2C">
        <w:rPr>
          <w:bCs/>
          <w:sz w:val="22"/>
          <w:szCs w:val="22"/>
          <w:lang w:eastAsia="es-MX"/>
        </w:rPr>
        <w:t>uarta Visitaduría General</w:t>
      </w:r>
      <w:r w:rsidR="005059E1" w:rsidRPr="0076479F">
        <w:rPr>
          <w:bCs/>
          <w:sz w:val="22"/>
          <w:szCs w:val="22"/>
          <w:lang w:eastAsia="es-MX"/>
        </w:rPr>
        <w:t>,</w:t>
      </w:r>
      <w:r w:rsidRPr="0076479F">
        <w:rPr>
          <w:bCs/>
          <w:sz w:val="22"/>
          <w:szCs w:val="22"/>
          <w:lang w:eastAsia="es-MX"/>
        </w:rPr>
        <w:t xml:space="preserve"> lleva a cabo a</w:t>
      </w:r>
      <w:r w:rsidR="001A7511" w:rsidRPr="0076479F">
        <w:rPr>
          <w:bCs/>
          <w:sz w:val="22"/>
          <w:szCs w:val="22"/>
          <w:lang w:eastAsia="es-MX"/>
        </w:rPr>
        <w:t xml:space="preserve">ctividades </w:t>
      </w:r>
      <w:r w:rsidR="005B579A" w:rsidRPr="0076479F">
        <w:rPr>
          <w:bCs/>
          <w:sz w:val="22"/>
          <w:szCs w:val="22"/>
          <w:lang w:eastAsia="es-MX"/>
        </w:rPr>
        <w:t xml:space="preserve">que </w:t>
      </w:r>
      <w:r w:rsidRPr="0076479F">
        <w:rPr>
          <w:bCs/>
          <w:sz w:val="22"/>
          <w:szCs w:val="22"/>
          <w:lang w:eastAsia="es-MX"/>
        </w:rPr>
        <w:t>permiten g</w:t>
      </w:r>
      <w:r w:rsidRPr="0076479F">
        <w:rPr>
          <w:sz w:val="22"/>
          <w:szCs w:val="22"/>
        </w:rPr>
        <w:t xml:space="preserve">arantizar y observar la </w:t>
      </w:r>
      <w:r w:rsidR="008D3505">
        <w:rPr>
          <w:sz w:val="22"/>
          <w:szCs w:val="22"/>
        </w:rPr>
        <w:t xml:space="preserve">más amplia </w:t>
      </w:r>
      <w:r w:rsidRPr="0076479F">
        <w:rPr>
          <w:sz w:val="22"/>
          <w:szCs w:val="22"/>
        </w:rPr>
        <w:t xml:space="preserve">protección de los derechos humanos en materia de vivienda, mediante la atención inmediata, eficiente y eficaz </w:t>
      </w:r>
      <w:r w:rsidR="007E7D2C">
        <w:rPr>
          <w:sz w:val="22"/>
          <w:szCs w:val="22"/>
        </w:rPr>
        <w:t xml:space="preserve">de </w:t>
      </w:r>
      <w:r w:rsidRPr="0076479F">
        <w:rPr>
          <w:sz w:val="22"/>
          <w:szCs w:val="22"/>
        </w:rPr>
        <w:t>las problemáticas planteadas en las quejas que se tramitan, vigilando la actuación de las autoridades</w:t>
      </w:r>
      <w:r w:rsidR="007E7D2C">
        <w:rPr>
          <w:sz w:val="22"/>
          <w:szCs w:val="22"/>
        </w:rPr>
        <w:t xml:space="preserve"> así como de </w:t>
      </w:r>
      <w:r w:rsidR="007E7D2C" w:rsidRPr="0076479F">
        <w:rPr>
          <w:sz w:val="22"/>
          <w:szCs w:val="22"/>
        </w:rPr>
        <w:t>los entes</w:t>
      </w:r>
      <w:r w:rsidR="007E7D2C">
        <w:rPr>
          <w:sz w:val="22"/>
          <w:szCs w:val="22"/>
        </w:rPr>
        <w:t xml:space="preserve"> q</w:t>
      </w:r>
      <w:r w:rsidR="007E7D2C" w:rsidRPr="0076479F">
        <w:rPr>
          <w:sz w:val="22"/>
          <w:szCs w:val="22"/>
        </w:rPr>
        <w:t>ue colaboran con</w:t>
      </w:r>
      <w:r w:rsidRPr="0076479F">
        <w:rPr>
          <w:sz w:val="22"/>
          <w:szCs w:val="22"/>
        </w:rPr>
        <w:t xml:space="preserve"> </w:t>
      </w:r>
      <w:r w:rsidR="007E7D2C">
        <w:rPr>
          <w:sz w:val="22"/>
          <w:szCs w:val="22"/>
        </w:rPr>
        <w:t>estas</w:t>
      </w:r>
      <w:r w:rsidR="004E5FB5">
        <w:rPr>
          <w:sz w:val="22"/>
          <w:szCs w:val="22"/>
        </w:rPr>
        <w:t>,</w:t>
      </w:r>
      <w:r w:rsidR="007E7D2C">
        <w:rPr>
          <w:sz w:val="22"/>
          <w:szCs w:val="22"/>
        </w:rPr>
        <w:t xml:space="preserve"> para que brinden la debida</w:t>
      </w:r>
      <w:r w:rsidRPr="0076479F">
        <w:rPr>
          <w:sz w:val="22"/>
          <w:szCs w:val="22"/>
        </w:rPr>
        <w:t xml:space="preserve"> atención </w:t>
      </w:r>
      <w:r w:rsidR="008D3505">
        <w:rPr>
          <w:sz w:val="22"/>
          <w:szCs w:val="22"/>
        </w:rPr>
        <w:t xml:space="preserve">a </w:t>
      </w:r>
      <w:r w:rsidRPr="0076479F">
        <w:rPr>
          <w:sz w:val="22"/>
          <w:szCs w:val="22"/>
        </w:rPr>
        <w:t>l</w:t>
      </w:r>
      <w:r w:rsidR="007E7D2C">
        <w:rPr>
          <w:sz w:val="22"/>
          <w:szCs w:val="22"/>
        </w:rPr>
        <w:t>a población.</w:t>
      </w:r>
      <w:r w:rsidR="0007787F" w:rsidRPr="0007787F">
        <w:rPr>
          <w:sz w:val="22"/>
          <w:szCs w:val="22"/>
        </w:rPr>
        <w:t xml:space="preserve"> </w:t>
      </w:r>
      <w:r w:rsidR="0007787F">
        <w:rPr>
          <w:sz w:val="22"/>
          <w:szCs w:val="22"/>
        </w:rPr>
        <w:t>Así</w:t>
      </w:r>
      <w:r w:rsidR="004E5FB5">
        <w:rPr>
          <w:sz w:val="22"/>
          <w:szCs w:val="22"/>
        </w:rPr>
        <w:t>,</w:t>
      </w:r>
      <w:r w:rsidR="0007787F">
        <w:rPr>
          <w:sz w:val="22"/>
          <w:szCs w:val="22"/>
        </w:rPr>
        <w:t xml:space="preserve"> mediante </w:t>
      </w:r>
      <w:r w:rsidR="004E5FB5">
        <w:rPr>
          <w:sz w:val="22"/>
          <w:szCs w:val="22"/>
        </w:rPr>
        <w:t xml:space="preserve">diversas </w:t>
      </w:r>
      <w:r w:rsidR="0007787F" w:rsidRPr="0076479F">
        <w:rPr>
          <w:sz w:val="22"/>
          <w:szCs w:val="22"/>
        </w:rPr>
        <w:t xml:space="preserve">gestiones </w:t>
      </w:r>
      <w:r w:rsidR="004E5FB5">
        <w:rPr>
          <w:sz w:val="22"/>
          <w:szCs w:val="22"/>
        </w:rPr>
        <w:t xml:space="preserve">con las autoridades </w:t>
      </w:r>
      <w:r w:rsidR="0007787F">
        <w:rPr>
          <w:sz w:val="22"/>
          <w:szCs w:val="22"/>
        </w:rPr>
        <w:t>se</w:t>
      </w:r>
      <w:r w:rsidR="0007787F" w:rsidRPr="0076479F">
        <w:rPr>
          <w:sz w:val="22"/>
          <w:szCs w:val="22"/>
        </w:rPr>
        <w:t xml:space="preserve"> logra la solución inmediata</w:t>
      </w:r>
      <w:r w:rsidR="0007787F">
        <w:rPr>
          <w:sz w:val="22"/>
          <w:szCs w:val="22"/>
        </w:rPr>
        <w:t xml:space="preserve"> a los problemas que </w:t>
      </w:r>
      <w:r w:rsidR="00D14B10">
        <w:rPr>
          <w:sz w:val="22"/>
          <w:szCs w:val="22"/>
        </w:rPr>
        <w:t>plantean y en</w:t>
      </w:r>
      <w:r w:rsidR="004E5FB5">
        <w:rPr>
          <w:sz w:val="22"/>
          <w:szCs w:val="22"/>
        </w:rPr>
        <w:t xml:space="preserve"> los</w:t>
      </w:r>
      <w:r w:rsidR="00D14B10">
        <w:rPr>
          <w:sz w:val="22"/>
          <w:szCs w:val="22"/>
        </w:rPr>
        <w:t xml:space="preserve"> casos que </w:t>
      </w:r>
      <w:r w:rsidR="004E5FB5">
        <w:rPr>
          <w:sz w:val="22"/>
          <w:szCs w:val="22"/>
        </w:rPr>
        <w:t>resulten</w:t>
      </w:r>
      <w:r w:rsidR="00D14B10">
        <w:rPr>
          <w:sz w:val="22"/>
          <w:szCs w:val="22"/>
        </w:rPr>
        <w:t xml:space="preserve"> procedentes se emite la C</w:t>
      </w:r>
      <w:r w:rsidR="0007787F" w:rsidRPr="0076479F">
        <w:rPr>
          <w:sz w:val="22"/>
          <w:szCs w:val="22"/>
        </w:rPr>
        <w:t>onciliación o Recomendación</w:t>
      </w:r>
      <w:r w:rsidR="00D14B10">
        <w:rPr>
          <w:sz w:val="22"/>
          <w:szCs w:val="22"/>
        </w:rPr>
        <w:t xml:space="preserve"> correspondiente</w:t>
      </w:r>
      <w:r w:rsidR="0007787F" w:rsidRPr="0076479F">
        <w:rPr>
          <w:sz w:val="22"/>
          <w:szCs w:val="22"/>
        </w:rPr>
        <w:t>.</w:t>
      </w:r>
    </w:p>
    <w:p w:rsidR="007E7D2C" w:rsidRDefault="007E7D2C" w:rsidP="000B5AEF">
      <w:pPr>
        <w:pStyle w:val="Default"/>
        <w:spacing w:line="260" w:lineRule="exact"/>
        <w:jc w:val="both"/>
        <w:rPr>
          <w:sz w:val="22"/>
          <w:szCs w:val="22"/>
        </w:rPr>
      </w:pPr>
    </w:p>
    <w:p w:rsidR="0007787F" w:rsidRDefault="007E7D2C" w:rsidP="000B5AEF">
      <w:pPr>
        <w:pStyle w:val="Default"/>
        <w:spacing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Con lo anterior</w:t>
      </w:r>
      <w:r w:rsidR="008D3505">
        <w:rPr>
          <w:sz w:val="22"/>
          <w:szCs w:val="22"/>
        </w:rPr>
        <w:t>,</w:t>
      </w:r>
      <w:r>
        <w:rPr>
          <w:sz w:val="22"/>
          <w:szCs w:val="22"/>
        </w:rPr>
        <w:t xml:space="preserve"> además se busca</w:t>
      </w:r>
      <w:r w:rsidR="00AA5A90" w:rsidRPr="0076479F">
        <w:rPr>
          <w:sz w:val="22"/>
          <w:szCs w:val="22"/>
        </w:rPr>
        <w:t xml:space="preserve"> lograr convenios de colaboración para </w:t>
      </w:r>
      <w:r w:rsidR="004E5FB5">
        <w:rPr>
          <w:sz w:val="22"/>
          <w:szCs w:val="22"/>
        </w:rPr>
        <w:t xml:space="preserve">la </w:t>
      </w:r>
      <w:r w:rsidR="00AA5A90" w:rsidRPr="0076479F">
        <w:rPr>
          <w:sz w:val="22"/>
          <w:szCs w:val="22"/>
        </w:rPr>
        <w:t>tramita</w:t>
      </w:r>
      <w:r w:rsidR="00CF3D88" w:rsidRPr="0076479F">
        <w:rPr>
          <w:sz w:val="22"/>
          <w:szCs w:val="22"/>
        </w:rPr>
        <w:t>ción y solución de los problemas</w:t>
      </w:r>
      <w:r w:rsidR="008D3505">
        <w:rPr>
          <w:sz w:val="22"/>
          <w:szCs w:val="22"/>
        </w:rPr>
        <w:t xml:space="preserve">, asimismo </w:t>
      </w:r>
      <w:r w:rsidR="00CF3D88" w:rsidRPr="0076479F">
        <w:rPr>
          <w:sz w:val="22"/>
          <w:szCs w:val="22"/>
        </w:rPr>
        <w:t>c</w:t>
      </w:r>
      <w:r w:rsidR="00AA5A90" w:rsidRPr="0076479F">
        <w:rPr>
          <w:sz w:val="22"/>
          <w:szCs w:val="22"/>
        </w:rPr>
        <w:t>oncientizar a los organismos sociales</w:t>
      </w:r>
      <w:r w:rsidR="008D3505">
        <w:rPr>
          <w:sz w:val="22"/>
          <w:szCs w:val="22"/>
        </w:rPr>
        <w:t>,</w:t>
      </w:r>
      <w:r w:rsidR="00AA5A90" w:rsidRPr="0076479F">
        <w:rPr>
          <w:sz w:val="22"/>
          <w:szCs w:val="22"/>
        </w:rPr>
        <w:t xml:space="preserve"> </w:t>
      </w:r>
      <w:r w:rsidR="008D3505">
        <w:rPr>
          <w:sz w:val="22"/>
          <w:szCs w:val="22"/>
        </w:rPr>
        <w:t xml:space="preserve">encargados de la materia sobre </w:t>
      </w:r>
      <w:r w:rsidR="00AA5A90" w:rsidRPr="0076479F">
        <w:rPr>
          <w:sz w:val="22"/>
          <w:szCs w:val="22"/>
        </w:rPr>
        <w:t>de la importanci</w:t>
      </w:r>
      <w:r w:rsidR="008D3505">
        <w:rPr>
          <w:sz w:val="22"/>
          <w:szCs w:val="22"/>
        </w:rPr>
        <w:t>a de hacer efectiva su labor, contenida en el marco jurídico internacional y nacional</w:t>
      </w:r>
      <w:r w:rsidR="00FD7BF9" w:rsidRPr="0076479F">
        <w:rPr>
          <w:sz w:val="22"/>
          <w:szCs w:val="22"/>
        </w:rPr>
        <w:t>,</w:t>
      </w:r>
      <w:r w:rsidR="00AA5A90" w:rsidRPr="0076479F">
        <w:rPr>
          <w:sz w:val="22"/>
          <w:szCs w:val="22"/>
        </w:rPr>
        <w:t xml:space="preserve"> para que </w:t>
      </w:r>
      <w:r w:rsidR="008D3505">
        <w:rPr>
          <w:sz w:val="22"/>
          <w:szCs w:val="22"/>
        </w:rPr>
        <w:t xml:space="preserve">garanticen a la sociedad </w:t>
      </w:r>
      <w:r w:rsidR="00AA5A90" w:rsidRPr="0076479F">
        <w:rPr>
          <w:sz w:val="22"/>
          <w:szCs w:val="22"/>
        </w:rPr>
        <w:t xml:space="preserve">el derecho a </w:t>
      </w:r>
      <w:r w:rsidR="008D3505">
        <w:rPr>
          <w:sz w:val="22"/>
          <w:szCs w:val="22"/>
        </w:rPr>
        <w:t>gozar de</w:t>
      </w:r>
      <w:r w:rsidR="00AA5A90" w:rsidRPr="0076479F">
        <w:rPr>
          <w:sz w:val="22"/>
          <w:szCs w:val="22"/>
        </w:rPr>
        <w:t xml:space="preserve"> una vivienda digna y decorosa</w:t>
      </w:r>
      <w:r w:rsidR="0007787F">
        <w:rPr>
          <w:sz w:val="22"/>
          <w:szCs w:val="22"/>
        </w:rPr>
        <w:t>.</w:t>
      </w:r>
    </w:p>
    <w:p w:rsidR="0007787F" w:rsidRDefault="0007787F" w:rsidP="000B5AEF">
      <w:pPr>
        <w:pStyle w:val="Default"/>
        <w:spacing w:line="260" w:lineRule="exact"/>
        <w:jc w:val="both"/>
        <w:rPr>
          <w:sz w:val="22"/>
          <w:szCs w:val="22"/>
        </w:rPr>
      </w:pPr>
    </w:p>
    <w:p w:rsidR="001A7511" w:rsidRPr="0076479F" w:rsidRDefault="0007787F" w:rsidP="0007787F">
      <w:pPr>
        <w:pStyle w:val="Default"/>
        <w:spacing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Si bien la normativa nacional, a través de la</w:t>
      </w:r>
      <w:r w:rsidRPr="0076479F">
        <w:rPr>
          <w:sz w:val="22"/>
          <w:szCs w:val="22"/>
        </w:rPr>
        <w:t xml:space="preserve"> Ley General de Asentamientos Humanos, </w:t>
      </w:r>
      <w:r w:rsidRPr="0076479F">
        <w:rPr>
          <w:bCs/>
          <w:sz w:val="22"/>
          <w:szCs w:val="22"/>
        </w:rPr>
        <w:t>Ordenamiento Territorial y Desarrollo Urbano</w:t>
      </w:r>
      <w:r>
        <w:rPr>
          <w:bCs/>
          <w:sz w:val="22"/>
          <w:szCs w:val="22"/>
        </w:rPr>
        <w:t>, por conducto de la Secretaría de Desarrollo Agrario Territorial y Urbano</w:t>
      </w:r>
      <w:r w:rsidR="00D14B10">
        <w:rPr>
          <w:bCs/>
          <w:sz w:val="22"/>
          <w:szCs w:val="22"/>
        </w:rPr>
        <w:t xml:space="preserve"> (SEDATU)</w:t>
      </w:r>
      <w:r w:rsidR="004E5FB5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 w:rsidRPr="00D73C84">
        <w:rPr>
          <w:bCs/>
          <w:sz w:val="22"/>
          <w:szCs w:val="22"/>
        </w:rPr>
        <w:t>f</w:t>
      </w:r>
      <w:r w:rsidRPr="00D73C84">
        <w:rPr>
          <w:sz w:val="22"/>
          <w:szCs w:val="22"/>
        </w:rPr>
        <w:t>ija las normas básicas e instrumentos de gestión de observancia general, para ordenar el uso del territorio y los Asentamientos Humanos en el país, con pleno respeto a los derechos humanos, así como el cumplimiento de las obligaciones que tiene el Estado para promoverlos, respetarlos, protegerlos y garantizarlos plenamente</w:t>
      </w:r>
      <w:r w:rsidRPr="00D73C84">
        <w:rPr>
          <w:rStyle w:val="Refdenotaalpie"/>
          <w:sz w:val="22"/>
          <w:szCs w:val="22"/>
        </w:rPr>
        <w:footnoteReference w:id="1"/>
      </w:r>
      <w:r w:rsidRPr="00D73C84">
        <w:rPr>
          <w:sz w:val="22"/>
          <w:szCs w:val="22"/>
        </w:rPr>
        <w:t xml:space="preserve">, de forma puntual la Comisión </w:t>
      </w:r>
      <w:r w:rsidR="00C65333" w:rsidRPr="00D73C84">
        <w:rPr>
          <w:sz w:val="22"/>
          <w:szCs w:val="22"/>
        </w:rPr>
        <w:t>atie</w:t>
      </w:r>
      <w:r w:rsidR="001A7511" w:rsidRPr="00D73C84">
        <w:rPr>
          <w:sz w:val="22"/>
          <w:szCs w:val="22"/>
        </w:rPr>
        <w:t>nde</w:t>
      </w:r>
      <w:r w:rsidR="00C65333" w:rsidRPr="00D73C84">
        <w:rPr>
          <w:sz w:val="22"/>
          <w:szCs w:val="22"/>
        </w:rPr>
        <w:t xml:space="preserve"> e</w:t>
      </w:r>
      <w:r w:rsidR="00C65333" w:rsidRPr="0076479F">
        <w:rPr>
          <w:sz w:val="22"/>
          <w:szCs w:val="22"/>
        </w:rPr>
        <w:t xml:space="preserve"> investiga</w:t>
      </w:r>
      <w:r w:rsidR="001A7511" w:rsidRPr="0076479F">
        <w:rPr>
          <w:sz w:val="22"/>
          <w:szCs w:val="22"/>
        </w:rPr>
        <w:t xml:space="preserve"> las quejas </w:t>
      </w:r>
      <w:r>
        <w:rPr>
          <w:sz w:val="22"/>
          <w:szCs w:val="22"/>
        </w:rPr>
        <w:t xml:space="preserve">por actos u omisiones </w:t>
      </w:r>
      <w:r w:rsidR="001A7511" w:rsidRPr="0076479F">
        <w:rPr>
          <w:sz w:val="22"/>
          <w:szCs w:val="22"/>
        </w:rPr>
        <w:t xml:space="preserve">principalmente </w:t>
      </w:r>
      <w:r>
        <w:rPr>
          <w:sz w:val="22"/>
          <w:szCs w:val="22"/>
        </w:rPr>
        <w:t>d</w:t>
      </w:r>
      <w:r w:rsidR="00C65333" w:rsidRPr="0076479F">
        <w:rPr>
          <w:sz w:val="22"/>
          <w:szCs w:val="22"/>
        </w:rPr>
        <w:t>el Instituto del Fondo Nacional de la Vivienda para los Trabajadores (INFONAVIT)</w:t>
      </w:r>
      <w:r w:rsidR="001A7511" w:rsidRPr="0076479F">
        <w:rPr>
          <w:sz w:val="22"/>
          <w:szCs w:val="22"/>
        </w:rPr>
        <w:t>,</w:t>
      </w:r>
      <w:r w:rsidR="004D4C5E" w:rsidRPr="0076479F">
        <w:rPr>
          <w:sz w:val="22"/>
          <w:szCs w:val="22"/>
        </w:rPr>
        <w:t xml:space="preserve"> </w:t>
      </w:r>
      <w:r w:rsidR="004E5FB5">
        <w:rPr>
          <w:sz w:val="22"/>
          <w:szCs w:val="22"/>
        </w:rPr>
        <w:t>d</w:t>
      </w:r>
      <w:r w:rsidR="004D4C5E" w:rsidRPr="0076479F">
        <w:rPr>
          <w:sz w:val="22"/>
          <w:szCs w:val="22"/>
        </w:rPr>
        <w:t>el</w:t>
      </w:r>
      <w:r w:rsidR="001A7511" w:rsidRPr="0076479F">
        <w:rPr>
          <w:sz w:val="22"/>
          <w:szCs w:val="22"/>
        </w:rPr>
        <w:t xml:space="preserve"> </w:t>
      </w:r>
      <w:r w:rsidR="00C65333" w:rsidRPr="0076479F">
        <w:rPr>
          <w:sz w:val="22"/>
          <w:szCs w:val="22"/>
        </w:rPr>
        <w:t>Fondo de la Vivienda del Instituto de Seguridad y Servicios Sociales de los Trabajadores del Estado (FOVISSSTE)</w:t>
      </w:r>
      <w:r w:rsidR="001A7511" w:rsidRPr="0076479F">
        <w:rPr>
          <w:sz w:val="22"/>
          <w:szCs w:val="22"/>
        </w:rPr>
        <w:t xml:space="preserve">, </w:t>
      </w:r>
      <w:r w:rsidR="004E5FB5">
        <w:rPr>
          <w:sz w:val="22"/>
          <w:szCs w:val="22"/>
        </w:rPr>
        <w:t>d</w:t>
      </w:r>
      <w:r w:rsidR="004D4C5E" w:rsidRPr="0076479F">
        <w:rPr>
          <w:sz w:val="22"/>
          <w:szCs w:val="22"/>
        </w:rPr>
        <w:t xml:space="preserve">el </w:t>
      </w:r>
      <w:r w:rsidR="009D77E4" w:rsidRPr="0076479F">
        <w:rPr>
          <w:sz w:val="22"/>
          <w:szCs w:val="22"/>
        </w:rPr>
        <w:t>Fideicomiso Fondo Nacional de Habitaciones Populares (FONHAPO)</w:t>
      </w:r>
      <w:r w:rsidR="001A7511" w:rsidRPr="0076479F">
        <w:rPr>
          <w:sz w:val="22"/>
          <w:szCs w:val="22"/>
        </w:rPr>
        <w:t>, entre otros,</w:t>
      </w:r>
      <w:r>
        <w:rPr>
          <w:sz w:val="22"/>
          <w:szCs w:val="22"/>
        </w:rPr>
        <w:t xml:space="preserve"> pues son las</w:t>
      </w:r>
      <w:r w:rsidR="00D14B10">
        <w:rPr>
          <w:sz w:val="22"/>
          <w:szCs w:val="22"/>
        </w:rPr>
        <w:t xml:space="preserve"> autoridades con las que se presentan mayor número de inconformidades</w:t>
      </w:r>
      <w:r>
        <w:rPr>
          <w:sz w:val="22"/>
          <w:szCs w:val="22"/>
        </w:rPr>
        <w:t>, no así de la SEDATU</w:t>
      </w:r>
      <w:r w:rsidR="00D14B10">
        <w:rPr>
          <w:sz w:val="22"/>
          <w:szCs w:val="22"/>
        </w:rPr>
        <w:t>.</w:t>
      </w:r>
    </w:p>
    <w:p w:rsidR="001A7511" w:rsidRPr="0076479F" w:rsidRDefault="001A7511" w:rsidP="000B5AEF">
      <w:pPr>
        <w:tabs>
          <w:tab w:val="left" w:pos="9639"/>
        </w:tabs>
        <w:spacing w:line="260" w:lineRule="exact"/>
        <w:ind w:right="-91"/>
        <w:jc w:val="both"/>
        <w:rPr>
          <w:rFonts w:ascii="Arial" w:hAnsi="Arial" w:cs="Arial"/>
          <w:b/>
          <w:sz w:val="22"/>
          <w:szCs w:val="22"/>
        </w:rPr>
      </w:pPr>
    </w:p>
    <w:p w:rsidR="001A7511" w:rsidRPr="0076479F" w:rsidRDefault="00D14B10" w:rsidP="000B5AEF">
      <w:pPr>
        <w:pStyle w:val="Default"/>
        <w:spacing w:line="260" w:lineRule="exact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val="es-ES"/>
        </w:rPr>
        <w:t>E</w:t>
      </w:r>
      <w:r w:rsidR="005B579A" w:rsidRPr="0076479F">
        <w:rPr>
          <w:rFonts w:eastAsia="Times New Roman"/>
          <w:sz w:val="22"/>
          <w:szCs w:val="22"/>
          <w:lang w:val="es-ES"/>
        </w:rPr>
        <w:t xml:space="preserve">n </w:t>
      </w:r>
      <w:r w:rsidR="0063645C" w:rsidRPr="0076479F">
        <w:rPr>
          <w:rFonts w:eastAsia="Times New Roman"/>
          <w:sz w:val="22"/>
          <w:szCs w:val="22"/>
          <w:lang w:val="es-ES"/>
        </w:rPr>
        <w:t xml:space="preserve">los casos </w:t>
      </w:r>
      <w:r w:rsidRPr="0076479F">
        <w:rPr>
          <w:rFonts w:eastAsia="Times New Roman"/>
          <w:sz w:val="22"/>
          <w:szCs w:val="22"/>
          <w:lang w:val="es-ES"/>
        </w:rPr>
        <w:t>que,</w:t>
      </w:r>
      <w:r w:rsidR="00907BFA" w:rsidRPr="0076479F">
        <w:rPr>
          <w:rFonts w:eastAsia="Times New Roman"/>
          <w:sz w:val="22"/>
          <w:szCs w:val="22"/>
          <w:lang w:val="es-ES"/>
        </w:rPr>
        <w:t xml:space="preserve"> por alguna causa</w:t>
      </w:r>
      <w:r w:rsidR="005B579A" w:rsidRPr="0076479F">
        <w:rPr>
          <w:rFonts w:eastAsia="Times New Roman"/>
          <w:sz w:val="22"/>
          <w:szCs w:val="22"/>
          <w:lang w:val="es-ES"/>
        </w:rPr>
        <w:t xml:space="preserve"> legal o reglamentaria, la CNDH no pueda intervenir</w:t>
      </w:r>
      <w:r w:rsidR="00907BFA" w:rsidRPr="0076479F">
        <w:rPr>
          <w:rFonts w:eastAsia="Times New Roman"/>
          <w:sz w:val="22"/>
          <w:szCs w:val="22"/>
          <w:lang w:val="es-ES"/>
        </w:rPr>
        <w:t xml:space="preserve">, </w:t>
      </w:r>
      <w:r>
        <w:rPr>
          <w:rFonts w:eastAsia="Times New Roman"/>
          <w:sz w:val="22"/>
          <w:szCs w:val="22"/>
          <w:lang w:val="es-ES"/>
        </w:rPr>
        <w:t>se</w:t>
      </w:r>
      <w:r w:rsidR="00907BFA" w:rsidRPr="0076479F">
        <w:rPr>
          <w:rFonts w:eastAsia="Times New Roman"/>
          <w:sz w:val="22"/>
          <w:szCs w:val="22"/>
          <w:lang w:val="es-ES"/>
        </w:rPr>
        <w:t xml:space="preserve"> realiza</w:t>
      </w:r>
      <w:r>
        <w:rPr>
          <w:rFonts w:eastAsia="Times New Roman"/>
          <w:sz w:val="22"/>
          <w:szCs w:val="22"/>
          <w:lang w:val="es-ES"/>
        </w:rPr>
        <w:t>n</w:t>
      </w:r>
      <w:r w:rsidR="00907BFA" w:rsidRPr="0076479F">
        <w:rPr>
          <w:rFonts w:eastAsia="Times New Roman"/>
          <w:sz w:val="22"/>
          <w:szCs w:val="22"/>
          <w:lang w:val="es-ES"/>
        </w:rPr>
        <w:t xml:space="preserve"> las gestiones</w:t>
      </w:r>
      <w:r w:rsidR="0063645C" w:rsidRPr="0076479F">
        <w:rPr>
          <w:rFonts w:eastAsia="Times New Roman"/>
          <w:sz w:val="22"/>
          <w:szCs w:val="22"/>
          <w:lang w:val="es-ES"/>
        </w:rPr>
        <w:t xml:space="preserve"> pertinentes</w:t>
      </w:r>
      <w:r w:rsidR="00907BFA" w:rsidRPr="0076479F">
        <w:rPr>
          <w:rFonts w:eastAsia="Times New Roman"/>
          <w:sz w:val="22"/>
          <w:szCs w:val="22"/>
          <w:lang w:val="es-ES"/>
        </w:rPr>
        <w:t xml:space="preserve"> </w:t>
      </w:r>
      <w:r>
        <w:rPr>
          <w:rFonts w:eastAsia="Times New Roman"/>
          <w:sz w:val="22"/>
          <w:szCs w:val="22"/>
          <w:lang w:val="es-ES"/>
        </w:rPr>
        <w:t>y se</w:t>
      </w:r>
      <w:r w:rsidR="001A7511" w:rsidRPr="0076479F">
        <w:rPr>
          <w:sz w:val="22"/>
          <w:szCs w:val="22"/>
        </w:rPr>
        <w:t xml:space="preserve"> comunica</w:t>
      </w:r>
      <w:r>
        <w:rPr>
          <w:sz w:val="22"/>
          <w:szCs w:val="22"/>
        </w:rPr>
        <w:t xml:space="preserve"> dicha situación a</w:t>
      </w:r>
      <w:r w:rsidR="001A7511" w:rsidRPr="0076479F">
        <w:rPr>
          <w:sz w:val="22"/>
          <w:szCs w:val="22"/>
        </w:rPr>
        <w:t xml:space="preserve"> la brevedad mediante oficio al quejoso</w:t>
      </w:r>
      <w:r w:rsidR="00907BFA" w:rsidRPr="0076479F">
        <w:rPr>
          <w:sz w:val="22"/>
          <w:szCs w:val="22"/>
        </w:rPr>
        <w:t>,</w:t>
      </w:r>
      <w:r w:rsidR="001A7511" w:rsidRPr="0076479F">
        <w:rPr>
          <w:sz w:val="22"/>
          <w:szCs w:val="22"/>
        </w:rPr>
        <w:t xml:space="preserve"> señalándole con claridad las causas de </w:t>
      </w:r>
      <w:r w:rsidR="0063645C" w:rsidRPr="0076479F">
        <w:rPr>
          <w:sz w:val="22"/>
          <w:szCs w:val="22"/>
        </w:rPr>
        <w:t>tal incompetencia</w:t>
      </w:r>
      <w:r w:rsidR="001A7511" w:rsidRPr="0076479F">
        <w:rPr>
          <w:sz w:val="22"/>
          <w:szCs w:val="22"/>
        </w:rPr>
        <w:t>, así como los fundamentos constitucionales, legales y reglamentarios</w:t>
      </w:r>
      <w:r w:rsidR="00907BFA" w:rsidRPr="0076479F">
        <w:rPr>
          <w:sz w:val="22"/>
          <w:szCs w:val="22"/>
        </w:rPr>
        <w:t>,</w:t>
      </w:r>
      <w:r w:rsidR="001A7511" w:rsidRPr="0076479F">
        <w:rPr>
          <w:sz w:val="22"/>
          <w:szCs w:val="22"/>
        </w:rPr>
        <w:t xml:space="preserve"> proporciona</w:t>
      </w:r>
      <w:r w:rsidR="00907BFA" w:rsidRPr="0076479F">
        <w:rPr>
          <w:sz w:val="22"/>
          <w:szCs w:val="22"/>
        </w:rPr>
        <w:t>ndo</w:t>
      </w:r>
      <w:r w:rsidR="001A7511" w:rsidRPr="0076479F">
        <w:rPr>
          <w:sz w:val="22"/>
          <w:szCs w:val="22"/>
        </w:rPr>
        <w:t xml:space="preserve"> la orientación jurídica que conforme a Derecho proceda para que acuda a las instancias </w:t>
      </w:r>
      <w:r w:rsidR="0063645C" w:rsidRPr="0076479F">
        <w:rPr>
          <w:rFonts w:eastAsia="Times New Roman"/>
          <w:sz w:val="22"/>
          <w:szCs w:val="22"/>
          <w:lang w:val="es-ES"/>
        </w:rPr>
        <w:t>correspondientes</w:t>
      </w:r>
      <w:r w:rsidR="001A7511" w:rsidRPr="0076479F">
        <w:rPr>
          <w:sz w:val="22"/>
          <w:szCs w:val="22"/>
        </w:rPr>
        <w:t xml:space="preserve">.  </w:t>
      </w:r>
    </w:p>
    <w:p w:rsidR="001A7511" w:rsidRPr="0076479F" w:rsidRDefault="001A7511" w:rsidP="000B5AEF">
      <w:pPr>
        <w:pStyle w:val="Default"/>
        <w:spacing w:line="260" w:lineRule="exact"/>
        <w:jc w:val="both"/>
        <w:rPr>
          <w:rFonts w:eastAsia="Times New Roman"/>
          <w:sz w:val="22"/>
          <w:szCs w:val="22"/>
          <w:lang w:val="es-ES"/>
        </w:rPr>
      </w:pPr>
    </w:p>
    <w:p w:rsidR="001A7511" w:rsidRPr="0076479F" w:rsidRDefault="006929F7" w:rsidP="000B5AEF">
      <w:pPr>
        <w:pStyle w:val="Default"/>
        <w:spacing w:line="260" w:lineRule="exact"/>
        <w:jc w:val="both"/>
        <w:rPr>
          <w:rFonts w:eastAsia="Times New Roman"/>
          <w:sz w:val="22"/>
          <w:szCs w:val="22"/>
          <w:lang w:val="es-ES"/>
        </w:rPr>
      </w:pPr>
      <w:r w:rsidRPr="0076479F">
        <w:rPr>
          <w:rFonts w:eastAsia="Times New Roman"/>
          <w:sz w:val="22"/>
          <w:szCs w:val="22"/>
          <w:lang w:val="es-ES"/>
        </w:rPr>
        <w:lastRenderedPageBreak/>
        <w:t>En el desarrollo de tales funciones</w:t>
      </w:r>
      <w:r w:rsidR="001404AE" w:rsidRPr="0076479F">
        <w:rPr>
          <w:rFonts w:eastAsia="Times New Roman"/>
          <w:sz w:val="22"/>
          <w:szCs w:val="22"/>
          <w:lang w:val="es-ES"/>
        </w:rPr>
        <w:t>,</w:t>
      </w:r>
      <w:r w:rsidRPr="0076479F">
        <w:rPr>
          <w:rFonts w:eastAsia="Times New Roman"/>
          <w:sz w:val="22"/>
          <w:szCs w:val="22"/>
          <w:lang w:val="es-ES"/>
        </w:rPr>
        <w:t xml:space="preserve"> este Organismo Nacional ha advertido en materia de vivienda la vulneración recurrente de </w:t>
      </w:r>
      <w:r w:rsidR="001A7511" w:rsidRPr="0076479F">
        <w:rPr>
          <w:rFonts w:eastAsia="Times New Roman"/>
          <w:sz w:val="22"/>
          <w:szCs w:val="22"/>
          <w:lang w:val="es-ES"/>
        </w:rPr>
        <w:t xml:space="preserve">los </w:t>
      </w:r>
      <w:r w:rsidRPr="0076479F">
        <w:rPr>
          <w:rFonts w:eastAsia="Times New Roman"/>
          <w:sz w:val="22"/>
          <w:szCs w:val="22"/>
          <w:lang w:val="es-ES"/>
        </w:rPr>
        <w:t xml:space="preserve">siguientes </w:t>
      </w:r>
      <w:r w:rsidR="001A7511" w:rsidRPr="0076479F">
        <w:rPr>
          <w:rFonts w:eastAsia="Times New Roman"/>
          <w:sz w:val="22"/>
          <w:szCs w:val="22"/>
          <w:lang w:val="es-ES"/>
        </w:rPr>
        <w:t>Derechos Humanos</w:t>
      </w:r>
      <w:r w:rsidRPr="0076479F">
        <w:rPr>
          <w:rFonts w:eastAsia="Times New Roman"/>
          <w:sz w:val="22"/>
          <w:szCs w:val="22"/>
          <w:lang w:val="es-ES"/>
        </w:rPr>
        <w:t>:</w:t>
      </w:r>
      <w:r w:rsidR="001A7511" w:rsidRPr="0076479F">
        <w:rPr>
          <w:rFonts w:eastAsia="Times New Roman"/>
          <w:sz w:val="22"/>
          <w:szCs w:val="22"/>
          <w:lang w:val="es-ES"/>
        </w:rPr>
        <w:t xml:space="preserve">  </w:t>
      </w:r>
    </w:p>
    <w:p w:rsidR="001A7511" w:rsidRPr="0076479F" w:rsidRDefault="001A7511" w:rsidP="000B5AEF">
      <w:pPr>
        <w:pStyle w:val="Default"/>
        <w:numPr>
          <w:ilvl w:val="0"/>
          <w:numId w:val="18"/>
        </w:numPr>
        <w:spacing w:line="260" w:lineRule="exact"/>
        <w:jc w:val="both"/>
        <w:rPr>
          <w:sz w:val="22"/>
          <w:szCs w:val="22"/>
        </w:rPr>
      </w:pPr>
      <w:r w:rsidRPr="0076479F">
        <w:rPr>
          <w:sz w:val="22"/>
          <w:szCs w:val="22"/>
        </w:rPr>
        <w:t>Derecho de petición</w:t>
      </w:r>
    </w:p>
    <w:p w:rsidR="001A7511" w:rsidRPr="0076479F" w:rsidRDefault="001A7511" w:rsidP="000B5AEF">
      <w:pPr>
        <w:pStyle w:val="Default"/>
        <w:numPr>
          <w:ilvl w:val="0"/>
          <w:numId w:val="18"/>
        </w:numPr>
        <w:spacing w:line="260" w:lineRule="exact"/>
        <w:jc w:val="both"/>
        <w:rPr>
          <w:sz w:val="22"/>
          <w:szCs w:val="22"/>
        </w:rPr>
      </w:pPr>
      <w:r w:rsidRPr="0076479F">
        <w:rPr>
          <w:sz w:val="22"/>
          <w:szCs w:val="22"/>
        </w:rPr>
        <w:t xml:space="preserve">Indebida prestación del servicio </w:t>
      </w:r>
    </w:p>
    <w:p w:rsidR="001A7511" w:rsidRPr="0076479F" w:rsidRDefault="001A7511" w:rsidP="000B5AEF">
      <w:pPr>
        <w:pStyle w:val="Default"/>
        <w:numPr>
          <w:ilvl w:val="0"/>
          <w:numId w:val="18"/>
        </w:numPr>
        <w:spacing w:line="260" w:lineRule="exact"/>
        <w:jc w:val="both"/>
        <w:rPr>
          <w:sz w:val="22"/>
          <w:szCs w:val="22"/>
        </w:rPr>
      </w:pPr>
      <w:r w:rsidRPr="0076479F">
        <w:rPr>
          <w:sz w:val="22"/>
          <w:szCs w:val="22"/>
        </w:rPr>
        <w:t xml:space="preserve">Seguridad jurídica </w:t>
      </w:r>
    </w:p>
    <w:p w:rsidR="001A7511" w:rsidRPr="0076479F" w:rsidRDefault="001A7511" w:rsidP="000B5AEF">
      <w:pPr>
        <w:pStyle w:val="Default"/>
        <w:spacing w:line="260" w:lineRule="exact"/>
        <w:ind w:left="720"/>
        <w:jc w:val="both"/>
        <w:rPr>
          <w:sz w:val="22"/>
          <w:szCs w:val="22"/>
        </w:rPr>
      </w:pPr>
    </w:p>
    <w:p w:rsidR="001A7511" w:rsidRPr="0076479F" w:rsidRDefault="006929F7" w:rsidP="000B5AEF">
      <w:pPr>
        <w:pStyle w:val="Default"/>
        <w:spacing w:line="260" w:lineRule="exact"/>
        <w:jc w:val="both"/>
        <w:rPr>
          <w:sz w:val="22"/>
          <w:szCs w:val="22"/>
        </w:rPr>
      </w:pPr>
      <w:r w:rsidRPr="0076479F">
        <w:rPr>
          <w:sz w:val="22"/>
          <w:szCs w:val="22"/>
        </w:rPr>
        <w:t>Siendo al respecto las</w:t>
      </w:r>
      <w:r w:rsidR="001A7511" w:rsidRPr="0076479F">
        <w:rPr>
          <w:sz w:val="22"/>
          <w:szCs w:val="22"/>
        </w:rPr>
        <w:t xml:space="preserve"> problemáticas </w:t>
      </w:r>
      <w:r w:rsidR="005B579A" w:rsidRPr="0076479F">
        <w:rPr>
          <w:sz w:val="22"/>
          <w:szCs w:val="22"/>
        </w:rPr>
        <w:t xml:space="preserve">que </w:t>
      </w:r>
      <w:r w:rsidR="001A7511" w:rsidRPr="0076479F">
        <w:rPr>
          <w:sz w:val="22"/>
          <w:szCs w:val="22"/>
        </w:rPr>
        <w:t xml:space="preserve">comúnmente </w:t>
      </w:r>
      <w:r w:rsidR="005B579A" w:rsidRPr="0076479F">
        <w:rPr>
          <w:sz w:val="22"/>
          <w:szCs w:val="22"/>
        </w:rPr>
        <w:t>plantean los quejosos</w:t>
      </w:r>
      <w:r w:rsidRPr="0076479F">
        <w:rPr>
          <w:sz w:val="22"/>
          <w:szCs w:val="22"/>
        </w:rPr>
        <w:t xml:space="preserve"> las que a continuación se exponen:</w:t>
      </w:r>
    </w:p>
    <w:p w:rsidR="001A7511" w:rsidRPr="0076479F" w:rsidRDefault="001A7511" w:rsidP="000B5AEF">
      <w:pPr>
        <w:pStyle w:val="Default"/>
        <w:spacing w:line="260" w:lineRule="exact"/>
        <w:jc w:val="both"/>
        <w:rPr>
          <w:sz w:val="22"/>
          <w:szCs w:val="22"/>
        </w:rPr>
      </w:pPr>
    </w:p>
    <w:p w:rsidR="001A7511" w:rsidRPr="0076479F" w:rsidRDefault="006929F7" w:rsidP="000B5AEF">
      <w:pPr>
        <w:pStyle w:val="Default"/>
        <w:spacing w:line="260" w:lineRule="exact"/>
        <w:jc w:val="both"/>
        <w:rPr>
          <w:sz w:val="22"/>
          <w:szCs w:val="22"/>
        </w:rPr>
      </w:pPr>
      <w:r w:rsidRPr="0076479F">
        <w:rPr>
          <w:b/>
          <w:sz w:val="22"/>
          <w:szCs w:val="22"/>
        </w:rPr>
        <w:t xml:space="preserve">1. </w:t>
      </w:r>
      <w:r w:rsidR="001A7511" w:rsidRPr="0076479F">
        <w:rPr>
          <w:b/>
          <w:sz w:val="22"/>
          <w:szCs w:val="22"/>
        </w:rPr>
        <w:t>Por cuanto hace al derecho de petición</w:t>
      </w:r>
      <w:r w:rsidR="001A7511" w:rsidRPr="0076479F">
        <w:rPr>
          <w:sz w:val="22"/>
          <w:szCs w:val="22"/>
        </w:rPr>
        <w:t xml:space="preserve">, </w:t>
      </w:r>
      <w:r w:rsidR="00D14B10">
        <w:rPr>
          <w:sz w:val="22"/>
          <w:szCs w:val="22"/>
        </w:rPr>
        <w:t>este</w:t>
      </w:r>
      <w:r w:rsidR="001A7511" w:rsidRPr="0076479F">
        <w:rPr>
          <w:sz w:val="22"/>
          <w:szCs w:val="22"/>
        </w:rPr>
        <w:t xml:space="preserve"> se relaciona con la falta de atención o dilación en las respuestas a l</w:t>
      </w:r>
      <w:r w:rsidR="00D14B10">
        <w:rPr>
          <w:sz w:val="22"/>
          <w:szCs w:val="22"/>
        </w:rPr>
        <w:t>as peticiones que se realizan ante</w:t>
      </w:r>
      <w:r w:rsidR="001A7511" w:rsidRPr="0076479F">
        <w:rPr>
          <w:sz w:val="22"/>
          <w:szCs w:val="22"/>
        </w:rPr>
        <w:t xml:space="preserve"> los </w:t>
      </w:r>
      <w:r w:rsidR="00B14492" w:rsidRPr="0076479F">
        <w:rPr>
          <w:sz w:val="22"/>
          <w:szCs w:val="22"/>
        </w:rPr>
        <w:t>organismos sociales</w:t>
      </w:r>
      <w:r w:rsidR="001A7511" w:rsidRPr="0076479F">
        <w:rPr>
          <w:sz w:val="22"/>
          <w:szCs w:val="22"/>
        </w:rPr>
        <w:t xml:space="preserve"> para solucionar problemáticas relacionadas</w:t>
      </w:r>
      <w:r w:rsidR="00B14492" w:rsidRPr="0076479F">
        <w:rPr>
          <w:sz w:val="22"/>
          <w:szCs w:val="22"/>
        </w:rPr>
        <w:t xml:space="preserve"> con</w:t>
      </w:r>
      <w:r w:rsidR="001A7511" w:rsidRPr="0076479F">
        <w:rPr>
          <w:sz w:val="22"/>
          <w:szCs w:val="22"/>
        </w:rPr>
        <w:t>:</w:t>
      </w:r>
    </w:p>
    <w:p w:rsidR="001A7511" w:rsidRPr="0076479F" w:rsidRDefault="001A7511" w:rsidP="000B5AEF">
      <w:pPr>
        <w:pStyle w:val="Default"/>
        <w:spacing w:line="260" w:lineRule="exact"/>
        <w:jc w:val="both"/>
        <w:rPr>
          <w:sz w:val="22"/>
          <w:szCs w:val="22"/>
        </w:rPr>
      </w:pPr>
    </w:p>
    <w:p w:rsidR="001A7511" w:rsidRPr="0076479F" w:rsidRDefault="00B14492" w:rsidP="000B5AEF">
      <w:pPr>
        <w:pStyle w:val="Default"/>
        <w:numPr>
          <w:ilvl w:val="0"/>
          <w:numId w:val="12"/>
        </w:numPr>
        <w:spacing w:line="260" w:lineRule="exact"/>
        <w:jc w:val="both"/>
        <w:rPr>
          <w:sz w:val="22"/>
          <w:szCs w:val="22"/>
        </w:rPr>
      </w:pPr>
      <w:r w:rsidRPr="0076479F">
        <w:rPr>
          <w:sz w:val="22"/>
          <w:szCs w:val="22"/>
        </w:rPr>
        <w:t>L</w:t>
      </w:r>
      <w:r w:rsidR="001A7511" w:rsidRPr="0076479F">
        <w:rPr>
          <w:sz w:val="22"/>
          <w:szCs w:val="22"/>
        </w:rPr>
        <w:t>os créditos hipotecarios (</w:t>
      </w:r>
      <w:r w:rsidR="00407C91" w:rsidRPr="0076479F">
        <w:rPr>
          <w:sz w:val="22"/>
          <w:szCs w:val="22"/>
        </w:rPr>
        <w:t>h</w:t>
      </w:r>
      <w:r w:rsidR="001A7511" w:rsidRPr="0076479F">
        <w:rPr>
          <w:sz w:val="22"/>
          <w:szCs w:val="22"/>
        </w:rPr>
        <w:t>omonías, cobros indebidos, pagos no registrados, pagos en exceso) o de las viviendas adquiridas (daños estructurales, entrega de escrituras)</w:t>
      </w:r>
    </w:p>
    <w:p w:rsidR="001A7511" w:rsidRPr="0076479F" w:rsidRDefault="001A7511" w:rsidP="000B5AEF">
      <w:pPr>
        <w:pStyle w:val="Default"/>
        <w:numPr>
          <w:ilvl w:val="0"/>
          <w:numId w:val="12"/>
        </w:numPr>
        <w:spacing w:line="260" w:lineRule="exact"/>
        <w:jc w:val="both"/>
        <w:rPr>
          <w:sz w:val="22"/>
          <w:szCs w:val="22"/>
        </w:rPr>
      </w:pPr>
      <w:r w:rsidRPr="0076479F">
        <w:rPr>
          <w:sz w:val="22"/>
          <w:szCs w:val="22"/>
        </w:rPr>
        <w:t xml:space="preserve">Ejercer su derecho a una vivienda digna mediante autorización del otorgamiento de créditos </w:t>
      </w:r>
      <w:r w:rsidR="005B579A" w:rsidRPr="0076479F">
        <w:rPr>
          <w:sz w:val="22"/>
          <w:szCs w:val="22"/>
        </w:rPr>
        <w:t>hipotecarios,</w:t>
      </w:r>
      <w:r w:rsidRPr="0076479F">
        <w:rPr>
          <w:sz w:val="22"/>
          <w:szCs w:val="22"/>
        </w:rPr>
        <w:t xml:space="preserve"> así como el acceso a subsidios</w:t>
      </w:r>
      <w:r w:rsidR="00407C91" w:rsidRPr="0076479F">
        <w:rPr>
          <w:sz w:val="22"/>
          <w:szCs w:val="22"/>
        </w:rPr>
        <w:t>.</w:t>
      </w:r>
    </w:p>
    <w:p w:rsidR="001A7511" w:rsidRPr="0076479F" w:rsidRDefault="001A7511" w:rsidP="000B5AEF">
      <w:pPr>
        <w:pStyle w:val="Default"/>
        <w:numPr>
          <w:ilvl w:val="0"/>
          <w:numId w:val="12"/>
        </w:numPr>
        <w:spacing w:line="260" w:lineRule="exact"/>
        <w:jc w:val="both"/>
        <w:rPr>
          <w:sz w:val="22"/>
          <w:szCs w:val="22"/>
        </w:rPr>
      </w:pPr>
      <w:r w:rsidRPr="0076479F">
        <w:rPr>
          <w:sz w:val="22"/>
          <w:szCs w:val="22"/>
        </w:rPr>
        <w:t>Gozar de beneficios de acuerdo a su situación crediticia (ajuste de los factores de pago, convenio de reestructura) o particular (prorrogas por desempleo)</w:t>
      </w:r>
      <w:r w:rsidR="00027784" w:rsidRPr="0076479F">
        <w:rPr>
          <w:sz w:val="22"/>
          <w:szCs w:val="22"/>
        </w:rPr>
        <w:t>.</w:t>
      </w:r>
    </w:p>
    <w:p w:rsidR="001A7511" w:rsidRPr="0076479F" w:rsidRDefault="001A7511" w:rsidP="000B5AEF">
      <w:pPr>
        <w:pStyle w:val="Default"/>
        <w:numPr>
          <w:ilvl w:val="0"/>
          <w:numId w:val="12"/>
        </w:numPr>
        <w:spacing w:line="260" w:lineRule="exact"/>
        <w:jc w:val="both"/>
        <w:rPr>
          <w:sz w:val="22"/>
          <w:szCs w:val="22"/>
        </w:rPr>
      </w:pPr>
      <w:r w:rsidRPr="0076479F">
        <w:rPr>
          <w:sz w:val="22"/>
          <w:szCs w:val="22"/>
        </w:rPr>
        <w:t>Devolución de los recursos de la subcuenta de vivienda (pensionados)</w:t>
      </w:r>
      <w:r w:rsidR="00027784" w:rsidRPr="0076479F">
        <w:rPr>
          <w:sz w:val="22"/>
          <w:szCs w:val="22"/>
        </w:rPr>
        <w:t>.</w:t>
      </w:r>
      <w:r w:rsidRPr="0076479F">
        <w:rPr>
          <w:sz w:val="22"/>
          <w:szCs w:val="22"/>
        </w:rPr>
        <w:t xml:space="preserve"> </w:t>
      </w:r>
    </w:p>
    <w:p w:rsidR="001A7511" w:rsidRPr="0076479F" w:rsidRDefault="001A7511" w:rsidP="000B5AEF">
      <w:pPr>
        <w:pStyle w:val="Default"/>
        <w:numPr>
          <w:ilvl w:val="0"/>
          <w:numId w:val="12"/>
        </w:numPr>
        <w:spacing w:line="260" w:lineRule="exact"/>
        <w:jc w:val="both"/>
        <w:rPr>
          <w:sz w:val="22"/>
          <w:szCs w:val="22"/>
        </w:rPr>
      </w:pPr>
      <w:r w:rsidRPr="0076479F">
        <w:rPr>
          <w:sz w:val="22"/>
          <w:szCs w:val="22"/>
        </w:rPr>
        <w:t>Negativa en la aplicación del seguro de invalidez, por adeudos anteriores.</w:t>
      </w:r>
    </w:p>
    <w:p w:rsidR="001A7511" w:rsidRPr="0076479F" w:rsidRDefault="001A7511" w:rsidP="000B5AEF">
      <w:pPr>
        <w:pStyle w:val="Default"/>
        <w:spacing w:line="260" w:lineRule="exact"/>
        <w:jc w:val="both"/>
        <w:rPr>
          <w:sz w:val="22"/>
          <w:szCs w:val="22"/>
        </w:rPr>
      </w:pPr>
    </w:p>
    <w:p w:rsidR="001A7511" w:rsidRPr="0076479F" w:rsidRDefault="006929F7" w:rsidP="000B5AEF">
      <w:pPr>
        <w:pStyle w:val="Default"/>
        <w:spacing w:line="260" w:lineRule="exact"/>
        <w:jc w:val="both"/>
        <w:rPr>
          <w:b/>
          <w:sz w:val="22"/>
          <w:szCs w:val="22"/>
        </w:rPr>
      </w:pPr>
      <w:r w:rsidRPr="0076479F">
        <w:rPr>
          <w:b/>
          <w:sz w:val="22"/>
          <w:szCs w:val="22"/>
        </w:rPr>
        <w:t xml:space="preserve">2. </w:t>
      </w:r>
      <w:r w:rsidR="001A7511" w:rsidRPr="0076479F">
        <w:rPr>
          <w:b/>
          <w:sz w:val="22"/>
          <w:szCs w:val="22"/>
        </w:rPr>
        <w:t xml:space="preserve">Por indebida prestación del servicio: </w:t>
      </w:r>
    </w:p>
    <w:p w:rsidR="001A7511" w:rsidRPr="0076479F" w:rsidRDefault="001A7511" w:rsidP="000B5AEF">
      <w:pPr>
        <w:pStyle w:val="Default"/>
        <w:spacing w:line="260" w:lineRule="exact"/>
        <w:jc w:val="both"/>
        <w:rPr>
          <w:sz w:val="22"/>
          <w:szCs w:val="22"/>
        </w:rPr>
      </w:pPr>
    </w:p>
    <w:p w:rsidR="001A7511" w:rsidRPr="0076479F" w:rsidRDefault="001A7511" w:rsidP="000B5AEF">
      <w:pPr>
        <w:pStyle w:val="Default"/>
        <w:numPr>
          <w:ilvl w:val="0"/>
          <w:numId w:val="13"/>
        </w:numPr>
        <w:spacing w:line="260" w:lineRule="exact"/>
        <w:jc w:val="both"/>
        <w:rPr>
          <w:sz w:val="22"/>
          <w:szCs w:val="22"/>
        </w:rPr>
      </w:pPr>
      <w:r w:rsidRPr="0076479F">
        <w:rPr>
          <w:sz w:val="22"/>
          <w:szCs w:val="22"/>
        </w:rPr>
        <w:t>Deficiente o nula orientación en la atención de los derechohabientes</w:t>
      </w:r>
      <w:r w:rsidR="00027784" w:rsidRPr="0076479F">
        <w:rPr>
          <w:sz w:val="22"/>
          <w:szCs w:val="22"/>
        </w:rPr>
        <w:t>,</w:t>
      </w:r>
      <w:r w:rsidRPr="0076479F">
        <w:rPr>
          <w:sz w:val="22"/>
          <w:szCs w:val="22"/>
        </w:rPr>
        <w:t xml:space="preserve"> al acudir a los </w:t>
      </w:r>
      <w:r w:rsidR="00027784" w:rsidRPr="0076479F">
        <w:rPr>
          <w:sz w:val="22"/>
          <w:szCs w:val="22"/>
        </w:rPr>
        <w:t xml:space="preserve">organismos sociales </w:t>
      </w:r>
      <w:r w:rsidRPr="0076479F">
        <w:rPr>
          <w:sz w:val="22"/>
          <w:szCs w:val="22"/>
        </w:rPr>
        <w:t>para trámites relacionados con las problemáticas antes detalladas</w:t>
      </w:r>
      <w:r w:rsidR="00027784" w:rsidRPr="0076479F">
        <w:rPr>
          <w:sz w:val="22"/>
          <w:szCs w:val="22"/>
        </w:rPr>
        <w:t>.</w:t>
      </w:r>
    </w:p>
    <w:p w:rsidR="001A7511" w:rsidRPr="0076479F" w:rsidRDefault="001A7511" w:rsidP="000B5AEF">
      <w:pPr>
        <w:pStyle w:val="Default"/>
        <w:numPr>
          <w:ilvl w:val="0"/>
          <w:numId w:val="13"/>
        </w:numPr>
        <w:spacing w:line="260" w:lineRule="exact"/>
        <w:jc w:val="both"/>
        <w:rPr>
          <w:sz w:val="22"/>
          <w:szCs w:val="22"/>
        </w:rPr>
      </w:pPr>
      <w:r w:rsidRPr="0076479F">
        <w:rPr>
          <w:sz w:val="22"/>
          <w:szCs w:val="22"/>
        </w:rPr>
        <w:t>Incorrecta o inexistente asesoría de los términos contractuales</w:t>
      </w:r>
      <w:r w:rsidR="00027784" w:rsidRPr="0076479F">
        <w:rPr>
          <w:sz w:val="22"/>
          <w:szCs w:val="22"/>
        </w:rPr>
        <w:t>,</w:t>
      </w:r>
      <w:r w:rsidRPr="0076479F">
        <w:rPr>
          <w:sz w:val="22"/>
          <w:szCs w:val="22"/>
        </w:rPr>
        <w:t xml:space="preserve"> en que se obligan los acreditados al pago de la deuda contraída por el crédito hipotecario, como las consecuencias en el incumplimiento e incremento de accesorios</w:t>
      </w:r>
      <w:r w:rsidR="00027784" w:rsidRPr="0076479F">
        <w:rPr>
          <w:sz w:val="22"/>
          <w:szCs w:val="22"/>
        </w:rPr>
        <w:t>.</w:t>
      </w:r>
      <w:r w:rsidRPr="0076479F">
        <w:rPr>
          <w:sz w:val="22"/>
          <w:szCs w:val="22"/>
        </w:rPr>
        <w:t xml:space="preserve">   </w:t>
      </w:r>
    </w:p>
    <w:p w:rsidR="001A7511" w:rsidRPr="0076479F" w:rsidRDefault="001A7511" w:rsidP="000B5AEF">
      <w:pPr>
        <w:pStyle w:val="Default"/>
        <w:numPr>
          <w:ilvl w:val="0"/>
          <w:numId w:val="13"/>
        </w:numPr>
        <w:spacing w:line="260" w:lineRule="exact"/>
        <w:jc w:val="both"/>
        <w:rPr>
          <w:sz w:val="22"/>
          <w:szCs w:val="22"/>
        </w:rPr>
      </w:pPr>
      <w:r w:rsidRPr="0076479F">
        <w:rPr>
          <w:sz w:val="22"/>
          <w:szCs w:val="22"/>
        </w:rPr>
        <w:t>Falta de sensibilidad para brindar la atención a los acreditados en condiciones de vulnerabilidad (discapacidad</w:t>
      </w:r>
      <w:r w:rsidR="005369AE" w:rsidRPr="0076479F">
        <w:rPr>
          <w:sz w:val="22"/>
          <w:szCs w:val="22"/>
        </w:rPr>
        <w:t>es</w:t>
      </w:r>
      <w:r w:rsidRPr="0076479F">
        <w:rPr>
          <w:sz w:val="22"/>
          <w:szCs w:val="22"/>
        </w:rPr>
        <w:t xml:space="preserve"> motriz, auditiva, visual, intelectual y psicosocial, de tercera edad</w:t>
      </w:r>
      <w:r w:rsidR="005369AE" w:rsidRPr="0076479F">
        <w:rPr>
          <w:sz w:val="22"/>
          <w:szCs w:val="22"/>
        </w:rPr>
        <w:t>,</w:t>
      </w:r>
      <w:r w:rsidRPr="0076479F">
        <w:rPr>
          <w:sz w:val="22"/>
          <w:szCs w:val="22"/>
        </w:rPr>
        <w:t xml:space="preserve"> entre otros)</w:t>
      </w:r>
      <w:r w:rsidR="005369AE" w:rsidRPr="0076479F">
        <w:rPr>
          <w:sz w:val="22"/>
          <w:szCs w:val="22"/>
        </w:rPr>
        <w:t>.</w:t>
      </w:r>
    </w:p>
    <w:p w:rsidR="001A7511" w:rsidRPr="0076479F" w:rsidRDefault="001A7511" w:rsidP="000B5AEF">
      <w:pPr>
        <w:pStyle w:val="Default"/>
        <w:numPr>
          <w:ilvl w:val="0"/>
          <w:numId w:val="13"/>
        </w:numPr>
        <w:spacing w:line="260" w:lineRule="exact"/>
        <w:jc w:val="both"/>
        <w:rPr>
          <w:sz w:val="22"/>
          <w:szCs w:val="22"/>
        </w:rPr>
      </w:pPr>
      <w:bookmarkStart w:id="0" w:name="_GoBack"/>
      <w:bookmarkEnd w:id="0"/>
      <w:r w:rsidRPr="0076479F">
        <w:rPr>
          <w:sz w:val="22"/>
          <w:szCs w:val="22"/>
        </w:rPr>
        <w:t>Desactualización y errores en los sistemas informáticos que administran los datos de los acreditados, por la inadecuada capacitación del personal encargado del control y alimentación de los mismos, que reditúa en problemáticas, para las que existe dilación y complicación en la corrección y modificación</w:t>
      </w:r>
      <w:r w:rsidR="00601101" w:rsidRPr="0076479F">
        <w:rPr>
          <w:sz w:val="22"/>
          <w:szCs w:val="22"/>
        </w:rPr>
        <w:t xml:space="preserve"> de éstos.</w:t>
      </w:r>
    </w:p>
    <w:p w:rsidR="001A7511" w:rsidRPr="0076479F" w:rsidRDefault="001A7511" w:rsidP="000B5AEF">
      <w:pPr>
        <w:pStyle w:val="Default"/>
        <w:spacing w:line="260" w:lineRule="exact"/>
        <w:jc w:val="both"/>
        <w:rPr>
          <w:sz w:val="22"/>
          <w:szCs w:val="22"/>
        </w:rPr>
      </w:pPr>
    </w:p>
    <w:p w:rsidR="001A7511" w:rsidRPr="0076479F" w:rsidRDefault="006929F7" w:rsidP="000B5AEF">
      <w:pPr>
        <w:pStyle w:val="Default"/>
        <w:spacing w:line="260" w:lineRule="exact"/>
        <w:jc w:val="both"/>
        <w:rPr>
          <w:b/>
          <w:sz w:val="22"/>
          <w:szCs w:val="22"/>
        </w:rPr>
      </w:pPr>
      <w:r w:rsidRPr="0076479F">
        <w:rPr>
          <w:b/>
          <w:sz w:val="22"/>
          <w:szCs w:val="22"/>
        </w:rPr>
        <w:t xml:space="preserve">3. </w:t>
      </w:r>
      <w:r w:rsidR="001A7511" w:rsidRPr="0076479F">
        <w:rPr>
          <w:b/>
          <w:sz w:val="22"/>
          <w:szCs w:val="22"/>
        </w:rPr>
        <w:t xml:space="preserve">Seguridad Jurídica: </w:t>
      </w:r>
    </w:p>
    <w:p w:rsidR="001A7511" w:rsidRPr="0076479F" w:rsidRDefault="001A7511" w:rsidP="000B5AEF">
      <w:pPr>
        <w:pStyle w:val="Default"/>
        <w:spacing w:line="260" w:lineRule="exact"/>
        <w:jc w:val="both"/>
        <w:rPr>
          <w:sz w:val="22"/>
          <w:szCs w:val="22"/>
        </w:rPr>
      </w:pPr>
    </w:p>
    <w:p w:rsidR="001A7511" w:rsidRPr="0076479F" w:rsidRDefault="001A7511" w:rsidP="000B5AEF">
      <w:pPr>
        <w:pStyle w:val="Default"/>
        <w:numPr>
          <w:ilvl w:val="0"/>
          <w:numId w:val="11"/>
        </w:numPr>
        <w:spacing w:line="260" w:lineRule="exact"/>
        <w:jc w:val="both"/>
        <w:rPr>
          <w:sz w:val="22"/>
          <w:szCs w:val="22"/>
        </w:rPr>
      </w:pPr>
      <w:r w:rsidRPr="0076479F">
        <w:rPr>
          <w:sz w:val="22"/>
          <w:szCs w:val="22"/>
        </w:rPr>
        <w:t>Falta de formalización del otorgamiento del “Contrato de Mutuo con Garantía</w:t>
      </w:r>
      <w:r w:rsidR="00620BDB" w:rsidRPr="0076479F">
        <w:rPr>
          <w:sz w:val="22"/>
          <w:szCs w:val="22"/>
        </w:rPr>
        <w:t xml:space="preserve"> Hipotecaria</w:t>
      </w:r>
      <w:r w:rsidRPr="0076479F">
        <w:rPr>
          <w:sz w:val="22"/>
          <w:szCs w:val="22"/>
        </w:rPr>
        <w:t>” (compra-venta de la vivienda, inscripción en el Registro Público de la Propiedad de la vivienda a nombre del acreditado</w:t>
      </w:r>
      <w:r w:rsidR="00620BDB" w:rsidRPr="0076479F">
        <w:rPr>
          <w:sz w:val="22"/>
          <w:szCs w:val="22"/>
        </w:rPr>
        <w:t>).</w:t>
      </w:r>
      <w:r w:rsidRPr="0076479F">
        <w:rPr>
          <w:sz w:val="22"/>
          <w:szCs w:val="22"/>
        </w:rPr>
        <w:t xml:space="preserve"> </w:t>
      </w:r>
    </w:p>
    <w:p w:rsidR="001A7511" w:rsidRPr="0076479F" w:rsidRDefault="001A7511" w:rsidP="000B5AEF">
      <w:pPr>
        <w:pStyle w:val="Default"/>
        <w:numPr>
          <w:ilvl w:val="0"/>
          <w:numId w:val="11"/>
        </w:numPr>
        <w:spacing w:line="260" w:lineRule="exact"/>
        <w:jc w:val="both"/>
        <w:rPr>
          <w:sz w:val="22"/>
          <w:szCs w:val="22"/>
        </w:rPr>
      </w:pPr>
      <w:r w:rsidRPr="0076479F">
        <w:rPr>
          <w:sz w:val="22"/>
          <w:szCs w:val="22"/>
        </w:rPr>
        <w:lastRenderedPageBreak/>
        <w:t xml:space="preserve">Falta de supervisión física de las condiciones en que se encuentran las viviendas que se financiarán para su adquisición, mediante el </w:t>
      </w:r>
      <w:r w:rsidRPr="0076479F">
        <w:rPr>
          <w:rFonts w:eastAsia="Times New Roman"/>
          <w:sz w:val="22"/>
          <w:szCs w:val="22"/>
          <w:lang w:val="es-ES" w:eastAsia="es-ES"/>
        </w:rPr>
        <w:t xml:space="preserve">“Programa Extraordinario de Créditos para Vivienda a los Trabajadores del Estado” (PEC), así como documentar la situación en que se entrega el inmueble con </w:t>
      </w:r>
      <w:r w:rsidRPr="0076479F">
        <w:rPr>
          <w:sz w:val="22"/>
          <w:szCs w:val="22"/>
        </w:rPr>
        <w:t>el “Certificado de Entrega de la Vivienda”, como evidencia de la vigilancia de las obligaciones que deben asumir los intermediarios financieros</w:t>
      </w:r>
      <w:r w:rsidR="00750485" w:rsidRPr="0076479F">
        <w:rPr>
          <w:sz w:val="22"/>
          <w:szCs w:val="22"/>
        </w:rPr>
        <w:t>.</w:t>
      </w:r>
      <w:r w:rsidRPr="0076479F">
        <w:rPr>
          <w:sz w:val="22"/>
          <w:szCs w:val="22"/>
        </w:rPr>
        <w:t xml:space="preserve"> </w:t>
      </w:r>
    </w:p>
    <w:p w:rsidR="001A7511" w:rsidRPr="0076479F" w:rsidRDefault="001A7511" w:rsidP="000B5AEF">
      <w:pPr>
        <w:pStyle w:val="Default"/>
        <w:spacing w:line="260" w:lineRule="exact"/>
        <w:jc w:val="both"/>
        <w:rPr>
          <w:sz w:val="22"/>
          <w:szCs w:val="22"/>
        </w:rPr>
      </w:pPr>
    </w:p>
    <w:p w:rsidR="001A7511" w:rsidRPr="0076479F" w:rsidRDefault="006929F7" w:rsidP="0092673D">
      <w:pPr>
        <w:pStyle w:val="Default"/>
        <w:spacing w:line="260" w:lineRule="exact"/>
        <w:jc w:val="both"/>
        <w:rPr>
          <w:sz w:val="22"/>
          <w:szCs w:val="22"/>
        </w:rPr>
      </w:pPr>
      <w:r w:rsidRPr="0076479F">
        <w:rPr>
          <w:sz w:val="22"/>
          <w:szCs w:val="22"/>
        </w:rPr>
        <w:t xml:space="preserve">Una vez radicada una queja como presunta violación a derechos Humanos, </w:t>
      </w:r>
      <w:r w:rsidR="0092673D">
        <w:rPr>
          <w:sz w:val="22"/>
          <w:szCs w:val="22"/>
        </w:rPr>
        <w:t xml:space="preserve">se </w:t>
      </w:r>
      <w:r w:rsidRPr="0076479F">
        <w:rPr>
          <w:sz w:val="22"/>
          <w:szCs w:val="22"/>
        </w:rPr>
        <w:t>lleva</w:t>
      </w:r>
      <w:r w:rsidR="00750485" w:rsidRPr="0076479F">
        <w:rPr>
          <w:sz w:val="22"/>
          <w:szCs w:val="22"/>
        </w:rPr>
        <w:t xml:space="preserve"> acabo el t</w:t>
      </w:r>
      <w:r w:rsidR="001A7511" w:rsidRPr="0076479F">
        <w:rPr>
          <w:sz w:val="22"/>
          <w:szCs w:val="22"/>
        </w:rPr>
        <w:t xml:space="preserve">rámite </w:t>
      </w:r>
      <w:r w:rsidR="00750485" w:rsidRPr="0076479F">
        <w:rPr>
          <w:sz w:val="22"/>
          <w:szCs w:val="22"/>
        </w:rPr>
        <w:t xml:space="preserve">correspondiente de acuerdo a la Ley de </w:t>
      </w:r>
      <w:r w:rsidR="001064DB">
        <w:rPr>
          <w:sz w:val="22"/>
          <w:szCs w:val="22"/>
        </w:rPr>
        <w:t>e</w:t>
      </w:r>
      <w:r w:rsidR="00750485" w:rsidRPr="0076479F">
        <w:rPr>
          <w:sz w:val="22"/>
          <w:szCs w:val="22"/>
        </w:rPr>
        <w:t>ste Organismo Nacional, así como de su Reglamento</w:t>
      </w:r>
      <w:r w:rsidR="0092673D">
        <w:rPr>
          <w:sz w:val="22"/>
          <w:szCs w:val="22"/>
        </w:rPr>
        <w:t>, de esta forma, c</w:t>
      </w:r>
      <w:r w:rsidR="00D02CC3" w:rsidRPr="0076479F">
        <w:rPr>
          <w:sz w:val="22"/>
          <w:szCs w:val="22"/>
        </w:rPr>
        <w:t xml:space="preserve">on la intervención de </w:t>
      </w:r>
      <w:r w:rsidR="0092673D">
        <w:rPr>
          <w:sz w:val="22"/>
          <w:szCs w:val="22"/>
        </w:rPr>
        <w:t>la Comisión Nacional</w:t>
      </w:r>
      <w:r w:rsidR="00D02CC3" w:rsidRPr="0076479F">
        <w:rPr>
          <w:sz w:val="22"/>
          <w:szCs w:val="22"/>
        </w:rPr>
        <w:t xml:space="preserve">, se </w:t>
      </w:r>
      <w:r w:rsidR="0092673D">
        <w:rPr>
          <w:sz w:val="22"/>
          <w:szCs w:val="22"/>
        </w:rPr>
        <w:t xml:space="preserve">han </w:t>
      </w:r>
      <w:r w:rsidR="00D02CC3" w:rsidRPr="0076479F">
        <w:rPr>
          <w:sz w:val="22"/>
          <w:szCs w:val="22"/>
        </w:rPr>
        <w:t>obten</w:t>
      </w:r>
      <w:r w:rsidR="00D14B10">
        <w:rPr>
          <w:sz w:val="22"/>
          <w:szCs w:val="22"/>
        </w:rPr>
        <w:t>ido</w:t>
      </w:r>
      <w:r w:rsidR="00D02CC3" w:rsidRPr="0076479F">
        <w:rPr>
          <w:sz w:val="22"/>
          <w:szCs w:val="22"/>
        </w:rPr>
        <w:t xml:space="preserve"> </w:t>
      </w:r>
      <w:r w:rsidR="0092673D">
        <w:rPr>
          <w:sz w:val="22"/>
          <w:szCs w:val="22"/>
        </w:rPr>
        <w:t>r</w:t>
      </w:r>
      <w:r w:rsidR="00D02CC3" w:rsidRPr="0076479F">
        <w:rPr>
          <w:sz w:val="22"/>
          <w:szCs w:val="22"/>
        </w:rPr>
        <w:t xml:space="preserve">esultados </w:t>
      </w:r>
      <w:r w:rsidR="0092673D">
        <w:rPr>
          <w:sz w:val="22"/>
          <w:szCs w:val="22"/>
        </w:rPr>
        <w:t xml:space="preserve">favorables para los quejosos, </w:t>
      </w:r>
      <w:r w:rsidR="00332DFF" w:rsidRPr="0076479F">
        <w:rPr>
          <w:sz w:val="22"/>
          <w:szCs w:val="22"/>
        </w:rPr>
        <w:t>tales como:</w:t>
      </w:r>
      <w:r w:rsidR="001A7511" w:rsidRPr="0076479F">
        <w:rPr>
          <w:sz w:val="22"/>
          <w:szCs w:val="22"/>
        </w:rPr>
        <w:t xml:space="preserve"> </w:t>
      </w:r>
    </w:p>
    <w:p w:rsidR="001A7511" w:rsidRPr="0076479F" w:rsidRDefault="001A7511" w:rsidP="000B5AEF">
      <w:pPr>
        <w:tabs>
          <w:tab w:val="left" w:pos="9639"/>
        </w:tabs>
        <w:spacing w:line="260" w:lineRule="exact"/>
        <w:ind w:right="-91"/>
        <w:jc w:val="both"/>
        <w:rPr>
          <w:rFonts w:ascii="Arial" w:eastAsiaTheme="minorHAnsi" w:hAnsi="Arial" w:cs="Arial"/>
          <w:color w:val="000000"/>
          <w:sz w:val="22"/>
          <w:szCs w:val="22"/>
          <w:lang w:val="es-MX" w:eastAsia="en-US"/>
        </w:rPr>
      </w:pPr>
    </w:p>
    <w:p w:rsidR="001A7511" w:rsidRPr="0076479F" w:rsidRDefault="001A7511" w:rsidP="000B5AEF">
      <w:pPr>
        <w:pStyle w:val="Prrafodelista"/>
        <w:numPr>
          <w:ilvl w:val="0"/>
          <w:numId w:val="15"/>
        </w:numPr>
        <w:tabs>
          <w:tab w:val="left" w:pos="9639"/>
        </w:tabs>
        <w:spacing w:line="260" w:lineRule="exact"/>
        <w:ind w:right="-91"/>
        <w:jc w:val="both"/>
        <w:rPr>
          <w:rFonts w:ascii="Arial" w:hAnsi="Arial" w:cs="Arial"/>
          <w:sz w:val="22"/>
          <w:szCs w:val="22"/>
        </w:rPr>
      </w:pPr>
      <w:r w:rsidRPr="0076479F">
        <w:rPr>
          <w:rFonts w:ascii="Arial" w:hAnsi="Arial" w:cs="Arial"/>
          <w:sz w:val="22"/>
          <w:szCs w:val="22"/>
        </w:rPr>
        <w:t>Agilizar la atención y respuesta</w:t>
      </w:r>
      <w:r w:rsidR="00496AE7" w:rsidRPr="0076479F">
        <w:rPr>
          <w:rFonts w:ascii="Arial" w:hAnsi="Arial" w:cs="Arial"/>
          <w:sz w:val="22"/>
          <w:szCs w:val="22"/>
        </w:rPr>
        <w:t xml:space="preserve"> de la autoridad</w:t>
      </w:r>
      <w:r w:rsidRPr="0076479F">
        <w:rPr>
          <w:rFonts w:ascii="Arial" w:hAnsi="Arial" w:cs="Arial"/>
          <w:sz w:val="22"/>
          <w:szCs w:val="22"/>
        </w:rPr>
        <w:t xml:space="preserve"> en las peticiones de los acreditados, con la consecuente solución a la problemática</w:t>
      </w:r>
      <w:r w:rsidR="00332DFF" w:rsidRPr="0076479F">
        <w:rPr>
          <w:rFonts w:ascii="Arial" w:hAnsi="Arial" w:cs="Arial"/>
          <w:sz w:val="22"/>
          <w:szCs w:val="22"/>
        </w:rPr>
        <w:t>.</w:t>
      </w:r>
    </w:p>
    <w:p w:rsidR="001A7511" w:rsidRPr="0076479F" w:rsidRDefault="007B650D" w:rsidP="000B5AEF">
      <w:pPr>
        <w:pStyle w:val="Prrafodelista"/>
        <w:numPr>
          <w:ilvl w:val="0"/>
          <w:numId w:val="15"/>
        </w:numPr>
        <w:tabs>
          <w:tab w:val="left" w:pos="9639"/>
        </w:tabs>
        <w:spacing w:line="260" w:lineRule="exact"/>
        <w:ind w:right="-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Hacer efecientes</w:t>
      </w:r>
      <w:r w:rsidR="001A7511" w:rsidRPr="0076479F">
        <w:rPr>
          <w:rFonts w:ascii="Arial" w:hAnsi="Arial" w:cs="Arial"/>
          <w:sz w:val="22"/>
          <w:szCs w:val="22"/>
        </w:rPr>
        <w:t xml:space="preserve"> las medidas conducentes para regularizar la situación</w:t>
      </w:r>
      <w:r w:rsidR="00496AE7" w:rsidRPr="0076479F">
        <w:rPr>
          <w:rFonts w:ascii="Arial" w:hAnsi="Arial" w:cs="Arial"/>
          <w:sz w:val="22"/>
          <w:szCs w:val="22"/>
        </w:rPr>
        <w:t xml:space="preserve"> jurídica</w:t>
      </w:r>
      <w:r w:rsidR="001A7511" w:rsidRPr="0076479F">
        <w:rPr>
          <w:rFonts w:ascii="Arial" w:hAnsi="Arial" w:cs="Arial"/>
          <w:sz w:val="22"/>
          <w:szCs w:val="22"/>
        </w:rPr>
        <w:t xml:space="preserve"> de las viviendas que se encuentran sin inscribir en los registros públicos de la propiedad, la entrega de escrituras</w:t>
      </w:r>
      <w:r w:rsidR="00496AE7" w:rsidRPr="0076479F">
        <w:rPr>
          <w:rFonts w:ascii="Arial" w:hAnsi="Arial" w:cs="Arial"/>
          <w:sz w:val="22"/>
          <w:szCs w:val="22"/>
        </w:rPr>
        <w:t xml:space="preserve"> públicas</w:t>
      </w:r>
      <w:r w:rsidR="001A7511" w:rsidRPr="0076479F">
        <w:rPr>
          <w:rFonts w:ascii="Arial" w:hAnsi="Arial" w:cs="Arial"/>
          <w:sz w:val="22"/>
          <w:szCs w:val="22"/>
        </w:rPr>
        <w:t>, la elaboración de los documentos sustento de la formalización de créditos (</w:t>
      </w:r>
      <w:r w:rsidR="00496AE7" w:rsidRPr="0076479F">
        <w:rPr>
          <w:rFonts w:ascii="Arial" w:hAnsi="Arial" w:cs="Arial"/>
          <w:sz w:val="22"/>
          <w:szCs w:val="22"/>
        </w:rPr>
        <w:t>títulos de propiedad</w:t>
      </w:r>
      <w:r w:rsidR="001A7511" w:rsidRPr="0076479F">
        <w:rPr>
          <w:rFonts w:ascii="Arial" w:hAnsi="Arial" w:cs="Arial"/>
          <w:sz w:val="22"/>
          <w:szCs w:val="22"/>
        </w:rPr>
        <w:t>)</w:t>
      </w:r>
      <w:r w:rsidR="00496AE7" w:rsidRPr="0076479F">
        <w:rPr>
          <w:rFonts w:ascii="Arial" w:hAnsi="Arial" w:cs="Arial"/>
          <w:sz w:val="22"/>
          <w:szCs w:val="22"/>
        </w:rPr>
        <w:t>.</w:t>
      </w:r>
    </w:p>
    <w:p w:rsidR="001A7511" w:rsidRPr="0076479F" w:rsidRDefault="001A7511" w:rsidP="000B5AEF">
      <w:pPr>
        <w:pStyle w:val="Prrafodelista"/>
        <w:numPr>
          <w:ilvl w:val="0"/>
          <w:numId w:val="15"/>
        </w:numPr>
        <w:tabs>
          <w:tab w:val="left" w:pos="9639"/>
        </w:tabs>
        <w:spacing w:line="260" w:lineRule="exact"/>
        <w:ind w:right="-91"/>
        <w:jc w:val="both"/>
        <w:rPr>
          <w:rFonts w:ascii="Arial" w:hAnsi="Arial" w:cs="Arial"/>
          <w:sz w:val="22"/>
          <w:szCs w:val="22"/>
        </w:rPr>
      </w:pPr>
      <w:r w:rsidRPr="0076479F">
        <w:rPr>
          <w:rFonts w:ascii="Arial" w:hAnsi="Arial" w:cs="Arial"/>
          <w:sz w:val="22"/>
          <w:szCs w:val="22"/>
        </w:rPr>
        <w:t>Cancelación de créditos hipotecarios que se tenían como vigentes sin actualizar y que se encontraban liquidados</w:t>
      </w:r>
      <w:r w:rsidR="00496AE7" w:rsidRPr="0076479F">
        <w:rPr>
          <w:rFonts w:ascii="Arial" w:hAnsi="Arial" w:cs="Arial"/>
          <w:sz w:val="22"/>
          <w:szCs w:val="22"/>
        </w:rPr>
        <w:t>.</w:t>
      </w:r>
    </w:p>
    <w:p w:rsidR="001A7511" w:rsidRPr="0076479F" w:rsidRDefault="001A7511" w:rsidP="000B5AEF">
      <w:pPr>
        <w:pStyle w:val="Prrafodelista"/>
        <w:numPr>
          <w:ilvl w:val="0"/>
          <w:numId w:val="15"/>
        </w:numPr>
        <w:tabs>
          <w:tab w:val="left" w:pos="9639"/>
        </w:tabs>
        <w:spacing w:line="260" w:lineRule="exact"/>
        <w:ind w:right="-91"/>
        <w:jc w:val="both"/>
        <w:rPr>
          <w:rFonts w:ascii="Arial" w:hAnsi="Arial" w:cs="Arial"/>
          <w:sz w:val="22"/>
          <w:szCs w:val="22"/>
        </w:rPr>
      </w:pPr>
      <w:r w:rsidRPr="0076479F">
        <w:rPr>
          <w:rFonts w:ascii="Arial" w:hAnsi="Arial" w:cs="Arial"/>
          <w:sz w:val="22"/>
          <w:szCs w:val="22"/>
        </w:rPr>
        <w:t>Agilizar y solventar los problemas existentes en la entrega de los recursos de la subcuenta de vivienda a los pensionados con la colaboración de las Administradoras de Fondos para el Retiro (AFORE)</w:t>
      </w:r>
      <w:r w:rsidR="00496AE7" w:rsidRPr="0076479F">
        <w:rPr>
          <w:rFonts w:ascii="Arial" w:hAnsi="Arial" w:cs="Arial"/>
          <w:sz w:val="22"/>
          <w:szCs w:val="22"/>
        </w:rPr>
        <w:t>.</w:t>
      </w:r>
      <w:r w:rsidRPr="0076479F">
        <w:rPr>
          <w:rFonts w:ascii="Arial" w:hAnsi="Arial" w:cs="Arial"/>
          <w:sz w:val="22"/>
          <w:szCs w:val="22"/>
        </w:rPr>
        <w:t xml:space="preserve"> </w:t>
      </w:r>
    </w:p>
    <w:p w:rsidR="001A7511" w:rsidRPr="0076479F" w:rsidRDefault="00DD6C8F" w:rsidP="000B5AEF">
      <w:pPr>
        <w:pStyle w:val="Prrafodelista"/>
        <w:numPr>
          <w:ilvl w:val="0"/>
          <w:numId w:val="15"/>
        </w:numPr>
        <w:tabs>
          <w:tab w:val="left" w:pos="9639"/>
        </w:tabs>
        <w:spacing w:line="260" w:lineRule="exact"/>
        <w:ind w:right="-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Dar s</w:t>
      </w:r>
      <w:r w:rsidR="001A7511" w:rsidRPr="0076479F">
        <w:rPr>
          <w:rFonts w:ascii="Arial" w:hAnsi="Arial" w:cs="Arial"/>
          <w:sz w:val="22"/>
          <w:szCs w:val="22"/>
        </w:rPr>
        <w:t xml:space="preserve">olución </w:t>
      </w:r>
      <w:r>
        <w:rPr>
          <w:rFonts w:ascii="Arial" w:hAnsi="Arial" w:cs="Arial"/>
          <w:sz w:val="22"/>
          <w:szCs w:val="22"/>
        </w:rPr>
        <w:t>a los</w:t>
      </w:r>
      <w:r w:rsidR="000B5AEF" w:rsidRPr="0076479F">
        <w:rPr>
          <w:rFonts w:ascii="Arial" w:hAnsi="Arial" w:cs="Arial"/>
          <w:sz w:val="22"/>
          <w:szCs w:val="22"/>
        </w:rPr>
        <w:t xml:space="preserve"> problemas derivados de las</w:t>
      </w:r>
      <w:r w:rsidR="001A7511" w:rsidRPr="0076479F">
        <w:rPr>
          <w:rFonts w:ascii="Arial" w:hAnsi="Arial" w:cs="Arial"/>
          <w:sz w:val="22"/>
          <w:szCs w:val="22"/>
        </w:rPr>
        <w:t xml:space="preserve"> Homonimias (separación de cuentas) con devolución de pagos indebidos de los correspondientes créditos hipotecarios</w:t>
      </w:r>
      <w:r w:rsidR="000B5AEF" w:rsidRPr="0076479F">
        <w:rPr>
          <w:rFonts w:ascii="Arial" w:hAnsi="Arial" w:cs="Arial"/>
          <w:sz w:val="22"/>
          <w:szCs w:val="22"/>
        </w:rPr>
        <w:t>.</w:t>
      </w:r>
      <w:r w:rsidR="001A7511" w:rsidRPr="0076479F">
        <w:rPr>
          <w:rFonts w:ascii="Arial" w:hAnsi="Arial" w:cs="Arial"/>
          <w:sz w:val="22"/>
          <w:szCs w:val="22"/>
        </w:rPr>
        <w:t xml:space="preserve"> </w:t>
      </w:r>
    </w:p>
    <w:p w:rsidR="001A7511" w:rsidRPr="0076479F" w:rsidRDefault="001A7511" w:rsidP="000B5AEF">
      <w:pPr>
        <w:pStyle w:val="Prrafodelista"/>
        <w:numPr>
          <w:ilvl w:val="0"/>
          <w:numId w:val="15"/>
        </w:numPr>
        <w:tabs>
          <w:tab w:val="left" w:pos="9639"/>
        </w:tabs>
        <w:spacing w:line="260" w:lineRule="exact"/>
        <w:ind w:right="-91"/>
        <w:jc w:val="both"/>
        <w:rPr>
          <w:rFonts w:ascii="Arial" w:hAnsi="Arial" w:cs="Arial"/>
          <w:sz w:val="22"/>
          <w:szCs w:val="22"/>
        </w:rPr>
      </w:pPr>
      <w:r w:rsidRPr="0076479F">
        <w:rPr>
          <w:rFonts w:ascii="Arial" w:hAnsi="Arial" w:cs="Arial"/>
          <w:sz w:val="22"/>
          <w:szCs w:val="22"/>
        </w:rPr>
        <w:t xml:space="preserve">Obtener aplicación de los beneficios ofrecidos por los organismos de seguridad social de acuerdo a la normativa vigente. </w:t>
      </w:r>
    </w:p>
    <w:p w:rsidR="001A7511" w:rsidRPr="0076479F" w:rsidRDefault="001A7511" w:rsidP="000B5AEF">
      <w:pPr>
        <w:pStyle w:val="Prrafodelista"/>
        <w:numPr>
          <w:ilvl w:val="0"/>
          <w:numId w:val="15"/>
        </w:numPr>
        <w:tabs>
          <w:tab w:val="left" w:pos="9639"/>
        </w:tabs>
        <w:spacing w:line="260" w:lineRule="exact"/>
        <w:ind w:right="-91"/>
        <w:jc w:val="both"/>
        <w:rPr>
          <w:rFonts w:ascii="Arial" w:hAnsi="Arial" w:cs="Arial"/>
          <w:sz w:val="22"/>
          <w:szCs w:val="22"/>
        </w:rPr>
      </w:pPr>
      <w:r w:rsidRPr="0076479F">
        <w:rPr>
          <w:rFonts w:ascii="Arial" w:hAnsi="Arial" w:cs="Arial"/>
          <w:sz w:val="22"/>
          <w:szCs w:val="22"/>
        </w:rPr>
        <w:t>Sensibilizar y concientizar a los funcionarios de los organismos sociales en la pronta y eficiente atención de las quejas presentadas.</w:t>
      </w:r>
    </w:p>
    <w:p w:rsidR="001A2FC7" w:rsidRDefault="001A2FC7" w:rsidP="0092673D">
      <w:pPr>
        <w:spacing w:line="260" w:lineRule="exact"/>
        <w:rPr>
          <w:rFonts w:ascii="Arial" w:hAnsi="Arial" w:cs="Arial"/>
          <w:sz w:val="22"/>
          <w:szCs w:val="22"/>
        </w:rPr>
      </w:pPr>
    </w:p>
    <w:p w:rsidR="001A2FC7" w:rsidRDefault="001A2FC7" w:rsidP="001064DB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lo anterior, de forma gradual este organismo garantiza que la población goce de una vivienda que les permita un sano desarrollo y bienestar.</w:t>
      </w:r>
    </w:p>
    <w:p w:rsidR="001A2FC7" w:rsidRDefault="001A2FC7" w:rsidP="001A2FC7">
      <w:pPr>
        <w:spacing w:line="260" w:lineRule="exact"/>
        <w:rPr>
          <w:rFonts w:ascii="Arial" w:hAnsi="Arial" w:cs="Arial"/>
          <w:sz w:val="22"/>
          <w:szCs w:val="22"/>
        </w:rPr>
      </w:pPr>
    </w:p>
    <w:p w:rsidR="00373518" w:rsidRPr="0076479F" w:rsidRDefault="00373518" w:rsidP="001A2FC7">
      <w:pPr>
        <w:spacing w:line="260" w:lineRule="exact"/>
        <w:rPr>
          <w:rFonts w:ascii="Arial" w:hAnsi="Arial" w:cs="Arial"/>
          <w:snapToGrid w:val="0"/>
          <w:sz w:val="22"/>
          <w:szCs w:val="22"/>
        </w:rPr>
      </w:pPr>
      <w:r w:rsidRPr="0076479F">
        <w:rPr>
          <w:rFonts w:ascii="Arial" w:hAnsi="Arial" w:cs="Arial"/>
          <w:sz w:val="22"/>
          <w:szCs w:val="22"/>
        </w:rPr>
        <w:t xml:space="preserve"> </w:t>
      </w:r>
    </w:p>
    <w:p w:rsidR="00373518" w:rsidRPr="0076479F" w:rsidRDefault="00373518" w:rsidP="000B5AEF">
      <w:pPr>
        <w:spacing w:line="260" w:lineRule="exact"/>
        <w:ind w:right="-1"/>
        <w:jc w:val="both"/>
        <w:rPr>
          <w:rFonts w:ascii="Arial" w:hAnsi="Arial" w:cs="Arial"/>
          <w:snapToGrid w:val="0"/>
          <w:sz w:val="22"/>
          <w:szCs w:val="22"/>
        </w:rPr>
      </w:pPr>
    </w:p>
    <w:p w:rsidR="00CC17F8" w:rsidRDefault="00CC17F8" w:rsidP="00CC17F8">
      <w:pPr>
        <w:rPr>
          <w:rFonts w:ascii="Arial" w:hAnsi="Arial" w:cs="Arial"/>
          <w:sz w:val="22"/>
          <w:szCs w:val="22"/>
        </w:rPr>
      </w:pPr>
    </w:p>
    <w:p w:rsidR="004325EF" w:rsidRDefault="004325EF" w:rsidP="00CC17F8">
      <w:pPr>
        <w:rPr>
          <w:rFonts w:ascii="Arial" w:hAnsi="Arial" w:cs="Arial"/>
          <w:sz w:val="22"/>
          <w:szCs w:val="22"/>
        </w:rPr>
      </w:pPr>
    </w:p>
    <w:p w:rsidR="004325EF" w:rsidRDefault="004325EF" w:rsidP="00CC17F8">
      <w:pPr>
        <w:rPr>
          <w:rFonts w:ascii="Arial" w:hAnsi="Arial" w:cs="Arial"/>
          <w:sz w:val="22"/>
          <w:szCs w:val="22"/>
        </w:rPr>
      </w:pPr>
    </w:p>
    <w:p w:rsidR="004325EF" w:rsidRPr="004325EF" w:rsidRDefault="004325EF" w:rsidP="00CC17F8">
      <w:pPr>
        <w:rPr>
          <w:rFonts w:ascii="Arial" w:hAnsi="Arial" w:cs="Arial"/>
          <w:b/>
          <w:sz w:val="16"/>
          <w:szCs w:val="16"/>
        </w:rPr>
      </w:pPr>
    </w:p>
    <w:p w:rsidR="00CC17F8" w:rsidRPr="00CC17F8" w:rsidRDefault="00CC17F8" w:rsidP="00CC17F8">
      <w:pPr>
        <w:rPr>
          <w:rFonts w:ascii="Arial" w:hAnsi="Arial" w:cs="Arial"/>
          <w:sz w:val="22"/>
          <w:szCs w:val="22"/>
        </w:rPr>
      </w:pPr>
    </w:p>
    <w:p w:rsidR="00CC17F8" w:rsidRPr="00CC17F8" w:rsidRDefault="00CC17F8" w:rsidP="00CC17F8">
      <w:pPr>
        <w:rPr>
          <w:rFonts w:ascii="Arial" w:hAnsi="Arial" w:cs="Arial"/>
          <w:sz w:val="22"/>
          <w:szCs w:val="22"/>
        </w:rPr>
      </w:pPr>
    </w:p>
    <w:p w:rsidR="00CC17F8" w:rsidRDefault="00CC17F8" w:rsidP="00CC17F8">
      <w:pPr>
        <w:rPr>
          <w:rFonts w:ascii="Arial" w:hAnsi="Arial" w:cs="Arial"/>
          <w:sz w:val="22"/>
          <w:szCs w:val="22"/>
        </w:rPr>
      </w:pPr>
    </w:p>
    <w:p w:rsidR="00F31F1A" w:rsidRPr="00CC17F8" w:rsidRDefault="00F31F1A" w:rsidP="00CC17F8">
      <w:pPr>
        <w:jc w:val="center"/>
        <w:rPr>
          <w:rFonts w:ascii="Arial" w:hAnsi="Arial" w:cs="Arial"/>
          <w:sz w:val="22"/>
          <w:szCs w:val="22"/>
        </w:rPr>
      </w:pPr>
    </w:p>
    <w:sectPr w:rsidR="00F31F1A" w:rsidRPr="00CC17F8" w:rsidSect="00F35596">
      <w:headerReference w:type="default" r:id="rId8"/>
      <w:footerReference w:type="default" r:id="rId9"/>
      <w:pgSz w:w="12240" w:h="15840"/>
      <w:pgMar w:top="1417" w:right="1701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DDA" w:rsidRDefault="006C6DDA" w:rsidP="00755B62">
      <w:r>
        <w:separator/>
      </w:r>
    </w:p>
  </w:endnote>
  <w:endnote w:type="continuationSeparator" w:id="0">
    <w:p w:rsidR="006C6DDA" w:rsidRDefault="006C6DDA" w:rsidP="007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1510638259"/>
      <w:docPartObj>
        <w:docPartGallery w:val="Page Numbers (Bottom of Page)"/>
        <w:docPartUnique/>
      </w:docPartObj>
    </w:sdtPr>
    <w:sdtEndPr/>
    <w:sdtContent>
      <w:p w:rsidR="007E7D2C" w:rsidRPr="00CC17F8" w:rsidRDefault="007E7D2C">
        <w:pPr>
          <w:pStyle w:val="Piedepgina"/>
          <w:jc w:val="right"/>
          <w:rPr>
            <w:rFonts w:ascii="Arial" w:hAnsi="Arial" w:cs="Arial"/>
            <w:sz w:val="16"/>
            <w:szCs w:val="16"/>
          </w:rPr>
        </w:pPr>
        <w:r w:rsidRPr="00CC17F8">
          <w:rPr>
            <w:rFonts w:ascii="Arial" w:hAnsi="Arial" w:cs="Arial"/>
            <w:sz w:val="16"/>
            <w:szCs w:val="16"/>
          </w:rPr>
          <w:fldChar w:fldCharType="begin"/>
        </w:r>
        <w:r w:rsidRPr="00CC17F8">
          <w:rPr>
            <w:rFonts w:ascii="Arial" w:hAnsi="Arial" w:cs="Arial"/>
            <w:sz w:val="16"/>
            <w:szCs w:val="16"/>
          </w:rPr>
          <w:instrText>PAGE   \* MERGEFORMAT</w:instrText>
        </w:r>
        <w:r w:rsidRPr="00CC17F8">
          <w:rPr>
            <w:rFonts w:ascii="Arial" w:hAnsi="Arial" w:cs="Arial"/>
            <w:sz w:val="16"/>
            <w:szCs w:val="16"/>
          </w:rPr>
          <w:fldChar w:fldCharType="separate"/>
        </w:r>
        <w:r w:rsidR="00893879">
          <w:rPr>
            <w:rFonts w:ascii="Arial" w:hAnsi="Arial" w:cs="Arial"/>
            <w:noProof/>
            <w:sz w:val="16"/>
            <w:szCs w:val="16"/>
          </w:rPr>
          <w:t>2</w:t>
        </w:r>
        <w:r w:rsidRPr="00CC17F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CC17F8" w:rsidRPr="00CC17F8" w:rsidRDefault="00CC17F8" w:rsidP="00CC17F8">
    <w:pPr>
      <w:jc w:val="center"/>
      <w:rPr>
        <w:rFonts w:ascii="Arial" w:hAnsi="Arial" w:cs="Arial"/>
        <w:color w:val="244061"/>
        <w:sz w:val="16"/>
        <w:szCs w:val="16"/>
      </w:rPr>
    </w:pPr>
    <w:r w:rsidRPr="00CC17F8">
      <w:rPr>
        <w:rFonts w:ascii="Arial" w:hAnsi="Arial" w:cs="Arial"/>
        <w:color w:val="244061"/>
        <w:sz w:val="16"/>
        <w:szCs w:val="16"/>
      </w:rPr>
      <w:t xml:space="preserve">Periférico Sur 3469, Col. San Jerónimo Lídice, Deleg. Magdalena Contreras, C.P. 10200, Ciudad de México. </w:t>
    </w:r>
  </w:p>
  <w:p w:rsidR="00CC17F8" w:rsidRPr="00CC17F8" w:rsidRDefault="00CC17F8" w:rsidP="00CC17F8">
    <w:pPr>
      <w:jc w:val="center"/>
      <w:rPr>
        <w:rFonts w:ascii="Arial" w:hAnsi="Arial" w:cs="Arial"/>
        <w:color w:val="244061"/>
        <w:sz w:val="16"/>
        <w:szCs w:val="16"/>
      </w:rPr>
    </w:pPr>
    <w:r w:rsidRPr="00CC17F8">
      <w:rPr>
        <w:rFonts w:ascii="Arial" w:hAnsi="Arial" w:cs="Arial"/>
        <w:color w:val="244061"/>
        <w:sz w:val="16"/>
        <w:szCs w:val="16"/>
      </w:rPr>
      <w:t>Tels. (55) 56818125 y (55) 54907400</w:t>
    </w:r>
  </w:p>
  <w:p w:rsidR="00CC17F8" w:rsidRPr="00CC17F8" w:rsidRDefault="00CC17F8" w:rsidP="00CC17F8">
    <w:pPr>
      <w:jc w:val="center"/>
      <w:rPr>
        <w:rFonts w:ascii="Arial" w:hAnsi="Arial" w:cs="Arial"/>
        <w:color w:val="244061"/>
        <w:sz w:val="16"/>
        <w:szCs w:val="16"/>
      </w:rPr>
    </w:pPr>
    <w:r w:rsidRPr="00CC17F8">
      <w:rPr>
        <w:rFonts w:ascii="Arial" w:hAnsi="Arial" w:cs="Arial"/>
        <w:color w:val="244061"/>
        <w:sz w:val="16"/>
        <w:szCs w:val="16"/>
      </w:rPr>
      <w:t>www.cndh.org.mx</w:t>
    </w:r>
  </w:p>
  <w:p w:rsidR="00F57305" w:rsidRDefault="00F573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DDA" w:rsidRDefault="006C6DDA" w:rsidP="00755B62">
      <w:r>
        <w:separator/>
      </w:r>
    </w:p>
  </w:footnote>
  <w:footnote w:type="continuationSeparator" w:id="0">
    <w:p w:rsidR="006C6DDA" w:rsidRDefault="006C6DDA" w:rsidP="00755B62">
      <w:r>
        <w:continuationSeparator/>
      </w:r>
    </w:p>
  </w:footnote>
  <w:footnote w:id="1">
    <w:p w:rsidR="0007787F" w:rsidRPr="00FD7BF9" w:rsidRDefault="0007787F" w:rsidP="0007787F">
      <w:pPr>
        <w:pStyle w:val="Textonotapie"/>
        <w:rPr>
          <w:rFonts w:ascii="Arial" w:hAnsi="Arial" w:cs="Arial"/>
          <w:sz w:val="14"/>
          <w:szCs w:val="14"/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FD7BF9">
        <w:rPr>
          <w:rFonts w:ascii="Arial" w:hAnsi="Arial" w:cs="Arial"/>
          <w:sz w:val="14"/>
          <w:szCs w:val="14"/>
        </w:rPr>
        <w:t>Artículo 1</w:t>
      </w:r>
      <w:r>
        <w:rPr>
          <w:rFonts w:ascii="Arial" w:hAnsi="Arial" w:cs="Arial"/>
          <w:sz w:val="14"/>
          <w:szCs w:val="14"/>
        </w:rPr>
        <w:t>, fracción I,</w:t>
      </w:r>
      <w:r w:rsidRPr="00FD7BF9">
        <w:rPr>
          <w:rFonts w:ascii="Arial" w:hAnsi="Arial" w:cs="Arial"/>
          <w:sz w:val="14"/>
          <w:szCs w:val="14"/>
        </w:rPr>
        <w:t xml:space="preserve"> de la Ley General de Asentamientos Humanos, </w:t>
      </w:r>
      <w:r w:rsidRPr="00FD7BF9">
        <w:rPr>
          <w:rFonts w:ascii="Arial" w:hAnsi="Arial" w:cs="Arial"/>
          <w:bCs/>
          <w:sz w:val="14"/>
          <w:szCs w:val="14"/>
        </w:rPr>
        <w:t>Ordenamiento Territorial y Desarrollo Urbano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EF6" w:rsidRPr="00B834A1" w:rsidRDefault="004A498E" w:rsidP="00B31EF6">
    <w:pPr>
      <w:pStyle w:val="Encabezado"/>
    </w:pPr>
    <w:r w:rsidRPr="00F470ED"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-1962</wp:posOffset>
          </wp:positionH>
          <wp:positionV relativeFrom="paragraph">
            <wp:posOffset>-1896</wp:posOffset>
          </wp:positionV>
          <wp:extent cx="805218" cy="1269954"/>
          <wp:effectExtent l="0" t="0" r="0" b="698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218" cy="1269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31EF6" w:rsidRDefault="00B31EF6" w:rsidP="00B31EF6"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18A40260" wp14:editId="66FBCA48">
          <wp:simplePos x="0" y="0"/>
          <wp:positionH relativeFrom="column">
            <wp:posOffset>847725</wp:posOffset>
          </wp:positionH>
          <wp:positionV relativeFrom="paragraph">
            <wp:posOffset>72390</wp:posOffset>
          </wp:positionV>
          <wp:extent cx="4748530" cy="223520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853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786F6E" w:rsidRDefault="00B31EF6" w:rsidP="00B31EF6">
    <w:pPr>
      <w:tabs>
        <w:tab w:val="left" w:pos="1965"/>
      </w:tabs>
      <w:jc w:val="center"/>
    </w:pPr>
    <w:r>
      <w:t xml:space="preserve">                           </w:t>
    </w:r>
  </w:p>
  <w:p w:rsidR="00B31EF6" w:rsidRDefault="00833E4D" w:rsidP="0076479F">
    <w:pPr>
      <w:tabs>
        <w:tab w:val="left" w:pos="1965"/>
      </w:tabs>
      <w:ind w:left="708"/>
      <w:jc w:val="right"/>
      <w:rPr>
        <w:rFonts w:ascii="Arial" w:hAnsi="Arial" w:cs="Arial"/>
        <w:b/>
        <w:color w:val="244061" w:themeColor="accent1" w:themeShade="8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>
      <w:rPr>
        <w:rFonts w:ascii="Arial" w:hAnsi="Arial" w:cs="Arial"/>
        <w:b/>
        <w:color w:val="244061" w:themeColor="accent1" w:themeShade="8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ab/>
    </w:r>
  </w:p>
  <w:p w:rsidR="007E7D2C" w:rsidRDefault="007E7D2C" w:rsidP="0076479F">
    <w:pPr>
      <w:tabs>
        <w:tab w:val="left" w:pos="1965"/>
      </w:tabs>
      <w:ind w:left="708"/>
      <w:jc w:val="right"/>
      <w:rPr>
        <w:rFonts w:ascii="Arial" w:hAnsi="Arial" w:cs="Arial"/>
        <w:b/>
        <w:color w:val="244061" w:themeColor="accent1" w:themeShade="8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</w:p>
  <w:p w:rsidR="0076479F" w:rsidRDefault="0076479F" w:rsidP="0076479F">
    <w:pPr>
      <w:tabs>
        <w:tab w:val="left" w:pos="1965"/>
      </w:tabs>
      <w:ind w:left="708"/>
      <w:jc w:val="right"/>
      <w:rPr>
        <w:rFonts w:ascii="Arial" w:hAnsi="Arial" w:cs="Arial"/>
        <w:b/>
        <w:color w:val="244061" w:themeColor="accent1" w:themeShade="8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</w:p>
  <w:p w:rsidR="0076479F" w:rsidRDefault="0076479F" w:rsidP="0076479F">
    <w:pPr>
      <w:tabs>
        <w:tab w:val="left" w:pos="1965"/>
      </w:tabs>
      <w:ind w:left="708"/>
      <w:jc w:val="right"/>
      <w:rPr>
        <w:color w:val="244061" w:themeColor="accent1" w:themeShade="80"/>
      </w:rPr>
    </w:pPr>
  </w:p>
  <w:p w:rsidR="003D1603" w:rsidRPr="00786F6E" w:rsidRDefault="003D1603" w:rsidP="00786F6E">
    <w:pPr>
      <w:tabs>
        <w:tab w:val="left" w:pos="1965"/>
      </w:tabs>
      <w:ind w:left="708"/>
      <w:jc w:val="center"/>
      <w:rPr>
        <w:color w:val="244061" w:themeColor="accent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5B7"/>
    <w:multiLevelType w:val="hybridMultilevel"/>
    <w:tmpl w:val="F1DADEB8"/>
    <w:lvl w:ilvl="0" w:tplc="B01A6BAA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B213E"/>
    <w:multiLevelType w:val="hybridMultilevel"/>
    <w:tmpl w:val="F3D256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A6057"/>
    <w:multiLevelType w:val="hybridMultilevel"/>
    <w:tmpl w:val="5240F956"/>
    <w:lvl w:ilvl="0" w:tplc="213094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37D1F"/>
    <w:multiLevelType w:val="hybridMultilevel"/>
    <w:tmpl w:val="E626E9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37A9A"/>
    <w:multiLevelType w:val="hybridMultilevel"/>
    <w:tmpl w:val="A2CCD874"/>
    <w:lvl w:ilvl="0" w:tplc="58D424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35424"/>
    <w:multiLevelType w:val="hybridMultilevel"/>
    <w:tmpl w:val="52A02C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31C9D"/>
    <w:multiLevelType w:val="hybridMultilevel"/>
    <w:tmpl w:val="2CF2AC76"/>
    <w:lvl w:ilvl="0" w:tplc="9BBAB77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C5F7A"/>
    <w:multiLevelType w:val="hybridMultilevel"/>
    <w:tmpl w:val="07E8BA5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F25BE"/>
    <w:multiLevelType w:val="hybridMultilevel"/>
    <w:tmpl w:val="8324646E"/>
    <w:lvl w:ilvl="0" w:tplc="7B2CE7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15720"/>
    <w:multiLevelType w:val="hybridMultilevel"/>
    <w:tmpl w:val="4FA4DE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D0562"/>
    <w:multiLevelType w:val="hybridMultilevel"/>
    <w:tmpl w:val="7388A6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26FE9"/>
    <w:multiLevelType w:val="hybridMultilevel"/>
    <w:tmpl w:val="1786C5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94988"/>
    <w:multiLevelType w:val="hybridMultilevel"/>
    <w:tmpl w:val="1F6CBF38"/>
    <w:lvl w:ilvl="0" w:tplc="163C45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15662"/>
    <w:multiLevelType w:val="hybridMultilevel"/>
    <w:tmpl w:val="389C1CE8"/>
    <w:lvl w:ilvl="0" w:tplc="4A8C4682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/>
        <w:u w:val="none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E35E7"/>
    <w:multiLevelType w:val="hybridMultilevel"/>
    <w:tmpl w:val="3DB4A784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92B69A3"/>
    <w:multiLevelType w:val="hybridMultilevel"/>
    <w:tmpl w:val="9C9472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C26F8"/>
    <w:multiLevelType w:val="hybridMultilevel"/>
    <w:tmpl w:val="5B36B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E472A"/>
    <w:multiLevelType w:val="hybridMultilevel"/>
    <w:tmpl w:val="906CFD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14"/>
  </w:num>
  <w:num w:numId="9">
    <w:abstractNumId w:val="10"/>
  </w:num>
  <w:num w:numId="10">
    <w:abstractNumId w:val="7"/>
  </w:num>
  <w:num w:numId="11">
    <w:abstractNumId w:val="11"/>
  </w:num>
  <w:num w:numId="12">
    <w:abstractNumId w:val="17"/>
  </w:num>
  <w:num w:numId="13">
    <w:abstractNumId w:val="16"/>
  </w:num>
  <w:num w:numId="14">
    <w:abstractNumId w:val="15"/>
  </w:num>
  <w:num w:numId="15">
    <w:abstractNumId w:val="9"/>
  </w:num>
  <w:num w:numId="16">
    <w:abstractNumId w:val="1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72"/>
    <w:rsid w:val="0001077B"/>
    <w:rsid w:val="00011EDF"/>
    <w:rsid w:val="000156FB"/>
    <w:rsid w:val="00021B26"/>
    <w:rsid w:val="00027784"/>
    <w:rsid w:val="00031795"/>
    <w:rsid w:val="00042EC2"/>
    <w:rsid w:val="00045A22"/>
    <w:rsid w:val="0005170D"/>
    <w:rsid w:val="0007054E"/>
    <w:rsid w:val="000719A7"/>
    <w:rsid w:val="0007787F"/>
    <w:rsid w:val="00080B61"/>
    <w:rsid w:val="00092C42"/>
    <w:rsid w:val="000B5AEF"/>
    <w:rsid w:val="000C39CD"/>
    <w:rsid w:val="000D45C9"/>
    <w:rsid w:val="000E18F4"/>
    <w:rsid w:val="000E480C"/>
    <w:rsid w:val="000F3542"/>
    <w:rsid w:val="001064DB"/>
    <w:rsid w:val="00112A77"/>
    <w:rsid w:val="0013733D"/>
    <w:rsid w:val="001404AE"/>
    <w:rsid w:val="001575CC"/>
    <w:rsid w:val="0017791F"/>
    <w:rsid w:val="001844A1"/>
    <w:rsid w:val="001956BF"/>
    <w:rsid w:val="001A2FC7"/>
    <w:rsid w:val="001A7511"/>
    <w:rsid w:val="001B7090"/>
    <w:rsid w:val="001C1A0D"/>
    <w:rsid w:val="001C5FA8"/>
    <w:rsid w:val="001D2FB2"/>
    <w:rsid w:val="001D567D"/>
    <w:rsid w:val="001E2351"/>
    <w:rsid w:val="001E4F02"/>
    <w:rsid w:val="001F4CF2"/>
    <w:rsid w:val="00202BF5"/>
    <w:rsid w:val="002037D6"/>
    <w:rsid w:val="002103F0"/>
    <w:rsid w:val="002116D0"/>
    <w:rsid w:val="00223852"/>
    <w:rsid w:val="00240C13"/>
    <w:rsid w:val="002478BB"/>
    <w:rsid w:val="00253B94"/>
    <w:rsid w:val="00264328"/>
    <w:rsid w:val="00264A5E"/>
    <w:rsid w:val="00277B6E"/>
    <w:rsid w:val="00286791"/>
    <w:rsid w:val="002C5033"/>
    <w:rsid w:val="002D4364"/>
    <w:rsid w:val="002F604C"/>
    <w:rsid w:val="00300DB4"/>
    <w:rsid w:val="00300E01"/>
    <w:rsid w:val="003016DC"/>
    <w:rsid w:val="00312F85"/>
    <w:rsid w:val="0032009F"/>
    <w:rsid w:val="00332DFF"/>
    <w:rsid w:val="00355D9D"/>
    <w:rsid w:val="003614B7"/>
    <w:rsid w:val="003663DC"/>
    <w:rsid w:val="00373518"/>
    <w:rsid w:val="00374518"/>
    <w:rsid w:val="00384CD7"/>
    <w:rsid w:val="00386264"/>
    <w:rsid w:val="0039039D"/>
    <w:rsid w:val="003909CF"/>
    <w:rsid w:val="003964E3"/>
    <w:rsid w:val="003A51D2"/>
    <w:rsid w:val="003B0B9C"/>
    <w:rsid w:val="003B1030"/>
    <w:rsid w:val="003B38EA"/>
    <w:rsid w:val="003B7A98"/>
    <w:rsid w:val="003D1603"/>
    <w:rsid w:val="003E627E"/>
    <w:rsid w:val="003F24E7"/>
    <w:rsid w:val="003F3389"/>
    <w:rsid w:val="003F5EBD"/>
    <w:rsid w:val="00400C6D"/>
    <w:rsid w:val="00407C91"/>
    <w:rsid w:val="00411D0A"/>
    <w:rsid w:val="00413E91"/>
    <w:rsid w:val="00415F06"/>
    <w:rsid w:val="00424B85"/>
    <w:rsid w:val="004325EF"/>
    <w:rsid w:val="004466BA"/>
    <w:rsid w:val="00472D11"/>
    <w:rsid w:val="00496AE7"/>
    <w:rsid w:val="004A223C"/>
    <w:rsid w:val="004A498E"/>
    <w:rsid w:val="004A4FFA"/>
    <w:rsid w:val="004B605A"/>
    <w:rsid w:val="004D4C5E"/>
    <w:rsid w:val="004E534A"/>
    <w:rsid w:val="004E5FB5"/>
    <w:rsid w:val="00504CFB"/>
    <w:rsid w:val="005059E1"/>
    <w:rsid w:val="00507985"/>
    <w:rsid w:val="0051117C"/>
    <w:rsid w:val="00526304"/>
    <w:rsid w:val="0053553B"/>
    <w:rsid w:val="005369AE"/>
    <w:rsid w:val="005522E4"/>
    <w:rsid w:val="00566AB0"/>
    <w:rsid w:val="005673B6"/>
    <w:rsid w:val="005766BA"/>
    <w:rsid w:val="0058797F"/>
    <w:rsid w:val="005945DD"/>
    <w:rsid w:val="005A2BE4"/>
    <w:rsid w:val="005B579A"/>
    <w:rsid w:val="005C0102"/>
    <w:rsid w:val="005C38BB"/>
    <w:rsid w:val="005D657A"/>
    <w:rsid w:val="005E3C4E"/>
    <w:rsid w:val="005E527D"/>
    <w:rsid w:val="005F79DE"/>
    <w:rsid w:val="00601101"/>
    <w:rsid w:val="00611DBE"/>
    <w:rsid w:val="00620BDB"/>
    <w:rsid w:val="00623852"/>
    <w:rsid w:val="00630A2F"/>
    <w:rsid w:val="00634EDD"/>
    <w:rsid w:val="0063645C"/>
    <w:rsid w:val="00643590"/>
    <w:rsid w:val="006450E5"/>
    <w:rsid w:val="00647F0B"/>
    <w:rsid w:val="00660AA0"/>
    <w:rsid w:val="00666B51"/>
    <w:rsid w:val="00690084"/>
    <w:rsid w:val="006929F7"/>
    <w:rsid w:val="006A08C4"/>
    <w:rsid w:val="006A0AB8"/>
    <w:rsid w:val="006B2E3B"/>
    <w:rsid w:val="006B2F5D"/>
    <w:rsid w:val="006C0A59"/>
    <w:rsid w:val="006C0FFF"/>
    <w:rsid w:val="006C6DDA"/>
    <w:rsid w:val="006D058C"/>
    <w:rsid w:val="006F68AC"/>
    <w:rsid w:val="00700175"/>
    <w:rsid w:val="00700DCD"/>
    <w:rsid w:val="007013C7"/>
    <w:rsid w:val="00704668"/>
    <w:rsid w:val="00705E24"/>
    <w:rsid w:val="00732765"/>
    <w:rsid w:val="00750485"/>
    <w:rsid w:val="007532D2"/>
    <w:rsid w:val="00755B62"/>
    <w:rsid w:val="007616D1"/>
    <w:rsid w:val="0076479F"/>
    <w:rsid w:val="00770261"/>
    <w:rsid w:val="007762C0"/>
    <w:rsid w:val="00786F6E"/>
    <w:rsid w:val="00792527"/>
    <w:rsid w:val="007B650D"/>
    <w:rsid w:val="007C0787"/>
    <w:rsid w:val="007E5B19"/>
    <w:rsid w:val="007E7D2C"/>
    <w:rsid w:val="008037FB"/>
    <w:rsid w:val="00806530"/>
    <w:rsid w:val="00833E4D"/>
    <w:rsid w:val="00846F25"/>
    <w:rsid w:val="00893879"/>
    <w:rsid w:val="008A17BE"/>
    <w:rsid w:val="008A2699"/>
    <w:rsid w:val="008A4A48"/>
    <w:rsid w:val="008A5FA5"/>
    <w:rsid w:val="008A6435"/>
    <w:rsid w:val="008D3505"/>
    <w:rsid w:val="008D3BFB"/>
    <w:rsid w:val="008E0FCF"/>
    <w:rsid w:val="008F0E5A"/>
    <w:rsid w:val="0090059E"/>
    <w:rsid w:val="009013D9"/>
    <w:rsid w:val="00907BFA"/>
    <w:rsid w:val="00911918"/>
    <w:rsid w:val="0092673D"/>
    <w:rsid w:val="009306B5"/>
    <w:rsid w:val="009620E3"/>
    <w:rsid w:val="009761DC"/>
    <w:rsid w:val="00992094"/>
    <w:rsid w:val="009A7B3A"/>
    <w:rsid w:val="009B3772"/>
    <w:rsid w:val="009D0D8F"/>
    <w:rsid w:val="009D77E4"/>
    <w:rsid w:val="009E37ED"/>
    <w:rsid w:val="009E39F9"/>
    <w:rsid w:val="009E5653"/>
    <w:rsid w:val="009E6CF8"/>
    <w:rsid w:val="009F5694"/>
    <w:rsid w:val="00A1085C"/>
    <w:rsid w:val="00A131EC"/>
    <w:rsid w:val="00A300D0"/>
    <w:rsid w:val="00A30110"/>
    <w:rsid w:val="00A5402D"/>
    <w:rsid w:val="00A71A7F"/>
    <w:rsid w:val="00A74DCD"/>
    <w:rsid w:val="00A77E4E"/>
    <w:rsid w:val="00A839A3"/>
    <w:rsid w:val="00A83F75"/>
    <w:rsid w:val="00A84D45"/>
    <w:rsid w:val="00A90DA4"/>
    <w:rsid w:val="00A974C8"/>
    <w:rsid w:val="00AA3DE2"/>
    <w:rsid w:val="00AA5A90"/>
    <w:rsid w:val="00AB76E3"/>
    <w:rsid w:val="00AC5B2A"/>
    <w:rsid w:val="00AD72CA"/>
    <w:rsid w:val="00AE171F"/>
    <w:rsid w:val="00AF7989"/>
    <w:rsid w:val="00B01816"/>
    <w:rsid w:val="00B14492"/>
    <w:rsid w:val="00B15B8C"/>
    <w:rsid w:val="00B167A4"/>
    <w:rsid w:val="00B31EF6"/>
    <w:rsid w:val="00B37970"/>
    <w:rsid w:val="00B4059E"/>
    <w:rsid w:val="00B5742C"/>
    <w:rsid w:val="00BB00AC"/>
    <w:rsid w:val="00BB3554"/>
    <w:rsid w:val="00BC3468"/>
    <w:rsid w:val="00BD5D5B"/>
    <w:rsid w:val="00BD615D"/>
    <w:rsid w:val="00BD62F5"/>
    <w:rsid w:val="00BE2DE4"/>
    <w:rsid w:val="00BF5EC8"/>
    <w:rsid w:val="00C00388"/>
    <w:rsid w:val="00C0340B"/>
    <w:rsid w:val="00C05D7C"/>
    <w:rsid w:val="00C05DD6"/>
    <w:rsid w:val="00C22B8B"/>
    <w:rsid w:val="00C31595"/>
    <w:rsid w:val="00C445A9"/>
    <w:rsid w:val="00C61994"/>
    <w:rsid w:val="00C6415A"/>
    <w:rsid w:val="00C65333"/>
    <w:rsid w:val="00C67F8A"/>
    <w:rsid w:val="00C75331"/>
    <w:rsid w:val="00C8628B"/>
    <w:rsid w:val="00C94DFF"/>
    <w:rsid w:val="00C97490"/>
    <w:rsid w:val="00CB66B9"/>
    <w:rsid w:val="00CC17F8"/>
    <w:rsid w:val="00CD096F"/>
    <w:rsid w:val="00CD5B53"/>
    <w:rsid w:val="00CE0593"/>
    <w:rsid w:val="00CE27DB"/>
    <w:rsid w:val="00CE32DE"/>
    <w:rsid w:val="00CF3D88"/>
    <w:rsid w:val="00CF6F51"/>
    <w:rsid w:val="00D0030C"/>
    <w:rsid w:val="00D02CC3"/>
    <w:rsid w:val="00D14B10"/>
    <w:rsid w:val="00D156A5"/>
    <w:rsid w:val="00D239F0"/>
    <w:rsid w:val="00D23BCF"/>
    <w:rsid w:val="00D55950"/>
    <w:rsid w:val="00D626C3"/>
    <w:rsid w:val="00D714CD"/>
    <w:rsid w:val="00D72270"/>
    <w:rsid w:val="00D73C84"/>
    <w:rsid w:val="00D74666"/>
    <w:rsid w:val="00D7587A"/>
    <w:rsid w:val="00D7711D"/>
    <w:rsid w:val="00D8427D"/>
    <w:rsid w:val="00D86D69"/>
    <w:rsid w:val="00DA1E27"/>
    <w:rsid w:val="00DA4285"/>
    <w:rsid w:val="00DC1F99"/>
    <w:rsid w:val="00DD6C8F"/>
    <w:rsid w:val="00DF140D"/>
    <w:rsid w:val="00DF40B8"/>
    <w:rsid w:val="00DF464E"/>
    <w:rsid w:val="00DF76E5"/>
    <w:rsid w:val="00E10386"/>
    <w:rsid w:val="00E1172C"/>
    <w:rsid w:val="00E22A38"/>
    <w:rsid w:val="00E31D36"/>
    <w:rsid w:val="00E36C59"/>
    <w:rsid w:val="00E62322"/>
    <w:rsid w:val="00E71639"/>
    <w:rsid w:val="00E95CB2"/>
    <w:rsid w:val="00EA5D61"/>
    <w:rsid w:val="00EC49C1"/>
    <w:rsid w:val="00EE3EDB"/>
    <w:rsid w:val="00EE590A"/>
    <w:rsid w:val="00EF42FB"/>
    <w:rsid w:val="00EF6E67"/>
    <w:rsid w:val="00F165C6"/>
    <w:rsid w:val="00F31F1A"/>
    <w:rsid w:val="00F35596"/>
    <w:rsid w:val="00F363C8"/>
    <w:rsid w:val="00F57305"/>
    <w:rsid w:val="00F678E3"/>
    <w:rsid w:val="00F93BA4"/>
    <w:rsid w:val="00F96629"/>
    <w:rsid w:val="00FA1862"/>
    <w:rsid w:val="00FB6DC1"/>
    <w:rsid w:val="00FC3CAB"/>
    <w:rsid w:val="00FD0855"/>
    <w:rsid w:val="00FD39B4"/>
    <w:rsid w:val="00FD4506"/>
    <w:rsid w:val="00FD7BF9"/>
    <w:rsid w:val="00FF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71EB53"/>
  <w15:docId w15:val="{8F5D9920-598F-4F24-9FC7-6727B330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F6E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D0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55D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5D9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755B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55B62"/>
  </w:style>
  <w:style w:type="paragraph" w:styleId="Piedepgina">
    <w:name w:val="footer"/>
    <w:basedOn w:val="Normal"/>
    <w:link w:val="PiedepginaCar"/>
    <w:uiPriority w:val="99"/>
    <w:unhideWhenUsed/>
    <w:rsid w:val="00755B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B62"/>
  </w:style>
  <w:style w:type="paragraph" w:styleId="Textoindependiente">
    <w:name w:val="Body Text"/>
    <w:basedOn w:val="Normal"/>
    <w:link w:val="TextoindependienteCar"/>
    <w:rsid w:val="00755B62"/>
    <w:pPr>
      <w:spacing w:after="120"/>
    </w:pPr>
    <w:rPr>
      <w:rFonts w:ascii="Arial" w:hAnsi="Arial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755B62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016DC"/>
    <w:pPr>
      <w:ind w:left="720"/>
      <w:contextualSpacing/>
    </w:pPr>
  </w:style>
  <w:style w:type="table" w:styleId="Cuadrculaclara-nfasis3">
    <w:name w:val="Light Grid Accent 3"/>
    <w:basedOn w:val="Tablanormal"/>
    <w:uiPriority w:val="62"/>
    <w:rsid w:val="00786F6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786F6E"/>
    <w:rPr>
      <w:color w:val="0000FF" w:themeColor="hyperlink"/>
      <w:u w:val="single"/>
    </w:rPr>
  </w:style>
  <w:style w:type="paragraph" w:customStyle="1" w:styleId="Default">
    <w:name w:val="Default"/>
    <w:rsid w:val="00C034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gc">
    <w:name w:val="_tgc"/>
    <w:rsid w:val="00E71639"/>
  </w:style>
  <w:style w:type="paragraph" w:styleId="Textonotapie">
    <w:name w:val="footnote text"/>
    <w:basedOn w:val="Normal"/>
    <w:link w:val="TextonotapieCar"/>
    <w:uiPriority w:val="99"/>
    <w:semiHidden/>
    <w:unhideWhenUsed/>
    <w:rsid w:val="00FD7BF9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D7BF9"/>
    <w:rPr>
      <w:rFonts w:ascii="Bookman Old Style" w:eastAsia="Times New Roman" w:hAnsi="Bookman Old Style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D7BF9"/>
    <w:rPr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76479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76479F"/>
    <w:rPr>
      <w:rFonts w:ascii="Bookman Old Style" w:eastAsia="Times New Roman" w:hAnsi="Bookman Old Style" w:cs="Times New Roman"/>
      <w:sz w:val="16"/>
      <w:szCs w:val="16"/>
      <w:lang w:val="es-ES" w:eastAsia="es-ES"/>
    </w:rPr>
  </w:style>
  <w:style w:type="paragraph" w:customStyle="1" w:styleId="Cuerpo">
    <w:name w:val="Cuerpo"/>
    <w:rsid w:val="007647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8F754F-6F8C-4EF4-A899-4B1B0D7A58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763F4C-8A19-4740-8A86-DCC2059931AA}"/>
</file>

<file path=customXml/itemProps3.xml><?xml version="1.0" encoding="utf-8"?>
<ds:datastoreItem xmlns:ds="http://schemas.openxmlformats.org/officeDocument/2006/customXml" ds:itemID="{6D5FF70B-56B1-4823-A849-3BCD0DF0E5F6}"/>
</file>

<file path=customXml/itemProps4.xml><?xml version="1.0" encoding="utf-8"?>
<ds:datastoreItem xmlns:ds="http://schemas.openxmlformats.org/officeDocument/2006/customXml" ds:itemID="{2201DFEE-0C6D-4A09-855F-00D42BDC2C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1108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COMISION NACIONAL DE LOS DERECHOS HUMANOS</Company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Juan Arellano Minero</dc:creator>
  <cp:lastModifiedBy>Alma Margarita Sosa Lopez</cp:lastModifiedBy>
  <cp:revision>2</cp:revision>
  <cp:lastPrinted>2017-10-26T22:16:00Z</cp:lastPrinted>
  <dcterms:created xsi:type="dcterms:W3CDTF">2017-11-01T20:32:00Z</dcterms:created>
  <dcterms:modified xsi:type="dcterms:W3CDTF">2017-11-01T20:32:00Z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