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1E" w:rsidRPr="001177F8" w:rsidRDefault="0054681E" w:rsidP="0054681E">
      <w:pPr>
        <w:pStyle w:val="NoSpacing"/>
        <w:jc w:val="center"/>
        <w:rPr>
          <w:rFonts w:ascii="Times New Roman" w:hAnsi="Times New Roman" w:cs="Times New Roman"/>
          <w:b/>
          <w:sz w:val="32"/>
          <w:szCs w:val="24"/>
          <w:lang w:val="en-US"/>
        </w:rPr>
      </w:pPr>
      <w:r w:rsidRPr="001177F8">
        <w:rPr>
          <w:rFonts w:ascii="Times New Roman" w:hAnsi="Times New Roman" w:cs="Times New Roman"/>
          <w:b/>
          <w:sz w:val="32"/>
          <w:szCs w:val="24"/>
          <w:lang w:val="en-US"/>
        </w:rPr>
        <w:t>Questionnaire</w:t>
      </w:r>
    </w:p>
    <w:p w:rsidR="0054681E" w:rsidRPr="00BF2651" w:rsidRDefault="0054681E" w:rsidP="0054681E">
      <w:pPr>
        <w:jc w:val="center"/>
        <w:rPr>
          <w:b/>
          <w:sz w:val="28"/>
          <w:szCs w:val="24"/>
        </w:rPr>
      </w:pPr>
      <w:r w:rsidRPr="00BF2651">
        <w:rPr>
          <w:b/>
          <w:sz w:val="28"/>
          <w:szCs w:val="24"/>
        </w:rPr>
        <w:t>Access to Justice for the Right to Housing</w:t>
      </w:r>
    </w:p>
    <w:p w:rsidR="0054681E" w:rsidRPr="00BF2651" w:rsidRDefault="0054681E" w:rsidP="0054681E">
      <w:pPr>
        <w:jc w:val="both"/>
        <w:rPr>
          <w:sz w:val="24"/>
          <w:szCs w:val="24"/>
        </w:rPr>
      </w:pPr>
    </w:p>
    <w:p w:rsidR="0054681E" w:rsidRDefault="0054681E" w:rsidP="0054681E">
      <w:pPr>
        <w:jc w:val="both"/>
        <w:rPr>
          <w:sz w:val="24"/>
          <w:szCs w:val="24"/>
        </w:rPr>
      </w:pPr>
    </w:p>
    <w:p w:rsidR="0054681E" w:rsidRDefault="0054681E" w:rsidP="0054681E">
      <w:pPr>
        <w:jc w:val="both"/>
        <w:rPr>
          <w:sz w:val="24"/>
          <w:szCs w:val="24"/>
        </w:rPr>
      </w:pPr>
      <w:r w:rsidRPr="00BF2651">
        <w:rPr>
          <w:sz w:val="24"/>
          <w:szCs w:val="24"/>
        </w:rPr>
        <w:t>1.</w:t>
      </w:r>
      <w:r w:rsidRPr="00BF2651">
        <w:rPr>
          <w:sz w:val="24"/>
          <w:szCs w:val="24"/>
        </w:rPr>
        <w:tab/>
        <w:t>Are the following components of the right to housing subject to hearings and effective remedies before courts and/or tribunals in your country? If yes, please explain which law provides this protection, who has standing to bring claims forward and what court or tribunal adjudicates the claim. Provide an example of a leading case and explain briefly how this may have advanced protection of the right to housing.</w:t>
      </w:r>
    </w:p>
    <w:p w:rsidR="0054681E" w:rsidRDefault="0054681E" w:rsidP="0054681E">
      <w:pPr>
        <w:jc w:val="both"/>
        <w:rPr>
          <w:sz w:val="24"/>
          <w:szCs w:val="24"/>
        </w:rPr>
      </w:pPr>
    </w:p>
    <w:p w:rsidR="0054681E" w:rsidRDefault="0054681E" w:rsidP="0054681E">
      <w:pPr>
        <w:spacing w:after="120"/>
        <w:jc w:val="both"/>
        <w:rPr>
          <w:sz w:val="24"/>
          <w:szCs w:val="24"/>
        </w:rPr>
      </w:pPr>
      <w:r>
        <w:rPr>
          <w:sz w:val="24"/>
          <w:szCs w:val="24"/>
        </w:rPr>
        <w:t>a.)</w:t>
      </w:r>
      <w:r>
        <w:rPr>
          <w:sz w:val="24"/>
          <w:szCs w:val="24"/>
        </w:rPr>
        <w:tab/>
      </w:r>
      <w:r w:rsidRPr="006725BA">
        <w:rPr>
          <w:sz w:val="24"/>
          <w:szCs w:val="24"/>
        </w:rPr>
        <w:t>Non-discrimination (including accommodation of disabilities) Y</w:t>
      </w:r>
      <w:r>
        <w:rPr>
          <w:sz w:val="24"/>
          <w:szCs w:val="24"/>
        </w:rPr>
        <w:t>es</w:t>
      </w:r>
      <w:r w:rsidRPr="006725BA">
        <w:rPr>
          <w:sz w:val="24"/>
          <w:szCs w:val="24"/>
        </w:rPr>
        <w:t>/N</w:t>
      </w:r>
      <w:r>
        <w:rPr>
          <w:sz w:val="24"/>
          <w:szCs w:val="24"/>
        </w:rPr>
        <w:t>o</w:t>
      </w:r>
    </w:p>
    <w:p w:rsidR="0054681E" w:rsidRDefault="0054681E" w:rsidP="0054681E">
      <w:pPr>
        <w:spacing w:after="120"/>
        <w:jc w:val="both"/>
        <w:rPr>
          <w:sz w:val="24"/>
          <w:szCs w:val="24"/>
        </w:rPr>
      </w:pPr>
      <w:r>
        <w:rPr>
          <w:sz w:val="24"/>
          <w:szCs w:val="24"/>
        </w:rPr>
        <w:t>b.)</w:t>
      </w:r>
      <w:r>
        <w:rPr>
          <w:sz w:val="24"/>
          <w:szCs w:val="24"/>
        </w:rPr>
        <w:tab/>
      </w:r>
      <w:r w:rsidRPr="00B77203">
        <w:rPr>
          <w:sz w:val="24"/>
          <w:szCs w:val="24"/>
        </w:rPr>
        <w:t>Security of tenure (including prohibition of eviction without appropriate alternative housing) Yes/No</w:t>
      </w:r>
    </w:p>
    <w:p w:rsidR="0054681E" w:rsidRDefault="0054681E" w:rsidP="0054681E">
      <w:pPr>
        <w:spacing w:after="120"/>
        <w:jc w:val="both"/>
        <w:rPr>
          <w:sz w:val="24"/>
          <w:szCs w:val="24"/>
        </w:rPr>
      </w:pPr>
      <w:r>
        <w:rPr>
          <w:sz w:val="24"/>
          <w:szCs w:val="24"/>
        </w:rPr>
        <w:t>c.)</w:t>
      </w:r>
      <w:r>
        <w:rPr>
          <w:sz w:val="24"/>
          <w:szCs w:val="24"/>
        </w:rPr>
        <w:tab/>
      </w:r>
      <w:r w:rsidRPr="00B77203">
        <w:rPr>
          <w:sz w:val="24"/>
          <w:szCs w:val="24"/>
        </w:rPr>
        <w:t>Adequacy standards (habitability, access to water, sanitation, services, health and safety etc</w:t>
      </w:r>
      <w:r>
        <w:rPr>
          <w:sz w:val="24"/>
          <w:szCs w:val="24"/>
        </w:rPr>
        <w:t>.</w:t>
      </w:r>
      <w:r w:rsidRPr="00B77203">
        <w:rPr>
          <w:sz w:val="24"/>
          <w:szCs w:val="24"/>
        </w:rPr>
        <w:t>) Yes/No</w:t>
      </w:r>
    </w:p>
    <w:p w:rsidR="0054681E" w:rsidRDefault="0054681E" w:rsidP="0054681E">
      <w:pPr>
        <w:spacing w:after="120"/>
        <w:jc w:val="both"/>
        <w:rPr>
          <w:sz w:val="24"/>
          <w:szCs w:val="24"/>
        </w:rPr>
      </w:pPr>
      <w:r>
        <w:rPr>
          <w:sz w:val="24"/>
          <w:szCs w:val="24"/>
        </w:rPr>
        <w:t>d.)</w:t>
      </w:r>
      <w:r>
        <w:rPr>
          <w:sz w:val="24"/>
          <w:szCs w:val="24"/>
        </w:rPr>
        <w:tab/>
      </w:r>
      <w:r w:rsidRPr="006725BA">
        <w:rPr>
          <w:sz w:val="24"/>
          <w:szCs w:val="24"/>
        </w:rPr>
        <w:t>Non-retrogression (review of effect on right to housing of program cuts, removal of legal prot</w:t>
      </w:r>
      <w:r>
        <w:rPr>
          <w:sz w:val="24"/>
          <w:szCs w:val="24"/>
        </w:rPr>
        <w:t xml:space="preserve">ections or austerity measures) </w:t>
      </w:r>
      <w:r w:rsidRPr="006725BA">
        <w:rPr>
          <w:sz w:val="24"/>
          <w:szCs w:val="24"/>
        </w:rPr>
        <w:t>Yes/No</w:t>
      </w:r>
    </w:p>
    <w:p w:rsidR="0054681E" w:rsidRPr="006725BA" w:rsidRDefault="0054681E" w:rsidP="0054681E">
      <w:pPr>
        <w:spacing w:after="120"/>
        <w:jc w:val="both"/>
        <w:rPr>
          <w:sz w:val="24"/>
          <w:szCs w:val="24"/>
        </w:rPr>
      </w:pPr>
      <w:r>
        <w:rPr>
          <w:sz w:val="24"/>
          <w:szCs w:val="24"/>
        </w:rPr>
        <w:t>e.)</w:t>
      </w:r>
      <w:r>
        <w:rPr>
          <w:sz w:val="24"/>
          <w:szCs w:val="24"/>
        </w:rPr>
        <w:tab/>
      </w:r>
      <w:r w:rsidRPr="006725BA">
        <w:rPr>
          <w:sz w:val="24"/>
          <w:szCs w:val="24"/>
        </w:rPr>
        <w:t>Progressive Realization – (obligation to take reasonable measures, establish and meet goals and timelines, prioritize the most disadvantaged, allocate maximum available resources, etc</w:t>
      </w:r>
      <w:r>
        <w:rPr>
          <w:sz w:val="24"/>
          <w:szCs w:val="24"/>
        </w:rPr>
        <w:t>.</w:t>
      </w:r>
      <w:r w:rsidRPr="006725BA">
        <w:rPr>
          <w:sz w:val="24"/>
          <w:szCs w:val="24"/>
        </w:rPr>
        <w:t>)  Y</w:t>
      </w:r>
      <w:r>
        <w:rPr>
          <w:sz w:val="24"/>
          <w:szCs w:val="24"/>
        </w:rPr>
        <w:t>es/</w:t>
      </w:r>
      <w:r w:rsidRPr="006725BA">
        <w:rPr>
          <w:sz w:val="24"/>
          <w:szCs w:val="24"/>
        </w:rPr>
        <w:t>N</w:t>
      </w:r>
      <w:r>
        <w:rPr>
          <w:sz w:val="24"/>
          <w:szCs w:val="24"/>
        </w:rPr>
        <w:t>o</w:t>
      </w:r>
    </w:p>
    <w:p w:rsidR="0054681E" w:rsidRPr="00BF2651" w:rsidRDefault="0054681E" w:rsidP="0054681E">
      <w:pPr>
        <w:jc w:val="both"/>
        <w:rPr>
          <w:sz w:val="24"/>
          <w:szCs w:val="24"/>
        </w:rPr>
      </w:pPr>
    </w:p>
    <w:p w:rsidR="0054681E" w:rsidRPr="00BF2651" w:rsidRDefault="0054681E" w:rsidP="0054681E">
      <w:pPr>
        <w:jc w:val="both"/>
        <w:rPr>
          <w:sz w:val="24"/>
          <w:szCs w:val="24"/>
        </w:rPr>
      </w:pPr>
      <w:r w:rsidRPr="00BF2651">
        <w:rPr>
          <w:sz w:val="24"/>
          <w:szCs w:val="24"/>
        </w:rPr>
        <w:t>2.</w:t>
      </w:r>
      <w:r w:rsidRPr="00BF2651">
        <w:rPr>
          <w:sz w:val="24"/>
          <w:szCs w:val="24"/>
        </w:rPr>
        <w:tab/>
        <w:t xml:space="preserve">What measures have been taken or are planned to improve access to justice for the right to housing? Please include, where applicable, measures relating to </w:t>
      </w:r>
      <w:proofErr w:type="spellStart"/>
      <w:r w:rsidRPr="00BF2651">
        <w:rPr>
          <w:sz w:val="24"/>
          <w:szCs w:val="24"/>
        </w:rPr>
        <w:t>i</w:t>
      </w:r>
      <w:proofErr w:type="spellEnd"/>
      <w:r w:rsidRPr="00BF2651">
        <w:rPr>
          <w:sz w:val="24"/>
          <w:szCs w:val="24"/>
        </w:rPr>
        <w:t>) education of lawyers, advocates and potential rights claimants; ii) barriers facing women and other groups; iii) access to legal representation; iv) making hearings and other procedures more accessible and less intimidating or costly; v) more effectively addressing systemic issues;  and vi) ensuring implementation of remedial orders.</w:t>
      </w:r>
    </w:p>
    <w:p w:rsidR="0054681E" w:rsidRPr="00BF2651" w:rsidRDefault="0054681E" w:rsidP="0054681E">
      <w:pPr>
        <w:jc w:val="both"/>
        <w:rPr>
          <w:sz w:val="24"/>
          <w:szCs w:val="24"/>
        </w:rPr>
      </w:pPr>
    </w:p>
    <w:p w:rsidR="0054681E" w:rsidRPr="00BF2651" w:rsidRDefault="0054681E" w:rsidP="0054681E">
      <w:pPr>
        <w:jc w:val="both"/>
        <w:rPr>
          <w:sz w:val="24"/>
          <w:szCs w:val="24"/>
        </w:rPr>
      </w:pPr>
      <w:r w:rsidRPr="00BF2651">
        <w:rPr>
          <w:sz w:val="24"/>
          <w:szCs w:val="24"/>
        </w:rPr>
        <w:t>3.</w:t>
      </w:r>
      <w:r w:rsidRPr="00BF2651">
        <w:rPr>
          <w:sz w:val="24"/>
          <w:szCs w:val="24"/>
        </w:rPr>
        <w:tab/>
        <w:t>Please identify where responsibility lies for education and training of judges and administrative decision-makers regarding their international human rights obligations.  What measures have been taken to ensure that domestic law is interpreted as far as possible to provide for effective remedies for the right to housing?</w:t>
      </w:r>
    </w:p>
    <w:p w:rsidR="0054681E" w:rsidRPr="00BF2651" w:rsidRDefault="0054681E" w:rsidP="0054681E">
      <w:pPr>
        <w:jc w:val="both"/>
        <w:rPr>
          <w:sz w:val="24"/>
          <w:szCs w:val="24"/>
        </w:rPr>
      </w:pPr>
    </w:p>
    <w:p w:rsidR="0054681E" w:rsidRPr="00BF2651" w:rsidRDefault="0054681E" w:rsidP="0054681E">
      <w:pPr>
        <w:jc w:val="both"/>
        <w:rPr>
          <w:sz w:val="24"/>
          <w:szCs w:val="24"/>
        </w:rPr>
      </w:pPr>
      <w:r w:rsidRPr="00BF2651">
        <w:rPr>
          <w:sz w:val="24"/>
          <w:szCs w:val="24"/>
        </w:rPr>
        <w:t>4.</w:t>
      </w:r>
      <w:r w:rsidRPr="00BF2651">
        <w:rPr>
          <w:sz w:val="24"/>
          <w:szCs w:val="24"/>
        </w:rPr>
        <w:tab/>
        <w:t xml:space="preserve">Are you aware of examples in your country of community-based initiatives to provide hearings and remedies for the right to housing outside of formal court or tribunal processes?  How have they been supported and how effective have they been? Do these operate at the national or subnational level, and do decisions create precedents that can be relied upon by others? </w:t>
      </w:r>
    </w:p>
    <w:p w:rsidR="0054681E" w:rsidRPr="00BF2651" w:rsidRDefault="0054681E" w:rsidP="0054681E">
      <w:pPr>
        <w:jc w:val="both"/>
        <w:rPr>
          <w:sz w:val="24"/>
          <w:szCs w:val="24"/>
        </w:rPr>
      </w:pPr>
    </w:p>
    <w:p w:rsidR="0054681E" w:rsidRPr="00BF2651" w:rsidRDefault="0054681E" w:rsidP="0054681E">
      <w:pPr>
        <w:jc w:val="both"/>
        <w:rPr>
          <w:sz w:val="24"/>
          <w:szCs w:val="24"/>
        </w:rPr>
      </w:pPr>
      <w:r w:rsidRPr="00BF2651">
        <w:rPr>
          <w:sz w:val="24"/>
          <w:szCs w:val="24"/>
        </w:rPr>
        <w:t>5.</w:t>
      </w:r>
      <w:r w:rsidRPr="00BF2651">
        <w:rPr>
          <w:sz w:val="24"/>
          <w:szCs w:val="24"/>
        </w:rPr>
        <w:tab/>
        <w:t>What role does your National Human Rights Institution play in ensuring access to justice for the right to housing?  Are there other human rights bodies that play a role in this respect, such as an ombudsperson?</w:t>
      </w:r>
    </w:p>
    <w:p w:rsidR="0054681E" w:rsidRDefault="0054681E" w:rsidP="0054681E">
      <w:pPr>
        <w:jc w:val="both"/>
        <w:rPr>
          <w:sz w:val="24"/>
          <w:szCs w:val="24"/>
        </w:rPr>
      </w:pPr>
    </w:p>
    <w:p w:rsidR="0054681E" w:rsidRDefault="0054681E" w:rsidP="0054681E">
      <w:pPr>
        <w:jc w:val="center"/>
        <w:rPr>
          <w:sz w:val="24"/>
          <w:szCs w:val="24"/>
        </w:rPr>
      </w:pPr>
      <w:r>
        <w:rPr>
          <w:sz w:val="24"/>
          <w:szCs w:val="24"/>
        </w:rPr>
        <w:t>----------------------------------------------------------------------------------------------------------</w:t>
      </w:r>
    </w:p>
    <w:p w:rsidR="0054681E" w:rsidRPr="000E0F19" w:rsidRDefault="0054681E" w:rsidP="0054681E">
      <w:pPr>
        <w:jc w:val="both"/>
        <w:rPr>
          <w:sz w:val="24"/>
          <w:szCs w:val="24"/>
        </w:rPr>
      </w:pPr>
    </w:p>
    <w:p w:rsidR="0054681E" w:rsidRPr="000E0F19" w:rsidRDefault="0054681E" w:rsidP="0054681E">
      <w:pPr>
        <w:jc w:val="both"/>
        <w:rPr>
          <w:sz w:val="24"/>
          <w:szCs w:val="24"/>
        </w:rPr>
      </w:pPr>
      <w:r w:rsidRPr="000E0F19">
        <w:rPr>
          <w:sz w:val="24"/>
          <w:szCs w:val="24"/>
        </w:rPr>
        <w:t xml:space="preserve">The report will be presented to </w:t>
      </w:r>
      <w:r>
        <w:rPr>
          <w:sz w:val="24"/>
          <w:szCs w:val="24"/>
        </w:rPr>
        <w:t xml:space="preserve">the </w:t>
      </w:r>
      <w:r w:rsidRPr="006725BA">
        <w:rPr>
          <w:sz w:val="24"/>
          <w:szCs w:val="24"/>
        </w:rPr>
        <w:t>40th session of the Human Rights Council in March 2019</w:t>
      </w:r>
      <w:r w:rsidRPr="000E0F19">
        <w:rPr>
          <w:sz w:val="24"/>
          <w:szCs w:val="24"/>
        </w:rPr>
        <w:t xml:space="preserve">. The Special Rapporteur on the right to adequate housing welcomes responses and submissions </w:t>
      </w:r>
      <w:r w:rsidRPr="000E0F19">
        <w:rPr>
          <w:sz w:val="24"/>
          <w:szCs w:val="24"/>
        </w:rPr>
        <w:lastRenderedPageBreak/>
        <w:t xml:space="preserve">of </w:t>
      </w:r>
      <w:r>
        <w:rPr>
          <w:sz w:val="24"/>
          <w:szCs w:val="24"/>
        </w:rPr>
        <w:t>relevant reports or studies by 17</w:t>
      </w:r>
      <w:r w:rsidRPr="000E0F19">
        <w:rPr>
          <w:sz w:val="24"/>
          <w:szCs w:val="24"/>
        </w:rPr>
        <w:t xml:space="preserve"> </w:t>
      </w:r>
      <w:r>
        <w:rPr>
          <w:sz w:val="24"/>
          <w:szCs w:val="24"/>
        </w:rPr>
        <w:t>November</w:t>
      </w:r>
      <w:r w:rsidRPr="000E0F19">
        <w:rPr>
          <w:sz w:val="24"/>
          <w:szCs w:val="24"/>
        </w:rPr>
        <w:t xml:space="preserve"> 2018. Submissions can be sent to </w:t>
      </w:r>
      <w:hyperlink r:id="rId4" w:history="1">
        <w:r w:rsidRPr="00FD14A5">
          <w:rPr>
            <w:rStyle w:val="Hyperlink"/>
            <w:sz w:val="24"/>
            <w:szCs w:val="24"/>
          </w:rPr>
          <w:t>srhousing@ohchr.org</w:t>
        </w:r>
      </w:hyperlink>
      <w:r w:rsidRPr="000E0F19">
        <w:rPr>
          <w:sz w:val="24"/>
          <w:szCs w:val="24"/>
        </w:rPr>
        <w:t xml:space="preserve">(cc: </w:t>
      </w:r>
      <w:hyperlink r:id="rId5" w:history="1">
        <w:r w:rsidRPr="00FD14A5">
          <w:rPr>
            <w:rStyle w:val="Hyperlink"/>
            <w:sz w:val="24"/>
            <w:szCs w:val="24"/>
          </w:rPr>
          <w:t>registry@ohchr.org</w:t>
        </w:r>
      </w:hyperlink>
      <w:r>
        <w:rPr>
          <w:sz w:val="24"/>
          <w:szCs w:val="24"/>
        </w:rPr>
        <w:t xml:space="preserve"> </w:t>
      </w:r>
      <w:r w:rsidRPr="000E0F19">
        <w:rPr>
          <w:sz w:val="24"/>
          <w:szCs w:val="24"/>
        </w:rPr>
        <w:t xml:space="preserve">). </w:t>
      </w:r>
    </w:p>
    <w:p w:rsidR="0054681E" w:rsidRPr="000E0F19" w:rsidRDefault="0054681E" w:rsidP="0054681E">
      <w:pPr>
        <w:jc w:val="both"/>
        <w:rPr>
          <w:sz w:val="24"/>
          <w:szCs w:val="24"/>
        </w:rPr>
      </w:pPr>
    </w:p>
    <w:p w:rsidR="0054681E" w:rsidRDefault="0054681E" w:rsidP="0054681E">
      <w:pPr>
        <w:jc w:val="both"/>
        <w:rPr>
          <w:sz w:val="24"/>
          <w:szCs w:val="24"/>
        </w:rPr>
      </w:pPr>
      <w:r w:rsidRPr="000E0F19">
        <w:rPr>
          <w:sz w:val="24"/>
          <w:szCs w:val="24"/>
        </w:rPr>
        <w:t>In order to facilitate processing of the information, submissions in English, French or Spanish are appreciated. If not requested otherwise, responses and submissions received will be published on the website of the Special Rapporteur.</w:t>
      </w:r>
    </w:p>
    <w:p w:rsidR="0054681E" w:rsidRDefault="0054681E" w:rsidP="0054681E">
      <w:pPr>
        <w:jc w:val="both"/>
        <w:rPr>
          <w:sz w:val="24"/>
          <w:szCs w:val="24"/>
        </w:rPr>
      </w:pPr>
    </w:p>
    <w:p w:rsidR="00BD706E" w:rsidRDefault="00BD706E">
      <w:bookmarkStart w:id="0" w:name="_GoBack"/>
      <w:bookmarkEnd w:id="0"/>
    </w:p>
    <w:sectPr w:rsidR="00BD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1E"/>
    <w:rsid w:val="0054681E"/>
    <w:rsid w:val="00BD70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48C65-AEF3-46DD-9970-8E938C9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81E"/>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681E"/>
    <w:rPr>
      <w:color w:val="0000FF"/>
      <w:u w:val="single"/>
    </w:rPr>
  </w:style>
  <w:style w:type="paragraph" w:styleId="NoSpacing">
    <w:name w:val="No Spacing"/>
    <w:uiPriority w:val="1"/>
    <w:qFormat/>
    <w:rsid w:val="00546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istry@ohchr.org" TargetMode="External"/><Relationship Id="rId10" Type="http://schemas.openxmlformats.org/officeDocument/2006/relationships/customXml" Target="../customXml/item3.xml"/><Relationship Id="rId4" Type="http://schemas.openxmlformats.org/officeDocument/2006/relationships/hyperlink" Target="mailto:srhousing@ohchr.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3A4494-1DE9-4F8B-BEB2-F22348CD8495}"/>
</file>

<file path=customXml/itemProps2.xml><?xml version="1.0" encoding="utf-8"?>
<ds:datastoreItem xmlns:ds="http://schemas.openxmlformats.org/officeDocument/2006/customXml" ds:itemID="{AF78C88E-3E13-4AF4-B19E-30B7185BDD32}"/>
</file>

<file path=customXml/itemProps3.xml><?xml version="1.0" encoding="utf-8"?>
<ds:datastoreItem xmlns:ds="http://schemas.openxmlformats.org/officeDocument/2006/customXml" ds:itemID="{1C1F4D24-BC2B-4536-828C-FB212AD3CBF3}"/>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 Madoka</dc:creator>
  <cp:keywords/>
  <dc:description/>
  <cp:lastModifiedBy>SAJI Madoka</cp:lastModifiedBy>
  <cp:revision>1</cp:revision>
  <dcterms:created xsi:type="dcterms:W3CDTF">2018-10-17T15:11:00Z</dcterms:created>
  <dcterms:modified xsi:type="dcterms:W3CDTF">2018-10-17T15:11:00Z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